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133350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78"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SCHEDULE 14A</w:t>
      </w:r>
    </w:p>
    <w:p>
      <w:pPr>
        <w:spacing w:after="0" w:line="3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(Rule 14a-101)</w:t>
      </w:r>
    </w:p>
    <w:p>
      <w:pPr>
        <w:spacing w:after="0" w:line="168"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SCHEDULE 14A INFORMATION</w:t>
      </w:r>
    </w:p>
    <w:p>
      <w:pPr>
        <w:spacing w:after="0" w:line="226"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jc w:val="center"/>
        <w:ind w:right="-25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133350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72" w:lineRule="exact"/>
        <w:rPr>
          <w:sz w:val="24"/>
          <w:szCs w:val="24"/>
          <w:color w:val="auto"/>
        </w:rPr>
      </w:pPr>
    </w:p>
    <w:p>
      <w:pPr>
        <w:spacing w:after="0" w:line="207" w:lineRule="exact"/>
        <w:tabs>
          <w:tab w:leader="none" w:pos="412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180" w:lineRule="exact"/>
        <w:rPr>
          <w:sz w:val="24"/>
          <w:szCs w:val="24"/>
          <w:color w:val="auto"/>
        </w:rPr>
      </w:pPr>
    </w:p>
    <w:p>
      <w:pPr>
        <w:jc w:val="center"/>
        <w:ind w:right="-259"/>
        <w:spacing w:after="0"/>
        <w:rPr>
          <w:sz w:val="20"/>
          <w:szCs w:val="20"/>
          <w:color w:val="auto"/>
        </w:rPr>
      </w:pPr>
      <w:r>
        <w:rPr>
          <w:rFonts w:ascii="Arial" w:cs="Arial" w:eastAsia="Arial" w:hAnsi="Arial"/>
          <w:sz w:val="43"/>
          <w:szCs w:val="43"/>
          <w:b w:val="1"/>
          <w:bCs w:val="1"/>
          <w:color w:val="auto"/>
        </w:rPr>
        <w:t>ExlService Holdings, Inc.</w:t>
      </w:r>
    </w:p>
    <w:p>
      <w:pPr>
        <w:spacing w:after="0" w:line="50"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ind w:left="344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9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53"/>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33" w:lineRule="exact"/>
        <w:rPr>
          <w:rFonts w:ascii="Arial" w:cs="Arial" w:eastAsia="Arial" w:hAnsi="Arial"/>
          <w:sz w:val="18"/>
          <w:szCs w:val="18"/>
          <w:color w:val="auto"/>
        </w:rPr>
      </w:pPr>
    </w:p>
    <w:p>
      <w:pPr>
        <w:ind w:left="920" w:hanging="453"/>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33" w:lineRule="exact"/>
        <w:rPr>
          <w:rFonts w:ascii="Arial" w:cs="Arial" w:eastAsia="Arial" w:hAnsi="Arial"/>
          <w:sz w:val="18"/>
          <w:szCs w:val="18"/>
          <w:color w:val="auto"/>
        </w:rPr>
      </w:pPr>
    </w:p>
    <w:p>
      <w:pPr>
        <w:ind w:left="920" w:hanging="453"/>
        <w:spacing w:after="0" w:line="277" w:lineRule="auto"/>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78" w:lineRule="exact"/>
        <w:rPr>
          <w:rFonts w:ascii="Arial" w:cs="Arial" w:eastAsia="Arial" w:hAnsi="Arial"/>
          <w:sz w:val="18"/>
          <w:szCs w:val="18"/>
          <w:color w:val="auto"/>
        </w:rPr>
      </w:pPr>
    </w:p>
    <w:p>
      <w:pPr>
        <w:ind w:left="920" w:hanging="453"/>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33" w:lineRule="exact"/>
        <w:rPr>
          <w:rFonts w:ascii="Arial" w:cs="Arial" w:eastAsia="Arial" w:hAnsi="Arial"/>
          <w:sz w:val="18"/>
          <w:szCs w:val="18"/>
          <w:color w:val="auto"/>
        </w:rPr>
      </w:pPr>
    </w:p>
    <w:p>
      <w:pPr>
        <w:ind w:left="920" w:hanging="453"/>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460" w:right="200" w:hanging="452"/>
        <w:spacing w:after="0" w:line="308" w:lineRule="auto"/>
        <w:tabs>
          <w:tab w:leader="none" w:pos="46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6" w:lineRule="exact"/>
        <w:rPr>
          <w:rFonts w:ascii="MS PGothic" w:cs="MS PGothic" w:eastAsia="MS PGothic" w:hAnsi="MS PGothic"/>
          <w:sz w:val="17"/>
          <w:szCs w:val="17"/>
          <w:color w:val="auto"/>
        </w:rPr>
      </w:pPr>
    </w:p>
    <w:p>
      <w:pPr>
        <w:ind w:left="920" w:hanging="453"/>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33" w:lineRule="exact"/>
        <w:rPr>
          <w:rFonts w:ascii="Arial" w:cs="Arial" w:eastAsia="Arial" w:hAnsi="Arial"/>
          <w:sz w:val="18"/>
          <w:szCs w:val="18"/>
          <w:color w:val="auto"/>
        </w:rPr>
      </w:pPr>
    </w:p>
    <w:p>
      <w:pPr>
        <w:ind w:left="920" w:hanging="453"/>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33" w:lineRule="exact"/>
        <w:rPr>
          <w:rFonts w:ascii="Arial" w:cs="Arial" w:eastAsia="Arial" w:hAnsi="Arial"/>
          <w:sz w:val="18"/>
          <w:szCs w:val="18"/>
          <w:color w:val="auto"/>
        </w:rPr>
      </w:pPr>
    </w:p>
    <w:p>
      <w:pPr>
        <w:ind w:left="920" w:hanging="453"/>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33" w:lineRule="exact"/>
        <w:rPr>
          <w:rFonts w:ascii="Arial" w:cs="Arial" w:eastAsia="Arial" w:hAnsi="Arial"/>
          <w:sz w:val="18"/>
          <w:szCs w:val="18"/>
          <w:color w:val="auto"/>
        </w:rPr>
      </w:pPr>
    </w:p>
    <w:p>
      <w:pPr>
        <w:ind w:left="920" w:hanging="453"/>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14605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-190500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-533400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-876300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-1974215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-2317115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-2660015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-3140075</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-3483610</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215" w:lineRule="exact"/>
        <w:rPr>
          <w:sz w:val="24"/>
          <w:szCs w:val="24"/>
          <w:color w:val="auto"/>
        </w:rPr>
      </w:pPr>
    </w:p>
    <w:p>
      <w:pPr>
        <w:ind w:right="160"/>
        <w:spacing w:after="0" w:line="347" w:lineRule="auto"/>
        <w:rPr>
          <w:sz w:val="20"/>
          <w:szCs w:val="20"/>
          <w:color w:val="auto"/>
        </w:rPr>
      </w:pPr>
      <w:r>
        <w:rPr>
          <w:rFonts w:ascii="Arial" w:cs="Arial" w:eastAsia="Arial" w:hAnsi="Arial"/>
          <w:sz w:val="16"/>
          <w:szCs w:val="16"/>
          <w:b w:val="1"/>
          <w:bCs w:val="1"/>
          <w:color w:val="auto"/>
        </w:rPr>
        <w:t xml:space="preserve">EXPLANATORY NOTE: </w:t>
      </w:r>
      <w:r>
        <w:rPr>
          <w:rFonts w:ascii="Arial" w:cs="Arial" w:eastAsia="Arial" w:hAnsi="Arial"/>
          <w:sz w:val="16"/>
          <w:szCs w:val="16"/>
          <w:color w:val="auto"/>
        </w:rPr>
        <w:t>This revised definitive proxy statement is being filed to include certain information in the table entitled “Stock Ownership of</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Executive Officers and Certain Beneficial Owners” that was previously omitted. No other changes have been made to the proxy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180"/>
          </w:cols>
          <w:pgMar w:left="240" w:top="274" w:right="479" w:bottom="521"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3021965</wp:posOffset>
            </wp:positionH>
            <wp:positionV relativeFrom="page">
              <wp:posOffset>517525</wp:posOffset>
            </wp:positionV>
            <wp:extent cx="1543685" cy="1037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543685" cy="1037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280 Park Avenue, 38</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w:t>
      </w:r>
    </w:p>
    <w:p>
      <w:pPr>
        <w:ind w:left="4580"/>
        <w:spacing w:after="0" w:line="234" w:lineRule="auto"/>
        <w:rPr>
          <w:sz w:val="20"/>
          <w:szCs w:val="20"/>
          <w:color w:val="auto"/>
        </w:rPr>
      </w:pPr>
      <w:r>
        <w:rPr>
          <w:rFonts w:ascii="Arial" w:cs="Arial" w:eastAsia="Arial" w:hAnsi="Arial"/>
          <w:sz w:val="18"/>
          <w:szCs w:val="18"/>
          <w:b w:val="1"/>
          <w:bCs w:val="1"/>
          <w:color w:val="auto"/>
        </w:rPr>
        <w:t>New York, New York 10017</w:t>
      </w:r>
    </w:p>
    <w:p>
      <w:pPr>
        <w:spacing w:after="0" w:line="1" w:lineRule="exact"/>
        <w:rPr>
          <w:sz w:val="20"/>
          <w:szCs w:val="20"/>
          <w:color w:val="auto"/>
        </w:rPr>
      </w:pPr>
    </w:p>
    <w:p>
      <w:pPr>
        <w:ind w:left="5560" w:hanging="462"/>
        <w:spacing w:after="0"/>
        <w:tabs>
          <w:tab w:leader="none" w:pos="55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277-7100</w:t>
      </w:r>
    </w:p>
    <w:p>
      <w:pPr>
        <w:spacing w:after="0" w:line="176" w:lineRule="exact"/>
        <w:rPr>
          <w:rFonts w:ascii="Arial" w:cs="Arial" w:eastAsia="Arial" w:hAnsi="Arial"/>
          <w:sz w:val="18"/>
          <w:szCs w:val="18"/>
          <w:b w:val="1"/>
          <w:bCs w:val="1"/>
          <w:color w:val="auto"/>
        </w:rPr>
      </w:pPr>
    </w:p>
    <w:p>
      <w:pPr>
        <w:ind w:left="48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PROXY STATEMENT</w:t>
      </w:r>
    </w:p>
    <w:p>
      <w:pPr>
        <w:spacing w:after="0" w:line="19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Annual Meeting of Stockholders</w:t>
      </w:r>
    </w:p>
    <w:p>
      <w:pPr>
        <w:spacing w:after="0" w:line="19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June 17, 2016</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198" w:lineRule="exact"/>
        <w:rPr>
          <w:sz w:val="20"/>
          <w:szCs w:val="20"/>
          <w:color w:val="auto"/>
        </w:rPr>
      </w:pPr>
    </w:p>
    <w:p>
      <w:pPr>
        <w:ind w:right="1060" w:firstLine="648"/>
        <w:spacing w:after="0" w:line="246" w:lineRule="auto"/>
        <w:rPr>
          <w:sz w:val="20"/>
          <w:szCs w:val="20"/>
          <w:color w:val="auto"/>
        </w:rPr>
      </w:pPr>
      <w:r>
        <w:rPr>
          <w:rFonts w:ascii="Arial" w:cs="Arial" w:eastAsia="Arial" w:hAnsi="Arial"/>
          <w:sz w:val="18"/>
          <w:szCs w:val="18"/>
          <w:color w:val="auto"/>
        </w:rPr>
        <w:t>On behalf of the board of directors of ExlService Holdings, Inc., I am pleased to invite you to the 2016 Annual Meeting of Stockholders, which will be held on June 17, 2016 in New York, New York.</w:t>
      </w:r>
    </w:p>
    <w:p>
      <w:pPr>
        <w:spacing w:after="0" w:line="183" w:lineRule="exact"/>
        <w:rPr>
          <w:sz w:val="20"/>
          <w:szCs w:val="20"/>
          <w:color w:val="auto"/>
        </w:rPr>
      </w:pPr>
    </w:p>
    <w:p>
      <w:pPr>
        <w:ind w:right="80" w:firstLine="648"/>
        <w:spacing w:after="0" w:line="246" w:lineRule="auto"/>
        <w:rPr>
          <w:sz w:val="20"/>
          <w:szCs w:val="20"/>
          <w:color w:val="auto"/>
        </w:rPr>
      </w:pPr>
      <w:r>
        <w:rPr>
          <w:rFonts w:ascii="Arial" w:cs="Arial" w:eastAsia="Arial" w:hAnsi="Arial"/>
          <w:sz w:val="18"/>
          <w:szCs w:val="18"/>
          <w:color w:val="auto"/>
        </w:rPr>
        <w:t>The Annual Meeting will begin with discussion and voting on the matters set forth on the accompanying Notice of the Annual Meeting and Proxy Statement, followed by discussion of other business matters properly brought before the Annual Meeting.</w:t>
      </w:r>
    </w:p>
    <w:p>
      <w:pPr>
        <w:spacing w:after="0" w:line="183" w:lineRule="exact"/>
        <w:rPr>
          <w:sz w:val="20"/>
          <w:szCs w:val="20"/>
          <w:color w:val="auto"/>
        </w:rPr>
      </w:pPr>
    </w:p>
    <w:p>
      <w:pPr>
        <w:ind w:right="80" w:firstLine="648"/>
        <w:spacing w:after="0" w:line="238" w:lineRule="auto"/>
        <w:rPr>
          <w:sz w:val="20"/>
          <w:szCs w:val="20"/>
          <w:color w:val="auto"/>
        </w:rPr>
      </w:pPr>
      <w:r>
        <w:rPr>
          <w:rFonts w:ascii="Arial" w:cs="Arial" w:eastAsia="Arial" w:hAnsi="Arial"/>
          <w:sz w:val="18"/>
          <w:szCs w:val="18"/>
          <w:color w:val="auto"/>
        </w:rPr>
        <w:t>Pursuant to rules promulgated by the Securities and Exchange Commission, we are providing access to our proxy materials over the Internet. On or about April 29, 2016, we will mail a Notice of Internet Availability of Proxy Materials (the “Internet Notice”) to each of our stockholders of record and beneficial owners at the close of business on April 21, 2016, the record date for the Annual Meeting. On the date of mailing of the Internet Notice, all stockholders and beneficial owners will have the ability to access all of the proxy materials on a website referred to in the Internet Notice. These proxy materials will be available free of charge.</w:t>
      </w:r>
    </w:p>
    <w:p>
      <w:pPr>
        <w:spacing w:after="0" w:line="189"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Even if you choose to attend the Annual Meeting in person, you are encouraged to review the proxy materials and vote your shares in advance of the meeting by Internet or phone. The Internet Notice will contain instructions to allow you to request copies of the proxy materials to be sent to you by mail. Any proxy materials sent to you will include a proxy card that you may use to cast your vote by completing, signing and returning the proxy card by mail (or voting instruction form, if you hold shares through a broker). Your vote is extremely important, and we appreciate you taking the time to vote promptly. If you attend the Annual Meeting, you may withdraw your proxy should you wish to vote in person.</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board of directors and management look forward to seeing you at the Annual Meeting.</w:t>
      </w:r>
    </w:p>
    <w:p>
      <w:pPr>
        <w:spacing w:after="0" w:line="198"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126365</wp:posOffset>
            </wp:positionV>
            <wp:extent cx="1286510" cy="5829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651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Garen K. Staglin</w:t>
      </w:r>
    </w:p>
    <w:p>
      <w:pPr>
        <w:ind w:left="8000"/>
        <w:spacing w:after="0"/>
        <w:rPr>
          <w:sz w:val="20"/>
          <w:szCs w:val="20"/>
          <w:color w:val="auto"/>
        </w:rPr>
      </w:pPr>
      <w:r>
        <w:rPr>
          <w:rFonts w:ascii="Arial" w:cs="Arial" w:eastAsia="Arial" w:hAnsi="Arial"/>
          <w:sz w:val="18"/>
          <w:szCs w:val="18"/>
          <w:color w:val="auto"/>
        </w:rPr>
        <w:t>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1440" w:right="37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3021965</wp:posOffset>
            </wp:positionH>
            <wp:positionV relativeFrom="page">
              <wp:posOffset>551815</wp:posOffset>
            </wp:positionV>
            <wp:extent cx="1543685" cy="1037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543685" cy="1037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280 Park Avenue, 38</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w:t>
      </w:r>
    </w:p>
    <w:p>
      <w:pPr>
        <w:jc w:val="center"/>
        <w:ind w:right="-19"/>
        <w:spacing w:after="0" w:line="234" w:lineRule="auto"/>
        <w:rPr>
          <w:sz w:val="20"/>
          <w:szCs w:val="20"/>
          <w:color w:val="auto"/>
        </w:rPr>
      </w:pPr>
      <w:r>
        <w:rPr>
          <w:rFonts w:ascii="Arial" w:cs="Arial" w:eastAsia="Arial" w:hAnsi="Arial"/>
          <w:sz w:val="18"/>
          <w:szCs w:val="18"/>
          <w:b w:val="1"/>
          <w:bCs w:val="1"/>
          <w:color w:val="auto"/>
        </w:rPr>
        <w:t>New York, New York 10017</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(212) 277-7100</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2016 ANNUAL MEETING OF STOCKHOLDERS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You are cordially invited to the 2016 Annual Meeting of Stockholders of ExlService Holdings, Inc., a Delaware corporation (the</w:t>
      </w:r>
    </w:p>
    <w:p>
      <w:pPr>
        <w:spacing w:after="0" w:line="181" w:lineRule="auto"/>
        <w:rPr>
          <w:sz w:val="20"/>
          <w:szCs w:val="20"/>
          <w:color w:val="auto"/>
        </w:rPr>
      </w:pPr>
      <w:r>
        <w:rPr>
          <w:rFonts w:ascii="Arial" w:cs="Arial" w:eastAsia="Arial" w:hAnsi="Arial"/>
          <w:sz w:val="17"/>
          <w:szCs w:val="17"/>
          <w:color w:val="auto"/>
        </w:rPr>
        <w:t>“Company”). The Annual Meeting will be held at the New York offices of the Company, 280 Park Avenue, 38</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New York, New York</w:t>
      </w:r>
    </w:p>
    <w:p>
      <w:pPr>
        <w:spacing w:after="0"/>
        <w:rPr>
          <w:sz w:val="20"/>
          <w:szCs w:val="20"/>
          <w:color w:val="auto"/>
        </w:rPr>
      </w:pPr>
      <w:r>
        <w:rPr>
          <w:rFonts w:ascii="Arial" w:cs="Arial" w:eastAsia="Arial" w:hAnsi="Arial"/>
          <w:sz w:val="18"/>
          <w:szCs w:val="18"/>
          <w:color w:val="auto"/>
        </w:rPr>
        <w:t>10017 on June 17, 2016 at 8:30 AM, Eastern Time, for the purposes of voting on the following matters:</w:t>
      </w:r>
    </w:p>
    <w:p>
      <w:pPr>
        <w:spacing w:after="0" w:line="198" w:lineRule="exact"/>
        <w:rPr>
          <w:sz w:val="20"/>
          <w:szCs w:val="20"/>
          <w:color w:val="auto"/>
        </w:rPr>
      </w:pPr>
    </w:p>
    <w:p>
      <w:pPr>
        <w:ind w:left="880" w:hanging="440"/>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election of two Class I members of the board of directors of the Company for a term of three years each;</w:t>
      </w:r>
    </w:p>
    <w:p>
      <w:pPr>
        <w:spacing w:after="0" w:line="198" w:lineRule="exact"/>
        <w:rPr>
          <w:rFonts w:ascii="Arial" w:cs="Arial" w:eastAsia="Arial" w:hAnsi="Arial"/>
          <w:sz w:val="18"/>
          <w:szCs w:val="18"/>
          <w:color w:val="auto"/>
        </w:rPr>
      </w:pPr>
    </w:p>
    <w:p>
      <w:pPr>
        <w:ind w:left="880" w:right="140" w:hanging="440"/>
        <w:spacing w:after="0" w:line="246"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ratification of the selection of Ernst &amp; Young LLP as the independent registered public accounting firm of the Company for fiscal year 2016;</w:t>
      </w:r>
    </w:p>
    <w:p>
      <w:pPr>
        <w:spacing w:after="0" w:line="183" w:lineRule="exact"/>
        <w:rPr>
          <w:rFonts w:ascii="Arial" w:cs="Arial" w:eastAsia="Arial" w:hAnsi="Arial"/>
          <w:sz w:val="18"/>
          <w:szCs w:val="18"/>
          <w:color w:val="auto"/>
        </w:rPr>
      </w:pPr>
    </w:p>
    <w:p>
      <w:pPr>
        <w:ind w:left="880" w:hanging="440"/>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approval of the compensation of the named executive officers of the Company; and</w:t>
      </w:r>
    </w:p>
    <w:p>
      <w:pPr>
        <w:spacing w:after="0" w:line="198" w:lineRule="exact"/>
        <w:rPr>
          <w:rFonts w:ascii="Arial" w:cs="Arial" w:eastAsia="Arial" w:hAnsi="Arial"/>
          <w:sz w:val="18"/>
          <w:szCs w:val="18"/>
          <w:color w:val="auto"/>
        </w:rPr>
      </w:pPr>
    </w:p>
    <w:p>
      <w:pPr>
        <w:ind w:left="880" w:right="540" w:hanging="440"/>
        <w:spacing w:after="0" w:line="246"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transaction of such other business as may properly come before the Annual Meeting or any adjournment or postponement thereof.</w:t>
      </w:r>
    </w:p>
    <w:p>
      <w:pPr>
        <w:spacing w:after="0" w:line="183" w:lineRule="exact"/>
        <w:rPr>
          <w:sz w:val="20"/>
          <w:szCs w:val="20"/>
          <w:color w:val="auto"/>
        </w:rPr>
      </w:pPr>
    </w:p>
    <w:p>
      <w:pPr>
        <w:jc w:val="center"/>
        <w:ind w:right="180"/>
        <w:spacing w:after="0" w:line="234" w:lineRule="auto"/>
        <w:rPr>
          <w:sz w:val="20"/>
          <w:szCs w:val="20"/>
          <w:color w:val="auto"/>
        </w:rPr>
      </w:pPr>
      <w:r>
        <w:rPr>
          <w:rFonts w:ascii="Arial" w:cs="Arial" w:eastAsia="Arial" w:hAnsi="Arial"/>
          <w:sz w:val="18"/>
          <w:szCs w:val="18"/>
          <w:color w:val="auto"/>
        </w:rPr>
        <w:t>If you are a stockholder of record at the close of business on April 21, 2016, you are entitled to vote at the Annual Meeting. A list of stockholders as of the record date will be available for examination for any purpose germane to the Annual Meeting, during ordinary business</w:t>
      </w:r>
    </w:p>
    <w:p>
      <w:pPr>
        <w:spacing w:after="0" w:line="2" w:lineRule="exact"/>
        <w:rPr>
          <w:sz w:val="20"/>
          <w:szCs w:val="20"/>
          <w:color w:val="auto"/>
        </w:rPr>
      </w:pPr>
    </w:p>
    <w:p>
      <w:pPr>
        <w:ind w:right="120"/>
        <w:spacing w:after="0" w:line="199" w:lineRule="auto"/>
        <w:rPr>
          <w:sz w:val="20"/>
          <w:szCs w:val="20"/>
          <w:color w:val="auto"/>
        </w:rPr>
      </w:pPr>
      <w:r>
        <w:rPr>
          <w:rFonts w:ascii="Arial" w:cs="Arial" w:eastAsia="Arial" w:hAnsi="Arial"/>
          <w:sz w:val="18"/>
          <w:szCs w:val="18"/>
          <w:color w:val="auto"/>
        </w:rPr>
        <w:t>hours, at the Company’s executive offices at 280 Park Avenue, 38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New York 10017, for a period of 10 days prior to the date of the Annual Meeting and at the Annual Meeting itself.</w:t>
      </w:r>
    </w:p>
    <w:p>
      <w:pPr>
        <w:spacing w:after="0" w:line="190" w:lineRule="exact"/>
        <w:rPr>
          <w:sz w:val="20"/>
          <w:szCs w:val="20"/>
          <w:color w:val="auto"/>
        </w:rPr>
      </w:pPr>
    </w:p>
    <w:p>
      <w:pPr>
        <w:ind w:firstLine="441"/>
        <w:spacing w:after="0" w:line="248" w:lineRule="auto"/>
        <w:rPr>
          <w:sz w:val="20"/>
          <w:szCs w:val="20"/>
          <w:color w:val="auto"/>
        </w:rPr>
      </w:pPr>
      <w:r>
        <w:rPr>
          <w:rFonts w:ascii="Arial" w:cs="Arial" w:eastAsia="Arial" w:hAnsi="Arial"/>
          <w:sz w:val="17"/>
          <w:szCs w:val="17"/>
          <w:color w:val="auto"/>
        </w:rPr>
        <w:t>Whether or not you expect to attend the Annual Meeting in person, the Company encourages you to promptly vote and submit your proxy by (i) Internet (by following the instructions provided in the Internet Notice), (ii) by phone (by following the instructions provided in the Internet Notice) or (iii) by requesting that proxy materials be sent to you by mail that will include a proxy card that you can use to vote by completing, signing, dating and returning the proxy card in the prepaid postage envelope provided. Voting by proxy will not deprive you of the right to attend the Annual Meeting or to vote your shares in person. You can revoke a proxy at any time before it is exercised by voting in person at the Annual Meeting, by delivering a subsequent proxy or by notifying the inspector of elections in writing of such revocation prior to the Annual Meeting.</w:t>
      </w:r>
    </w:p>
    <w:p>
      <w:pPr>
        <w:spacing w:after="0" w:line="4"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YOUR SHARES CANNOT BE VOTED UNLESS YOU EITHER (I) VOTE BY USING THE INTERNET, (II) VOTE BY PHONE, (III) REQUEST PROXY MATERIALS BE SENT TO YOU BY MAIL AND THEN USE THE PROXY CARD PROVIDED BY MAIL TO CAST YOUR VOTE BY COMPLETING, SIGNING AND RETURNING THE PROXY CARD BY MAIL OR (IV) ATTEND THE ANNUAL MEETING AND VOTE IN PERSON.</w:t>
      </w:r>
    </w:p>
    <w:p>
      <w:pPr>
        <w:spacing w:after="0" w:line="188"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By Order of the Board of Directors</w:t>
      </w:r>
    </w:p>
    <w:p>
      <w:pPr>
        <w:spacing w:after="0" w:line="194"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Nancy Saltzman</w:t>
      </w:r>
    </w:p>
    <w:p>
      <w:pPr>
        <w:ind w:left="8000"/>
        <w:spacing w:after="0" w:line="234" w:lineRule="auto"/>
        <w:rPr>
          <w:sz w:val="20"/>
          <w:szCs w:val="20"/>
          <w:color w:val="auto"/>
        </w:rPr>
      </w:pPr>
      <w:r>
        <w:rPr>
          <w:rFonts w:ascii="Arial" w:cs="Arial" w:eastAsia="Arial" w:hAnsi="Arial"/>
          <w:sz w:val="18"/>
          <w:szCs w:val="18"/>
          <w:color w:val="auto"/>
        </w:rPr>
        <w:t>Executive Vice President,</w:t>
      </w:r>
    </w:p>
    <w:p>
      <w:pPr>
        <w:spacing w:after="0" w:line="1"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General Counsel and Secretary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rPr>
          <w:sz w:val="20"/>
          <w:szCs w:val="20"/>
          <w:color w:val="auto"/>
        </w:rPr>
      </w:pPr>
      <w:r>
        <w:rPr>
          <w:rFonts w:ascii="Arial" w:cs="Arial" w:eastAsia="Arial" w:hAnsi="Arial"/>
          <w:sz w:val="18"/>
          <w:szCs w:val="18"/>
          <w:color w:val="auto"/>
        </w:rPr>
        <w:t>April 29,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9"/>
        </w:trPr>
        <w:tc>
          <w:tcPr>
            <w:tcW w:w="1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300" w:type="dxa"/>
            <w:vAlign w:val="bottom"/>
            <w:gridSpan w:val="7"/>
          </w:tcPr>
          <w:p>
            <w:pPr>
              <w:ind w:left="1200"/>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860" w:type="dxa"/>
            <w:vAlign w:val="bottom"/>
            <w:gridSpan w:val="16"/>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2016 PROXY STATEMENT SUMMARY</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56"/>
        </w:trPr>
        <w:tc>
          <w:tcPr>
            <w:tcW w:w="10860" w:type="dxa"/>
            <w:vAlign w:val="bottom"/>
            <w:gridSpan w:val="16"/>
            <w:vMerge w:val="continue"/>
          </w:tcPr>
          <w:p>
            <w:pPr>
              <w:spacing w:after="0"/>
              <w:rPr>
                <w:sz w:val="13"/>
                <w:szCs w:val="13"/>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980" w:type="dxa"/>
            <w:vAlign w:val="bottom"/>
            <w:tcBorders>
              <w:bottom w:val="single" w:sz="8" w:color="0000EE"/>
            </w:tcBorders>
            <w:gridSpan w:val="10"/>
          </w:tcPr>
          <w:p>
            <w:pPr>
              <w:spacing w:after="0"/>
              <w:rPr>
                <w:rFonts w:ascii="Arial" w:cs="Arial" w:eastAsia="Arial" w:hAnsi="Arial"/>
                <w:sz w:val="18"/>
                <w:szCs w:val="18"/>
                <w:color w:val="0000EE"/>
                <w:w w:val="98"/>
              </w:rPr>
            </w:pPr>
            <w:hyperlink w:anchor="page10">
              <w:r>
                <w:rPr>
                  <w:rFonts w:ascii="Arial" w:cs="Arial" w:eastAsia="Arial" w:hAnsi="Arial"/>
                  <w:sz w:val="18"/>
                  <w:szCs w:val="18"/>
                  <w:color w:val="0000EE"/>
                  <w:w w:val="98"/>
                </w:rPr>
                <w:t>INFORMATION CONCERNING VOTING AND SOLICITATION</w:t>
              </w:r>
            </w:hyperlink>
          </w:p>
        </w:tc>
        <w:tc>
          <w:tcPr>
            <w:tcW w:w="5880" w:type="dxa"/>
            <w:vAlign w:val="bottom"/>
            <w:gridSpan w:val="6"/>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85"/>
        </w:trPr>
        <w:tc>
          <w:tcPr>
            <w:tcW w:w="10860" w:type="dxa"/>
            <w:vAlign w:val="bottom"/>
            <w:gridSpan w:val="16"/>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OUR BOARD OF DIRECTORS</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85"/>
        </w:trPr>
        <w:tc>
          <w:tcPr>
            <w:tcW w:w="2500" w:type="dxa"/>
            <w:vAlign w:val="bottom"/>
            <w:tcBorders>
              <w:top w:val="single" w:sz="8" w:color="0000EE"/>
            </w:tcBorders>
            <w:gridSpan w:val="4"/>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CORPORATE GOVERNANCE</w:t>
              </w:r>
            </w:hyperlink>
          </w:p>
        </w:tc>
        <w:tc>
          <w:tcPr>
            <w:tcW w:w="8360" w:type="dxa"/>
            <w:vAlign w:val="bottom"/>
            <w:gridSpan w:val="12"/>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85"/>
        </w:trPr>
        <w:tc>
          <w:tcPr>
            <w:tcW w:w="24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9"/>
              </w:rPr>
            </w:pPr>
            <w:hyperlink w:anchor="page25">
              <w:r>
                <w:rPr>
                  <w:rFonts w:ascii="Arial" w:cs="Arial" w:eastAsia="Arial" w:hAnsi="Arial"/>
                  <w:sz w:val="18"/>
                  <w:szCs w:val="18"/>
                  <w:color w:val="0000EE"/>
                  <w:w w:val="99"/>
                </w:rPr>
                <w:t>OUR EXECUTIVE OFFICERS</w:t>
              </w:r>
            </w:hyperlink>
          </w:p>
        </w:tc>
        <w:tc>
          <w:tcPr>
            <w:tcW w:w="20" w:type="dxa"/>
            <w:vAlign w:val="bottom"/>
            <w:tcBorders>
              <w:top w:val="single" w:sz="8" w:color="0000EE"/>
            </w:tcBorders>
          </w:tcPr>
          <w:p>
            <w:pPr>
              <w:spacing w:after="0"/>
              <w:rPr>
                <w:sz w:val="24"/>
                <w:szCs w:val="24"/>
                <w:color w:val="auto"/>
              </w:rPr>
            </w:pPr>
          </w:p>
        </w:tc>
        <w:tc>
          <w:tcPr>
            <w:tcW w:w="8400" w:type="dxa"/>
            <w:vAlign w:val="bottom"/>
            <w:gridSpan w:val="13"/>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85"/>
        </w:trPr>
        <w:tc>
          <w:tcPr>
            <w:tcW w:w="10860" w:type="dxa"/>
            <w:vAlign w:val="bottom"/>
            <w:gridSpan w:val="16"/>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EXECUTIVE COMPENSATION</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1540" w:type="dxa"/>
            <w:vAlign w:val="bottom"/>
            <w:shd w:val="clear" w:color="auto" w:fill="0000EE"/>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860" w:type="dxa"/>
            <w:vAlign w:val="bottom"/>
            <w:gridSpan w:val="16"/>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COMPENSATION COMMITTEE REPORT</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1540" w:type="dxa"/>
            <w:vAlign w:val="bottom"/>
            <w:shd w:val="clear" w:color="auto" w:fill="0000EE"/>
          </w:tcPr>
          <w:p>
            <w:pPr>
              <w:spacing w:after="0" w:line="20" w:lineRule="exact"/>
              <w:rPr>
                <w:sz w:val="1"/>
                <w:szCs w:val="1"/>
                <w:color w:val="auto"/>
              </w:rPr>
            </w:pPr>
          </w:p>
        </w:tc>
        <w:tc>
          <w:tcPr>
            <w:tcW w:w="1640" w:type="dxa"/>
            <w:vAlign w:val="bottom"/>
            <w:gridSpan w:val="6"/>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480" w:type="dxa"/>
            <w:vAlign w:val="bottom"/>
            <w:tcBorders>
              <w:bottom w:val="single" w:sz="8" w:color="0000EE"/>
            </w:tcBorders>
            <w:gridSpan w:val="14"/>
          </w:tcPr>
          <w:p>
            <w:pPr>
              <w:spacing w:after="0"/>
              <w:rPr>
                <w:rFonts w:ascii="Arial" w:cs="Arial" w:eastAsia="Arial" w:hAnsi="Arial"/>
                <w:sz w:val="18"/>
                <w:szCs w:val="18"/>
                <w:color w:val="0000EE"/>
                <w:w w:val="99"/>
              </w:rPr>
            </w:pPr>
            <w:hyperlink w:anchor="page77">
              <w:r>
                <w:rPr>
                  <w:rFonts w:ascii="Arial" w:cs="Arial" w:eastAsia="Arial" w:hAnsi="Arial"/>
                  <w:sz w:val="18"/>
                  <w:szCs w:val="18"/>
                  <w:color w:val="0000EE"/>
                  <w:w w:val="99"/>
                </w:rPr>
                <w:t>STOCK OWNERSHIP OF DIRECTORS, EXECUTIVE OFFICERS AND CERTAIN BENEFICIAL OWNERS</w:t>
              </w:r>
            </w:hyperlink>
          </w:p>
        </w:tc>
        <w:tc>
          <w:tcPr>
            <w:tcW w:w="2380" w:type="dxa"/>
            <w:vAlign w:val="bottom"/>
            <w:gridSpan w:val="2"/>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385"/>
        </w:trPr>
        <w:tc>
          <w:tcPr>
            <w:tcW w:w="10860" w:type="dxa"/>
            <w:vAlign w:val="bottom"/>
            <w:gridSpan w:val="16"/>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CERTAIN RELATIONSHIPS AND RELATED PERSON TRANSACTIONS</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385"/>
        </w:trPr>
        <w:tc>
          <w:tcPr>
            <w:tcW w:w="5820" w:type="dxa"/>
            <w:vAlign w:val="bottom"/>
            <w:tcBorders>
              <w:top w:val="single" w:sz="8" w:color="0000EE"/>
            </w:tcBorders>
            <w:gridSpan w:val="11"/>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REPORT OF THE AUDIT COMMITTEE</w:t>
              </w:r>
            </w:hyperlink>
          </w:p>
        </w:tc>
        <w:tc>
          <w:tcPr>
            <w:tcW w:w="5040" w:type="dxa"/>
            <w:vAlign w:val="bottom"/>
            <w:gridSpan w:val="5"/>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1540" w:type="dxa"/>
            <w:vAlign w:val="bottom"/>
            <w:shd w:val="clear" w:color="auto" w:fill="0000EE"/>
          </w:tcPr>
          <w:p>
            <w:pPr>
              <w:spacing w:after="0" w:line="20" w:lineRule="exact"/>
              <w:rPr>
                <w:sz w:val="1"/>
                <w:szCs w:val="1"/>
                <w:color w:val="auto"/>
              </w:rPr>
            </w:pPr>
          </w:p>
        </w:tc>
        <w:tc>
          <w:tcPr>
            <w:tcW w:w="1640" w:type="dxa"/>
            <w:vAlign w:val="bottom"/>
            <w:gridSpan w:val="6"/>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560" w:type="dxa"/>
            <w:vAlign w:val="bottom"/>
            <w:tcBorders>
              <w:bottom w:val="single" w:sz="8" w:color="0000EE"/>
            </w:tcBorders>
            <w:gridSpan w:val="9"/>
          </w:tcPr>
          <w:p>
            <w:pPr>
              <w:spacing w:after="0"/>
              <w:rPr>
                <w:rFonts w:ascii="Arial" w:cs="Arial" w:eastAsia="Arial" w:hAnsi="Arial"/>
                <w:sz w:val="18"/>
                <w:szCs w:val="18"/>
                <w:color w:val="0000EE"/>
                <w:w w:val="99"/>
              </w:rPr>
            </w:pPr>
            <w:hyperlink w:anchor="page81">
              <w:r>
                <w:rPr>
                  <w:rFonts w:ascii="Arial" w:cs="Arial" w:eastAsia="Arial" w:hAnsi="Arial"/>
                  <w:sz w:val="18"/>
                  <w:szCs w:val="18"/>
                  <w:color w:val="0000EE"/>
                  <w:w w:val="99"/>
                </w:rPr>
                <w:t>PROPOSAL 1: ELECTION OF DIRECTORS</w:t>
              </w:r>
            </w:hyperlink>
          </w:p>
        </w:tc>
        <w:tc>
          <w:tcPr>
            <w:tcW w:w="7300" w:type="dxa"/>
            <w:vAlign w:val="bottom"/>
            <w:gridSpan w:val="7"/>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385"/>
        </w:trPr>
        <w:tc>
          <w:tcPr>
            <w:tcW w:w="9820" w:type="dxa"/>
            <w:vAlign w:val="bottom"/>
            <w:tcBorders>
              <w:bottom w:val="single" w:sz="8" w:color="0000EE"/>
            </w:tcBorders>
            <w:gridSpan w:val="15"/>
          </w:tcPr>
          <w:p>
            <w:pPr>
              <w:spacing w:after="0"/>
              <w:rPr>
                <w:rFonts w:ascii="Arial" w:cs="Arial" w:eastAsia="Arial" w:hAnsi="Arial"/>
                <w:sz w:val="18"/>
                <w:szCs w:val="18"/>
                <w:color w:val="0000EE"/>
                <w:w w:val="99"/>
              </w:rPr>
            </w:pPr>
            <w:hyperlink w:anchor="page82">
              <w:r>
                <w:rPr>
                  <w:rFonts w:ascii="Arial" w:cs="Arial" w:eastAsia="Arial" w:hAnsi="Arial"/>
                  <w:sz w:val="18"/>
                  <w:szCs w:val="18"/>
                  <w:color w:val="0000EE"/>
                  <w:w w:val="99"/>
                </w:rPr>
                <w:t>PROPOSAL 2: RATIFICATION OF THE APPOINTMENT OF INDEPENDENT REGISTERED PUBLIC ACCOUNTING FIRM</w:t>
              </w:r>
            </w:hyperlink>
          </w:p>
        </w:tc>
        <w:tc>
          <w:tcPr>
            <w:tcW w:w="104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385"/>
        </w:trPr>
        <w:tc>
          <w:tcPr>
            <w:tcW w:w="10860" w:type="dxa"/>
            <w:vAlign w:val="bottom"/>
            <w:gridSpan w:val="16"/>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PROPOSAL 3: ADVISORY (NON-BINDING) VOTE ON EXECUTIVE COMPENSATION</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1540" w:type="dxa"/>
            <w:vAlign w:val="bottom"/>
            <w:shd w:val="clear" w:color="auto" w:fill="0000EE"/>
          </w:tcPr>
          <w:p>
            <w:pPr>
              <w:spacing w:after="0" w:line="20" w:lineRule="exact"/>
              <w:rPr>
                <w:sz w:val="1"/>
                <w:szCs w:val="1"/>
                <w:color w:val="auto"/>
              </w:rPr>
            </w:pPr>
          </w:p>
        </w:tc>
        <w:tc>
          <w:tcPr>
            <w:tcW w:w="5440" w:type="dxa"/>
            <w:vAlign w:val="bottom"/>
            <w:gridSpan w:val="11"/>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200" w:type="dxa"/>
            <w:vAlign w:val="bottom"/>
            <w:tcBorders>
              <w:bottom w:val="single" w:sz="8" w:color="0000EE"/>
            </w:tcBorders>
            <w:gridSpan w:val="13"/>
          </w:tcPr>
          <w:p>
            <w:pPr>
              <w:spacing w:after="0"/>
              <w:rPr>
                <w:rFonts w:ascii="Arial" w:cs="Arial" w:eastAsia="Arial" w:hAnsi="Arial"/>
                <w:sz w:val="18"/>
                <w:szCs w:val="18"/>
                <w:color w:val="0000EE"/>
                <w:w w:val="99"/>
              </w:rPr>
            </w:pPr>
            <w:hyperlink w:anchor="page85">
              <w:r>
                <w:rPr>
                  <w:rFonts w:ascii="Arial" w:cs="Arial" w:eastAsia="Arial" w:hAnsi="Arial"/>
                  <w:sz w:val="18"/>
                  <w:szCs w:val="18"/>
                  <w:color w:val="0000EE"/>
                  <w:w w:val="99"/>
                </w:rPr>
                <w:t>STOCKHOLDER PROPOSALS AND DIRECTOR NOMINATIONS FOR THE 2017 ANNUAL MEETING</w:t>
              </w:r>
            </w:hyperlink>
          </w:p>
        </w:tc>
        <w:tc>
          <w:tcPr>
            <w:tcW w:w="2660" w:type="dxa"/>
            <w:vAlign w:val="bottom"/>
            <w:gridSpan w:val="3"/>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385"/>
        </w:trPr>
        <w:tc>
          <w:tcPr>
            <w:tcW w:w="1540" w:type="dxa"/>
            <w:vAlign w:val="bottom"/>
            <w:tcBorders>
              <w:bottom w:val="single" w:sz="8" w:color="0000EE"/>
            </w:tcBorders>
          </w:tcPr>
          <w:p>
            <w:pPr>
              <w:spacing w:after="0"/>
              <w:rPr>
                <w:rFonts w:ascii="Arial" w:cs="Arial" w:eastAsia="Arial" w:hAnsi="Arial"/>
                <w:sz w:val="18"/>
                <w:szCs w:val="18"/>
                <w:color w:val="0000EE"/>
                <w:w w:val="99"/>
              </w:rPr>
            </w:pPr>
            <w:hyperlink w:anchor="page85">
              <w:r>
                <w:rPr>
                  <w:rFonts w:ascii="Arial" w:cs="Arial" w:eastAsia="Arial" w:hAnsi="Arial"/>
                  <w:sz w:val="18"/>
                  <w:szCs w:val="18"/>
                  <w:color w:val="0000EE"/>
                  <w:w w:val="99"/>
                </w:rPr>
                <w:t>MISCELLANEOUS</w:t>
              </w:r>
            </w:hyperlink>
          </w:p>
        </w:tc>
        <w:tc>
          <w:tcPr>
            <w:tcW w:w="9320" w:type="dxa"/>
            <w:vAlign w:val="bottom"/>
            <w:gridSpan w:val="15"/>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385"/>
        </w:trPr>
        <w:tc>
          <w:tcPr>
            <w:tcW w:w="10860" w:type="dxa"/>
            <w:vAlign w:val="bottom"/>
            <w:gridSpan w:val="16"/>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OTHER MATTERS</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669"/>
        </w:trPr>
        <w:tc>
          <w:tcPr>
            <w:tcW w:w="1540" w:type="dxa"/>
            <w:vAlign w:val="bottom"/>
            <w:tcBorders>
              <w:top w:val="single" w:sz="8" w:color="0000EE"/>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46"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1F497C"/>
        </w:rPr>
        <w:t>2016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7029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70294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Summary</w:t>
      </w:r>
    </w:p>
    <w:p>
      <w:pPr>
        <w:spacing w:after="0" w:line="58" w:lineRule="exact"/>
        <w:rPr>
          <w:sz w:val="20"/>
          <w:szCs w:val="20"/>
          <w:color w:val="auto"/>
        </w:rPr>
      </w:pPr>
    </w:p>
    <w:p>
      <w:pPr>
        <w:ind w:left="120" w:right="340"/>
        <w:spacing w:after="0" w:line="239" w:lineRule="auto"/>
        <w:rPr>
          <w:sz w:val="20"/>
          <w:szCs w:val="20"/>
          <w:color w:val="auto"/>
        </w:rPr>
      </w:pPr>
      <w:r>
        <w:rPr>
          <w:rFonts w:ascii="Arial" w:cs="Arial" w:eastAsia="Arial" w:hAnsi="Arial"/>
          <w:sz w:val="18"/>
          <w:szCs w:val="18"/>
          <w:color w:val="auto"/>
        </w:rPr>
        <w:t>Below is a summary of selected key components of this proxy statement, including information regarding this year’s stockholder meeting, nominees for our Board of Directors, summary of our business, performance highlights and selective executive compensation information. This summary does not contain all of the information that you should consider prior to submitting your proxy, and you should review the entire proxy statement and our Annual Report on Form 10-K.</w:t>
      </w:r>
    </w:p>
    <w:p>
      <w:pPr>
        <w:spacing w:after="0" w:line="237"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540" w:type="dxa"/>
            <w:vAlign w:val="bottom"/>
            <w:tcBorders>
              <w:top w:val="single" w:sz="8" w:color="auto"/>
              <w:left w:val="single" w:sz="8" w:color="auto"/>
              <w:bottom w:val="single" w:sz="8" w:color="auto"/>
            </w:tcBorders>
            <w:shd w:val="clear" w:color="auto" w:fill="1F487D"/>
          </w:tcPr>
          <w:p>
            <w:pPr>
              <w:spacing w:after="0"/>
              <w:rPr>
                <w:sz w:val="21"/>
                <w:szCs w:val="21"/>
                <w:color w:val="auto"/>
              </w:rPr>
            </w:pPr>
          </w:p>
        </w:tc>
        <w:tc>
          <w:tcPr>
            <w:tcW w:w="9880" w:type="dxa"/>
            <w:vAlign w:val="bottom"/>
            <w:tcBorders>
              <w:top w:val="single" w:sz="8" w:color="auto"/>
              <w:bottom w:val="single" w:sz="8" w:color="auto"/>
              <w:right w:val="single" w:sz="8" w:color="auto"/>
            </w:tcBorders>
            <w:shd w:val="clear" w:color="auto" w:fill="1F487D"/>
          </w:tcPr>
          <w:p>
            <w:pPr>
              <w:ind w:left="2980"/>
              <w:spacing w:after="0"/>
              <w:rPr>
                <w:sz w:val="20"/>
                <w:szCs w:val="20"/>
                <w:color w:val="auto"/>
              </w:rPr>
            </w:pPr>
            <w:r>
              <w:rPr>
                <w:rFonts w:ascii="Arial" w:cs="Arial" w:eastAsia="Arial" w:hAnsi="Arial"/>
                <w:sz w:val="18"/>
                <w:szCs w:val="18"/>
                <w:b w:val="1"/>
                <w:bCs w:val="1"/>
                <w:color w:val="FFFFFF"/>
              </w:rPr>
              <w:t>Annual Meeting Information</w:t>
            </w:r>
          </w:p>
        </w:tc>
      </w:tr>
      <w:tr>
        <w:trPr>
          <w:trHeight w:val="223"/>
        </w:trPr>
        <w:tc>
          <w:tcPr>
            <w:tcW w:w="154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Time and Date:</w:t>
            </w:r>
          </w:p>
        </w:tc>
        <w:tc>
          <w:tcPr>
            <w:tcW w:w="98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8:30 AM (Eastern Time), June 17, 2016</w:t>
            </w:r>
          </w:p>
        </w:tc>
      </w:tr>
      <w:tr>
        <w:trPr>
          <w:trHeight w:val="405"/>
        </w:trPr>
        <w:tc>
          <w:tcPr>
            <w:tcW w:w="154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Record Date:</w:t>
            </w:r>
          </w:p>
        </w:tc>
        <w:tc>
          <w:tcPr>
            <w:tcW w:w="98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April 21, 2016</w:t>
            </w:r>
          </w:p>
        </w:tc>
      </w:tr>
      <w:tr>
        <w:trPr>
          <w:trHeight w:val="391"/>
        </w:trPr>
        <w:tc>
          <w:tcPr>
            <w:tcW w:w="154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Place:</w:t>
            </w:r>
          </w:p>
        </w:tc>
        <w:tc>
          <w:tcPr>
            <w:tcW w:w="98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ExlService Holdings, Inc.</w:t>
            </w:r>
          </w:p>
        </w:tc>
      </w:tr>
      <w:tr>
        <w:trPr>
          <w:trHeight w:val="203"/>
        </w:trPr>
        <w:tc>
          <w:tcPr>
            <w:tcW w:w="1540" w:type="dxa"/>
            <w:vAlign w:val="bottom"/>
            <w:tcBorders>
              <w:left w:val="single" w:sz="8" w:color="auto"/>
            </w:tcBorders>
          </w:tcPr>
          <w:p>
            <w:pPr>
              <w:spacing w:after="0"/>
              <w:rPr>
                <w:sz w:val="17"/>
                <w:szCs w:val="17"/>
                <w:color w:val="auto"/>
              </w:rPr>
            </w:pPr>
          </w:p>
        </w:tc>
        <w:tc>
          <w:tcPr>
            <w:tcW w:w="9880" w:type="dxa"/>
            <w:vAlign w:val="bottom"/>
            <w:tcBorders>
              <w:right w:val="single" w:sz="8" w:color="auto"/>
            </w:tcBorders>
          </w:tcPr>
          <w:p>
            <w:pPr>
              <w:ind w:left="180"/>
              <w:spacing w:after="0" w:line="202" w:lineRule="exact"/>
              <w:rPr>
                <w:sz w:val="20"/>
                <w:szCs w:val="20"/>
                <w:color w:val="auto"/>
              </w:rPr>
            </w:pPr>
            <w:r>
              <w:rPr>
                <w:rFonts w:ascii="Arial" w:cs="Arial" w:eastAsia="Arial" w:hAnsi="Arial"/>
                <w:sz w:val="18"/>
                <w:szCs w:val="18"/>
                <w:color w:val="auto"/>
              </w:rPr>
              <w:t>280 Park Avenue, 38th Floor</w:t>
            </w:r>
          </w:p>
        </w:tc>
      </w:tr>
      <w:tr>
        <w:trPr>
          <w:trHeight w:val="217"/>
        </w:trPr>
        <w:tc>
          <w:tcPr>
            <w:tcW w:w="1540" w:type="dxa"/>
            <w:vAlign w:val="bottom"/>
            <w:tcBorders>
              <w:left w:val="single" w:sz="8" w:color="auto"/>
            </w:tcBorders>
          </w:tcPr>
          <w:p>
            <w:pPr>
              <w:spacing w:after="0"/>
              <w:rPr>
                <w:sz w:val="18"/>
                <w:szCs w:val="18"/>
                <w:color w:val="auto"/>
              </w:rPr>
            </w:pPr>
          </w:p>
        </w:tc>
        <w:tc>
          <w:tcPr>
            <w:tcW w:w="98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New York, New York 10017</w:t>
            </w:r>
          </w:p>
        </w:tc>
      </w:tr>
      <w:tr>
        <w:trPr>
          <w:trHeight w:val="392"/>
        </w:trPr>
        <w:tc>
          <w:tcPr>
            <w:tcW w:w="15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Voting:</w:t>
            </w:r>
          </w:p>
        </w:tc>
        <w:tc>
          <w:tcPr>
            <w:tcW w:w="98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Stockholders as of the record date are entitled to vote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16033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603375"/>
                    </a:xfrm>
                    <a:prstGeom prst="rect">
                      <a:avLst/>
                    </a:prstGeom>
                    <a:noFill/>
                  </pic:spPr>
                </pic:pic>
              </a:graphicData>
            </a:graphic>
          </wp:anchor>
        </w:drawing>
      </w:r>
    </w:p>
    <w:p>
      <w:pPr>
        <w:spacing w:after="0" w:line="2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FFFFFF"/>
        </w:rPr>
        <w:t>Meeting Agenda, Voting Matters and Recommendations</w:t>
      </w:r>
    </w:p>
    <w:p>
      <w:pPr>
        <w:spacing w:after="0" w:line="3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The Board of Directors recommends a vote </w:t>
      </w:r>
      <w:r>
        <w:rPr>
          <w:rFonts w:ascii="Arial" w:cs="Arial" w:eastAsia="Arial" w:hAnsi="Arial"/>
          <w:sz w:val="18"/>
          <w:szCs w:val="18"/>
          <w:b w:val="1"/>
          <w:bCs w:val="1"/>
          <w:u w:val="single" w:color="auto"/>
          <w:color w:val="auto"/>
        </w:rPr>
        <w:t>for</w:t>
      </w:r>
      <w:r>
        <w:rPr>
          <w:rFonts w:ascii="Arial" w:cs="Arial" w:eastAsia="Arial" w:hAnsi="Arial"/>
          <w:sz w:val="18"/>
          <w:szCs w:val="18"/>
          <w:color w:val="auto"/>
        </w:rPr>
        <w:t xml:space="preserve"> the following proposals:</w:t>
      </w:r>
    </w:p>
    <w:p>
      <w:pPr>
        <w:spacing w:after="0" w:line="234" w:lineRule="exact"/>
        <w:rPr>
          <w:sz w:val="20"/>
          <w:szCs w:val="20"/>
          <w:color w:val="auto"/>
        </w:rPr>
      </w:pPr>
    </w:p>
    <w:p>
      <w:pPr>
        <w:ind w:left="920" w:hanging="521"/>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election of two Class I members of the board of directors of the Company for a term of three years each (page 77);</w:t>
      </w:r>
    </w:p>
    <w:p>
      <w:pPr>
        <w:spacing w:after="0" w:line="198" w:lineRule="exact"/>
        <w:rPr>
          <w:rFonts w:ascii="Arial" w:cs="Arial" w:eastAsia="Arial" w:hAnsi="Arial"/>
          <w:sz w:val="18"/>
          <w:szCs w:val="18"/>
          <w:color w:val="auto"/>
        </w:rPr>
      </w:pPr>
    </w:p>
    <w:p>
      <w:pPr>
        <w:ind w:left="920" w:right="80" w:hanging="521"/>
        <w:spacing w:after="0" w:line="246" w:lineRule="auto"/>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ratification of the selection of Ernst &amp; Young LLP as the independent registered public accounting firm of the Company for fiscal year 2016 (page 78);</w:t>
      </w:r>
    </w:p>
    <w:p>
      <w:pPr>
        <w:spacing w:after="0" w:line="183" w:lineRule="exact"/>
        <w:rPr>
          <w:rFonts w:ascii="Arial" w:cs="Arial" w:eastAsia="Arial" w:hAnsi="Arial"/>
          <w:sz w:val="18"/>
          <w:szCs w:val="18"/>
          <w:color w:val="auto"/>
        </w:rPr>
      </w:pPr>
    </w:p>
    <w:p>
      <w:pPr>
        <w:ind w:left="920" w:hanging="521"/>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approval of the compensation of the named executive officers of the Company (page 80) (non-binding vote); and</w:t>
      </w:r>
    </w:p>
    <w:p>
      <w:pPr>
        <w:spacing w:after="0" w:line="198" w:lineRule="exact"/>
        <w:rPr>
          <w:rFonts w:ascii="Arial" w:cs="Arial" w:eastAsia="Arial" w:hAnsi="Arial"/>
          <w:sz w:val="18"/>
          <w:szCs w:val="18"/>
          <w:color w:val="auto"/>
        </w:rPr>
      </w:pPr>
    </w:p>
    <w:p>
      <w:pPr>
        <w:ind w:left="920" w:right="480" w:hanging="521"/>
        <w:spacing w:after="0" w:line="246" w:lineRule="auto"/>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transaction of such other business as may properly come before the Annual Meeting or any adjournment or postponement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46620" cy="13208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20800"/>
                    </a:xfrm>
                    <a:prstGeom prst="rect">
                      <a:avLst/>
                    </a:prstGeom>
                    <a:noFill/>
                  </pic:spPr>
                </pic:pic>
              </a:graphicData>
            </a:graphic>
          </wp:anchor>
        </w:drawing>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Board Nominations</w:t>
      </w:r>
      <w:r>
        <w:rPr>
          <w:rFonts w:ascii="Arial" w:cs="Arial" w:eastAsia="Arial" w:hAnsi="Arial"/>
          <w:sz w:val="30"/>
          <w:szCs w:val="30"/>
          <w:b w:val="1"/>
          <w:bCs w:val="1"/>
          <w:color w:val="FFFFFF"/>
          <w:vertAlign w:val="superscript"/>
        </w:rPr>
        <w:t>(1)</w:t>
      </w:r>
    </w:p>
    <w:tbl>
      <w:tblPr>
        <w:tblLayout w:type="fixed"/>
        <w:tblInd w:w="0" w:type="dxa"/>
        <w:tblCellMar>
          <w:top w:w="0" w:type="dxa"/>
          <w:left w:w="0" w:type="dxa"/>
          <w:bottom w:w="0" w:type="dxa"/>
          <w:right w:w="0" w:type="dxa"/>
        </w:tblCellMar>
      </w:tblPr>
      <w:tr>
        <w:trPr>
          <w:trHeight w:val="156"/>
        </w:trPr>
        <w:tc>
          <w:tcPr>
            <w:tcW w:w="2440" w:type="dxa"/>
            <w:vAlign w:val="bottom"/>
            <w:tcBorders>
              <w:top w:val="single" w:sz="8" w:color="auto"/>
              <w:right w:val="single" w:sz="8" w:color="auto"/>
            </w:tcBorders>
            <w:shd w:val="clear" w:color="auto" w:fill="C6D9F1"/>
          </w:tcPr>
          <w:p>
            <w:pPr>
              <w:spacing w:after="0"/>
              <w:rPr>
                <w:sz w:val="13"/>
                <w:szCs w:val="13"/>
                <w:color w:val="auto"/>
              </w:rPr>
            </w:pPr>
          </w:p>
        </w:tc>
        <w:tc>
          <w:tcPr>
            <w:tcW w:w="3860" w:type="dxa"/>
            <w:vAlign w:val="bottom"/>
            <w:tcBorders>
              <w:top w:val="single" w:sz="8" w:color="auto"/>
              <w:right w:val="single" w:sz="8" w:color="auto"/>
            </w:tcBorders>
            <w:shd w:val="clear" w:color="auto" w:fill="C6D9F1"/>
          </w:tcPr>
          <w:p>
            <w:pPr>
              <w:spacing w:after="0"/>
              <w:rPr>
                <w:sz w:val="13"/>
                <w:szCs w:val="13"/>
                <w:color w:val="auto"/>
              </w:rPr>
            </w:pPr>
          </w:p>
        </w:tc>
        <w:tc>
          <w:tcPr>
            <w:tcW w:w="1500" w:type="dxa"/>
            <w:vAlign w:val="bottom"/>
            <w:tcBorders>
              <w:top w:val="single" w:sz="8" w:color="auto"/>
              <w:right w:val="single" w:sz="8" w:color="auto"/>
            </w:tcBorders>
            <w:shd w:val="clear" w:color="auto" w:fill="C6D9F1"/>
          </w:tcPr>
          <w:p>
            <w:pPr>
              <w:spacing w:after="0"/>
              <w:rPr>
                <w:sz w:val="13"/>
                <w:szCs w:val="13"/>
                <w:color w:val="auto"/>
              </w:rPr>
            </w:pPr>
          </w:p>
        </w:tc>
        <w:tc>
          <w:tcPr>
            <w:tcW w:w="1700" w:type="dxa"/>
            <w:vAlign w:val="bottom"/>
            <w:tcBorders>
              <w:top w:val="single" w:sz="8" w:color="auto"/>
              <w:right w:val="single" w:sz="8" w:color="auto"/>
            </w:tcBorders>
            <w:shd w:val="clear" w:color="auto" w:fill="C6D9F1"/>
          </w:tcPr>
          <w:p>
            <w:pPr>
              <w:spacing w:after="0"/>
              <w:rPr>
                <w:sz w:val="13"/>
                <w:szCs w:val="13"/>
                <w:color w:val="auto"/>
              </w:rPr>
            </w:pPr>
          </w:p>
        </w:tc>
        <w:tc>
          <w:tcPr>
            <w:tcW w:w="1900" w:type="dxa"/>
            <w:vAlign w:val="bottom"/>
            <w:tcBorders>
              <w:top w:val="single" w:sz="8" w:color="auto"/>
            </w:tcBorders>
            <w:shd w:val="clear" w:color="auto" w:fill="C6D9F1"/>
          </w:tcPr>
          <w:p>
            <w:pPr>
              <w:jc w:val="center"/>
              <w:spacing w:after="0" w:line="156" w:lineRule="exact"/>
              <w:rPr>
                <w:sz w:val="20"/>
                <w:szCs w:val="20"/>
                <w:color w:val="auto"/>
              </w:rPr>
            </w:pPr>
            <w:r>
              <w:rPr>
                <w:rFonts w:ascii="Arial" w:cs="Arial" w:eastAsia="Arial" w:hAnsi="Arial"/>
                <w:sz w:val="14"/>
                <w:szCs w:val="14"/>
                <w:b w:val="1"/>
                <w:bCs w:val="1"/>
                <w:color w:val="auto"/>
              </w:rPr>
              <w:t>Nominating and</w:t>
            </w:r>
          </w:p>
        </w:tc>
        <w:tc>
          <w:tcPr>
            <w:tcW w:w="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440" w:type="dxa"/>
            <w:vAlign w:val="bottom"/>
            <w:tcBorders>
              <w:right w:val="single" w:sz="8" w:color="auto"/>
            </w:tcBorders>
            <w:shd w:val="clear" w:color="auto" w:fill="C6D9F1"/>
          </w:tcPr>
          <w:p>
            <w:pPr>
              <w:spacing w:after="0"/>
              <w:rPr>
                <w:sz w:val="14"/>
                <w:szCs w:val="14"/>
                <w:color w:val="auto"/>
              </w:rPr>
            </w:pPr>
          </w:p>
        </w:tc>
        <w:tc>
          <w:tcPr>
            <w:tcW w:w="3860" w:type="dxa"/>
            <w:vAlign w:val="bottom"/>
            <w:tcBorders>
              <w:right w:val="single" w:sz="8" w:color="auto"/>
            </w:tcBorders>
            <w:shd w:val="clear" w:color="auto" w:fill="C6D9F1"/>
          </w:tcPr>
          <w:p>
            <w:pPr>
              <w:spacing w:after="0"/>
              <w:rPr>
                <w:sz w:val="14"/>
                <w:szCs w:val="14"/>
                <w:color w:val="auto"/>
              </w:rPr>
            </w:pPr>
          </w:p>
        </w:tc>
        <w:tc>
          <w:tcPr>
            <w:tcW w:w="1500" w:type="dxa"/>
            <w:vAlign w:val="bottom"/>
            <w:tcBorders>
              <w:right w:val="single" w:sz="8" w:color="auto"/>
            </w:tcBorders>
            <w:shd w:val="clear" w:color="auto" w:fill="C6D9F1"/>
          </w:tcPr>
          <w:p>
            <w:pPr>
              <w:spacing w:after="0"/>
              <w:rPr>
                <w:sz w:val="14"/>
                <w:szCs w:val="14"/>
                <w:color w:val="auto"/>
              </w:rPr>
            </w:pPr>
          </w:p>
        </w:tc>
        <w:tc>
          <w:tcPr>
            <w:tcW w:w="1700" w:type="dxa"/>
            <w:vAlign w:val="bottom"/>
            <w:tcBorders>
              <w:right w:val="single" w:sz="8" w:color="auto"/>
            </w:tcBorders>
            <w:shd w:val="clear" w:color="auto" w:fill="C6D9F1"/>
          </w:tcPr>
          <w:p>
            <w:pPr>
              <w:spacing w:after="0"/>
              <w:rPr>
                <w:sz w:val="14"/>
                <w:szCs w:val="14"/>
                <w:color w:val="auto"/>
              </w:rPr>
            </w:pPr>
          </w:p>
        </w:tc>
        <w:tc>
          <w:tcPr>
            <w:tcW w:w="1900" w:type="dxa"/>
            <w:vAlign w:val="bottom"/>
            <w:shd w:val="clear" w:color="auto" w:fill="C6D9F1"/>
          </w:tcPr>
          <w:p>
            <w:pPr>
              <w:jc w:val="center"/>
              <w:spacing w:after="0"/>
              <w:rPr>
                <w:sz w:val="20"/>
                <w:szCs w:val="20"/>
                <w:color w:val="auto"/>
              </w:rPr>
            </w:pPr>
            <w:r>
              <w:rPr>
                <w:rFonts w:ascii="Arial" w:cs="Arial" w:eastAsia="Arial" w:hAnsi="Arial"/>
                <w:sz w:val="14"/>
                <w:szCs w:val="14"/>
                <w:b w:val="1"/>
                <w:bCs w:val="1"/>
                <w:color w:val="auto"/>
              </w:rPr>
              <w:t>Corporate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40" w:type="dxa"/>
            <w:vAlign w:val="bottom"/>
            <w:tcBorders>
              <w:right w:val="single" w:sz="8" w:color="auto"/>
            </w:tcBorders>
            <w:shd w:val="clear" w:color="auto" w:fill="C6D9F1"/>
          </w:tcPr>
          <w:p>
            <w:pPr>
              <w:jc w:val="center"/>
              <w:spacing w:after="0"/>
              <w:rPr>
                <w:sz w:val="20"/>
                <w:szCs w:val="20"/>
                <w:color w:val="auto"/>
              </w:rPr>
            </w:pPr>
            <w:r>
              <w:rPr>
                <w:rFonts w:ascii="Arial" w:cs="Arial" w:eastAsia="Arial" w:hAnsi="Arial"/>
                <w:sz w:val="14"/>
                <w:szCs w:val="14"/>
                <w:b w:val="1"/>
                <w:bCs w:val="1"/>
                <w:color w:val="auto"/>
              </w:rPr>
              <w:t>Name</w:t>
            </w:r>
          </w:p>
        </w:tc>
        <w:tc>
          <w:tcPr>
            <w:tcW w:w="3860" w:type="dxa"/>
            <w:vAlign w:val="bottom"/>
            <w:tcBorders>
              <w:right w:val="single" w:sz="8" w:color="auto"/>
            </w:tcBorders>
            <w:shd w:val="clear" w:color="auto" w:fill="C6D9F1"/>
          </w:tcPr>
          <w:p>
            <w:pPr>
              <w:spacing w:after="0"/>
              <w:rPr>
                <w:sz w:val="14"/>
                <w:szCs w:val="14"/>
                <w:color w:val="auto"/>
              </w:rPr>
            </w:pPr>
          </w:p>
        </w:tc>
        <w:tc>
          <w:tcPr>
            <w:tcW w:w="1500" w:type="dxa"/>
            <w:vAlign w:val="bottom"/>
            <w:tcBorders>
              <w:right w:val="single" w:sz="8" w:color="auto"/>
            </w:tcBorders>
            <w:shd w:val="clear" w:color="auto" w:fill="C6D9F1"/>
          </w:tcPr>
          <w:p>
            <w:pPr>
              <w:jc w:val="center"/>
              <w:spacing w:after="0"/>
              <w:rPr>
                <w:sz w:val="20"/>
                <w:szCs w:val="20"/>
                <w:color w:val="auto"/>
              </w:rPr>
            </w:pPr>
            <w:r>
              <w:rPr>
                <w:rFonts w:ascii="Arial" w:cs="Arial" w:eastAsia="Arial" w:hAnsi="Arial"/>
                <w:sz w:val="14"/>
                <w:szCs w:val="14"/>
                <w:b w:val="1"/>
                <w:bCs w:val="1"/>
                <w:color w:val="auto"/>
              </w:rPr>
              <w:t>Audit</w:t>
            </w:r>
          </w:p>
        </w:tc>
        <w:tc>
          <w:tcPr>
            <w:tcW w:w="1700" w:type="dxa"/>
            <w:vAlign w:val="bottom"/>
            <w:tcBorders>
              <w:right w:val="single" w:sz="8" w:color="auto"/>
            </w:tcBorders>
            <w:shd w:val="clear" w:color="auto" w:fill="C6D9F1"/>
          </w:tcPr>
          <w:p>
            <w:pPr>
              <w:jc w:val="center"/>
              <w:spacing w:after="0"/>
              <w:rPr>
                <w:sz w:val="20"/>
                <w:szCs w:val="20"/>
                <w:color w:val="auto"/>
              </w:rPr>
            </w:pPr>
            <w:r>
              <w:rPr>
                <w:rFonts w:ascii="Arial" w:cs="Arial" w:eastAsia="Arial" w:hAnsi="Arial"/>
                <w:sz w:val="14"/>
                <w:szCs w:val="14"/>
                <w:b w:val="1"/>
                <w:bCs w:val="1"/>
                <w:color w:val="auto"/>
              </w:rPr>
              <w:t>Compensation</w:t>
            </w:r>
          </w:p>
        </w:tc>
        <w:tc>
          <w:tcPr>
            <w:tcW w:w="1900" w:type="dxa"/>
            <w:vAlign w:val="bottom"/>
            <w:shd w:val="clear" w:color="auto" w:fill="C6D9F1"/>
          </w:tcPr>
          <w:p>
            <w:pPr>
              <w:jc w:val="center"/>
              <w:spacing w:after="0"/>
              <w:rPr>
                <w:sz w:val="20"/>
                <w:szCs w:val="20"/>
                <w:color w:val="auto"/>
              </w:rPr>
            </w:pPr>
            <w:r>
              <w:rPr>
                <w:rFonts w:ascii="Arial" w:cs="Arial" w:eastAsia="Arial" w:hAnsi="Arial"/>
                <w:sz w:val="14"/>
                <w:szCs w:val="14"/>
                <w:b w:val="1"/>
                <w:bCs w:val="1"/>
                <w:color w:val="auto"/>
              </w:rPr>
              <w:t>Governance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440" w:type="dxa"/>
            <w:vAlign w:val="bottom"/>
            <w:tcBorders>
              <w:bottom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14"/>
                <w:szCs w:val="14"/>
                <w:b w:val="1"/>
                <w:bCs w:val="1"/>
                <w:color w:val="auto"/>
              </w:rPr>
              <w:t>(Year Joined Board)</w:t>
            </w:r>
          </w:p>
        </w:tc>
        <w:tc>
          <w:tcPr>
            <w:tcW w:w="3860" w:type="dxa"/>
            <w:vAlign w:val="bottom"/>
            <w:tcBorders>
              <w:bottom w:val="single" w:sz="8" w:color="auto"/>
              <w:right w:val="single" w:sz="8" w:color="auto"/>
            </w:tcBorders>
            <w:shd w:val="clear" w:color="auto" w:fill="C6D9F1"/>
          </w:tcPr>
          <w:p>
            <w:pPr>
              <w:ind w:left="1200"/>
              <w:spacing w:after="0"/>
              <w:rPr>
                <w:sz w:val="20"/>
                <w:szCs w:val="20"/>
                <w:color w:val="auto"/>
              </w:rPr>
            </w:pPr>
            <w:r>
              <w:rPr>
                <w:rFonts w:ascii="Arial" w:cs="Arial" w:eastAsia="Arial" w:hAnsi="Arial"/>
                <w:sz w:val="14"/>
                <w:szCs w:val="14"/>
                <w:b w:val="1"/>
                <w:bCs w:val="1"/>
                <w:color w:val="auto"/>
              </w:rPr>
              <w:t>Principal Occupation</w:t>
            </w:r>
          </w:p>
        </w:tc>
        <w:tc>
          <w:tcPr>
            <w:tcW w:w="1500" w:type="dxa"/>
            <w:vAlign w:val="bottom"/>
            <w:tcBorders>
              <w:bottom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14"/>
                <w:szCs w:val="14"/>
                <w:b w:val="1"/>
                <w:bCs w:val="1"/>
                <w:color w:val="auto"/>
              </w:rPr>
              <w:t>Committee</w:t>
            </w:r>
          </w:p>
        </w:tc>
        <w:tc>
          <w:tcPr>
            <w:tcW w:w="1700" w:type="dxa"/>
            <w:vAlign w:val="bottom"/>
            <w:tcBorders>
              <w:bottom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14"/>
                <w:szCs w:val="14"/>
                <w:b w:val="1"/>
                <w:bCs w:val="1"/>
                <w:color w:val="auto"/>
              </w:rPr>
              <w:t>Committee</w:t>
            </w:r>
          </w:p>
        </w:tc>
        <w:tc>
          <w:tcPr>
            <w:tcW w:w="1900" w:type="dxa"/>
            <w:vAlign w:val="bottom"/>
            <w:tcBorders>
              <w:bottom w:val="single" w:sz="8" w:color="auto"/>
            </w:tcBorders>
            <w:shd w:val="clear" w:color="auto" w:fill="C6D9F1"/>
          </w:tcPr>
          <w:p>
            <w:pPr>
              <w:jc w:val="center"/>
              <w:spacing w:after="0"/>
              <w:rPr>
                <w:sz w:val="20"/>
                <w:szCs w:val="20"/>
                <w:color w:val="auto"/>
              </w:rPr>
            </w:pPr>
            <w:r>
              <w:rPr>
                <w:rFonts w:ascii="Arial" w:cs="Arial" w:eastAsia="Arial" w:hAnsi="Arial"/>
                <w:sz w:val="14"/>
                <w:szCs w:val="14"/>
                <w:b w:val="1"/>
                <w:bCs w:val="1"/>
                <w:color w:val="auto"/>
              </w:rPr>
              <w:t>Committee</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Rohit Kapoor</w:t>
            </w:r>
          </w:p>
        </w:tc>
        <w:tc>
          <w:tcPr>
            <w:tcW w:w="38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Vice Chairman &amp; CEO since April 2012; co-</w:t>
            </w:r>
          </w:p>
        </w:tc>
        <w:tc>
          <w:tcPr>
            <w:tcW w:w="150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(November 2002)</w:t>
            </w:r>
          </w:p>
        </w:tc>
        <w:tc>
          <w:tcPr>
            <w:tcW w:w="38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founder of Company in 1999</w:t>
            </w:r>
          </w:p>
        </w:tc>
        <w:tc>
          <w:tcPr>
            <w:tcW w:w="150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Anne Minto</w:t>
            </w:r>
          </w:p>
        </w:tc>
        <w:tc>
          <w:tcPr>
            <w:tcW w:w="38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Independent Director; lawyer and formerly</w:t>
            </w:r>
          </w:p>
        </w:tc>
        <w:tc>
          <w:tcPr>
            <w:tcW w:w="150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1F497C"/>
                <w:w w:val="99"/>
              </w:rPr>
              <w:t>ü</w:t>
            </w:r>
          </w:p>
        </w:tc>
        <w:tc>
          <w:tcPr>
            <w:tcW w:w="1900" w:type="dxa"/>
            <w:vAlign w:val="bottom"/>
            <w:vMerge w:val="restart"/>
          </w:tcPr>
          <w:p>
            <w:pPr>
              <w:jc w:val="center"/>
              <w:spacing w:after="0"/>
              <w:rPr>
                <w:sz w:val="20"/>
                <w:szCs w:val="20"/>
                <w:color w:val="auto"/>
              </w:rPr>
            </w:pPr>
            <w:r>
              <w:rPr>
                <w:rFonts w:ascii="Arial" w:cs="Arial" w:eastAsia="Arial" w:hAnsi="Arial"/>
                <w:sz w:val="18"/>
                <w:szCs w:val="18"/>
                <w:color w:val="1F497C"/>
                <w:w w:val="99"/>
              </w:rPr>
              <w:t>ü</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4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(March 2013)</w:t>
            </w:r>
          </w:p>
        </w:tc>
        <w:tc>
          <w:tcPr>
            <w:tcW w:w="386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held senior management roles at Shell UK</w:t>
            </w:r>
          </w:p>
        </w:tc>
        <w:tc>
          <w:tcPr>
            <w:tcW w:w="150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vMerge w:val="continue"/>
          </w:tcPr>
          <w:p>
            <w:pPr>
              <w:spacing w:after="0"/>
              <w:rPr>
                <w:sz w:val="17"/>
                <w:szCs w:val="17"/>
                <w:color w:val="auto"/>
              </w:rPr>
            </w:pPr>
          </w:p>
        </w:tc>
        <w:tc>
          <w:tcPr>
            <w:tcW w:w="19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440" w:type="dxa"/>
            <w:vAlign w:val="bottom"/>
            <w:tcBorders>
              <w:bottom w:val="single" w:sz="8" w:color="auto"/>
              <w:right w:val="single" w:sz="8" w:color="auto"/>
            </w:tcBorders>
          </w:tcPr>
          <w:p>
            <w:pPr>
              <w:spacing w:after="0"/>
              <w:rPr>
                <w:sz w:val="18"/>
                <w:szCs w:val="18"/>
                <w:color w:val="auto"/>
              </w:rPr>
            </w:pPr>
          </w:p>
        </w:tc>
        <w:tc>
          <w:tcPr>
            <w:tcW w:w="38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and Smiths Group plc</w:t>
            </w:r>
          </w:p>
        </w:tc>
        <w:tc>
          <w:tcPr>
            <w:tcW w:w="150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420" w:hanging="412"/>
        <w:spacing w:after="0"/>
        <w:tabs>
          <w:tab w:leader="none" w:pos="420" w:val="left"/>
        </w:tabs>
        <w:numPr>
          <w:ilvl w:val="0"/>
          <w:numId w:val="7"/>
        </w:numPr>
        <w:rPr>
          <w:rFonts w:ascii="Arial" w:cs="Arial" w:eastAsia="Arial" w:hAnsi="Arial"/>
          <w:sz w:val="14"/>
          <w:szCs w:val="14"/>
          <w:color w:val="auto"/>
        </w:rPr>
      </w:pPr>
      <w:r>
        <w:rPr>
          <w:rFonts w:ascii="Arial" w:cs="Arial" w:eastAsia="Arial" w:hAnsi="Arial"/>
          <w:sz w:val="14"/>
          <w:szCs w:val="14"/>
          <w:color w:val="auto"/>
        </w:rPr>
        <w:t>Our standing committees consist of independent directors. As such, Mr. Kapoor is not a member of any of those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46"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1F497C"/>
        </w:rPr>
        <w:t>Our Business</w:t>
      </w:r>
    </w:p>
    <w:p>
      <w:pPr>
        <w:spacing w:after="0" w:line="220"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EXL is a leading operations management and analytics company that helps businesses enhance growth and profitability in the face of relentless competition and continuous disruption. Using our proprietary award-winning Business EXLerator Framework™, which integrate analytics, automation, benchmarking, BPO, consulting, industry best practices and technology platforms EXL looks deeper to help companies improve global operations, enhance data-driven insights, increase customer satisfaction, and manage risk and compliance. EXL serves the insurance, healthcare, banking and financial services, utilities, and travel, transportation and logistics industries. Headquartered in New York, New York, EXL has more than 24,000 professionals in locations throughout the United States, Europe, Asia (primarily India and Philippines), Latin America, Australia and South Africa.</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1F497C"/>
        </w:rPr>
        <w:t>Performance Highlights for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14490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44907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Company 3 Year Performance</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FFFFFF"/>
        </w:rPr>
        <w:t>Select Revenue and Segment Information (in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Borders>
              <w:top w:val="single" w:sz="8" w:color="auto"/>
              <w:bottom w:val="single" w:sz="8" w:color="auto"/>
              <w:right w:val="single" w:sz="8" w:color="auto"/>
            </w:tcBorders>
            <w:shd w:val="clear" w:color="auto" w:fill="C6D9F1"/>
          </w:tcPr>
          <w:p>
            <w:pPr>
              <w:ind w:left="2300"/>
              <w:spacing w:after="0"/>
              <w:rPr>
                <w:sz w:val="20"/>
                <w:szCs w:val="20"/>
                <w:color w:val="auto"/>
              </w:rPr>
            </w:pPr>
            <w:r>
              <w:rPr>
                <w:rFonts w:ascii="Arial" w:cs="Arial" w:eastAsia="Arial" w:hAnsi="Arial"/>
                <w:sz w:val="18"/>
                <w:szCs w:val="18"/>
                <w:b w:val="1"/>
                <w:bCs w:val="1"/>
                <w:color w:val="auto"/>
              </w:rPr>
              <w:t>Financial Metric</w:t>
            </w:r>
          </w:p>
        </w:tc>
        <w:tc>
          <w:tcPr>
            <w:tcW w:w="1260" w:type="dxa"/>
            <w:vAlign w:val="bottom"/>
            <w:tcBorders>
              <w:top w:val="single" w:sz="8" w:color="auto"/>
              <w:bottom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18"/>
                <w:szCs w:val="18"/>
                <w:b w:val="1"/>
                <w:bCs w:val="1"/>
                <w:color w:val="auto"/>
                <w:w w:val="99"/>
              </w:rPr>
              <w:t>2013</w:t>
            </w:r>
          </w:p>
        </w:tc>
        <w:tc>
          <w:tcPr>
            <w:tcW w:w="2040" w:type="dxa"/>
            <w:vAlign w:val="bottom"/>
            <w:tcBorders>
              <w:top w:val="single" w:sz="8" w:color="auto"/>
              <w:bottom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18"/>
                <w:szCs w:val="18"/>
                <w:b w:val="1"/>
                <w:bCs w:val="1"/>
                <w:color w:val="auto"/>
                <w:w w:val="99"/>
              </w:rPr>
              <w:t>2014</w:t>
            </w:r>
          </w:p>
        </w:tc>
        <w:tc>
          <w:tcPr>
            <w:tcW w:w="2140" w:type="dxa"/>
            <w:vAlign w:val="bottom"/>
            <w:tcBorders>
              <w:top w:val="single" w:sz="8" w:color="auto"/>
              <w:bottom w:val="single" w:sz="8" w:color="auto"/>
            </w:tcBorders>
            <w:shd w:val="clear" w:color="auto" w:fill="C6D9F1"/>
          </w:tcPr>
          <w:p>
            <w:pPr>
              <w:jc w:val="center"/>
              <w:spacing w:after="0"/>
              <w:rPr>
                <w:sz w:val="20"/>
                <w:szCs w:val="20"/>
                <w:color w:val="auto"/>
              </w:rPr>
            </w:pPr>
            <w:r>
              <w:rPr>
                <w:rFonts w:ascii="Arial" w:cs="Arial" w:eastAsia="Arial" w:hAnsi="Arial"/>
                <w:sz w:val="18"/>
                <w:szCs w:val="18"/>
                <w:b w:val="1"/>
                <w:bCs w:val="1"/>
                <w:color w:val="auto"/>
                <w:w w:val="99"/>
              </w:rPr>
              <w:t>2015</w:t>
            </w:r>
          </w:p>
        </w:tc>
        <w:tc>
          <w:tcPr>
            <w:tcW w:w="20" w:type="dxa"/>
            <w:vAlign w:val="bottom"/>
            <w:tcBorders>
              <w:top w:val="single" w:sz="8" w:color="auto"/>
              <w:bottom w:val="single" w:sz="8" w:color="auto"/>
            </w:tcBorders>
          </w:tcPr>
          <w:p>
            <w:pPr>
              <w:spacing w:after="0"/>
              <w:rPr>
                <w:sz w:val="19"/>
                <w:szCs w:val="19"/>
                <w:color w:val="auto"/>
              </w:rPr>
            </w:pPr>
          </w:p>
        </w:tc>
      </w:tr>
      <w:tr>
        <w:trPr>
          <w:trHeight w:val="209"/>
        </w:trPr>
        <w:tc>
          <w:tcPr>
            <w:tcW w:w="59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Consolidated Revenue</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$478.5</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$499.3 (4.4%)</w:t>
            </w:r>
          </w:p>
        </w:tc>
        <w:tc>
          <w:tcPr>
            <w:tcW w:w="2140" w:type="dxa"/>
            <w:vAlign w:val="bottom"/>
          </w:tcPr>
          <w:p>
            <w:pPr>
              <w:jc w:val="center"/>
              <w:spacing w:after="0"/>
              <w:rPr>
                <w:sz w:val="20"/>
                <w:szCs w:val="20"/>
                <w:color w:val="auto"/>
              </w:rPr>
            </w:pPr>
            <w:r>
              <w:rPr>
                <w:rFonts w:ascii="Arial" w:cs="Arial" w:eastAsia="Arial" w:hAnsi="Arial"/>
                <w:sz w:val="18"/>
                <w:szCs w:val="18"/>
                <w:color w:val="auto"/>
                <w:w w:val="99"/>
              </w:rPr>
              <w:t>$628.5 (25.9%)</w:t>
            </w:r>
          </w:p>
        </w:tc>
        <w:tc>
          <w:tcPr>
            <w:tcW w:w="20" w:type="dxa"/>
            <w:vAlign w:val="bottom"/>
          </w:tcPr>
          <w:p>
            <w:pPr>
              <w:spacing w:after="0"/>
              <w:rPr>
                <w:sz w:val="18"/>
                <w:szCs w:val="18"/>
                <w:color w:val="auto"/>
              </w:rPr>
            </w:pPr>
          </w:p>
        </w:tc>
      </w:tr>
      <w:tr>
        <w:trPr>
          <w:trHeight w:val="217"/>
        </w:trPr>
        <w:tc>
          <w:tcPr>
            <w:tcW w:w="59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(Year-over-year growth %)</w:t>
            </w:r>
          </w:p>
        </w:tc>
        <w:tc>
          <w:tcPr>
            <w:tcW w:w="1260" w:type="dxa"/>
            <w:vAlign w:val="bottom"/>
            <w:tcBorders>
              <w:bottom w:val="single" w:sz="8" w:color="auto"/>
              <w:right w:val="single" w:sz="8" w:color="auto"/>
            </w:tcBorders>
          </w:tcPr>
          <w:p>
            <w:pPr>
              <w:spacing w:after="0"/>
              <w:rPr>
                <w:sz w:val="18"/>
                <w:szCs w:val="18"/>
                <w:color w:val="auto"/>
              </w:rPr>
            </w:pPr>
          </w:p>
        </w:tc>
        <w:tc>
          <w:tcPr>
            <w:tcW w:w="204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209"/>
        </w:trPr>
        <w:tc>
          <w:tcPr>
            <w:tcW w:w="5960" w:type="dxa"/>
            <w:vAlign w:val="bottom"/>
            <w:tcBorders>
              <w:right w:val="single" w:sz="8" w:color="auto"/>
            </w:tcBorders>
            <w:shd w:val="clear" w:color="auto" w:fill="C6D9F1"/>
          </w:tcPr>
          <w:p>
            <w:pPr>
              <w:ind w:left="120"/>
              <w:spacing w:after="0"/>
              <w:rPr>
                <w:sz w:val="20"/>
                <w:szCs w:val="20"/>
                <w:color w:val="auto"/>
              </w:rPr>
            </w:pPr>
            <w:r>
              <w:rPr>
                <w:rFonts w:ascii="Arial" w:cs="Arial" w:eastAsia="Arial" w:hAnsi="Arial"/>
                <w:sz w:val="18"/>
                <w:szCs w:val="18"/>
                <w:color w:val="auto"/>
              </w:rPr>
              <w:t>Consolidated Revenue Excluding Disentanglement* (Year-over-year</w:t>
            </w:r>
          </w:p>
        </w:tc>
        <w:tc>
          <w:tcPr>
            <w:tcW w:w="1260" w:type="dxa"/>
            <w:vAlign w:val="bottom"/>
            <w:tcBorders>
              <w:right w:val="single" w:sz="8" w:color="auto"/>
            </w:tcBorders>
            <w:shd w:val="clear" w:color="auto" w:fill="C6D9F1"/>
          </w:tcPr>
          <w:p>
            <w:pPr>
              <w:jc w:val="center"/>
              <w:spacing w:after="0"/>
              <w:rPr>
                <w:sz w:val="20"/>
                <w:szCs w:val="20"/>
                <w:color w:val="auto"/>
              </w:rPr>
            </w:pPr>
            <w:r>
              <w:rPr>
                <w:rFonts w:ascii="Arial" w:cs="Arial" w:eastAsia="Arial" w:hAnsi="Arial"/>
                <w:sz w:val="18"/>
                <w:szCs w:val="18"/>
                <w:color w:val="auto"/>
                <w:w w:val="98"/>
              </w:rPr>
              <w:t>$478.8</w:t>
            </w:r>
          </w:p>
        </w:tc>
        <w:tc>
          <w:tcPr>
            <w:tcW w:w="2040" w:type="dxa"/>
            <w:vAlign w:val="bottom"/>
            <w:tcBorders>
              <w:right w:val="single" w:sz="8" w:color="auto"/>
            </w:tcBorders>
            <w:shd w:val="clear" w:color="auto" w:fill="C6D9F1"/>
          </w:tcPr>
          <w:p>
            <w:pPr>
              <w:jc w:val="center"/>
              <w:spacing w:after="0"/>
              <w:rPr>
                <w:sz w:val="20"/>
                <w:szCs w:val="20"/>
                <w:color w:val="auto"/>
              </w:rPr>
            </w:pPr>
            <w:r>
              <w:rPr>
                <w:rFonts w:ascii="Arial" w:cs="Arial" w:eastAsia="Arial" w:hAnsi="Arial"/>
                <w:sz w:val="18"/>
                <w:szCs w:val="18"/>
                <w:color w:val="auto"/>
              </w:rPr>
              <w:t>$525.6 (9.8%)</w:t>
            </w:r>
          </w:p>
        </w:tc>
        <w:tc>
          <w:tcPr>
            <w:tcW w:w="2140" w:type="dxa"/>
            <w:vAlign w:val="bottom"/>
            <w:shd w:val="clear" w:color="auto" w:fill="C6D9F1"/>
          </w:tcPr>
          <w:p>
            <w:pPr>
              <w:jc w:val="center"/>
              <w:spacing w:after="0"/>
              <w:rPr>
                <w:sz w:val="20"/>
                <w:szCs w:val="20"/>
                <w:color w:val="auto"/>
              </w:rPr>
            </w:pPr>
            <w:r>
              <w:rPr>
                <w:rFonts w:ascii="Arial" w:cs="Arial" w:eastAsia="Arial" w:hAnsi="Arial"/>
                <w:sz w:val="18"/>
                <w:szCs w:val="18"/>
                <w:color w:val="auto"/>
                <w:w w:val="99"/>
              </w:rPr>
              <w:t>$628.5 (19.6%)</w:t>
            </w:r>
          </w:p>
        </w:tc>
        <w:tc>
          <w:tcPr>
            <w:tcW w:w="20" w:type="dxa"/>
            <w:vAlign w:val="bottom"/>
          </w:tcPr>
          <w:p>
            <w:pPr>
              <w:spacing w:after="0"/>
              <w:rPr>
                <w:sz w:val="18"/>
                <w:szCs w:val="18"/>
                <w:color w:val="auto"/>
              </w:rPr>
            </w:pPr>
          </w:p>
        </w:tc>
      </w:tr>
      <w:tr>
        <w:trPr>
          <w:trHeight w:val="217"/>
        </w:trPr>
        <w:tc>
          <w:tcPr>
            <w:tcW w:w="5960" w:type="dxa"/>
            <w:vAlign w:val="bottom"/>
            <w:tcBorders>
              <w:bottom w:val="single" w:sz="8" w:color="auto"/>
              <w:right w:val="single" w:sz="8" w:color="auto"/>
            </w:tcBorders>
            <w:shd w:val="clear" w:color="auto" w:fill="C6D9F1"/>
          </w:tcPr>
          <w:p>
            <w:pPr>
              <w:ind w:left="120"/>
              <w:spacing w:after="0"/>
              <w:rPr>
                <w:sz w:val="20"/>
                <w:szCs w:val="20"/>
                <w:color w:val="auto"/>
              </w:rPr>
            </w:pPr>
            <w:r>
              <w:rPr>
                <w:rFonts w:ascii="Arial" w:cs="Arial" w:eastAsia="Arial" w:hAnsi="Arial"/>
                <w:sz w:val="18"/>
                <w:szCs w:val="18"/>
                <w:color w:val="auto"/>
              </w:rPr>
              <w:t>growth %)</w:t>
            </w:r>
          </w:p>
        </w:tc>
        <w:tc>
          <w:tcPr>
            <w:tcW w:w="1260" w:type="dxa"/>
            <w:vAlign w:val="bottom"/>
            <w:tcBorders>
              <w:bottom w:val="single" w:sz="8" w:color="auto"/>
              <w:right w:val="single" w:sz="8" w:color="auto"/>
            </w:tcBorders>
            <w:shd w:val="clear" w:color="auto" w:fill="C6D9F1"/>
          </w:tcPr>
          <w:p>
            <w:pPr>
              <w:spacing w:after="0"/>
              <w:rPr>
                <w:sz w:val="18"/>
                <w:szCs w:val="18"/>
                <w:color w:val="auto"/>
              </w:rPr>
            </w:pPr>
          </w:p>
        </w:tc>
        <w:tc>
          <w:tcPr>
            <w:tcW w:w="2040" w:type="dxa"/>
            <w:vAlign w:val="bottom"/>
            <w:tcBorders>
              <w:bottom w:val="single" w:sz="8" w:color="auto"/>
              <w:right w:val="single" w:sz="8" w:color="auto"/>
            </w:tcBorders>
            <w:shd w:val="clear" w:color="auto" w:fill="C6D9F1"/>
          </w:tcPr>
          <w:p>
            <w:pPr>
              <w:spacing w:after="0"/>
              <w:rPr>
                <w:sz w:val="18"/>
                <w:szCs w:val="18"/>
                <w:color w:val="auto"/>
              </w:rPr>
            </w:pPr>
          </w:p>
        </w:tc>
        <w:tc>
          <w:tcPr>
            <w:tcW w:w="2140" w:type="dxa"/>
            <w:vAlign w:val="bottom"/>
            <w:tcBorders>
              <w:bottom w:val="single" w:sz="8" w:color="auto"/>
            </w:tcBorders>
            <w:shd w:val="clear" w:color="auto" w:fill="C6D9F1"/>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209"/>
        </w:trPr>
        <w:tc>
          <w:tcPr>
            <w:tcW w:w="59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Operations Management Revenue</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$433.0</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$433.7 (0.2%)</w:t>
            </w:r>
          </w:p>
        </w:tc>
        <w:tc>
          <w:tcPr>
            <w:tcW w:w="2140" w:type="dxa"/>
            <w:vAlign w:val="bottom"/>
          </w:tcPr>
          <w:p>
            <w:pPr>
              <w:jc w:val="center"/>
              <w:spacing w:after="0"/>
              <w:rPr>
                <w:sz w:val="20"/>
                <w:szCs w:val="20"/>
                <w:color w:val="auto"/>
              </w:rPr>
            </w:pPr>
            <w:r>
              <w:rPr>
                <w:rFonts w:ascii="Arial" w:cs="Arial" w:eastAsia="Arial" w:hAnsi="Arial"/>
                <w:sz w:val="18"/>
                <w:szCs w:val="18"/>
                <w:color w:val="auto"/>
                <w:w w:val="99"/>
              </w:rPr>
              <w:t>$506.3 (16.7%)</w:t>
            </w:r>
          </w:p>
        </w:tc>
        <w:tc>
          <w:tcPr>
            <w:tcW w:w="20" w:type="dxa"/>
            <w:vAlign w:val="bottom"/>
          </w:tcPr>
          <w:p>
            <w:pPr>
              <w:spacing w:after="0"/>
              <w:rPr>
                <w:sz w:val="18"/>
                <w:szCs w:val="18"/>
                <w:color w:val="auto"/>
              </w:rPr>
            </w:pPr>
          </w:p>
        </w:tc>
      </w:tr>
      <w:tr>
        <w:trPr>
          <w:trHeight w:val="217"/>
        </w:trPr>
        <w:tc>
          <w:tcPr>
            <w:tcW w:w="59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(Year-over-Year Growth %)</w:t>
            </w:r>
          </w:p>
        </w:tc>
        <w:tc>
          <w:tcPr>
            <w:tcW w:w="1260" w:type="dxa"/>
            <w:vAlign w:val="bottom"/>
            <w:tcBorders>
              <w:bottom w:val="single" w:sz="8" w:color="auto"/>
              <w:right w:val="single" w:sz="8" w:color="auto"/>
            </w:tcBorders>
          </w:tcPr>
          <w:p>
            <w:pPr>
              <w:spacing w:after="0"/>
              <w:rPr>
                <w:sz w:val="18"/>
                <w:szCs w:val="18"/>
                <w:color w:val="auto"/>
              </w:rPr>
            </w:pPr>
          </w:p>
        </w:tc>
        <w:tc>
          <w:tcPr>
            <w:tcW w:w="204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223"/>
        </w:trPr>
        <w:tc>
          <w:tcPr>
            <w:tcW w:w="5960" w:type="dxa"/>
            <w:vAlign w:val="bottom"/>
            <w:tcBorders>
              <w:bottom w:val="single" w:sz="8" w:color="auto"/>
              <w:right w:val="single" w:sz="8" w:color="auto"/>
            </w:tcBorders>
            <w:shd w:val="clear" w:color="auto" w:fill="C6D9F1"/>
          </w:tcPr>
          <w:p>
            <w:pPr>
              <w:ind w:left="120"/>
              <w:spacing w:after="0"/>
              <w:rPr>
                <w:sz w:val="20"/>
                <w:szCs w:val="20"/>
                <w:color w:val="auto"/>
              </w:rPr>
            </w:pPr>
            <w:r>
              <w:rPr>
                <w:rFonts w:ascii="Arial" w:cs="Arial" w:eastAsia="Arial" w:hAnsi="Arial"/>
                <w:sz w:val="18"/>
                <w:szCs w:val="18"/>
                <w:color w:val="auto"/>
              </w:rPr>
              <w:t>Analytics Revenue (Year-over-Year Growth %)</w:t>
            </w:r>
          </w:p>
        </w:tc>
        <w:tc>
          <w:tcPr>
            <w:tcW w:w="1260" w:type="dxa"/>
            <w:vAlign w:val="bottom"/>
            <w:tcBorders>
              <w:bottom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18"/>
                <w:szCs w:val="18"/>
                <w:color w:val="auto"/>
              </w:rPr>
              <w:t>$45.5</w:t>
            </w:r>
          </w:p>
        </w:tc>
        <w:tc>
          <w:tcPr>
            <w:tcW w:w="2040" w:type="dxa"/>
            <w:vAlign w:val="bottom"/>
            <w:tcBorders>
              <w:bottom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18"/>
                <w:szCs w:val="18"/>
                <w:color w:val="auto"/>
              </w:rPr>
              <w:t>$65.6 (44.2%)</w:t>
            </w:r>
          </w:p>
        </w:tc>
        <w:tc>
          <w:tcPr>
            <w:tcW w:w="2140" w:type="dxa"/>
            <w:vAlign w:val="bottom"/>
            <w:tcBorders>
              <w:bottom w:val="single" w:sz="8" w:color="auto"/>
            </w:tcBorders>
            <w:shd w:val="clear" w:color="auto" w:fill="C6D9F1"/>
          </w:tcPr>
          <w:p>
            <w:pPr>
              <w:jc w:val="center"/>
              <w:spacing w:after="0"/>
              <w:rPr>
                <w:sz w:val="20"/>
                <w:szCs w:val="20"/>
                <w:color w:val="auto"/>
              </w:rPr>
            </w:pPr>
            <w:r>
              <w:rPr>
                <w:rFonts w:ascii="Arial" w:cs="Arial" w:eastAsia="Arial" w:hAnsi="Arial"/>
                <w:sz w:val="18"/>
                <w:szCs w:val="18"/>
                <w:color w:val="auto"/>
                <w:w w:val="99"/>
              </w:rPr>
              <w:t>$122.2 (86.3%)</w:t>
            </w:r>
          </w:p>
        </w:tc>
        <w:tc>
          <w:tcPr>
            <w:tcW w:w="20" w:type="dxa"/>
            <w:vAlign w:val="bottom"/>
            <w:tcBorders>
              <w:bottom w:val="single" w:sz="8" w:color="auto"/>
            </w:tcBorders>
          </w:tcPr>
          <w:p>
            <w:pPr>
              <w:spacing w:after="0"/>
              <w:rPr>
                <w:sz w:val="19"/>
                <w:szCs w:val="19"/>
                <w:color w:val="auto"/>
              </w:rPr>
            </w:pPr>
          </w:p>
        </w:tc>
      </w:tr>
    </w:tbl>
    <w:p>
      <w:pPr>
        <w:spacing w:after="0" w:line="207" w:lineRule="exact"/>
        <w:rPr>
          <w:sz w:val="20"/>
          <w:szCs w:val="20"/>
          <w:color w:val="auto"/>
        </w:rPr>
      </w:pPr>
    </w:p>
    <w:p>
      <w:pPr>
        <w:ind w:right="20" w:firstLine="8"/>
        <w:spacing w:after="0" w:line="258" w:lineRule="auto"/>
        <w:tabs>
          <w:tab w:leader="none" w:pos="96" w:val="left"/>
        </w:tabs>
        <w:numPr>
          <w:ilvl w:val="0"/>
          <w:numId w:val="8"/>
        </w:numPr>
        <w:rPr>
          <w:rFonts w:ascii="Arial" w:cs="Arial" w:eastAsia="Arial" w:hAnsi="Arial"/>
          <w:sz w:val="14"/>
          <w:szCs w:val="14"/>
          <w:color w:val="auto"/>
        </w:rPr>
      </w:pPr>
      <w:r>
        <w:rPr>
          <w:rFonts w:ascii="Arial" w:cs="Arial" w:eastAsia="Arial" w:hAnsi="Arial"/>
          <w:sz w:val="14"/>
          <w:szCs w:val="14"/>
          <w:color w:val="auto"/>
        </w:rPr>
        <w:t>Excludes the reimbursement of disentanglement costs of $0.3 million and $26.3 million in 2013 and 2014, respectively, for a disclosed client issue. Please refer to our SEC filings, including our most recent Annual Report on Form 10-K, for additional information regarding this reimbursement.</w:t>
      </w:r>
    </w:p>
    <w:p>
      <w:pPr>
        <w:spacing w:after="0" w:line="175"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We improved our annual revenues from $499.3 million ($ 525.6 million excluding the reimbursement of one-time disentanglement costs of $26.3 million) in fiscal year 2014 to $628.5 million in fiscal year 2015, and also achieved the following:</w:t>
      </w:r>
    </w:p>
    <w:p>
      <w:pPr>
        <w:spacing w:after="0" w:line="183" w:lineRule="exact"/>
        <w:rPr>
          <w:sz w:val="20"/>
          <w:szCs w:val="20"/>
          <w:color w:val="auto"/>
        </w:rPr>
      </w:pPr>
    </w:p>
    <w:p>
      <w:pPr>
        <w:ind w:left="660" w:right="32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completed the acquisition of RPM Direct LLC (an analytics firm which specializes in analyzing large consumer data sets to segment populations, predict response rates, forecast customer lifetime value, design and execute targeted, multi-channel marketing campaigns)</w:t>
      </w:r>
    </w:p>
    <w:p>
      <w:pPr>
        <w:spacing w:after="0" w:line="189" w:lineRule="exact"/>
        <w:rPr>
          <w:rFonts w:ascii="Arial" w:cs="Arial" w:eastAsia="Arial" w:hAnsi="Arial"/>
          <w:sz w:val="18"/>
          <w:szCs w:val="18"/>
          <w:color w:val="auto"/>
        </w:rPr>
      </w:pPr>
    </w:p>
    <w:p>
      <w:pPr>
        <w:ind w:left="660" w:right="80" w:hanging="328"/>
        <w:spacing w:after="0" w:line="246"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formed a joint venture with Carvajal S.A.S. that should allow EXL to address the growing demand for Spanish and bilingual Operations Management solutions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won 34 new clients</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received numerous awards and industry recognition</w:t>
      </w:r>
    </w:p>
    <w:p>
      <w:pPr>
        <w:spacing w:after="0" w:line="211" w:lineRule="exact"/>
        <w:rPr>
          <w:rFonts w:ascii="Arial" w:cs="Arial" w:eastAsia="Arial" w:hAnsi="Arial"/>
          <w:sz w:val="18"/>
          <w:szCs w:val="18"/>
          <w:color w:val="auto"/>
        </w:rPr>
      </w:pPr>
    </w:p>
    <w:p>
      <w:pPr>
        <w:ind w:left="660" w:right="460" w:hanging="328"/>
        <w:spacing w:after="0" w:line="246"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opened new delivery centers in Cape Town, South Africa, Bogota and Cali, Colombia and a new Analytics Center of Excellence in Gurgaon, India.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regarding these and other business highlights, please see page 23 and our Form 10-K.</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46"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As shown in the following table, our 1-year, 3-year and 5-year total stockholder return outperformed market benchmarks.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126365</wp:posOffset>
            </wp:positionV>
            <wp:extent cx="5574030" cy="15265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74030" cy="1526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Cumulative growth rate as of December 31, 2015.</w:t>
      </w:r>
    </w:p>
    <w:p>
      <w:pPr>
        <w:spacing w:after="0" w:line="1" w:lineRule="exact"/>
        <w:rPr>
          <w:rFonts w:ascii="Arial" w:cs="Arial" w:eastAsia="Arial" w:hAnsi="Arial"/>
          <w:sz w:val="14"/>
          <w:szCs w:val="14"/>
          <w:color w:val="auto"/>
        </w:rPr>
      </w:pPr>
    </w:p>
    <w:p>
      <w:pPr>
        <w:ind w:left="660" w:hanging="328"/>
        <w:spacing w:after="0" w:line="258"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Peer group TSR data excludes iGate and Sapient, as these companies were acquired in 2015; Solera Holdings, which was taken private in March 2016, is included in peer group TSR data.</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1F497C"/>
        </w:rPr>
        <w:t>2015 Compensation Highlights</w:t>
      </w: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3460" w:type="dxa"/>
            <w:vAlign w:val="bottom"/>
            <w:tcBorders>
              <w:top w:val="single" w:sz="8" w:color="auto"/>
              <w:left w:val="single" w:sz="8" w:color="auto"/>
              <w:bottom w:val="single" w:sz="8" w:color="auto"/>
              <w:right w:val="single" w:sz="8" w:color="1F497C"/>
            </w:tcBorders>
            <w:shd w:val="clear" w:color="auto" w:fill="1F497C"/>
          </w:tcPr>
          <w:p>
            <w:pPr>
              <w:spacing w:after="0"/>
              <w:rPr>
                <w:sz w:val="21"/>
                <w:szCs w:val="21"/>
                <w:color w:val="auto"/>
              </w:rPr>
            </w:pPr>
          </w:p>
        </w:tc>
        <w:tc>
          <w:tcPr>
            <w:tcW w:w="7960" w:type="dxa"/>
            <w:vAlign w:val="bottom"/>
            <w:tcBorders>
              <w:top w:val="single" w:sz="8" w:color="auto"/>
              <w:bottom w:val="single" w:sz="8" w:color="auto"/>
              <w:right w:val="single" w:sz="8" w:color="auto"/>
            </w:tcBorders>
            <w:shd w:val="clear" w:color="auto" w:fill="1F497C"/>
          </w:tcPr>
          <w:p>
            <w:pPr>
              <w:ind w:left="1140"/>
              <w:spacing w:after="0"/>
              <w:rPr>
                <w:sz w:val="20"/>
                <w:szCs w:val="20"/>
                <w:color w:val="auto"/>
              </w:rPr>
            </w:pPr>
            <w:r>
              <w:rPr>
                <w:rFonts w:ascii="Arial" w:cs="Arial" w:eastAsia="Arial" w:hAnsi="Arial"/>
                <w:sz w:val="18"/>
                <w:szCs w:val="18"/>
                <w:b w:val="1"/>
                <w:bCs w:val="1"/>
                <w:color w:val="FFFFFF"/>
              </w:rPr>
              <w:t>Named Executive Officers</w:t>
            </w:r>
          </w:p>
        </w:tc>
      </w:tr>
      <w:tr>
        <w:trPr>
          <w:trHeight w:val="223"/>
        </w:trPr>
        <w:tc>
          <w:tcPr>
            <w:tcW w:w="3460" w:type="dxa"/>
            <w:vAlign w:val="bottom"/>
            <w:tcBorders>
              <w:left w:val="single" w:sz="8" w:color="auto"/>
              <w:bottom w:val="single" w:sz="8" w:color="auto"/>
              <w:right w:val="single" w:sz="8" w:color="auto"/>
            </w:tcBorders>
            <w:shd w:val="clear" w:color="auto" w:fill="C6D9F1"/>
          </w:tcPr>
          <w:p>
            <w:pPr>
              <w:ind w:left="1480"/>
              <w:spacing w:after="0"/>
              <w:rPr>
                <w:sz w:val="20"/>
                <w:szCs w:val="20"/>
                <w:color w:val="auto"/>
              </w:rPr>
            </w:pPr>
            <w:r>
              <w:rPr>
                <w:rFonts w:ascii="Arial" w:cs="Arial" w:eastAsia="Arial" w:hAnsi="Arial"/>
                <w:sz w:val="18"/>
                <w:szCs w:val="18"/>
                <w:color w:val="auto"/>
              </w:rPr>
              <w:t>Name</w:t>
            </w:r>
          </w:p>
        </w:tc>
        <w:tc>
          <w:tcPr>
            <w:tcW w:w="7960" w:type="dxa"/>
            <w:vAlign w:val="bottom"/>
            <w:tcBorders>
              <w:bottom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18"/>
                <w:szCs w:val="18"/>
                <w:color w:val="auto"/>
                <w:w w:val="99"/>
              </w:rPr>
              <w:t>Title</w:t>
            </w:r>
          </w:p>
        </w:tc>
      </w:tr>
      <w:tr>
        <w:trPr>
          <w:trHeight w:val="223"/>
        </w:trPr>
        <w:tc>
          <w:tcPr>
            <w:tcW w:w="34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Rohit Kapoor</w:t>
            </w:r>
          </w:p>
        </w:tc>
        <w:tc>
          <w:tcPr>
            <w:tcW w:w="7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Vice Chairman and CEO</w:t>
            </w:r>
          </w:p>
        </w:tc>
      </w:tr>
      <w:tr>
        <w:trPr>
          <w:trHeight w:val="223"/>
        </w:trPr>
        <w:tc>
          <w:tcPr>
            <w:tcW w:w="3460" w:type="dxa"/>
            <w:vAlign w:val="bottom"/>
            <w:tcBorders>
              <w:left w:val="single" w:sz="8" w:color="auto"/>
              <w:bottom w:val="single" w:sz="8" w:color="auto"/>
              <w:right w:val="single" w:sz="8" w:color="auto"/>
            </w:tcBorders>
            <w:shd w:val="clear" w:color="auto" w:fill="C6D9F1"/>
          </w:tcPr>
          <w:p>
            <w:pPr>
              <w:ind w:left="120"/>
              <w:spacing w:after="0"/>
              <w:rPr>
                <w:sz w:val="20"/>
                <w:szCs w:val="20"/>
                <w:color w:val="auto"/>
              </w:rPr>
            </w:pPr>
            <w:r>
              <w:rPr>
                <w:rFonts w:ascii="Arial" w:cs="Arial" w:eastAsia="Arial" w:hAnsi="Arial"/>
                <w:sz w:val="18"/>
                <w:szCs w:val="18"/>
                <w:color w:val="auto"/>
              </w:rPr>
              <w:t>Vishal Chhibbar</w:t>
            </w:r>
          </w:p>
        </w:tc>
        <w:tc>
          <w:tcPr>
            <w:tcW w:w="7960" w:type="dxa"/>
            <w:vAlign w:val="bottom"/>
            <w:tcBorders>
              <w:bottom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18"/>
                <w:szCs w:val="18"/>
                <w:color w:val="auto"/>
              </w:rPr>
              <w:t>Executive Vice President and CFO</w:t>
            </w:r>
          </w:p>
        </w:tc>
      </w:tr>
      <w:tr>
        <w:trPr>
          <w:trHeight w:val="223"/>
        </w:trPr>
        <w:tc>
          <w:tcPr>
            <w:tcW w:w="34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Pavan Bagai</w:t>
            </w:r>
          </w:p>
        </w:tc>
        <w:tc>
          <w:tcPr>
            <w:tcW w:w="7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President and Chief Operating Officer</w:t>
            </w:r>
          </w:p>
        </w:tc>
      </w:tr>
      <w:tr>
        <w:trPr>
          <w:trHeight w:val="223"/>
        </w:trPr>
        <w:tc>
          <w:tcPr>
            <w:tcW w:w="3460" w:type="dxa"/>
            <w:vAlign w:val="bottom"/>
            <w:tcBorders>
              <w:left w:val="single" w:sz="8" w:color="auto"/>
              <w:bottom w:val="single" w:sz="8" w:color="auto"/>
              <w:right w:val="single" w:sz="8" w:color="auto"/>
            </w:tcBorders>
            <w:shd w:val="clear" w:color="auto" w:fill="C6D9F1"/>
          </w:tcPr>
          <w:p>
            <w:pPr>
              <w:ind w:left="120"/>
              <w:spacing w:after="0"/>
              <w:rPr>
                <w:sz w:val="20"/>
                <w:szCs w:val="20"/>
                <w:color w:val="auto"/>
              </w:rPr>
            </w:pPr>
            <w:r>
              <w:rPr>
                <w:rFonts w:ascii="Arial" w:cs="Arial" w:eastAsia="Arial" w:hAnsi="Arial"/>
                <w:sz w:val="18"/>
                <w:szCs w:val="18"/>
                <w:color w:val="auto"/>
              </w:rPr>
              <w:t>Nalin Miglani</w:t>
            </w:r>
          </w:p>
        </w:tc>
        <w:tc>
          <w:tcPr>
            <w:tcW w:w="7960" w:type="dxa"/>
            <w:vAlign w:val="bottom"/>
            <w:tcBorders>
              <w:bottom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18"/>
                <w:szCs w:val="18"/>
                <w:color w:val="auto"/>
              </w:rPr>
              <w:t>Executive Vice President and Chief Human Resources Officer</w:t>
            </w:r>
          </w:p>
        </w:tc>
      </w:tr>
      <w:tr>
        <w:trPr>
          <w:trHeight w:val="223"/>
        </w:trPr>
        <w:tc>
          <w:tcPr>
            <w:tcW w:w="34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Henry Schweppe</w:t>
            </w:r>
          </w:p>
        </w:tc>
        <w:tc>
          <w:tcPr>
            <w:tcW w:w="7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Former President, Global Business and Marketing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12693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269365"/>
                    </a:xfrm>
                    <a:prstGeom prst="rect">
                      <a:avLst/>
                    </a:prstGeom>
                    <a:noFill/>
                  </pic:spPr>
                </pic:pic>
              </a:graphicData>
            </a:graphic>
          </wp:anchor>
        </w:drawing>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2015 Standard Annual Compensation</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340" w:type="dxa"/>
            <w:vAlign w:val="bottom"/>
            <w:tcBorders>
              <w:top w:val="single" w:sz="8" w:color="auto"/>
              <w:right w:val="single" w:sz="8" w:color="auto"/>
            </w:tcBorders>
            <w:shd w:val="clear" w:color="auto" w:fill="C6D9F1"/>
          </w:tcPr>
          <w:p>
            <w:pPr>
              <w:ind w:left="1060"/>
              <w:spacing w:after="0"/>
              <w:rPr>
                <w:sz w:val="20"/>
                <w:szCs w:val="20"/>
                <w:color w:val="auto"/>
              </w:rPr>
            </w:pPr>
            <w:r>
              <w:rPr>
                <w:rFonts w:ascii="Arial" w:cs="Arial" w:eastAsia="Arial" w:hAnsi="Arial"/>
                <w:sz w:val="18"/>
                <w:szCs w:val="18"/>
                <w:color w:val="auto"/>
              </w:rPr>
              <w:t>Compensation</w:t>
            </w:r>
          </w:p>
        </w:tc>
        <w:tc>
          <w:tcPr>
            <w:tcW w:w="1720" w:type="dxa"/>
            <w:vAlign w:val="bottom"/>
            <w:tcBorders>
              <w:top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18"/>
                <w:szCs w:val="18"/>
                <w:color w:val="auto"/>
                <w:w w:val="99"/>
              </w:rPr>
              <w:t>Rohit</w:t>
            </w:r>
          </w:p>
        </w:tc>
        <w:tc>
          <w:tcPr>
            <w:tcW w:w="1700" w:type="dxa"/>
            <w:vAlign w:val="bottom"/>
            <w:tcBorders>
              <w:top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18"/>
                <w:szCs w:val="18"/>
                <w:color w:val="auto"/>
              </w:rPr>
              <w:t>Vishal</w:t>
            </w:r>
          </w:p>
        </w:tc>
        <w:tc>
          <w:tcPr>
            <w:tcW w:w="1480" w:type="dxa"/>
            <w:vAlign w:val="bottom"/>
            <w:tcBorders>
              <w:top w:val="single" w:sz="8" w:color="auto"/>
              <w:right w:val="single" w:sz="8" w:color="auto"/>
            </w:tcBorders>
            <w:shd w:val="clear" w:color="auto" w:fill="C6D9F1"/>
          </w:tcPr>
          <w:p>
            <w:pPr>
              <w:jc w:val="right"/>
              <w:ind w:right="430"/>
              <w:spacing w:after="0"/>
              <w:rPr>
                <w:sz w:val="20"/>
                <w:szCs w:val="20"/>
                <w:color w:val="auto"/>
              </w:rPr>
            </w:pPr>
            <w:r>
              <w:rPr>
                <w:rFonts w:ascii="Arial" w:cs="Arial" w:eastAsia="Arial" w:hAnsi="Arial"/>
                <w:sz w:val="18"/>
                <w:szCs w:val="18"/>
                <w:color w:val="auto"/>
              </w:rPr>
              <w:t>Pavan</w:t>
            </w:r>
          </w:p>
        </w:tc>
        <w:tc>
          <w:tcPr>
            <w:tcW w:w="1600" w:type="dxa"/>
            <w:vAlign w:val="bottom"/>
            <w:tcBorders>
              <w:top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18"/>
                <w:szCs w:val="18"/>
                <w:color w:val="auto"/>
                <w:w w:val="97"/>
              </w:rPr>
              <w:t>Nalin</w:t>
            </w:r>
          </w:p>
        </w:tc>
        <w:tc>
          <w:tcPr>
            <w:tcW w:w="1560" w:type="dxa"/>
            <w:vAlign w:val="bottom"/>
            <w:tcBorders>
              <w:top w:val="single" w:sz="8" w:color="auto"/>
            </w:tcBorders>
            <w:shd w:val="clear" w:color="auto" w:fill="C6D9F1"/>
          </w:tcPr>
          <w:p>
            <w:pPr>
              <w:jc w:val="center"/>
              <w:spacing w:after="0"/>
              <w:rPr>
                <w:sz w:val="20"/>
                <w:szCs w:val="20"/>
                <w:color w:val="auto"/>
              </w:rPr>
            </w:pPr>
            <w:r>
              <w:rPr>
                <w:rFonts w:ascii="Arial" w:cs="Arial" w:eastAsia="Arial" w:hAnsi="Arial"/>
                <w:sz w:val="18"/>
                <w:szCs w:val="18"/>
                <w:color w:val="auto"/>
                <w:w w:val="99"/>
              </w:rPr>
              <w:t>Henry</w:t>
            </w:r>
          </w:p>
        </w:tc>
        <w:tc>
          <w:tcPr>
            <w:tcW w:w="20" w:type="dxa"/>
            <w:vAlign w:val="bottom"/>
            <w:tcBorders>
              <w:top w:val="single" w:sz="8" w:color="auto"/>
            </w:tcBorders>
          </w:tcPr>
          <w:p>
            <w:pPr>
              <w:spacing w:after="0"/>
              <w:rPr>
                <w:sz w:val="18"/>
                <w:szCs w:val="18"/>
                <w:color w:val="auto"/>
              </w:rPr>
            </w:pPr>
          </w:p>
        </w:tc>
      </w:tr>
      <w:tr>
        <w:trPr>
          <w:trHeight w:val="217"/>
        </w:trPr>
        <w:tc>
          <w:tcPr>
            <w:tcW w:w="3340" w:type="dxa"/>
            <w:vAlign w:val="bottom"/>
            <w:tcBorders>
              <w:bottom w:val="single" w:sz="8" w:color="auto"/>
              <w:right w:val="single" w:sz="8" w:color="auto"/>
            </w:tcBorders>
            <w:shd w:val="clear" w:color="auto" w:fill="C6D9F1"/>
          </w:tcPr>
          <w:p>
            <w:pPr>
              <w:ind w:left="1200"/>
              <w:spacing w:after="0"/>
              <w:rPr>
                <w:sz w:val="20"/>
                <w:szCs w:val="20"/>
                <w:color w:val="auto"/>
              </w:rPr>
            </w:pPr>
            <w:r>
              <w:rPr>
                <w:rFonts w:ascii="Arial" w:cs="Arial" w:eastAsia="Arial" w:hAnsi="Arial"/>
                <w:sz w:val="18"/>
                <w:szCs w:val="18"/>
                <w:color w:val="auto"/>
              </w:rPr>
              <w:t>Component</w:t>
            </w:r>
          </w:p>
        </w:tc>
        <w:tc>
          <w:tcPr>
            <w:tcW w:w="1720" w:type="dxa"/>
            <w:vAlign w:val="bottom"/>
            <w:tcBorders>
              <w:bottom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18"/>
                <w:szCs w:val="18"/>
                <w:color w:val="auto"/>
                <w:w w:val="99"/>
              </w:rPr>
              <w:t>Kapoor</w:t>
            </w:r>
          </w:p>
        </w:tc>
        <w:tc>
          <w:tcPr>
            <w:tcW w:w="1700" w:type="dxa"/>
            <w:vAlign w:val="bottom"/>
            <w:tcBorders>
              <w:bottom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18"/>
                <w:szCs w:val="18"/>
                <w:color w:val="auto"/>
                <w:w w:val="98"/>
              </w:rPr>
              <w:t>Chhibbar</w:t>
            </w:r>
          </w:p>
        </w:tc>
        <w:tc>
          <w:tcPr>
            <w:tcW w:w="1480" w:type="dxa"/>
            <w:vAlign w:val="bottom"/>
            <w:tcBorders>
              <w:bottom w:val="single" w:sz="8" w:color="auto"/>
              <w:right w:val="single" w:sz="8" w:color="auto"/>
            </w:tcBorders>
            <w:shd w:val="clear" w:color="auto" w:fill="C6D9F1"/>
          </w:tcPr>
          <w:p>
            <w:pPr>
              <w:jc w:val="right"/>
              <w:ind w:right="430"/>
              <w:spacing w:after="0"/>
              <w:rPr>
                <w:sz w:val="20"/>
                <w:szCs w:val="20"/>
                <w:color w:val="auto"/>
              </w:rPr>
            </w:pPr>
            <w:r>
              <w:rPr>
                <w:rFonts w:ascii="Arial" w:cs="Arial" w:eastAsia="Arial" w:hAnsi="Arial"/>
                <w:sz w:val="18"/>
                <w:szCs w:val="18"/>
                <w:color w:val="auto"/>
              </w:rPr>
              <w:t>Bagai</w:t>
            </w:r>
          </w:p>
        </w:tc>
        <w:tc>
          <w:tcPr>
            <w:tcW w:w="1600" w:type="dxa"/>
            <w:vAlign w:val="bottom"/>
            <w:tcBorders>
              <w:bottom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18"/>
                <w:szCs w:val="18"/>
                <w:color w:val="auto"/>
                <w:w w:val="98"/>
              </w:rPr>
              <w:t>Miglani</w:t>
            </w:r>
          </w:p>
        </w:tc>
        <w:tc>
          <w:tcPr>
            <w:tcW w:w="1560" w:type="dxa"/>
            <w:vAlign w:val="bottom"/>
            <w:tcBorders>
              <w:bottom w:val="single" w:sz="8" w:color="auto"/>
            </w:tcBorders>
            <w:shd w:val="clear" w:color="auto" w:fill="C6D9F1"/>
          </w:tcPr>
          <w:p>
            <w:pPr>
              <w:jc w:val="center"/>
              <w:spacing w:after="0"/>
              <w:rPr>
                <w:sz w:val="20"/>
                <w:szCs w:val="20"/>
                <w:color w:val="auto"/>
              </w:rPr>
            </w:pPr>
            <w:r>
              <w:rPr>
                <w:rFonts w:ascii="Arial" w:cs="Arial" w:eastAsia="Arial" w:hAnsi="Arial"/>
                <w:sz w:val="18"/>
                <w:szCs w:val="18"/>
                <w:color w:val="auto"/>
                <w:w w:val="99"/>
              </w:rPr>
              <w:t>Schweppe</w:t>
            </w:r>
          </w:p>
        </w:tc>
        <w:tc>
          <w:tcPr>
            <w:tcW w:w="20" w:type="dxa"/>
            <w:vAlign w:val="bottom"/>
            <w:tcBorders>
              <w:bottom w:val="single" w:sz="8" w:color="auto"/>
            </w:tcBorders>
          </w:tcPr>
          <w:p>
            <w:pPr>
              <w:spacing w:after="0"/>
              <w:rPr>
                <w:sz w:val="18"/>
                <w:szCs w:val="18"/>
                <w:color w:val="auto"/>
              </w:rPr>
            </w:pPr>
          </w:p>
        </w:tc>
      </w:tr>
      <w:tr>
        <w:trPr>
          <w:trHeight w:val="223"/>
        </w:trPr>
        <w:tc>
          <w:tcPr>
            <w:tcW w:w="33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Salary</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$600,000</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$251,341</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$242,590</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$400,000</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$450,000</w:t>
            </w:r>
          </w:p>
        </w:tc>
        <w:tc>
          <w:tcPr>
            <w:tcW w:w="20" w:type="dxa"/>
            <w:vAlign w:val="bottom"/>
            <w:tcBorders>
              <w:bottom w:val="single" w:sz="8" w:color="auto"/>
            </w:tcBorders>
          </w:tcPr>
          <w:p>
            <w:pPr>
              <w:spacing w:after="0"/>
              <w:rPr>
                <w:sz w:val="19"/>
                <w:szCs w:val="19"/>
                <w:color w:val="auto"/>
              </w:rPr>
            </w:pPr>
          </w:p>
        </w:tc>
      </w:tr>
      <w:tr>
        <w:trPr>
          <w:trHeight w:val="223"/>
        </w:trPr>
        <w:tc>
          <w:tcPr>
            <w:tcW w:w="3340" w:type="dxa"/>
            <w:vAlign w:val="bottom"/>
            <w:tcBorders>
              <w:bottom w:val="single" w:sz="8" w:color="auto"/>
              <w:right w:val="single" w:sz="8" w:color="auto"/>
            </w:tcBorders>
            <w:shd w:val="clear" w:color="auto" w:fill="C6D9F1"/>
          </w:tcPr>
          <w:p>
            <w:pPr>
              <w:ind w:left="120"/>
              <w:spacing w:after="0"/>
              <w:rPr>
                <w:sz w:val="20"/>
                <w:szCs w:val="20"/>
                <w:color w:val="auto"/>
              </w:rPr>
            </w:pPr>
            <w:r>
              <w:rPr>
                <w:rFonts w:ascii="Arial" w:cs="Arial" w:eastAsia="Arial" w:hAnsi="Arial"/>
                <w:sz w:val="18"/>
                <w:szCs w:val="18"/>
                <w:color w:val="auto"/>
              </w:rPr>
              <w:t>Cash Bonus Award</w:t>
            </w:r>
          </w:p>
        </w:tc>
        <w:tc>
          <w:tcPr>
            <w:tcW w:w="1720" w:type="dxa"/>
            <w:vAlign w:val="bottom"/>
            <w:tcBorders>
              <w:bottom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18"/>
                <w:szCs w:val="18"/>
                <w:color w:val="auto"/>
              </w:rPr>
              <w:t>$621,129</w:t>
            </w:r>
          </w:p>
        </w:tc>
        <w:tc>
          <w:tcPr>
            <w:tcW w:w="1700" w:type="dxa"/>
            <w:vAlign w:val="bottom"/>
            <w:tcBorders>
              <w:bottom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18"/>
                <w:szCs w:val="18"/>
                <w:color w:val="auto"/>
              </w:rPr>
              <w:t>$157,049</w:t>
            </w:r>
          </w:p>
        </w:tc>
        <w:tc>
          <w:tcPr>
            <w:tcW w:w="1480" w:type="dxa"/>
            <w:vAlign w:val="bottom"/>
            <w:tcBorders>
              <w:bottom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18"/>
                <w:szCs w:val="18"/>
                <w:color w:val="auto"/>
                <w:w w:val="98"/>
              </w:rPr>
              <w:t>$246,239</w:t>
            </w:r>
          </w:p>
        </w:tc>
        <w:tc>
          <w:tcPr>
            <w:tcW w:w="1600" w:type="dxa"/>
            <w:vAlign w:val="bottom"/>
            <w:tcBorders>
              <w:bottom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18"/>
                <w:szCs w:val="18"/>
                <w:color w:val="auto"/>
              </w:rPr>
              <w:t>$274,840</w:t>
            </w:r>
          </w:p>
        </w:tc>
        <w:tc>
          <w:tcPr>
            <w:tcW w:w="1560" w:type="dxa"/>
            <w:vAlign w:val="bottom"/>
            <w:tcBorders>
              <w:bottom w:val="single" w:sz="8" w:color="auto"/>
            </w:tcBorders>
            <w:shd w:val="clear" w:color="auto" w:fill="C6D9F1"/>
          </w:tcPr>
          <w:p>
            <w:pPr>
              <w:jc w:val="center"/>
              <w:spacing w:after="0"/>
              <w:rPr>
                <w:sz w:val="20"/>
                <w:szCs w:val="20"/>
                <w:color w:val="auto"/>
              </w:rPr>
            </w:pPr>
            <w:r>
              <w:rPr>
                <w:rFonts w:ascii="Arial" w:cs="Arial" w:eastAsia="Arial" w:hAnsi="Arial"/>
                <w:sz w:val="18"/>
                <w:szCs w:val="18"/>
                <w:color w:val="auto"/>
              </w:rPr>
              <w:t>$349,385</w:t>
            </w:r>
          </w:p>
        </w:tc>
        <w:tc>
          <w:tcPr>
            <w:tcW w:w="20" w:type="dxa"/>
            <w:vAlign w:val="bottom"/>
            <w:tcBorders>
              <w:bottom w:val="single" w:sz="8" w:color="auto"/>
            </w:tcBorders>
          </w:tcPr>
          <w:p>
            <w:pPr>
              <w:spacing w:after="0"/>
              <w:rPr>
                <w:sz w:val="19"/>
                <w:szCs w:val="19"/>
                <w:color w:val="auto"/>
              </w:rPr>
            </w:pPr>
          </w:p>
        </w:tc>
      </w:tr>
      <w:tr>
        <w:trPr>
          <w:trHeight w:val="223"/>
        </w:trPr>
        <w:tc>
          <w:tcPr>
            <w:tcW w:w="33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Annual Equity Awards</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$2,979,000</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$595,800</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$993,000</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$476,640</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$595,800</w:t>
            </w:r>
          </w:p>
        </w:tc>
        <w:tc>
          <w:tcPr>
            <w:tcW w:w="20" w:type="dxa"/>
            <w:vAlign w:val="bottom"/>
            <w:tcBorders>
              <w:bottom w:val="single" w:sz="8" w:color="auto"/>
            </w:tcBorders>
          </w:tcPr>
          <w:p>
            <w:pPr>
              <w:spacing w:after="0"/>
              <w:rPr>
                <w:sz w:val="19"/>
                <w:szCs w:val="19"/>
                <w:color w:val="auto"/>
              </w:rPr>
            </w:pPr>
          </w:p>
        </w:tc>
      </w:tr>
      <w:tr>
        <w:trPr>
          <w:trHeight w:val="264"/>
        </w:trPr>
        <w:tc>
          <w:tcPr>
            <w:tcW w:w="3340" w:type="dxa"/>
            <w:vAlign w:val="bottom"/>
            <w:tcBorders>
              <w:bottom w:val="single" w:sz="8" w:color="auto"/>
              <w:right w:val="single" w:sz="8" w:color="auto"/>
            </w:tcBorders>
            <w:shd w:val="clear" w:color="auto" w:fill="C6D9F1"/>
          </w:tcPr>
          <w:p>
            <w:pPr>
              <w:ind w:left="120"/>
              <w:spacing w:after="0" w:line="264" w:lineRule="exact"/>
              <w:rPr>
                <w:sz w:val="20"/>
                <w:szCs w:val="20"/>
                <w:color w:val="auto"/>
              </w:rPr>
            </w:pPr>
            <w:r>
              <w:rPr>
                <w:rFonts w:ascii="Arial" w:cs="Arial" w:eastAsia="Arial" w:hAnsi="Arial"/>
                <w:sz w:val="18"/>
                <w:szCs w:val="18"/>
                <w:color w:val="auto"/>
              </w:rPr>
              <w:t>Other Compensation</w:t>
            </w:r>
            <w:r>
              <w:rPr>
                <w:rFonts w:ascii="Arial" w:cs="Arial" w:eastAsia="Arial" w:hAnsi="Arial"/>
                <w:sz w:val="30"/>
                <w:szCs w:val="30"/>
                <w:color w:val="auto"/>
                <w:vertAlign w:val="superscript"/>
              </w:rPr>
              <w:t>(1)</w:t>
            </w:r>
          </w:p>
        </w:tc>
        <w:tc>
          <w:tcPr>
            <w:tcW w:w="1720" w:type="dxa"/>
            <w:vAlign w:val="bottom"/>
            <w:tcBorders>
              <w:bottom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18"/>
                <w:szCs w:val="18"/>
                <w:color w:val="auto"/>
                <w:w w:val="98"/>
              </w:rPr>
              <w:t>$35,014</w:t>
            </w:r>
          </w:p>
        </w:tc>
        <w:tc>
          <w:tcPr>
            <w:tcW w:w="1700" w:type="dxa"/>
            <w:vAlign w:val="bottom"/>
            <w:tcBorders>
              <w:bottom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18"/>
                <w:szCs w:val="18"/>
                <w:color w:val="auto"/>
                <w:w w:val="98"/>
              </w:rPr>
              <w:t>$43,115</w:t>
            </w:r>
          </w:p>
        </w:tc>
        <w:tc>
          <w:tcPr>
            <w:tcW w:w="1480" w:type="dxa"/>
            <w:vAlign w:val="bottom"/>
            <w:tcBorders>
              <w:bottom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18"/>
                <w:szCs w:val="18"/>
                <w:color w:val="auto"/>
              </w:rPr>
              <w:t>$85,550</w:t>
            </w:r>
          </w:p>
        </w:tc>
        <w:tc>
          <w:tcPr>
            <w:tcW w:w="1600" w:type="dxa"/>
            <w:vAlign w:val="bottom"/>
            <w:tcBorders>
              <w:bottom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18"/>
                <w:szCs w:val="18"/>
                <w:color w:val="auto"/>
                <w:w w:val="98"/>
              </w:rPr>
              <w:t>$81,520</w:t>
            </w:r>
          </w:p>
        </w:tc>
        <w:tc>
          <w:tcPr>
            <w:tcW w:w="1560" w:type="dxa"/>
            <w:vAlign w:val="bottom"/>
            <w:tcBorders>
              <w:bottom w:val="single" w:sz="8" w:color="auto"/>
            </w:tcBorders>
            <w:shd w:val="clear" w:color="auto" w:fill="C6D9F1"/>
          </w:tcPr>
          <w:p>
            <w:pPr>
              <w:jc w:val="center"/>
              <w:spacing w:after="0"/>
              <w:rPr>
                <w:sz w:val="20"/>
                <w:szCs w:val="20"/>
                <w:color w:val="auto"/>
              </w:rPr>
            </w:pPr>
            <w:r>
              <w:rPr>
                <w:rFonts w:ascii="Arial" w:cs="Arial" w:eastAsia="Arial" w:hAnsi="Arial"/>
                <w:sz w:val="18"/>
                <w:szCs w:val="18"/>
                <w:color w:val="auto"/>
              </w:rPr>
              <w:t>$8,340</w:t>
            </w:r>
          </w:p>
        </w:tc>
        <w:tc>
          <w:tcPr>
            <w:tcW w:w="20" w:type="dxa"/>
            <w:vAlign w:val="bottom"/>
            <w:tcBorders>
              <w:bottom w:val="single" w:sz="8" w:color="auto"/>
            </w:tcBorders>
          </w:tcPr>
          <w:p>
            <w:pPr>
              <w:spacing w:after="0"/>
              <w:rPr>
                <w:sz w:val="22"/>
                <w:szCs w:val="22"/>
                <w:color w:val="auto"/>
              </w:rPr>
            </w:pPr>
          </w:p>
        </w:tc>
      </w:tr>
      <w:tr>
        <w:trPr>
          <w:trHeight w:val="264"/>
        </w:trPr>
        <w:tc>
          <w:tcPr>
            <w:tcW w:w="33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Total</w:t>
            </w:r>
          </w:p>
        </w:tc>
        <w:tc>
          <w:tcPr>
            <w:tcW w:w="1720" w:type="dxa"/>
            <w:vAlign w:val="bottom"/>
            <w:tcBorders>
              <w:bottom w:val="single" w:sz="8" w:color="auto"/>
              <w:right w:val="single" w:sz="8" w:color="auto"/>
            </w:tcBorders>
          </w:tcPr>
          <w:p>
            <w:pPr>
              <w:jc w:val="center"/>
              <w:spacing w:after="0" w:line="264" w:lineRule="exact"/>
              <w:rPr>
                <w:sz w:val="20"/>
                <w:szCs w:val="20"/>
                <w:color w:val="auto"/>
              </w:rPr>
            </w:pPr>
            <w:r>
              <w:rPr>
                <w:rFonts w:ascii="Arial" w:cs="Arial" w:eastAsia="Arial" w:hAnsi="Arial"/>
                <w:sz w:val="18"/>
                <w:szCs w:val="18"/>
                <w:b w:val="1"/>
                <w:bCs w:val="1"/>
                <w:color w:val="auto"/>
                <w:w w:val="94"/>
              </w:rPr>
              <w:t>$4,235,143</w:t>
            </w:r>
            <w:r>
              <w:rPr>
                <w:rFonts w:ascii="Arial" w:cs="Arial" w:eastAsia="Arial" w:hAnsi="Arial"/>
                <w:sz w:val="30"/>
                <w:szCs w:val="30"/>
                <w:color w:val="auto"/>
                <w:w w:val="94"/>
                <w:vertAlign w:val="superscript"/>
              </w:rPr>
              <w:t>(2)</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$1,047,305</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$1,567,379</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$1,233,000</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$1,403,525</w:t>
            </w:r>
          </w:p>
        </w:tc>
        <w:tc>
          <w:tcPr>
            <w:tcW w:w="20" w:type="dxa"/>
            <w:vAlign w:val="bottom"/>
            <w:tcBorders>
              <w:bottom w:val="single" w:sz="8" w:color="auto"/>
            </w:tcBorders>
          </w:tcPr>
          <w:p>
            <w:pPr>
              <w:spacing w:after="0"/>
              <w:rPr>
                <w:sz w:val="22"/>
                <w:szCs w:val="22"/>
                <w:color w:val="auto"/>
              </w:rPr>
            </w:pPr>
          </w:p>
        </w:tc>
      </w:tr>
    </w:tbl>
    <w:p>
      <w:pPr>
        <w:spacing w:after="0" w:line="248" w:lineRule="exact"/>
        <w:rPr>
          <w:sz w:val="20"/>
          <w:szCs w:val="20"/>
          <w:color w:val="auto"/>
        </w:rPr>
      </w:pPr>
    </w:p>
    <w:p>
      <w:pPr>
        <w:ind w:left="660" w:right="60" w:hanging="328"/>
        <w:spacing w:after="0" w:line="241" w:lineRule="auto"/>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For each named executive offer, this category includes, if applicable, his perquisites and personal benefits, changes in pension value, Company-paid life insurance premiums and Company contributions to our 401(k) plan. A detailed discussion of the compensation components for each named executive officer for fiscal year 2015 is provided in the “Summary Compensation Table for Fiscal Year 2015” beginning on page 42.</w:t>
      </w:r>
    </w:p>
    <w:p>
      <w:pPr>
        <w:spacing w:after="0" w:line="1" w:lineRule="exact"/>
        <w:rPr>
          <w:rFonts w:ascii="Arial" w:cs="Arial" w:eastAsia="Arial" w:hAnsi="Arial"/>
          <w:sz w:val="14"/>
          <w:szCs w:val="14"/>
          <w:color w:val="auto"/>
        </w:rPr>
      </w:pPr>
    </w:p>
    <w:p>
      <w:pPr>
        <w:ind w:left="660" w:right="720" w:hanging="328"/>
        <w:spacing w:after="0" w:line="258" w:lineRule="auto"/>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 addition, Mr. Kapoor received a one-time Stock Price Performance Award in connection with his new employment agreement effective January 1, 2015; see “Mr. Kapoor’s Stock Price Performance Award” beginning on page 39 for details regarding this Stock Price Performance Award.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7" w:name="page8"/>
    <w:bookmarkEnd w:id="7"/>
    <w:p>
      <w:pPr>
        <w:ind w:right="60" w:firstLine="648"/>
        <w:spacing w:after="0" w:line="239" w:lineRule="auto"/>
        <w:rPr>
          <w:sz w:val="20"/>
          <w:szCs w:val="20"/>
          <w:color w:val="auto"/>
        </w:rPr>
      </w:pPr>
      <w:r>
        <w:rPr>
          <w:rFonts w:ascii="Arial" w:cs="Arial" w:eastAsia="Arial" w:hAnsi="Arial"/>
          <w:sz w:val="18"/>
          <w:szCs w:val="18"/>
          <w:color w:val="auto"/>
        </w:rPr>
        <w:t>On an annual basis, we submit to our stockholders an advisory vote to approve our executive compensation. At this year’s Annual Meeting, we are seeking your approval, on a non-binding basis, of the compensation of our named executive officers as described in this proxy statement. Please refer to our Compensation Discussion and Analysis, starting on page 23 for a complete description of our 2015 compensation program.</w:t>
      </w:r>
    </w:p>
    <w:p>
      <w:pPr>
        <w:spacing w:after="0" w:line="166" w:lineRule="exact"/>
        <w:rPr>
          <w:sz w:val="20"/>
          <w:szCs w:val="20"/>
          <w:color w:val="auto"/>
        </w:rPr>
      </w:pPr>
    </w:p>
    <w:p>
      <w:pPr>
        <w:ind w:left="340" w:right="220" w:hanging="332"/>
        <w:spacing w:after="0" w:line="253"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98% Say on Pay Approval Last Year</w:t>
      </w:r>
      <w:r>
        <w:rPr>
          <w:rFonts w:ascii="Arial" w:cs="Arial" w:eastAsia="Arial" w:hAnsi="Arial"/>
          <w:sz w:val="18"/>
          <w:szCs w:val="18"/>
          <w:color w:val="auto"/>
        </w:rPr>
        <w:t>: At our 2015 Annual Meeting of Stockholders, our stockholders approved (on a non-binding basis)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compensation paid to our named executive officers for fiscal year 2014. Approximately 98% of the votes were in favor of fiscal year 2014 compensation.</w:t>
      </w:r>
    </w:p>
    <w:p>
      <w:pPr>
        <w:spacing w:after="0" w:line="155" w:lineRule="exact"/>
        <w:rPr>
          <w:rFonts w:ascii="Arial" w:cs="Arial" w:eastAsia="Arial" w:hAnsi="Arial"/>
          <w:sz w:val="18"/>
          <w:szCs w:val="18"/>
          <w:color w:val="auto"/>
        </w:rPr>
      </w:pPr>
    </w:p>
    <w:p>
      <w:pPr>
        <w:ind w:left="340" w:hanging="332"/>
        <w:spacing w:after="0" w:line="271"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Annual Bonus Program Based Upon Financial Performance Criteria</w:t>
      </w:r>
      <w:r>
        <w:rPr>
          <w:rFonts w:ascii="Arial" w:cs="Arial" w:eastAsia="Arial" w:hAnsi="Arial"/>
          <w:sz w:val="18"/>
          <w:szCs w:val="18"/>
          <w:color w:val="auto"/>
        </w:rPr>
        <w:t>: Our Compensation Committee approved the continued use of our</w:t>
      </w:r>
      <w:r>
        <w:rPr>
          <w:rFonts w:ascii="Arial" w:cs="Arial" w:eastAsia="Arial" w:hAnsi="Arial"/>
          <w:sz w:val="18"/>
          <w:szCs w:val="18"/>
          <w:b w:val="1"/>
          <w:bCs w:val="1"/>
          <w:color w:val="auto"/>
        </w:rPr>
        <w:t xml:space="preserve"> </w:t>
      </w:r>
      <w:r>
        <w:rPr>
          <w:rFonts w:ascii="Arial" w:cs="Arial" w:eastAsia="Arial" w:hAnsi="Arial"/>
          <w:sz w:val="18"/>
          <w:szCs w:val="18"/>
          <w:color w:val="auto"/>
        </w:rPr>
        <w:t>annual bonus program, which was redesigned in 2014 to be based upon the following performance criteria:</w:t>
      </w:r>
    </w:p>
    <w:p>
      <w:pPr>
        <w:spacing w:after="0" w:line="157" w:lineRule="exact"/>
        <w:rPr>
          <w:rFonts w:ascii="Arial" w:cs="Arial" w:eastAsia="Arial" w:hAnsi="Arial"/>
          <w:sz w:val="18"/>
          <w:szCs w:val="18"/>
          <w:color w:val="auto"/>
        </w:rPr>
      </w:pPr>
    </w:p>
    <w:p>
      <w:pPr>
        <w:ind w:left="720" w:hanging="334"/>
        <w:spacing w:after="0"/>
        <w:tabs>
          <w:tab w:leader="none" w:pos="7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Company Wide Metrics – Adjusted earnings per share (EPS) and revenue</w:t>
      </w:r>
    </w:p>
    <w:p>
      <w:pPr>
        <w:ind w:left="720" w:hanging="334"/>
        <w:spacing w:after="0" w:line="234" w:lineRule="auto"/>
        <w:tabs>
          <w:tab w:leader="none" w:pos="7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Business Line Metrics – Revenues, new client revenues and margin achievement</w:t>
      </w:r>
    </w:p>
    <w:p>
      <w:pPr>
        <w:ind w:left="720" w:hanging="334"/>
        <w:spacing w:after="0"/>
        <w:tabs>
          <w:tab w:leader="none" w:pos="7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Individual Metrics – Specific to selected executives</w:t>
      </w:r>
    </w:p>
    <w:p>
      <w:pPr>
        <w:spacing w:after="0" w:line="176" w:lineRule="exact"/>
        <w:rPr>
          <w:rFonts w:ascii="Arial" w:cs="Arial" w:eastAsia="Arial" w:hAnsi="Arial"/>
          <w:sz w:val="18"/>
          <w:szCs w:val="18"/>
          <w:color w:val="auto"/>
        </w:rPr>
      </w:pPr>
    </w:p>
    <w:p>
      <w:pPr>
        <w:ind w:left="340" w:right="80" w:hanging="332"/>
        <w:spacing w:after="0" w:line="253"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Long-Term Equity Incentive Program</w:t>
      </w:r>
      <w:r>
        <w:rPr>
          <w:rFonts w:ascii="Arial" w:cs="Arial" w:eastAsia="Arial" w:hAnsi="Arial"/>
          <w:sz w:val="18"/>
          <w:szCs w:val="18"/>
          <w:color w:val="auto"/>
        </w:rPr>
        <w:t>: We also continued our equity incentive program that we first implemented in 2014, which includes</w:t>
      </w:r>
      <w:r>
        <w:rPr>
          <w:rFonts w:ascii="Arial" w:cs="Arial" w:eastAsia="Arial" w:hAnsi="Arial"/>
          <w:sz w:val="18"/>
          <w:szCs w:val="18"/>
          <w:b w:val="1"/>
          <w:bCs w:val="1"/>
          <w:color w:val="auto"/>
        </w:rPr>
        <w:t xml:space="preserve"> </w:t>
      </w:r>
      <w:r>
        <w:rPr>
          <w:rFonts w:ascii="Arial" w:cs="Arial" w:eastAsia="Arial" w:hAnsi="Arial"/>
          <w:sz w:val="18"/>
          <w:szCs w:val="18"/>
          <w:color w:val="auto"/>
        </w:rPr>
        <w:t>granting a mix of time-vested restricted stock units and performance-based restricted stock units. The performance-based restricted stock units were comprised of:</w:t>
      </w:r>
    </w:p>
    <w:p>
      <w:pPr>
        <w:spacing w:after="0" w:line="173" w:lineRule="exact"/>
        <w:rPr>
          <w:rFonts w:ascii="Arial" w:cs="Arial" w:eastAsia="Arial" w:hAnsi="Arial"/>
          <w:sz w:val="18"/>
          <w:szCs w:val="18"/>
          <w:color w:val="auto"/>
        </w:rPr>
      </w:pPr>
    </w:p>
    <w:p>
      <w:pPr>
        <w:ind w:left="720" w:hanging="334"/>
        <w:spacing w:after="0"/>
        <w:tabs>
          <w:tab w:leader="none" w:pos="7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Relative total stockholder return (TSR)-linked restricted stock units, and</w:t>
      </w:r>
    </w:p>
    <w:p>
      <w:pPr>
        <w:ind w:left="720" w:hanging="334"/>
        <w:spacing w:after="0"/>
        <w:tabs>
          <w:tab w:leader="none" w:pos="7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Revenue-linked restricted stock units.</w:t>
      </w:r>
    </w:p>
    <w:p>
      <w:pPr>
        <w:spacing w:after="0" w:line="176"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Strong Performance</w:t>
      </w:r>
      <w:r>
        <w:rPr>
          <w:rFonts w:ascii="Arial" w:cs="Arial" w:eastAsia="Arial" w:hAnsi="Arial"/>
          <w:sz w:val="18"/>
          <w:szCs w:val="18"/>
          <w:color w:val="auto"/>
        </w:rPr>
        <w:t>: We delivered strong revenue and Adjusted EPS performance in 2015.</w:t>
      </w:r>
    </w:p>
    <w:p>
      <w:pPr>
        <w:spacing w:after="0" w:line="211" w:lineRule="exact"/>
        <w:rPr>
          <w:rFonts w:ascii="Arial" w:cs="Arial" w:eastAsia="Arial" w:hAnsi="Arial"/>
          <w:sz w:val="18"/>
          <w:szCs w:val="18"/>
          <w:color w:val="auto"/>
        </w:rPr>
      </w:pPr>
    </w:p>
    <w:p>
      <w:pPr>
        <w:ind w:left="720" w:right="600" w:hanging="334"/>
        <w:spacing w:after="0" w:line="247" w:lineRule="auto"/>
        <w:tabs>
          <w:tab w:leader="none" w:pos="720" w:val="left"/>
        </w:tabs>
        <w:numPr>
          <w:ilvl w:val="1"/>
          <w:numId w:val="12"/>
        </w:numPr>
        <w:rPr>
          <w:rFonts w:ascii="Arial" w:cs="Arial" w:eastAsia="Arial" w:hAnsi="Arial"/>
          <w:sz w:val="18"/>
          <w:szCs w:val="18"/>
          <w:color w:val="auto"/>
        </w:rPr>
      </w:pPr>
      <w:r>
        <w:rPr>
          <w:rFonts w:ascii="Arial" w:cs="Arial" w:eastAsia="Arial" w:hAnsi="Arial"/>
          <w:sz w:val="18"/>
          <w:szCs w:val="18"/>
          <w:b w:val="1"/>
          <w:bCs w:val="1"/>
          <w:color w:val="auto"/>
        </w:rPr>
        <w:t>Annual Incentive Program</w:t>
      </w:r>
      <w:r>
        <w:rPr>
          <w:rFonts w:ascii="Arial" w:cs="Arial" w:eastAsia="Arial" w:hAnsi="Arial"/>
          <w:sz w:val="18"/>
          <w:szCs w:val="18"/>
          <w:color w:val="auto"/>
        </w:rPr>
        <w:t>: As measured under our annual incentive plan, we delivered 100% of our Adjusted EPS target and</w:t>
      </w:r>
      <w:r>
        <w:rPr>
          <w:rFonts w:ascii="Arial" w:cs="Arial" w:eastAsia="Arial" w:hAnsi="Arial"/>
          <w:sz w:val="18"/>
          <w:szCs w:val="18"/>
          <w:b w:val="1"/>
          <w:bCs w:val="1"/>
          <w:color w:val="auto"/>
        </w:rPr>
        <w:t xml:space="preserve"> </w:t>
      </w:r>
      <w:r>
        <w:rPr>
          <w:rFonts w:ascii="Arial" w:cs="Arial" w:eastAsia="Arial" w:hAnsi="Arial"/>
          <w:sz w:val="18"/>
          <w:szCs w:val="18"/>
          <w:color w:val="auto"/>
        </w:rPr>
        <w:t>exceeded our total revenue performance target (102.2%).</w:t>
      </w:r>
    </w:p>
    <w:p>
      <w:pPr>
        <w:spacing w:after="0" w:line="1" w:lineRule="exact"/>
        <w:rPr>
          <w:rFonts w:ascii="Arial" w:cs="Arial" w:eastAsia="Arial" w:hAnsi="Arial"/>
          <w:sz w:val="18"/>
          <w:szCs w:val="18"/>
          <w:color w:val="auto"/>
        </w:rPr>
      </w:pPr>
    </w:p>
    <w:p>
      <w:pPr>
        <w:ind w:left="720" w:right="260" w:hanging="334"/>
        <w:spacing w:after="0"/>
        <w:tabs>
          <w:tab w:leader="none" w:pos="720" w:val="left"/>
        </w:tabs>
        <w:numPr>
          <w:ilvl w:val="1"/>
          <w:numId w:val="12"/>
        </w:numPr>
        <w:rPr>
          <w:rFonts w:ascii="Arial" w:cs="Arial" w:eastAsia="Arial" w:hAnsi="Arial"/>
          <w:sz w:val="18"/>
          <w:szCs w:val="18"/>
          <w:color w:val="auto"/>
        </w:rPr>
      </w:pPr>
      <w:r>
        <w:rPr>
          <w:rFonts w:ascii="Arial" w:cs="Arial" w:eastAsia="Arial" w:hAnsi="Arial"/>
          <w:sz w:val="18"/>
          <w:szCs w:val="18"/>
          <w:b w:val="1"/>
          <w:bCs w:val="1"/>
          <w:color w:val="auto"/>
        </w:rPr>
        <w:t>Equity Incentive Program</w:t>
      </w:r>
      <w:r>
        <w:rPr>
          <w:rFonts w:ascii="Arial" w:cs="Arial" w:eastAsia="Arial" w:hAnsi="Arial"/>
          <w:sz w:val="18"/>
          <w:szCs w:val="18"/>
          <w:color w:val="auto"/>
        </w:rPr>
        <w:t>: Our strong revenue achievement resulted in our executives banking one-third of the revenue-linked</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stock units for each of the 2014 and 2015 revenue performance based grants, based on metrics set by the Compensation Committee in advance and under the terms of our equity plan.</w:t>
      </w:r>
    </w:p>
    <w:p>
      <w:pPr>
        <w:spacing w:after="0" w:line="167"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Compensation Mix:</w:t>
      </w:r>
    </w:p>
    <w:p>
      <w:pPr>
        <w:spacing w:after="0" w:line="207" w:lineRule="exact"/>
        <w:rPr>
          <w:sz w:val="20"/>
          <w:szCs w:val="20"/>
          <w:color w:val="auto"/>
        </w:rPr>
      </w:pPr>
    </w:p>
    <w:tbl>
      <w:tblPr>
        <w:tblLayout w:type="fixed"/>
        <w:tblInd w:w="980" w:type="dxa"/>
        <w:tblCellMar>
          <w:top w:w="0" w:type="dxa"/>
          <w:left w:w="0" w:type="dxa"/>
          <w:bottom w:w="0" w:type="dxa"/>
          <w:right w:w="0" w:type="dxa"/>
        </w:tblCellMar>
      </w:tblPr>
      <w:tr>
        <w:trPr>
          <w:trHeight w:val="207"/>
        </w:trPr>
        <w:tc>
          <w:tcPr>
            <w:tcW w:w="496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Vice Chairman &amp; CEO Compensation Mix </w:t>
            </w:r>
            <w:r>
              <w:rPr>
                <w:rFonts w:ascii="Arial" w:cs="Arial" w:eastAsia="Arial" w:hAnsi="Arial"/>
                <w:sz w:val="30"/>
                <w:szCs w:val="30"/>
                <w:color w:val="auto"/>
                <w:vertAlign w:val="superscript"/>
              </w:rPr>
              <w:t>(1)</w:t>
            </w:r>
          </w:p>
        </w:tc>
        <w:tc>
          <w:tcPr>
            <w:tcW w:w="4080" w:type="dxa"/>
            <w:vAlign w:val="bottom"/>
          </w:tcPr>
          <w:p>
            <w:pPr>
              <w:jc w:val="center"/>
              <w:ind w:left="1110"/>
              <w:spacing w:after="0"/>
              <w:rPr>
                <w:sz w:val="20"/>
                <w:szCs w:val="20"/>
                <w:color w:val="auto"/>
              </w:rPr>
            </w:pPr>
            <w:r>
              <w:rPr>
                <w:rFonts w:ascii="Arial" w:cs="Arial" w:eastAsia="Arial" w:hAnsi="Arial"/>
                <w:sz w:val="18"/>
                <w:szCs w:val="18"/>
                <w:b w:val="1"/>
                <w:bCs w:val="1"/>
                <w:color w:val="auto"/>
                <w:w w:val="99"/>
              </w:rPr>
              <w:t>NEO Compensation Mix</w:t>
            </w:r>
          </w:p>
        </w:tc>
        <w:tc>
          <w:tcPr>
            <w:tcW w:w="0" w:type="dxa"/>
            <w:vAlign w:val="bottom"/>
          </w:tcPr>
          <w:p>
            <w:pPr>
              <w:spacing w:after="0"/>
              <w:rPr>
                <w:sz w:val="1"/>
                <w:szCs w:val="1"/>
                <w:color w:val="auto"/>
              </w:rPr>
            </w:pPr>
          </w:p>
        </w:tc>
      </w:tr>
      <w:tr>
        <w:trPr>
          <w:trHeight w:val="185"/>
        </w:trPr>
        <w:tc>
          <w:tcPr>
            <w:tcW w:w="4960" w:type="dxa"/>
            <w:vAlign w:val="bottom"/>
            <w:vMerge w:val="continue"/>
          </w:tcPr>
          <w:p>
            <w:pPr>
              <w:spacing w:after="0"/>
              <w:rPr>
                <w:sz w:val="16"/>
                <w:szCs w:val="16"/>
                <w:color w:val="auto"/>
              </w:rPr>
            </w:pPr>
          </w:p>
        </w:tc>
        <w:tc>
          <w:tcPr>
            <w:tcW w:w="4080" w:type="dxa"/>
            <w:vAlign w:val="bottom"/>
            <w:vMerge w:val="restart"/>
          </w:tcPr>
          <w:p>
            <w:pPr>
              <w:jc w:val="center"/>
              <w:ind w:left="1090"/>
              <w:spacing w:after="0"/>
              <w:rPr>
                <w:sz w:val="20"/>
                <w:szCs w:val="20"/>
                <w:color w:val="auto"/>
              </w:rPr>
            </w:pPr>
            <w:r>
              <w:rPr>
                <w:rFonts w:ascii="Arial" w:cs="Arial" w:eastAsia="Arial" w:hAnsi="Arial"/>
                <w:sz w:val="18"/>
                <w:szCs w:val="18"/>
                <w:b w:val="1"/>
                <w:bCs w:val="1"/>
                <w:color w:val="auto"/>
                <w:w w:val="99"/>
              </w:rPr>
              <w:t>(Excluding Vice Chairman &amp; CEO)</w:t>
            </w:r>
          </w:p>
        </w:tc>
        <w:tc>
          <w:tcPr>
            <w:tcW w:w="0" w:type="dxa"/>
            <w:vAlign w:val="bottom"/>
          </w:tcPr>
          <w:p>
            <w:pPr>
              <w:spacing w:after="0"/>
              <w:rPr>
                <w:sz w:val="1"/>
                <w:szCs w:val="1"/>
                <w:color w:val="auto"/>
              </w:rPr>
            </w:pPr>
          </w:p>
        </w:tc>
      </w:tr>
      <w:tr>
        <w:trPr>
          <w:trHeight w:val="54"/>
        </w:trPr>
        <w:tc>
          <w:tcPr>
            <w:tcW w:w="4960" w:type="dxa"/>
            <w:vAlign w:val="bottom"/>
          </w:tcPr>
          <w:p>
            <w:pPr>
              <w:spacing w:after="0"/>
              <w:rPr>
                <w:sz w:val="4"/>
                <w:szCs w:val="4"/>
                <w:color w:val="auto"/>
              </w:rPr>
            </w:pPr>
          </w:p>
        </w:tc>
        <w:tc>
          <w:tcPr>
            <w:tcW w:w="4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60325</wp:posOffset>
            </wp:positionV>
            <wp:extent cx="5951855" cy="18954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51855" cy="189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Mr. Kapoor’s equity component includes his one-time Stock Price Performance Award.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1F497C"/>
        </w:rPr>
        <w:t>Auditor Matters</w:t>
      </w:r>
    </w:p>
    <w:p>
      <w:pPr>
        <w:spacing w:after="0" w:line="220" w:lineRule="exact"/>
        <w:rPr>
          <w:sz w:val="20"/>
          <w:szCs w:val="20"/>
          <w:color w:val="auto"/>
        </w:rPr>
      </w:pPr>
    </w:p>
    <w:p>
      <w:pPr>
        <w:ind w:right="400" w:firstLine="648"/>
        <w:spacing w:after="0" w:line="246" w:lineRule="auto"/>
        <w:rPr>
          <w:sz w:val="20"/>
          <w:szCs w:val="20"/>
          <w:color w:val="auto"/>
        </w:rPr>
      </w:pPr>
      <w:r>
        <w:rPr>
          <w:rFonts w:ascii="Arial" w:cs="Arial" w:eastAsia="Arial" w:hAnsi="Arial"/>
          <w:sz w:val="18"/>
          <w:szCs w:val="18"/>
          <w:color w:val="auto"/>
        </w:rPr>
        <w:t>As a matter of good corporate practice, we are seeking your ratification of Ernst &amp; Young LLP as our independent registered public accounting firm for fiscal year 2016. For more information on our auditors, including 2015 audit fees, see page 78.</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40" w:type="dxa"/>
            <w:vAlign w:val="bottom"/>
            <w:tcBorders>
              <w:right w:val="single" w:sz="8" w:color="auto"/>
            </w:tcBorders>
          </w:tcPr>
          <w:p>
            <w:pPr>
              <w:spacing w:after="0"/>
              <w:rPr>
                <w:sz w:val="17"/>
                <w:szCs w:val="17"/>
                <w:color w:val="auto"/>
              </w:rPr>
            </w:pPr>
          </w:p>
        </w:tc>
        <w:tc>
          <w:tcPr>
            <w:tcW w:w="2760" w:type="dxa"/>
            <w:vAlign w:val="bottom"/>
            <w:tcBorders>
              <w:top w:val="single" w:sz="8" w:color="auto"/>
            </w:tcBorders>
            <w:shd w:val="clear" w:color="auto" w:fill="5591C7"/>
          </w:tcPr>
          <w:p>
            <w:pPr>
              <w:spacing w:after="0"/>
              <w:rPr>
                <w:sz w:val="17"/>
                <w:szCs w:val="17"/>
                <w:color w:val="auto"/>
              </w:rPr>
            </w:pPr>
          </w:p>
        </w:tc>
        <w:tc>
          <w:tcPr>
            <w:tcW w:w="3400" w:type="dxa"/>
            <w:vAlign w:val="bottom"/>
            <w:tcBorders>
              <w:top w:val="single" w:sz="8" w:color="auto"/>
            </w:tcBorders>
            <w:shd w:val="clear" w:color="auto" w:fill="5591C7"/>
          </w:tcPr>
          <w:p>
            <w:pPr>
              <w:spacing w:after="0"/>
              <w:rPr>
                <w:sz w:val="17"/>
                <w:szCs w:val="17"/>
                <w:color w:val="auto"/>
              </w:rPr>
            </w:pPr>
          </w:p>
        </w:tc>
        <w:tc>
          <w:tcPr>
            <w:tcW w:w="1820" w:type="dxa"/>
            <w:vAlign w:val="bottom"/>
            <w:tcBorders>
              <w:top w:val="single" w:sz="8" w:color="auto"/>
              <w:right w:val="single" w:sz="8" w:color="auto"/>
            </w:tcBorders>
            <w:shd w:val="clear" w:color="auto" w:fill="5591C7"/>
          </w:tcPr>
          <w:p>
            <w:pPr>
              <w:jc w:val="right"/>
              <w:ind w:right="890"/>
              <w:spacing w:after="0"/>
              <w:rPr>
                <w:sz w:val="20"/>
                <w:szCs w:val="20"/>
                <w:color w:val="auto"/>
              </w:rPr>
            </w:pPr>
            <w:r>
              <w:rPr>
                <w:rFonts w:ascii="Arial" w:cs="Arial" w:eastAsia="Arial" w:hAnsi="Arial"/>
                <w:sz w:val="18"/>
                <w:szCs w:val="18"/>
                <w:b w:val="1"/>
                <w:bCs w:val="1"/>
                <w:color w:val="auto"/>
              </w:rPr>
              <w:t>2015</w:t>
            </w:r>
          </w:p>
        </w:tc>
        <w:tc>
          <w:tcPr>
            <w:tcW w:w="1700" w:type="dxa"/>
            <w:vAlign w:val="bottom"/>
          </w:tcPr>
          <w:p>
            <w:pPr>
              <w:spacing w:after="0"/>
              <w:rPr>
                <w:sz w:val="17"/>
                <w:szCs w:val="17"/>
                <w:color w:val="auto"/>
              </w:rPr>
            </w:pPr>
          </w:p>
        </w:tc>
      </w:tr>
      <w:tr>
        <w:trPr>
          <w:trHeight w:val="239"/>
        </w:trPr>
        <w:tc>
          <w:tcPr>
            <w:tcW w:w="1740" w:type="dxa"/>
            <w:vAlign w:val="bottom"/>
            <w:tcBorders>
              <w:right w:val="single" w:sz="8" w:color="auto"/>
            </w:tcBorders>
          </w:tcPr>
          <w:p>
            <w:pPr>
              <w:spacing w:after="0"/>
              <w:rPr>
                <w:sz w:val="20"/>
                <w:szCs w:val="20"/>
                <w:color w:val="auto"/>
              </w:rPr>
            </w:pPr>
          </w:p>
        </w:tc>
        <w:tc>
          <w:tcPr>
            <w:tcW w:w="2760" w:type="dxa"/>
            <w:vAlign w:val="bottom"/>
            <w:tcBorders>
              <w:bottom w:val="single" w:sz="8" w:color="auto"/>
            </w:tcBorders>
            <w:shd w:val="clear" w:color="auto" w:fill="5591C7"/>
          </w:tcPr>
          <w:p>
            <w:pPr>
              <w:spacing w:after="0"/>
              <w:rPr>
                <w:sz w:val="20"/>
                <w:szCs w:val="20"/>
                <w:color w:val="auto"/>
              </w:rPr>
            </w:pPr>
          </w:p>
        </w:tc>
        <w:tc>
          <w:tcPr>
            <w:tcW w:w="3400" w:type="dxa"/>
            <w:vAlign w:val="bottom"/>
            <w:tcBorders>
              <w:bottom w:val="single" w:sz="8" w:color="auto"/>
            </w:tcBorders>
            <w:shd w:val="clear" w:color="auto" w:fill="5591C7"/>
          </w:tcPr>
          <w:p>
            <w:pPr>
              <w:spacing w:after="0"/>
              <w:rPr>
                <w:sz w:val="20"/>
                <w:szCs w:val="20"/>
                <w:color w:val="auto"/>
              </w:rPr>
            </w:pPr>
          </w:p>
        </w:tc>
        <w:tc>
          <w:tcPr>
            <w:tcW w:w="1820" w:type="dxa"/>
            <w:vAlign w:val="bottom"/>
            <w:tcBorders>
              <w:bottom w:val="single" w:sz="8" w:color="auto"/>
              <w:right w:val="single" w:sz="8" w:color="auto"/>
            </w:tcBorders>
            <w:shd w:val="clear" w:color="auto" w:fill="5591C7"/>
          </w:tcPr>
          <w:p>
            <w:pPr>
              <w:jc w:val="right"/>
              <w:ind w:right="470"/>
              <w:spacing w:after="0"/>
              <w:rPr>
                <w:sz w:val="20"/>
                <w:szCs w:val="20"/>
                <w:color w:val="auto"/>
              </w:rPr>
            </w:pPr>
            <w:r>
              <w:rPr>
                <w:rFonts w:ascii="Arial" w:cs="Arial" w:eastAsia="Arial" w:hAnsi="Arial"/>
                <w:sz w:val="18"/>
                <w:szCs w:val="18"/>
                <w:b w:val="1"/>
                <w:bCs w:val="1"/>
                <w:color w:val="auto"/>
                <w:w w:val="99"/>
              </w:rPr>
              <w:t>(in thousands)</w:t>
            </w:r>
          </w:p>
        </w:tc>
        <w:tc>
          <w:tcPr>
            <w:tcW w:w="1700" w:type="dxa"/>
            <w:vAlign w:val="bottom"/>
          </w:tcPr>
          <w:p>
            <w:pPr>
              <w:spacing w:after="0"/>
              <w:rPr>
                <w:sz w:val="20"/>
                <w:szCs w:val="20"/>
                <w:color w:val="auto"/>
              </w:rPr>
            </w:pPr>
          </w:p>
        </w:tc>
      </w:tr>
      <w:tr>
        <w:trPr>
          <w:trHeight w:val="223"/>
        </w:trPr>
        <w:tc>
          <w:tcPr>
            <w:tcW w:w="1740" w:type="dxa"/>
            <w:vAlign w:val="bottom"/>
            <w:tcBorders>
              <w:right w:val="single" w:sz="8" w:color="auto"/>
            </w:tcBorders>
          </w:tcPr>
          <w:p>
            <w:pPr>
              <w:spacing w:after="0"/>
              <w:rPr>
                <w:sz w:val="19"/>
                <w:szCs w:val="19"/>
                <w:color w:val="auto"/>
              </w:rPr>
            </w:pPr>
          </w:p>
        </w:tc>
        <w:tc>
          <w:tcPr>
            <w:tcW w:w="2760" w:type="dxa"/>
            <w:vAlign w:val="bottom"/>
            <w:shd w:val="clear" w:color="auto" w:fill="B8CDE8"/>
          </w:tcPr>
          <w:p>
            <w:pPr>
              <w:ind w:left="80"/>
              <w:spacing w:after="0"/>
              <w:rPr>
                <w:sz w:val="20"/>
                <w:szCs w:val="20"/>
                <w:color w:val="auto"/>
              </w:rPr>
            </w:pPr>
            <w:r>
              <w:rPr>
                <w:rFonts w:ascii="Arial" w:cs="Arial" w:eastAsia="Arial" w:hAnsi="Arial"/>
                <w:sz w:val="18"/>
                <w:szCs w:val="18"/>
                <w:color w:val="auto"/>
              </w:rPr>
              <w:t>Audit Fees</w:t>
            </w:r>
          </w:p>
        </w:tc>
        <w:tc>
          <w:tcPr>
            <w:tcW w:w="3400" w:type="dxa"/>
            <w:vAlign w:val="bottom"/>
            <w:shd w:val="clear" w:color="auto" w:fill="B8CDE8"/>
          </w:tcPr>
          <w:p>
            <w:pPr>
              <w:jc w:val="right"/>
              <w:spacing w:after="0"/>
              <w:rPr>
                <w:sz w:val="20"/>
                <w:szCs w:val="20"/>
                <w:color w:val="auto"/>
              </w:rPr>
            </w:pPr>
            <w:r>
              <w:rPr>
                <w:rFonts w:ascii="Arial" w:cs="Arial" w:eastAsia="Arial" w:hAnsi="Arial"/>
                <w:sz w:val="18"/>
                <w:szCs w:val="18"/>
                <w:color w:val="auto"/>
              </w:rPr>
              <w:t>$</w:t>
            </w:r>
          </w:p>
        </w:tc>
        <w:tc>
          <w:tcPr>
            <w:tcW w:w="1820" w:type="dxa"/>
            <w:vAlign w:val="bottom"/>
            <w:tcBorders>
              <w:right w:val="single" w:sz="8" w:color="auto"/>
            </w:tcBorders>
            <w:shd w:val="clear" w:color="auto" w:fill="B8CDE8"/>
          </w:tcPr>
          <w:p>
            <w:pPr>
              <w:jc w:val="right"/>
              <w:ind w:right="30"/>
              <w:spacing w:after="0"/>
              <w:rPr>
                <w:sz w:val="20"/>
                <w:szCs w:val="20"/>
                <w:color w:val="auto"/>
              </w:rPr>
            </w:pPr>
            <w:r>
              <w:rPr>
                <w:rFonts w:ascii="Arial" w:cs="Arial" w:eastAsia="Arial" w:hAnsi="Arial"/>
                <w:sz w:val="18"/>
                <w:szCs w:val="18"/>
                <w:color w:val="auto"/>
              </w:rPr>
              <w:t>1,453</w:t>
            </w:r>
          </w:p>
        </w:tc>
        <w:tc>
          <w:tcPr>
            <w:tcW w:w="1700" w:type="dxa"/>
            <w:vAlign w:val="bottom"/>
          </w:tcPr>
          <w:p>
            <w:pPr>
              <w:spacing w:after="0"/>
              <w:rPr>
                <w:sz w:val="19"/>
                <w:szCs w:val="19"/>
                <w:color w:val="auto"/>
              </w:rPr>
            </w:pPr>
          </w:p>
        </w:tc>
      </w:tr>
      <w:tr>
        <w:trPr>
          <w:trHeight w:val="230"/>
        </w:trPr>
        <w:tc>
          <w:tcPr>
            <w:tcW w:w="1740" w:type="dxa"/>
            <w:vAlign w:val="bottom"/>
            <w:tcBorders>
              <w:right w:val="single" w:sz="8" w:color="auto"/>
            </w:tcBorders>
          </w:tcPr>
          <w:p>
            <w:pPr>
              <w:spacing w:after="0"/>
              <w:rPr>
                <w:sz w:val="19"/>
                <w:szCs w:val="19"/>
                <w:color w:val="auto"/>
              </w:rPr>
            </w:pPr>
          </w:p>
        </w:tc>
        <w:tc>
          <w:tcPr>
            <w:tcW w:w="2760" w:type="dxa"/>
            <w:vAlign w:val="bottom"/>
          </w:tcPr>
          <w:p>
            <w:pPr>
              <w:ind w:left="80"/>
              <w:spacing w:after="0"/>
              <w:rPr>
                <w:sz w:val="20"/>
                <w:szCs w:val="20"/>
                <w:color w:val="auto"/>
              </w:rPr>
            </w:pPr>
            <w:r>
              <w:rPr>
                <w:rFonts w:ascii="Arial" w:cs="Arial" w:eastAsia="Arial" w:hAnsi="Arial"/>
                <w:sz w:val="18"/>
                <w:szCs w:val="18"/>
                <w:color w:val="auto"/>
              </w:rPr>
              <w:t>Audit-Related Fees</w:t>
            </w:r>
          </w:p>
        </w:tc>
        <w:tc>
          <w:tcPr>
            <w:tcW w:w="3400" w:type="dxa"/>
            <w:vAlign w:val="bottom"/>
          </w:tcPr>
          <w:p>
            <w:pPr>
              <w:spacing w:after="0"/>
              <w:rPr>
                <w:sz w:val="19"/>
                <w:szCs w:val="19"/>
                <w:color w:val="auto"/>
              </w:rPr>
            </w:pPr>
          </w:p>
        </w:tc>
        <w:tc>
          <w:tcPr>
            <w:tcW w:w="18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179</w:t>
            </w:r>
          </w:p>
        </w:tc>
        <w:tc>
          <w:tcPr>
            <w:tcW w:w="1700" w:type="dxa"/>
            <w:vAlign w:val="bottom"/>
          </w:tcPr>
          <w:p>
            <w:pPr>
              <w:spacing w:after="0"/>
              <w:rPr>
                <w:sz w:val="19"/>
                <w:szCs w:val="19"/>
                <w:color w:val="auto"/>
              </w:rPr>
            </w:pPr>
          </w:p>
        </w:tc>
      </w:tr>
      <w:tr>
        <w:trPr>
          <w:trHeight w:val="230"/>
        </w:trPr>
        <w:tc>
          <w:tcPr>
            <w:tcW w:w="1740" w:type="dxa"/>
            <w:vAlign w:val="bottom"/>
            <w:tcBorders>
              <w:right w:val="single" w:sz="8" w:color="auto"/>
            </w:tcBorders>
          </w:tcPr>
          <w:p>
            <w:pPr>
              <w:spacing w:after="0"/>
              <w:rPr>
                <w:sz w:val="19"/>
                <w:szCs w:val="19"/>
                <w:color w:val="auto"/>
              </w:rPr>
            </w:pPr>
          </w:p>
        </w:tc>
        <w:tc>
          <w:tcPr>
            <w:tcW w:w="2760" w:type="dxa"/>
            <w:vAlign w:val="bottom"/>
            <w:shd w:val="clear" w:color="auto" w:fill="B8CDE8"/>
          </w:tcPr>
          <w:p>
            <w:pPr>
              <w:ind w:left="80"/>
              <w:spacing w:after="0"/>
              <w:rPr>
                <w:sz w:val="20"/>
                <w:szCs w:val="20"/>
                <w:color w:val="auto"/>
              </w:rPr>
            </w:pPr>
            <w:r>
              <w:rPr>
                <w:rFonts w:ascii="Arial" w:cs="Arial" w:eastAsia="Arial" w:hAnsi="Arial"/>
                <w:sz w:val="18"/>
                <w:szCs w:val="18"/>
                <w:color w:val="auto"/>
              </w:rPr>
              <w:t>Tax Fees</w:t>
            </w:r>
          </w:p>
        </w:tc>
        <w:tc>
          <w:tcPr>
            <w:tcW w:w="3400" w:type="dxa"/>
            <w:vAlign w:val="bottom"/>
            <w:shd w:val="clear" w:color="auto" w:fill="B8CDE8"/>
          </w:tcPr>
          <w:p>
            <w:pPr>
              <w:spacing w:after="0"/>
              <w:rPr>
                <w:sz w:val="19"/>
                <w:szCs w:val="19"/>
                <w:color w:val="auto"/>
              </w:rPr>
            </w:pPr>
          </w:p>
        </w:tc>
        <w:tc>
          <w:tcPr>
            <w:tcW w:w="1820" w:type="dxa"/>
            <w:vAlign w:val="bottom"/>
            <w:tcBorders>
              <w:right w:val="single" w:sz="8" w:color="auto"/>
            </w:tcBorders>
            <w:shd w:val="clear" w:color="auto" w:fill="B8CDE8"/>
          </w:tcPr>
          <w:p>
            <w:pPr>
              <w:jc w:val="right"/>
              <w:ind w:right="30"/>
              <w:spacing w:after="0"/>
              <w:rPr>
                <w:sz w:val="20"/>
                <w:szCs w:val="20"/>
                <w:color w:val="auto"/>
              </w:rPr>
            </w:pPr>
            <w:r>
              <w:rPr>
                <w:rFonts w:ascii="Arial" w:cs="Arial" w:eastAsia="Arial" w:hAnsi="Arial"/>
                <w:sz w:val="18"/>
                <w:szCs w:val="18"/>
                <w:color w:val="auto"/>
              </w:rPr>
              <w:t>45</w:t>
            </w:r>
          </w:p>
        </w:tc>
        <w:tc>
          <w:tcPr>
            <w:tcW w:w="1700" w:type="dxa"/>
            <w:vAlign w:val="bottom"/>
          </w:tcPr>
          <w:p>
            <w:pPr>
              <w:spacing w:after="0"/>
              <w:rPr>
                <w:sz w:val="19"/>
                <w:szCs w:val="19"/>
                <w:color w:val="auto"/>
              </w:rPr>
            </w:pPr>
          </w:p>
        </w:tc>
      </w:tr>
      <w:tr>
        <w:trPr>
          <w:trHeight w:val="230"/>
        </w:trPr>
        <w:tc>
          <w:tcPr>
            <w:tcW w:w="1740" w:type="dxa"/>
            <w:vAlign w:val="bottom"/>
            <w:tcBorders>
              <w:right w:val="single" w:sz="8" w:color="auto"/>
            </w:tcBorders>
          </w:tcPr>
          <w:p>
            <w:pPr>
              <w:spacing w:after="0"/>
              <w:rPr>
                <w:sz w:val="19"/>
                <w:szCs w:val="19"/>
                <w:color w:val="auto"/>
              </w:rPr>
            </w:pPr>
          </w:p>
        </w:tc>
        <w:tc>
          <w:tcPr>
            <w:tcW w:w="2760" w:type="dxa"/>
            <w:vAlign w:val="bottom"/>
          </w:tcPr>
          <w:p>
            <w:pPr>
              <w:ind w:left="80"/>
              <w:spacing w:after="0"/>
              <w:rPr>
                <w:sz w:val="20"/>
                <w:szCs w:val="20"/>
                <w:color w:val="auto"/>
              </w:rPr>
            </w:pPr>
            <w:r>
              <w:rPr>
                <w:rFonts w:ascii="Arial" w:cs="Arial" w:eastAsia="Arial" w:hAnsi="Arial"/>
                <w:sz w:val="18"/>
                <w:szCs w:val="18"/>
                <w:color w:val="auto"/>
              </w:rPr>
              <w:t>All Other Fees</w:t>
            </w:r>
          </w:p>
        </w:tc>
        <w:tc>
          <w:tcPr>
            <w:tcW w:w="3400" w:type="dxa"/>
            <w:vAlign w:val="bottom"/>
          </w:tcPr>
          <w:p>
            <w:pPr>
              <w:spacing w:after="0"/>
              <w:rPr>
                <w:sz w:val="19"/>
                <w:szCs w:val="19"/>
                <w:color w:val="auto"/>
              </w:rPr>
            </w:pPr>
          </w:p>
        </w:tc>
        <w:tc>
          <w:tcPr>
            <w:tcW w:w="18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31</w:t>
            </w:r>
          </w:p>
        </w:tc>
        <w:tc>
          <w:tcPr>
            <w:tcW w:w="1700" w:type="dxa"/>
            <w:vAlign w:val="bottom"/>
          </w:tcPr>
          <w:p>
            <w:pPr>
              <w:spacing w:after="0"/>
              <w:rPr>
                <w:sz w:val="19"/>
                <w:szCs w:val="19"/>
                <w:color w:val="auto"/>
              </w:rPr>
            </w:pPr>
          </w:p>
        </w:tc>
      </w:tr>
      <w:tr>
        <w:trPr>
          <w:trHeight w:val="230"/>
        </w:trPr>
        <w:tc>
          <w:tcPr>
            <w:tcW w:w="1740" w:type="dxa"/>
            <w:vAlign w:val="bottom"/>
            <w:tcBorders>
              <w:right w:val="single" w:sz="8" w:color="auto"/>
            </w:tcBorders>
          </w:tcPr>
          <w:p>
            <w:pPr>
              <w:spacing w:after="0"/>
              <w:rPr>
                <w:sz w:val="19"/>
                <w:szCs w:val="19"/>
                <w:color w:val="auto"/>
              </w:rPr>
            </w:pPr>
          </w:p>
        </w:tc>
        <w:tc>
          <w:tcPr>
            <w:tcW w:w="2760" w:type="dxa"/>
            <w:vAlign w:val="bottom"/>
            <w:tcBorders>
              <w:bottom w:val="single" w:sz="8" w:color="auto"/>
            </w:tcBorders>
            <w:shd w:val="clear" w:color="auto" w:fill="B8CDE8"/>
          </w:tcPr>
          <w:p>
            <w:pPr>
              <w:ind w:left="80"/>
              <w:spacing w:after="0"/>
              <w:rPr>
                <w:sz w:val="20"/>
                <w:szCs w:val="20"/>
                <w:color w:val="auto"/>
              </w:rPr>
            </w:pPr>
            <w:r>
              <w:rPr>
                <w:rFonts w:ascii="Arial" w:cs="Arial" w:eastAsia="Arial" w:hAnsi="Arial"/>
                <w:sz w:val="18"/>
                <w:szCs w:val="18"/>
                <w:b w:val="1"/>
                <w:bCs w:val="1"/>
                <w:color w:val="auto"/>
              </w:rPr>
              <w:t>Total</w:t>
            </w:r>
          </w:p>
        </w:tc>
        <w:tc>
          <w:tcPr>
            <w:tcW w:w="3400" w:type="dxa"/>
            <w:vAlign w:val="bottom"/>
            <w:tcBorders>
              <w:bottom w:val="single" w:sz="8" w:color="auto"/>
            </w:tcBorders>
            <w:shd w:val="clear" w:color="auto" w:fill="B8CDE8"/>
          </w:tcPr>
          <w:p>
            <w:pPr>
              <w:jc w:val="right"/>
              <w:spacing w:after="0"/>
              <w:rPr>
                <w:sz w:val="20"/>
                <w:szCs w:val="20"/>
                <w:color w:val="auto"/>
              </w:rPr>
            </w:pPr>
            <w:r>
              <w:rPr>
                <w:rFonts w:ascii="Arial" w:cs="Arial" w:eastAsia="Arial" w:hAnsi="Arial"/>
                <w:sz w:val="18"/>
                <w:szCs w:val="18"/>
                <w:b w:val="1"/>
                <w:bCs w:val="1"/>
                <w:color w:val="auto"/>
              </w:rPr>
              <w:t>$</w:t>
            </w:r>
          </w:p>
        </w:tc>
        <w:tc>
          <w:tcPr>
            <w:tcW w:w="1820" w:type="dxa"/>
            <w:vAlign w:val="bottom"/>
            <w:tcBorders>
              <w:bottom w:val="single" w:sz="8" w:color="auto"/>
              <w:right w:val="single" w:sz="8" w:color="auto"/>
            </w:tcBorders>
            <w:shd w:val="clear" w:color="auto" w:fill="B8CDE8"/>
          </w:tcPr>
          <w:p>
            <w:pPr>
              <w:jc w:val="right"/>
              <w:ind w:right="30"/>
              <w:spacing w:after="0"/>
              <w:rPr>
                <w:sz w:val="20"/>
                <w:szCs w:val="20"/>
                <w:color w:val="auto"/>
              </w:rPr>
            </w:pPr>
            <w:r>
              <w:rPr>
                <w:rFonts w:ascii="Arial" w:cs="Arial" w:eastAsia="Arial" w:hAnsi="Arial"/>
                <w:sz w:val="18"/>
                <w:szCs w:val="18"/>
                <w:b w:val="1"/>
                <w:bCs w:val="1"/>
                <w:color w:val="auto"/>
              </w:rPr>
              <w:t>1,708</w:t>
            </w:r>
          </w:p>
        </w:tc>
        <w:tc>
          <w:tcPr>
            <w:tcW w:w="1700" w:type="dxa"/>
            <w:vAlign w:val="bottom"/>
          </w:tcPr>
          <w:p>
            <w:pPr>
              <w:spacing w:after="0"/>
              <w:rPr>
                <w:sz w:val="19"/>
                <w:szCs w:val="19"/>
                <w:color w:val="auto"/>
              </w:rPr>
            </w:pPr>
          </w:p>
        </w:tc>
      </w:tr>
      <w:tr>
        <w:trPr>
          <w:trHeight w:val="615"/>
        </w:trPr>
        <w:tc>
          <w:tcPr>
            <w:tcW w:w="17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jc w:val="right"/>
              <w:ind w:right="2050"/>
              <w:spacing w:after="0"/>
              <w:rPr>
                <w:sz w:val="20"/>
                <w:szCs w:val="20"/>
                <w:color w:val="auto"/>
              </w:rPr>
            </w:pPr>
            <w:r>
              <w:rPr>
                <w:rFonts w:ascii="Arial" w:cs="Arial" w:eastAsia="Arial" w:hAnsi="Arial"/>
                <w:sz w:val="18"/>
                <w:szCs w:val="18"/>
                <w:color w:val="auto"/>
              </w:rPr>
              <w:t>5</w:t>
            </w:r>
          </w:p>
        </w:tc>
        <w:tc>
          <w:tcPr>
            <w:tcW w:w="18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46"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CONCERNING VOTING AND SOLICITATION</w:t>
      </w:r>
    </w:p>
    <w:p>
      <w:pPr>
        <w:spacing w:after="0" w:line="220" w:lineRule="exact"/>
        <w:rPr>
          <w:sz w:val="20"/>
          <w:szCs w:val="20"/>
          <w:color w:val="auto"/>
        </w:rPr>
      </w:pPr>
    </w:p>
    <w:p>
      <w:pPr>
        <w:ind w:right="120" w:firstLine="441"/>
        <w:spacing w:after="0" w:line="234" w:lineRule="auto"/>
        <w:rPr>
          <w:sz w:val="20"/>
          <w:szCs w:val="20"/>
          <w:color w:val="auto"/>
        </w:rPr>
      </w:pPr>
      <w:r>
        <w:rPr>
          <w:rFonts w:ascii="Arial" w:cs="Arial" w:eastAsia="Arial" w:hAnsi="Arial"/>
          <w:sz w:val="18"/>
          <w:szCs w:val="18"/>
          <w:color w:val="auto"/>
        </w:rPr>
        <w:t>This Proxy Statement is being furnished to you in connection with the solicitation by the board of directors of ExlService Holdings, Inc., a Delaware corporation (“us,” “we,” “our” or the “Company”), of proxies to be used at our 2016 Annual Meeting of Stockholders (the “Annual</w:t>
      </w:r>
    </w:p>
    <w:p>
      <w:pPr>
        <w:spacing w:after="0" w:line="2" w:lineRule="exact"/>
        <w:rPr>
          <w:sz w:val="20"/>
          <w:szCs w:val="20"/>
          <w:color w:val="auto"/>
        </w:rPr>
      </w:pPr>
    </w:p>
    <w:p>
      <w:pPr>
        <w:ind w:right="240"/>
        <w:spacing w:after="0" w:line="199" w:lineRule="auto"/>
        <w:rPr>
          <w:sz w:val="20"/>
          <w:szCs w:val="20"/>
          <w:color w:val="auto"/>
        </w:rPr>
      </w:pPr>
      <w:r>
        <w:rPr>
          <w:rFonts w:ascii="Arial" w:cs="Arial" w:eastAsia="Arial" w:hAnsi="Arial"/>
          <w:sz w:val="18"/>
          <w:szCs w:val="18"/>
          <w:color w:val="auto"/>
        </w:rPr>
        <w:t>Meeting”) to be held at the New York offices of the Company, 280 Park Avenue, 38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New York, 10017 on June 17, 2016, at 8:30 AM, Eastern Time, and any adjournments or postponements thereof.</w:t>
      </w:r>
    </w:p>
    <w:p>
      <w:pPr>
        <w:spacing w:after="0" w:line="190" w:lineRule="exact"/>
        <w:rPr>
          <w:sz w:val="20"/>
          <w:szCs w:val="20"/>
          <w:color w:val="auto"/>
        </w:rPr>
      </w:pPr>
    </w:p>
    <w:p>
      <w:pPr>
        <w:ind w:right="140" w:firstLine="441"/>
        <w:spacing w:after="0" w:line="237" w:lineRule="auto"/>
        <w:rPr>
          <w:sz w:val="20"/>
          <w:szCs w:val="20"/>
          <w:color w:val="auto"/>
        </w:rPr>
      </w:pPr>
      <w:r>
        <w:rPr>
          <w:rFonts w:ascii="Arial" w:cs="Arial" w:eastAsia="Arial" w:hAnsi="Arial"/>
          <w:sz w:val="18"/>
          <w:szCs w:val="18"/>
          <w:color w:val="auto"/>
        </w:rPr>
        <w:t>In accordance with rules and regulations adopted by the Securities and Exchange Commission (the “SEC”), instead of mailing a printed copy of our proxy materials to each stockholder of record, the Company furnishes proxy materials via the Internet. If you received a Notice of Internet Availability of Proxy Materials (the “Internet Notice”) by mail, you will not receive a printed copy of our proxy materials other than as described herein. Instead, the Internet Notice will instruct you as to how you may access and review all of the important information contained in the proxy materials. The Internet Notice also instructs you as to how you may submit your proxy over the Internet or by phone. If you received an Internet Notice by mail and would like to receive a printed copy of our proxy materials, you should follow the instructions for requesting proxy materials included in the Internet Notice.</w:t>
      </w:r>
    </w:p>
    <w:p>
      <w:pPr>
        <w:spacing w:after="0" w:line="190" w:lineRule="exact"/>
        <w:rPr>
          <w:sz w:val="20"/>
          <w:szCs w:val="20"/>
          <w:color w:val="auto"/>
        </w:rPr>
      </w:pPr>
    </w:p>
    <w:p>
      <w:pPr>
        <w:ind w:right="40" w:firstLine="441"/>
        <w:spacing w:after="0" w:line="246" w:lineRule="auto"/>
        <w:rPr>
          <w:sz w:val="20"/>
          <w:szCs w:val="20"/>
          <w:color w:val="auto"/>
        </w:rPr>
      </w:pPr>
      <w:r>
        <w:rPr>
          <w:rFonts w:ascii="Arial" w:cs="Arial" w:eastAsia="Arial" w:hAnsi="Arial"/>
          <w:sz w:val="18"/>
          <w:szCs w:val="18"/>
          <w:color w:val="auto"/>
        </w:rPr>
        <w:t>It is anticipated that the Internet Notice will be sent to stockholders on or about April 29, 2016. This proxy statement and the form of proxy relating to the Annual Meeting will be made available via the Internet to stockholders on the date that the Internet Notice is first sent.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Vote</w:t>
      </w:r>
    </w:p>
    <w:p>
      <w:pPr>
        <w:spacing w:after="0" w:line="220" w:lineRule="exact"/>
        <w:rPr>
          <w:sz w:val="20"/>
          <w:szCs w:val="20"/>
          <w:color w:val="auto"/>
        </w:rPr>
      </w:pPr>
    </w:p>
    <w:p>
      <w:pPr>
        <w:ind w:right="40" w:firstLine="441"/>
        <w:spacing w:after="0" w:line="239" w:lineRule="auto"/>
        <w:rPr>
          <w:sz w:val="20"/>
          <w:szCs w:val="20"/>
          <w:color w:val="auto"/>
        </w:rPr>
      </w:pPr>
      <w:r>
        <w:rPr>
          <w:rFonts w:ascii="Arial" w:cs="Arial" w:eastAsia="Arial" w:hAnsi="Arial"/>
          <w:sz w:val="18"/>
          <w:szCs w:val="18"/>
          <w:color w:val="auto"/>
        </w:rPr>
        <w:t>Only stockholders who own shares of our common stock at the close of business on April 21, 2016, the record date for the Annual Meeting, can vote at the Annual Meeting. As of the close of business on April 21, 2016, the record date, we had 33,592,996 shares of common stock outstanding and entitled to vote. Each holder of common stock is entitled to one vote for each share held as of the record date for the Annual Meeting. There is no cumulative voting in the election of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You Can Vote</w:t>
      </w:r>
    </w:p>
    <w:p>
      <w:pPr>
        <w:spacing w:after="0" w:line="220" w:lineRule="exact"/>
        <w:rPr>
          <w:sz w:val="20"/>
          <w:szCs w:val="20"/>
          <w:color w:val="auto"/>
        </w:rPr>
      </w:pPr>
    </w:p>
    <w:p>
      <w:pPr>
        <w:ind w:right="140" w:firstLine="441"/>
        <w:spacing w:after="0" w:line="238" w:lineRule="auto"/>
        <w:rPr>
          <w:sz w:val="20"/>
          <w:szCs w:val="20"/>
          <w:color w:val="auto"/>
        </w:rPr>
      </w:pPr>
      <w:r>
        <w:rPr>
          <w:rFonts w:ascii="Arial" w:cs="Arial" w:eastAsia="Arial" w:hAnsi="Arial"/>
          <w:sz w:val="18"/>
          <w:szCs w:val="18"/>
          <w:color w:val="auto"/>
        </w:rPr>
        <w:t>If your shares are registered directly in your name with Computershare Trust Company, N.A., our transfer agent (which means you are a “stockholder of record”), you can vote your proxy by (i) Internet, (ii) by phone or (iii) by requesting that proxy materials be sent to you by mail that will include a proxy card that you can use to vote by completing, signing, dating and returning the proxy card in the prepaid postage envelope provided. Please refer to the specific instructions set forth in the Internet Notice. You will not be able to vote your shares unless you use one of the methods above to designate a proxy or by attending the Annual Meeting.</w:t>
      </w:r>
    </w:p>
    <w:p>
      <w:pPr>
        <w:spacing w:after="0" w:line="189" w:lineRule="exact"/>
        <w:rPr>
          <w:sz w:val="20"/>
          <w:szCs w:val="20"/>
          <w:color w:val="auto"/>
        </w:rPr>
      </w:pPr>
    </w:p>
    <w:p>
      <w:pPr>
        <w:ind w:firstLine="441"/>
        <w:spacing w:after="0" w:line="238" w:lineRule="auto"/>
        <w:rPr>
          <w:sz w:val="20"/>
          <w:szCs w:val="20"/>
          <w:color w:val="auto"/>
        </w:rPr>
      </w:pPr>
      <w:r>
        <w:rPr>
          <w:rFonts w:ascii="Arial" w:cs="Arial" w:eastAsia="Arial" w:hAnsi="Arial"/>
          <w:sz w:val="18"/>
          <w:szCs w:val="18"/>
          <w:color w:val="auto"/>
        </w:rPr>
        <w:t>If you are the beneficial owner of shares held in the name of a brokerage, bank, trust or other nominee as a custodian (also referred to as shares held in “street name”), your broker, bank, trustee or nominee will provide you with materials and instructions for voting your shares. In addition to voting by mail, a number of banks and brokerage firms participate in a program provided through Broadridge Financial Solutions, Inc. (“Broadridge”) that offers telephone and Internet voting options. Votes submitted by telephone or by using the Internet through Broadridge’s program must be received by 11:59 p.m. Eastern Time, on June 16, 2016.</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46" w:right="259" w:bottom="1440" w:gutter="0" w:footer="0" w:header="0"/>
        </w:sectPr>
      </w:pPr>
    </w:p>
    <w:bookmarkStart w:id="10" w:name="page11"/>
    <w:bookmarkEnd w:id="10"/>
    <w:p>
      <w:pPr>
        <w:ind w:firstLine="441"/>
        <w:spacing w:after="0" w:line="242" w:lineRule="auto"/>
        <w:rPr>
          <w:sz w:val="20"/>
          <w:szCs w:val="20"/>
          <w:color w:val="auto"/>
        </w:rPr>
      </w:pPr>
      <w:r>
        <w:rPr>
          <w:rFonts w:ascii="Arial" w:cs="Arial" w:eastAsia="Arial" w:hAnsi="Arial"/>
          <w:sz w:val="18"/>
          <w:szCs w:val="18"/>
          <w:i w:val="1"/>
          <w:iCs w:val="1"/>
          <w:color w:val="auto"/>
        </w:rPr>
        <w:t>Voting at the Annual Meeting</w:t>
      </w:r>
      <w:r>
        <w:rPr>
          <w:rFonts w:ascii="Arial" w:cs="Arial" w:eastAsia="Arial" w:hAnsi="Arial"/>
          <w:sz w:val="18"/>
          <w:szCs w:val="18"/>
          <w:color w:val="auto"/>
        </w:rPr>
        <w:t>. Voting by Internet, phone or mail will not limit your right to vote at the Annual Meeting if you decide to attend</w:t>
      </w:r>
      <w:r>
        <w:rPr>
          <w:rFonts w:ascii="Arial" w:cs="Arial" w:eastAsia="Arial" w:hAnsi="Arial"/>
          <w:sz w:val="18"/>
          <w:szCs w:val="18"/>
          <w:i w:val="1"/>
          <w:iCs w:val="1"/>
          <w:color w:val="auto"/>
        </w:rPr>
        <w:t xml:space="preserve"> </w:t>
      </w:r>
      <w:r>
        <w:rPr>
          <w:rFonts w:ascii="Arial" w:cs="Arial" w:eastAsia="Arial" w:hAnsi="Arial"/>
          <w:sz w:val="18"/>
          <w:szCs w:val="18"/>
          <w:color w:val="auto"/>
        </w:rPr>
        <w:t>in person. Our board of directors recommends that you vote by Internet, phone or mail as it is not practical for most stockholders to attend the Annual Meeting. If you are a “stockholder of record,” you may vote your shares in person at the Annual Meeting. If you hold your shares in “street name,” you must obtain a proxy from your broker, bank, trustee or nominee giving you the right to vote the shares at the Annual Meeting or your vote at the Annual Meeting will not be counted.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Revocation of Proxies</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You can revoke your proxy at any time before it is exercised in any of the following ways:</w:t>
      </w:r>
    </w:p>
    <w:p>
      <w:pPr>
        <w:spacing w:after="0" w:line="198" w:lineRule="exact"/>
        <w:rPr>
          <w:sz w:val="20"/>
          <w:szCs w:val="20"/>
          <w:color w:val="auto"/>
        </w:rPr>
      </w:pPr>
    </w:p>
    <w:p>
      <w:pPr>
        <w:ind w:left="880" w:hanging="332"/>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by voting in person at the Annual Meeting;</w:t>
      </w:r>
    </w:p>
    <w:p>
      <w:pPr>
        <w:spacing w:after="0" w:line="211" w:lineRule="exact"/>
        <w:rPr>
          <w:rFonts w:ascii="Arial" w:cs="Arial" w:eastAsia="Arial" w:hAnsi="Arial"/>
          <w:sz w:val="18"/>
          <w:szCs w:val="18"/>
          <w:color w:val="auto"/>
        </w:rPr>
      </w:pPr>
    </w:p>
    <w:p>
      <w:pPr>
        <w:ind w:left="880" w:hanging="332"/>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by submitting written notice of revocation to the inspector of elections prior to the Annual Meeting; or</w:t>
      </w:r>
    </w:p>
    <w:p>
      <w:pPr>
        <w:spacing w:after="0" w:line="211" w:lineRule="exact"/>
        <w:rPr>
          <w:rFonts w:ascii="Arial" w:cs="Arial" w:eastAsia="Arial" w:hAnsi="Arial"/>
          <w:sz w:val="18"/>
          <w:szCs w:val="18"/>
          <w:color w:val="auto"/>
        </w:rPr>
      </w:pPr>
    </w:p>
    <w:p>
      <w:pPr>
        <w:ind w:left="880" w:hanging="332"/>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by submitting another properly executed proxy of a later date to the inspector of elections prior to the Annual Meeting.</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 Effect of Abstentions and Broker Non-Votes</w:t>
      </w:r>
    </w:p>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Quorum</w:t>
      </w:r>
    </w:p>
    <w:p>
      <w:pPr>
        <w:spacing w:after="0" w:line="216" w:lineRule="exact"/>
        <w:rPr>
          <w:sz w:val="20"/>
          <w:szCs w:val="20"/>
          <w:color w:val="auto"/>
        </w:rPr>
      </w:pPr>
    </w:p>
    <w:p>
      <w:pPr>
        <w:ind w:right="40" w:firstLine="441"/>
        <w:spacing w:after="0" w:line="239" w:lineRule="auto"/>
        <w:rPr>
          <w:sz w:val="20"/>
          <w:szCs w:val="20"/>
          <w:color w:val="auto"/>
        </w:rPr>
      </w:pPr>
      <w:r>
        <w:rPr>
          <w:rFonts w:ascii="Arial" w:cs="Arial" w:eastAsia="Arial" w:hAnsi="Arial"/>
          <w:sz w:val="18"/>
          <w:szCs w:val="18"/>
          <w:color w:val="auto"/>
        </w:rPr>
        <w:t>A quorum, which is a majority of the issued and outstanding shares of our common stock as of April 21, 2016, must be present to hold the Annual Meeting. A quorum is calculated based on the number of shares represented by the stockholders attending the Annual Meeting in person and by their proxy holders. If you indicate an abstention as your voting preference for all matters to be acted upon at the Annual Meeting, your shares will be counted toward a quorum but they will not be voted on any matter.</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Proposal 1: Election of Directors</w:t>
      </w:r>
    </w:p>
    <w:p>
      <w:pPr>
        <w:spacing w:after="0" w:line="216" w:lineRule="exact"/>
        <w:rPr>
          <w:sz w:val="20"/>
          <w:szCs w:val="20"/>
          <w:color w:val="auto"/>
        </w:rPr>
      </w:pPr>
    </w:p>
    <w:p>
      <w:pPr>
        <w:ind w:right="160" w:firstLine="441"/>
        <w:spacing w:after="0" w:line="239" w:lineRule="auto"/>
        <w:rPr>
          <w:sz w:val="20"/>
          <w:szCs w:val="20"/>
          <w:color w:val="auto"/>
        </w:rPr>
      </w:pPr>
      <w:r>
        <w:rPr>
          <w:rFonts w:ascii="Arial" w:cs="Arial" w:eastAsia="Arial" w:hAnsi="Arial"/>
          <w:sz w:val="18"/>
          <w:szCs w:val="18"/>
          <w:color w:val="auto"/>
        </w:rPr>
        <w:t>Under our by-laws, directors are elected by the affirmative vote of a plurality of votes cast in person or represented by proxy and entitled to vote at the Annual Meeting. You may cast your vote in favor of electing the nominees as directors, withhold your vote on one or more nominees or abstain from voting your shares. For purposes of the vote on Proposal 1, abstentions and broker non-votes (as described below) will have no effect on the results of the vote.</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Other Proposals</w:t>
      </w:r>
    </w:p>
    <w:p>
      <w:pPr>
        <w:spacing w:after="0" w:line="216" w:lineRule="exact"/>
        <w:rPr>
          <w:sz w:val="20"/>
          <w:szCs w:val="20"/>
          <w:color w:val="auto"/>
        </w:rPr>
      </w:pPr>
    </w:p>
    <w:p>
      <w:pPr>
        <w:ind w:firstLine="441"/>
        <w:spacing w:after="0" w:line="237" w:lineRule="auto"/>
        <w:rPr>
          <w:sz w:val="20"/>
          <w:szCs w:val="20"/>
          <w:color w:val="auto"/>
        </w:rPr>
      </w:pPr>
      <w:r>
        <w:rPr>
          <w:rFonts w:ascii="Arial" w:cs="Arial" w:eastAsia="Arial" w:hAnsi="Arial"/>
          <w:sz w:val="18"/>
          <w:szCs w:val="18"/>
          <w:color w:val="auto"/>
        </w:rPr>
        <w:t>The ratification of the appointment of our independent registered public accounting firm, the approval of the compensation of our named executive officers, and each other item to be acted upon at the Annual Meeting will require the affirmative vote of a majority of shares present in person or represented by proxy and entitled to vote at the Annual Meeting. You may cast your vote in favor of or against these proposals or you may abstain from voting your shares. For purposes of the vote on Proposals 2 (ratification of the appointment of our independent registered public accounting firm), 3 (approval of the compensation of our named executive officers), or such other items to be acted upon at the Annual Meeting, abstentions will have the effect of a vote against these proposals. Broker non-votes will have the effect of a vote against Proposal 3 (approval of the compensation of our named executive officers); but because Proposal 2 is a “routine” proposal, no broker non-vote will occur.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50" w:right="239" w:bottom="1440" w:gutter="0" w:footer="0" w:header="0"/>
        </w:sectPr>
      </w:pPr>
    </w:p>
    <w:bookmarkStart w:id="11" w:name="page12"/>
    <w:bookmarkEnd w:id="11"/>
    <w:p>
      <w:pPr>
        <w:ind w:right="60" w:firstLine="441"/>
        <w:spacing w:after="0" w:line="239" w:lineRule="auto"/>
        <w:rPr>
          <w:sz w:val="20"/>
          <w:szCs w:val="20"/>
          <w:color w:val="auto"/>
        </w:rPr>
      </w:pPr>
      <w:r>
        <w:rPr>
          <w:rFonts w:ascii="Arial" w:cs="Arial" w:eastAsia="Arial" w:hAnsi="Arial"/>
          <w:sz w:val="18"/>
          <w:szCs w:val="18"/>
          <w:color w:val="auto"/>
        </w:rPr>
        <w:t>If you submit your proxy, but do not mark your voting preference, the proxy holders will vote your shares (i) FOR the election of the nominees for director, (ii) FOR the ratification of the appointment of our independent registered public accounting firm, (iii) FOR the approval of the compensation of our named executive officers, and (iv) as described below, in the judgment of the proxy holder on any other matters presented at the Annual Meeting.</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Shares Held in “Street Name” by a Broker</w:t>
      </w:r>
    </w:p>
    <w:p>
      <w:pPr>
        <w:spacing w:after="0" w:line="216" w:lineRule="exact"/>
        <w:rPr>
          <w:sz w:val="20"/>
          <w:szCs w:val="20"/>
          <w:color w:val="auto"/>
        </w:rPr>
      </w:pPr>
    </w:p>
    <w:p>
      <w:pPr>
        <w:ind w:firstLine="441"/>
        <w:spacing w:after="0" w:line="237" w:lineRule="auto"/>
        <w:rPr>
          <w:sz w:val="20"/>
          <w:szCs w:val="20"/>
          <w:color w:val="auto"/>
        </w:rPr>
      </w:pPr>
      <w:r>
        <w:rPr>
          <w:rFonts w:ascii="Arial" w:cs="Arial" w:eastAsia="Arial" w:hAnsi="Arial"/>
          <w:sz w:val="18"/>
          <w:szCs w:val="18"/>
          <w:color w:val="auto"/>
        </w:rPr>
        <w:t>If you are the beneficial owner of shares held in “street name” by a broker, then your broker, as the record holder of the shares, must vote those shares in accordance with your instructions. If you fail to provide instructions to your broker, under the New York Stock Exchange rules (which apply to brokers even though our shares are listed on the NASDAQ Stock Market), your broker will not be authorized to exercise its discretion and vote your shares on “non-routine” proposals, including the election of directors and approval of the compensation of our named executive officers. As a result, a “broker non-vote” occurs. However, without your instructions, your broker would have discretionary authority to vote your shares only with respect to “routine” proposals, including at the Annual Meeting, the ratification of the appointment of our independent registered public accounting firm.</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 to Be Acted Upon at the Meeting</w:t>
      </w:r>
    </w:p>
    <w:p>
      <w:pPr>
        <w:spacing w:after="0" w:line="220" w:lineRule="exact"/>
        <w:rPr>
          <w:sz w:val="20"/>
          <w:szCs w:val="20"/>
          <w:color w:val="auto"/>
        </w:rPr>
      </w:pPr>
    </w:p>
    <w:p>
      <w:pPr>
        <w:ind w:right="20" w:firstLine="441"/>
        <w:spacing w:after="0" w:line="239" w:lineRule="auto"/>
        <w:rPr>
          <w:sz w:val="20"/>
          <w:szCs w:val="20"/>
          <w:color w:val="auto"/>
        </w:rPr>
      </w:pPr>
      <w:r>
        <w:rPr>
          <w:rFonts w:ascii="Arial" w:cs="Arial" w:eastAsia="Arial" w:hAnsi="Arial"/>
          <w:sz w:val="18"/>
          <w:szCs w:val="18"/>
          <w:color w:val="auto"/>
        </w:rPr>
        <w:t>Our board of directors presently is not aware of any matters, other than those specifically stated in the Notice of Annual Meeting, which are to be presented for action at the Annual Meeting. If any matter other than those described in this proxy statement is presented at the Annual Meeting on which a vote may properly be taken, the shares represented by proxies will be voted in accordance with the judgment of the person or persons voting those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Adjournments and Postponements</w:t>
      </w:r>
    </w:p>
    <w:p>
      <w:pPr>
        <w:spacing w:after="0" w:line="220" w:lineRule="exact"/>
        <w:rPr>
          <w:sz w:val="20"/>
          <w:szCs w:val="20"/>
          <w:color w:val="auto"/>
        </w:rPr>
      </w:pPr>
    </w:p>
    <w:p>
      <w:pPr>
        <w:ind w:right="420" w:firstLine="441"/>
        <w:spacing w:after="0" w:line="246" w:lineRule="auto"/>
        <w:rPr>
          <w:sz w:val="20"/>
          <w:szCs w:val="20"/>
          <w:color w:val="auto"/>
        </w:rPr>
      </w:pPr>
      <w:r>
        <w:rPr>
          <w:rFonts w:ascii="Arial" w:cs="Arial" w:eastAsia="Arial" w:hAnsi="Arial"/>
          <w:sz w:val="18"/>
          <w:szCs w:val="18"/>
          <w:color w:val="auto"/>
        </w:rPr>
        <w:t>Any action on the items of business described above may be considered at the Annual Meeting at the time and on the date specified above or at any time and date to which the Annual Meeting may be properly adjourned or postponed.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 of Proxies</w:t>
      </w:r>
    </w:p>
    <w:p>
      <w:pPr>
        <w:spacing w:after="0" w:line="220" w:lineRule="exact"/>
        <w:rPr>
          <w:sz w:val="20"/>
          <w:szCs w:val="20"/>
          <w:color w:val="auto"/>
        </w:rPr>
      </w:pPr>
    </w:p>
    <w:p>
      <w:pPr>
        <w:ind w:right="40" w:firstLine="441"/>
        <w:spacing w:after="0"/>
        <w:rPr>
          <w:sz w:val="20"/>
          <w:szCs w:val="20"/>
          <w:color w:val="auto"/>
        </w:rPr>
      </w:pPr>
      <w:r>
        <w:rPr>
          <w:rFonts w:ascii="Arial" w:cs="Arial" w:eastAsia="Arial" w:hAnsi="Arial"/>
          <w:sz w:val="18"/>
          <w:szCs w:val="18"/>
          <w:color w:val="auto"/>
        </w:rPr>
        <w:t>We will pay the cost of printing and mailing proxy materials and posting them on the Internet. Upon request, we will reimburse brokers, dealers, banks and trustees, or their nominees, for reasonable expenses incurred by them in forwarding proxy materials to beneficial owners of shares of our common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Internet Availability of Proxy Materials</w:t>
      </w:r>
    </w:p>
    <w:p>
      <w:pPr>
        <w:spacing w:after="0" w:line="220" w:lineRule="exact"/>
        <w:rPr>
          <w:sz w:val="20"/>
          <w:szCs w:val="20"/>
          <w:color w:val="auto"/>
        </w:rPr>
      </w:pPr>
    </w:p>
    <w:p>
      <w:pPr>
        <w:ind w:right="100" w:firstLine="441"/>
        <w:spacing w:after="0" w:line="246" w:lineRule="auto"/>
        <w:rPr>
          <w:sz w:val="20"/>
          <w:szCs w:val="20"/>
          <w:color w:val="auto"/>
        </w:rPr>
      </w:pPr>
      <w:r>
        <w:rPr>
          <w:rFonts w:ascii="Arial" w:cs="Arial" w:eastAsia="Arial" w:hAnsi="Arial"/>
          <w:sz w:val="18"/>
          <w:szCs w:val="18"/>
          <w:color w:val="auto"/>
        </w:rPr>
        <w:t xml:space="preserve">Our Notice of Annual Meeting, proxy statement and form of proxy card are each available at </w:t>
      </w:r>
      <w:r>
        <w:rPr>
          <w:rFonts w:ascii="Arial" w:cs="Arial" w:eastAsia="Arial" w:hAnsi="Arial"/>
          <w:sz w:val="18"/>
          <w:szCs w:val="18"/>
          <w:u w:val="single" w:color="auto"/>
          <w:color w:val="auto"/>
        </w:rPr>
        <w:t>www.proxyvote.com</w:t>
      </w:r>
      <w:r>
        <w:rPr>
          <w:rFonts w:ascii="Arial" w:cs="Arial" w:eastAsia="Arial" w:hAnsi="Arial"/>
          <w:sz w:val="18"/>
          <w:szCs w:val="18"/>
          <w:color w:val="auto"/>
        </w:rPr>
        <w:t>. You may access these materials and provide your proxy by following the instructions provided in the Internet Notice.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68"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Important</w:t>
      </w:r>
    </w:p>
    <w:p>
      <w:pPr>
        <w:spacing w:after="0" w:line="198" w:lineRule="exact"/>
        <w:rPr>
          <w:sz w:val="20"/>
          <w:szCs w:val="20"/>
          <w:color w:val="auto"/>
        </w:rPr>
      </w:pPr>
    </w:p>
    <w:p>
      <w:pPr>
        <w:ind w:firstLine="441"/>
        <w:spacing w:after="0" w:line="247" w:lineRule="auto"/>
        <w:rPr>
          <w:sz w:val="20"/>
          <w:szCs w:val="20"/>
          <w:color w:val="auto"/>
        </w:rPr>
      </w:pPr>
      <w:r>
        <w:rPr>
          <w:rFonts w:ascii="Arial" w:cs="Arial" w:eastAsia="Arial" w:hAnsi="Arial"/>
          <w:sz w:val="18"/>
          <w:szCs w:val="18"/>
          <w:b w:val="1"/>
          <w:bCs w:val="1"/>
          <w:color w:val="auto"/>
        </w:rPr>
        <w:t>Please promptly vote and submit your proxy by (i) Internet (by following the instructions provided in the Internet Notice), (ii) by phone (by following the instructions provided in the Internet Notice) or (iii) by requesting that proxy materials be sent to you by mail that will include a proxy card that you can use to vote by completing, signing, dating and returning the proxy card in the prepaid postage envelope provided. This will not limit your right to attend or vote at the Annual Meeting.</w:t>
      </w:r>
    </w:p>
    <w:p>
      <w:pPr>
        <w:spacing w:after="0" w:line="161" w:lineRule="exact"/>
        <w:rPr>
          <w:sz w:val="20"/>
          <w:szCs w:val="20"/>
          <w:color w:val="auto"/>
        </w:rPr>
      </w:pPr>
    </w:p>
    <w:p>
      <w:pPr>
        <w:jc w:val="both"/>
        <w:ind w:right="240" w:firstLine="441"/>
        <w:spacing w:after="0" w:line="247" w:lineRule="auto"/>
        <w:rPr>
          <w:sz w:val="20"/>
          <w:szCs w:val="20"/>
          <w:color w:val="auto"/>
        </w:rPr>
      </w:pPr>
      <w:r>
        <w:rPr>
          <w:rFonts w:ascii="Arial" w:cs="Arial" w:eastAsia="Arial" w:hAnsi="Arial"/>
          <w:sz w:val="18"/>
          <w:szCs w:val="18"/>
          <w:b w:val="1"/>
          <w:bCs w:val="1"/>
          <w:i w:val="1"/>
          <w:iCs w:val="1"/>
          <w:color w:val="auto"/>
        </w:rPr>
        <w:t>All Annual Meeting attendees may be asked to present valid, government-issued photo identification (federal, state or local), such as a driver’s license or passport, and proof of beneficial ownership if you hold your shares through a broker, bank, trust or other nominee, before entering the Annual Meeting. Attendees may be subject to security inspections. Video and audio recording devices and other electronic devices will not be permitted at the Annual Meeting.</w:t>
      </w:r>
    </w:p>
    <w:p>
      <w:pPr>
        <w:spacing w:after="0" w:line="183" w:lineRule="exact"/>
        <w:rPr>
          <w:sz w:val="20"/>
          <w:szCs w:val="20"/>
          <w:color w:val="auto"/>
        </w:rPr>
      </w:pPr>
    </w:p>
    <w:p>
      <w:pPr>
        <w:ind w:right="860" w:firstLine="441"/>
        <w:spacing w:after="0" w:line="246" w:lineRule="auto"/>
        <w:rPr>
          <w:sz w:val="20"/>
          <w:szCs w:val="20"/>
          <w:color w:val="auto"/>
        </w:rPr>
      </w:pPr>
      <w:r>
        <w:rPr>
          <w:rFonts w:ascii="Arial" w:cs="Arial" w:eastAsia="Arial" w:hAnsi="Arial"/>
          <w:sz w:val="18"/>
          <w:szCs w:val="18"/>
          <w:color w:val="auto"/>
        </w:rPr>
        <w:t>If you have any further questions about voting your shares or attending the Annual Meeting, please call our Investor Relations Department at (212) 277-7109.</w:t>
      </w:r>
    </w:p>
    <w:p>
      <w:pPr>
        <w:spacing w:after="0" w:line="4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846" w:right="35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OUR BOARD OF DIRECTORS</w:t>
      </w:r>
    </w:p>
    <w:p>
      <w:pPr>
        <w:spacing w:after="0" w:line="220" w:lineRule="exact"/>
        <w:rPr>
          <w:sz w:val="20"/>
          <w:szCs w:val="20"/>
          <w:color w:val="auto"/>
        </w:rPr>
      </w:pPr>
    </w:p>
    <w:p>
      <w:pPr>
        <w:ind w:right="60" w:firstLine="441"/>
        <w:spacing w:after="0" w:line="246" w:lineRule="auto"/>
        <w:rPr>
          <w:sz w:val="20"/>
          <w:szCs w:val="20"/>
          <w:color w:val="auto"/>
        </w:rPr>
      </w:pPr>
      <w:r>
        <w:rPr>
          <w:rFonts w:ascii="Arial" w:cs="Arial" w:eastAsia="Arial" w:hAnsi="Arial"/>
          <w:sz w:val="18"/>
          <w:szCs w:val="18"/>
          <w:color w:val="auto"/>
        </w:rPr>
        <w:t>Our board of directors currently consists of eight directors divided into three classes, with each director serving a three-year term and one class being elected at each year’s annual meeting of stockholders. The current composition of our board of directors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246620" cy="1560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560830"/>
                    </a:xfrm>
                    <a:prstGeom prst="rect">
                      <a:avLst/>
                    </a:prstGeom>
                    <a:noFill/>
                  </pic:spPr>
                </pic:pic>
              </a:graphicData>
            </a:graphic>
          </wp:anchor>
        </w:drawing>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Board Nominations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100" w:type="dxa"/>
            <w:vAlign w:val="bottom"/>
            <w:tcBorders>
              <w:top w:val="single" w:sz="8" w:color="auto"/>
              <w:right w:val="single" w:sz="8" w:color="auto"/>
            </w:tcBorders>
            <w:shd w:val="clear" w:color="auto" w:fill="C6D9F1"/>
          </w:tcPr>
          <w:p>
            <w:pPr>
              <w:spacing w:after="0"/>
              <w:rPr>
                <w:sz w:val="18"/>
                <w:szCs w:val="18"/>
                <w:color w:val="auto"/>
              </w:rPr>
            </w:pPr>
          </w:p>
        </w:tc>
        <w:tc>
          <w:tcPr>
            <w:tcW w:w="920" w:type="dxa"/>
            <w:vAlign w:val="bottom"/>
            <w:tcBorders>
              <w:top w:val="single" w:sz="8" w:color="auto"/>
            </w:tcBorders>
            <w:shd w:val="clear" w:color="auto" w:fill="C6D9F1"/>
          </w:tcPr>
          <w:p>
            <w:pPr>
              <w:spacing w:after="0"/>
              <w:rPr>
                <w:sz w:val="18"/>
                <w:szCs w:val="18"/>
                <w:color w:val="auto"/>
              </w:rPr>
            </w:pPr>
          </w:p>
        </w:tc>
        <w:tc>
          <w:tcPr>
            <w:tcW w:w="1500" w:type="dxa"/>
            <w:vAlign w:val="bottom"/>
            <w:tcBorders>
              <w:top w:val="single" w:sz="8" w:color="auto"/>
              <w:right w:val="single" w:sz="8" w:color="auto"/>
            </w:tcBorders>
            <w:gridSpan w:val="2"/>
            <w:shd w:val="clear" w:color="auto" w:fill="C6D9F1"/>
          </w:tcPr>
          <w:p>
            <w:pPr>
              <w:jc w:val="center"/>
              <w:ind w:right="850"/>
              <w:spacing w:after="0"/>
              <w:rPr>
                <w:sz w:val="20"/>
                <w:szCs w:val="20"/>
                <w:color w:val="auto"/>
              </w:rPr>
            </w:pPr>
            <w:r>
              <w:rPr>
                <w:rFonts w:ascii="Arial" w:cs="Arial" w:eastAsia="Arial" w:hAnsi="Arial"/>
                <w:sz w:val="18"/>
                <w:szCs w:val="18"/>
                <w:color w:val="auto"/>
              </w:rPr>
              <w:t>Class I</w:t>
            </w:r>
          </w:p>
        </w:tc>
        <w:tc>
          <w:tcPr>
            <w:tcW w:w="10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center"/>
              <w:ind w:right="70"/>
              <w:spacing w:after="0"/>
              <w:rPr>
                <w:sz w:val="20"/>
                <w:szCs w:val="20"/>
                <w:color w:val="auto"/>
              </w:rPr>
            </w:pPr>
            <w:r>
              <w:rPr>
                <w:rFonts w:ascii="Arial" w:cs="Arial" w:eastAsia="Arial" w:hAnsi="Arial"/>
                <w:sz w:val="18"/>
                <w:szCs w:val="18"/>
                <w:color w:val="auto"/>
                <w:w w:val="99"/>
              </w:rPr>
              <w:t>Class II</w:t>
            </w:r>
          </w:p>
        </w:tc>
        <w:tc>
          <w:tcPr>
            <w:tcW w:w="920" w:type="dxa"/>
            <w:vAlign w:val="bottom"/>
            <w:tcBorders>
              <w:top w:val="single" w:sz="8" w:color="auto"/>
              <w:right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Class III</w:t>
            </w: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100" w:type="dxa"/>
            <w:vAlign w:val="bottom"/>
            <w:tcBorders>
              <w:bottom w:val="single" w:sz="8" w:color="auto"/>
              <w:right w:val="single" w:sz="8" w:color="auto"/>
            </w:tcBorders>
            <w:shd w:val="clear" w:color="auto" w:fill="C6D9F1"/>
          </w:tcPr>
          <w:p>
            <w:pPr>
              <w:spacing w:after="0"/>
              <w:rPr>
                <w:sz w:val="18"/>
                <w:szCs w:val="18"/>
                <w:color w:val="auto"/>
              </w:rPr>
            </w:pPr>
          </w:p>
        </w:tc>
        <w:tc>
          <w:tcPr>
            <w:tcW w:w="2420" w:type="dxa"/>
            <w:vAlign w:val="bottom"/>
            <w:tcBorders>
              <w:bottom w:val="single" w:sz="8" w:color="auto"/>
              <w:right w:val="single" w:sz="8" w:color="auto"/>
            </w:tcBorders>
            <w:gridSpan w:val="3"/>
            <w:shd w:val="clear" w:color="auto" w:fill="C6D9F1"/>
          </w:tcPr>
          <w:p>
            <w:pPr>
              <w:jc w:val="center"/>
              <w:spacing w:after="0"/>
              <w:rPr>
                <w:sz w:val="20"/>
                <w:szCs w:val="20"/>
                <w:color w:val="auto"/>
              </w:rPr>
            </w:pPr>
            <w:r>
              <w:rPr>
                <w:rFonts w:ascii="Arial" w:cs="Arial" w:eastAsia="Arial" w:hAnsi="Arial"/>
                <w:sz w:val="18"/>
                <w:szCs w:val="18"/>
                <w:color w:val="auto"/>
                <w:w w:val="98"/>
              </w:rPr>
              <w:t>(Term Expires 2016)</w:t>
            </w:r>
          </w:p>
        </w:tc>
        <w:tc>
          <w:tcPr>
            <w:tcW w:w="286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8"/>
              </w:rPr>
              <w:t>(Term Expires 2017)</w:t>
            </w:r>
          </w:p>
        </w:tc>
        <w:tc>
          <w:tcPr>
            <w:tcW w:w="66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3"/>
          </w:tcPr>
          <w:p>
            <w:pPr>
              <w:jc w:val="center"/>
              <w:ind w:right="590"/>
              <w:spacing w:after="0"/>
              <w:rPr>
                <w:sz w:val="20"/>
                <w:szCs w:val="20"/>
                <w:color w:val="auto"/>
              </w:rPr>
            </w:pPr>
            <w:r>
              <w:rPr>
                <w:rFonts w:ascii="Arial" w:cs="Arial" w:eastAsia="Arial" w:hAnsi="Arial"/>
                <w:sz w:val="18"/>
                <w:szCs w:val="18"/>
                <w:color w:val="auto"/>
                <w:w w:val="98"/>
              </w:rPr>
              <w:t>(Term Expires 2018)</w:t>
            </w:r>
          </w:p>
        </w:tc>
        <w:tc>
          <w:tcPr>
            <w:tcW w:w="0" w:type="dxa"/>
            <w:vAlign w:val="bottom"/>
          </w:tcPr>
          <w:p>
            <w:pPr>
              <w:spacing w:after="0"/>
              <w:rPr>
                <w:sz w:val="1"/>
                <w:szCs w:val="1"/>
                <w:color w:val="auto"/>
              </w:rPr>
            </w:pPr>
          </w:p>
        </w:tc>
      </w:tr>
      <w:tr>
        <w:trPr>
          <w:trHeight w:val="223"/>
        </w:trPr>
        <w:tc>
          <w:tcPr>
            <w:tcW w:w="3100" w:type="dxa"/>
            <w:vAlign w:val="bottom"/>
            <w:tcBorders>
              <w:bottom w:val="single" w:sz="8" w:color="auto"/>
              <w:right w:val="single" w:sz="8" w:color="auto"/>
            </w:tcBorders>
            <w:shd w:val="clear" w:color="auto" w:fill="C6D9F1"/>
          </w:tcPr>
          <w:p>
            <w:pPr>
              <w:spacing w:after="0"/>
              <w:rPr>
                <w:sz w:val="19"/>
                <w:szCs w:val="19"/>
                <w:color w:val="auto"/>
              </w:rPr>
            </w:pPr>
          </w:p>
        </w:tc>
        <w:tc>
          <w:tcPr>
            <w:tcW w:w="920" w:type="dxa"/>
            <w:vAlign w:val="bottom"/>
            <w:tcBorders>
              <w:bottom w:val="single" w:sz="8" w:color="auto"/>
            </w:tcBorders>
            <w:shd w:val="clear" w:color="auto" w:fill="C6D9F1"/>
          </w:tcPr>
          <w:p>
            <w:pPr>
              <w:jc w:val="center"/>
              <w:ind w:left="250"/>
              <w:spacing w:after="0"/>
              <w:rPr>
                <w:sz w:val="20"/>
                <w:szCs w:val="20"/>
                <w:color w:val="auto"/>
              </w:rPr>
            </w:pPr>
            <w:r>
              <w:rPr>
                <w:rFonts w:ascii="Arial" w:cs="Arial" w:eastAsia="Arial" w:hAnsi="Arial"/>
                <w:sz w:val="18"/>
                <w:szCs w:val="18"/>
                <w:color w:val="auto"/>
                <w:w w:val="99"/>
              </w:rPr>
              <w:t>Kapoor</w:t>
            </w:r>
          </w:p>
        </w:tc>
        <w:tc>
          <w:tcPr>
            <w:tcW w:w="340" w:type="dxa"/>
            <w:vAlign w:val="bottom"/>
            <w:tcBorders>
              <w:bottom w:val="single" w:sz="8" w:color="auto"/>
              <w:right w:val="single" w:sz="8" w:color="auto"/>
            </w:tcBorders>
            <w:shd w:val="clear" w:color="auto" w:fill="C6D9F1"/>
          </w:tcPr>
          <w:p>
            <w:pPr>
              <w:spacing w:after="0"/>
              <w:rPr>
                <w:sz w:val="19"/>
                <w:szCs w:val="19"/>
                <w:color w:val="auto"/>
              </w:rPr>
            </w:pPr>
          </w:p>
        </w:tc>
        <w:tc>
          <w:tcPr>
            <w:tcW w:w="1160" w:type="dxa"/>
            <w:vAlign w:val="bottom"/>
            <w:tcBorders>
              <w:bottom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18"/>
                <w:szCs w:val="18"/>
                <w:color w:val="auto"/>
                <w:w w:val="99"/>
              </w:rPr>
              <w:t>Minto</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Kelso</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Mittal</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Ostler</w:t>
            </w:r>
          </w:p>
        </w:tc>
        <w:tc>
          <w:tcPr>
            <w:tcW w:w="66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99"/>
              </w:rPr>
              <w:t>Kerr</w:t>
            </w:r>
          </w:p>
        </w:tc>
        <w:tc>
          <w:tcPr>
            <w:tcW w:w="24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Sahney</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Staglin</w:t>
            </w:r>
          </w:p>
        </w:tc>
        <w:tc>
          <w:tcPr>
            <w:tcW w:w="0" w:type="dxa"/>
            <w:vAlign w:val="bottom"/>
          </w:tcPr>
          <w:p>
            <w:pPr>
              <w:spacing w:after="0"/>
              <w:rPr>
                <w:sz w:val="1"/>
                <w:szCs w:val="1"/>
                <w:color w:val="auto"/>
              </w:rPr>
            </w:pPr>
          </w:p>
        </w:tc>
      </w:tr>
      <w:tr>
        <w:trPr>
          <w:trHeight w:val="338"/>
        </w:trPr>
        <w:tc>
          <w:tcPr>
            <w:tcW w:w="3100" w:type="dxa"/>
            <w:vAlign w:val="bottom"/>
            <w:tcBorders>
              <w:bottom w:val="single" w:sz="8" w:color="auto"/>
              <w:right w:val="single" w:sz="8" w:color="auto"/>
            </w:tcBorders>
            <w:shd w:val="clear" w:color="auto" w:fill="C6D9F1"/>
          </w:tcPr>
          <w:p>
            <w:pPr>
              <w:ind w:left="120"/>
              <w:spacing w:after="0"/>
              <w:rPr>
                <w:sz w:val="20"/>
                <w:szCs w:val="20"/>
                <w:color w:val="auto"/>
              </w:rPr>
            </w:pPr>
            <w:r>
              <w:rPr>
                <w:rFonts w:ascii="Arial" w:cs="Arial" w:eastAsia="Arial" w:hAnsi="Arial"/>
                <w:sz w:val="18"/>
                <w:szCs w:val="18"/>
                <w:color w:val="auto"/>
              </w:rPr>
              <w:t>High Level of Financial Literacy</w:t>
            </w:r>
          </w:p>
        </w:tc>
        <w:tc>
          <w:tcPr>
            <w:tcW w:w="920" w:type="dxa"/>
            <w:vAlign w:val="bottom"/>
            <w:tcBorders>
              <w:bottom w:val="single" w:sz="8" w:color="auto"/>
            </w:tcBorders>
            <w:shd w:val="clear" w:color="auto" w:fill="C6D9F1"/>
          </w:tcPr>
          <w:p>
            <w:pPr>
              <w:jc w:val="center"/>
              <w:ind w:left="230"/>
              <w:spacing w:after="0"/>
              <w:rPr>
                <w:sz w:val="20"/>
                <w:szCs w:val="20"/>
                <w:color w:val="auto"/>
              </w:rPr>
            </w:pPr>
            <w:r>
              <w:rPr>
                <w:rFonts w:ascii="Arial" w:cs="Arial" w:eastAsia="Arial" w:hAnsi="Arial"/>
                <w:sz w:val="18"/>
                <w:szCs w:val="18"/>
                <w:color w:val="auto"/>
                <w:w w:val="79"/>
              </w:rPr>
              <w:t>ü</w:t>
            </w:r>
          </w:p>
        </w:tc>
        <w:tc>
          <w:tcPr>
            <w:tcW w:w="340" w:type="dxa"/>
            <w:vAlign w:val="bottom"/>
            <w:tcBorders>
              <w:bottom w:val="single" w:sz="8" w:color="auto"/>
              <w:right w:val="single" w:sz="8" w:color="auto"/>
            </w:tcBorders>
            <w:shd w:val="clear" w:color="auto" w:fill="C6D9F1"/>
          </w:tcPr>
          <w:p>
            <w:pPr>
              <w:spacing w:after="0"/>
              <w:rPr>
                <w:sz w:val="24"/>
                <w:szCs w:val="24"/>
                <w:color w:val="auto"/>
              </w:rPr>
            </w:pPr>
          </w:p>
        </w:tc>
        <w:tc>
          <w:tcPr>
            <w:tcW w:w="1160" w:type="dxa"/>
            <w:vAlign w:val="bottom"/>
            <w:tcBorders>
              <w:bottom w:val="single" w:sz="8" w:color="auto"/>
              <w:right w:val="single" w:sz="8" w:color="auto"/>
            </w:tcBorders>
            <w:shd w:val="clear" w:color="auto" w:fill="C6D9F1"/>
          </w:tcPr>
          <w:p>
            <w:pPr>
              <w:spacing w:after="0"/>
              <w:rPr>
                <w:sz w:val="24"/>
                <w:szCs w:val="24"/>
                <w:color w:val="auto"/>
              </w:rPr>
            </w:pPr>
          </w:p>
        </w:tc>
        <w:tc>
          <w:tcPr>
            <w:tcW w:w="102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ü</w:t>
            </w:r>
          </w:p>
        </w:tc>
        <w:tc>
          <w:tcPr>
            <w:tcW w:w="92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ü</w:t>
            </w:r>
          </w:p>
        </w:tc>
        <w:tc>
          <w:tcPr>
            <w:tcW w:w="66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99"/>
              </w:rPr>
              <w:t>ü</w:t>
            </w:r>
          </w:p>
        </w:tc>
        <w:tc>
          <w:tcPr>
            <w:tcW w:w="24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5"/>
        </w:trPr>
        <w:tc>
          <w:tcPr>
            <w:tcW w:w="3100" w:type="dxa"/>
            <w:vAlign w:val="bottom"/>
            <w:tcBorders>
              <w:right w:val="single" w:sz="8" w:color="auto"/>
            </w:tcBorders>
            <w:shd w:val="clear" w:color="auto" w:fill="C6D9F1"/>
          </w:tcPr>
          <w:p>
            <w:pPr>
              <w:ind w:left="120"/>
              <w:spacing w:after="0"/>
              <w:rPr>
                <w:sz w:val="20"/>
                <w:szCs w:val="20"/>
                <w:color w:val="auto"/>
              </w:rPr>
            </w:pPr>
            <w:r>
              <w:rPr>
                <w:rFonts w:ascii="Arial" w:cs="Arial" w:eastAsia="Arial" w:hAnsi="Arial"/>
                <w:sz w:val="18"/>
                <w:szCs w:val="18"/>
                <w:color w:val="auto"/>
              </w:rPr>
              <w:t>Executive Leadership &amp; Board</w:t>
            </w:r>
          </w:p>
        </w:tc>
        <w:tc>
          <w:tcPr>
            <w:tcW w:w="920" w:type="dxa"/>
            <w:vAlign w:val="bottom"/>
            <w:vMerge w:val="restart"/>
            <w:shd w:val="clear" w:color="auto" w:fill="C6D9F1"/>
          </w:tcPr>
          <w:p>
            <w:pPr>
              <w:jc w:val="center"/>
              <w:ind w:left="230"/>
              <w:spacing w:after="0"/>
              <w:rPr>
                <w:sz w:val="20"/>
                <w:szCs w:val="20"/>
                <w:color w:val="auto"/>
              </w:rPr>
            </w:pPr>
            <w:r>
              <w:rPr>
                <w:rFonts w:ascii="Arial" w:cs="Arial" w:eastAsia="Arial" w:hAnsi="Arial"/>
                <w:sz w:val="18"/>
                <w:szCs w:val="18"/>
                <w:color w:val="auto"/>
                <w:w w:val="79"/>
              </w:rPr>
              <w:t>ü</w:t>
            </w:r>
          </w:p>
        </w:tc>
        <w:tc>
          <w:tcPr>
            <w:tcW w:w="340" w:type="dxa"/>
            <w:vAlign w:val="bottom"/>
            <w:tcBorders>
              <w:right w:val="single" w:sz="8" w:color="auto"/>
            </w:tcBorders>
            <w:shd w:val="clear" w:color="auto" w:fill="C6D9F1"/>
          </w:tcPr>
          <w:p>
            <w:pPr>
              <w:spacing w:after="0"/>
              <w:rPr>
                <w:sz w:val="18"/>
                <w:szCs w:val="18"/>
                <w:color w:val="auto"/>
              </w:rPr>
            </w:pPr>
          </w:p>
        </w:tc>
        <w:tc>
          <w:tcPr>
            <w:tcW w:w="1160" w:type="dxa"/>
            <w:vAlign w:val="bottom"/>
            <w:tcBorders>
              <w:right w:val="single" w:sz="8" w:color="auto"/>
            </w:tcBorders>
            <w:vMerge w:val="restart"/>
            <w:shd w:val="clear" w:color="auto" w:fill="C6D9F1"/>
          </w:tcPr>
          <w:p>
            <w:pPr>
              <w:jc w:val="center"/>
              <w:spacing w:after="0"/>
              <w:rPr>
                <w:sz w:val="20"/>
                <w:szCs w:val="20"/>
                <w:color w:val="auto"/>
              </w:rPr>
            </w:pPr>
            <w:r>
              <w:rPr>
                <w:rFonts w:ascii="Arial" w:cs="Arial" w:eastAsia="Arial" w:hAnsi="Arial"/>
                <w:sz w:val="18"/>
                <w:szCs w:val="18"/>
                <w:color w:val="auto"/>
                <w:w w:val="79"/>
              </w:rPr>
              <w:t>ü</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ü</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ü</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ü</w:t>
            </w:r>
          </w:p>
        </w:tc>
        <w:tc>
          <w:tcPr>
            <w:tcW w:w="660" w:type="dxa"/>
            <w:vAlign w:val="bottom"/>
            <w:vMerge w:val="restart"/>
          </w:tcPr>
          <w:p>
            <w:pPr>
              <w:jc w:val="center"/>
              <w:ind w:left="110"/>
              <w:spacing w:after="0"/>
              <w:rPr>
                <w:sz w:val="20"/>
                <w:szCs w:val="20"/>
                <w:color w:val="auto"/>
              </w:rPr>
            </w:pPr>
            <w:r>
              <w:rPr>
                <w:rFonts w:ascii="Arial" w:cs="Arial" w:eastAsia="Arial" w:hAnsi="Arial"/>
                <w:sz w:val="18"/>
                <w:szCs w:val="18"/>
                <w:color w:val="auto"/>
                <w:w w:val="99"/>
              </w:rPr>
              <w:t>ü</w:t>
            </w:r>
          </w:p>
        </w:tc>
        <w:tc>
          <w:tcPr>
            <w:tcW w:w="2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ü</w:t>
            </w: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109"/>
        </w:trPr>
        <w:tc>
          <w:tcPr>
            <w:tcW w:w="3100" w:type="dxa"/>
            <w:vAlign w:val="bottom"/>
            <w:tcBorders>
              <w:right w:val="single" w:sz="8" w:color="auto"/>
            </w:tcBorders>
            <w:vMerge w:val="restart"/>
            <w:shd w:val="clear" w:color="auto" w:fill="C6D9F1"/>
          </w:tcPr>
          <w:p>
            <w:pPr>
              <w:ind w:left="120"/>
              <w:spacing w:after="0"/>
              <w:rPr>
                <w:sz w:val="20"/>
                <w:szCs w:val="20"/>
                <w:color w:val="auto"/>
              </w:rPr>
            </w:pPr>
            <w:r>
              <w:rPr>
                <w:rFonts w:ascii="Arial" w:cs="Arial" w:eastAsia="Arial" w:hAnsi="Arial"/>
                <w:sz w:val="18"/>
                <w:szCs w:val="18"/>
                <w:color w:val="auto"/>
              </w:rPr>
              <w:t>Experience</w:t>
            </w:r>
          </w:p>
        </w:tc>
        <w:tc>
          <w:tcPr>
            <w:tcW w:w="920" w:type="dxa"/>
            <w:vAlign w:val="bottom"/>
            <w:vMerge w:val="continue"/>
            <w:shd w:val="clear" w:color="auto" w:fill="C6D9F1"/>
          </w:tcPr>
          <w:p>
            <w:pPr>
              <w:spacing w:after="0"/>
              <w:rPr>
                <w:sz w:val="9"/>
                <w:szCs w:val="9"/>
                <w:color w:val="auto"/>
              </w:rPr>
            </w:pPr>
          </w:p>
        </w:tc>
        <w:tc>
          <w:tcPr>
            <w:tcW w:w="340" w:type="dxa"/>
            <w:vAlign w:val="bottom"/>
            <w:tcBorders>
              <w:right w:val="single" w:sz="8" w:color="auto"/>
            </w:tcBorders>
            <w:shd w:val="clear" w:color="auto" w:fill="C6D9F1"/>
          </w:tcPr>
          <w:p>
            <w:pPr>
              <w:spacing w:after="0"/>
              <w:rPr>
                <w:sz w:val="9"/>
                <w:szCs w:val="9"/>
                <w:color w:val="auto"/>
              </w:rPr>
            </w:pPr>
          </w:p>
        </w:tc>
        <w:tc>
          <w:tcPr>
            <w:tcW w:w="1160" w:type="dxa"/>
            <w:vAlign w:val="bottom"/>
            <w:tcBorders>
              <w:right w:val="single" w:sz="8" w:color="auto"/>
            </w:tcBorders>
            <w:vMerge w:val="continue"/>
            <w:shd w:val="clear" w:color="auto" w:fill="C6D9F1"/>
          </w:tcPr>
          <w:p>
            <w:pPr>
              <w:spacing w:after="0"/>
              <w:rPr>
                <w:sz w:val="9"/>
                <w:szCs w:val="9"/>
                <w:color w:val="auto"/>
              </w:rPr>
            </w:pPr>
          </w:p>
        </w:tc>
        <w:tc>
          <w:tcPr>
            <w:tcW w:w="1020" w:type="dxa"/>
            <w:vAlign w:val="bottom"/>
            <w:tcBorders>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1140" w:type="dxa"/>
            <w:vAlign w:val="bottom"/>
            <w:tcBorders>
              <w:right w:val="single" w:sz="8" w:color="auto"/>
            </w:tcBorders>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100" w:type="dxa"/>
            <w:vAlign w:val="bottom"/>
            <w:tcBorders>
              <w:bottom w:val="single" w:sz="8" w:color="auto"/>
              <w:right w:val="single" w:sz="8" w:color="auto"/>
            </w:tcBorders>
            <w:vMerge w:val="continue"/>
            <w:shd w:val="clear" w:color="auto" w:fill="C6D9F1"/>
          </w:tcPr>
          <w:p>
            <w:pPr>
              <w:spacing w:after="0"/>
              <w:rPr>
                <w:sz w:val="9"/>
                <w:szCs w:val="9"/>
                <w:color w:val="auto"/>
              </w:rPr>
            </w:pPr>
          </w:p>
        </w:tc>
        <w:tc>
          <w:tcPr>
            <w:tcW w:w="920" w:type="dxa"/>
            <w:vAlign w:val="bottom"/>
            <w:tcBorders>
              <w:bottom w:val="single" w:sz="8" w:color="auto"/>
            </w:tcBorders>
            <w:shd w:val="clear" w:color="auto" w:fill="C6D9F1"/>
          </w:tcPr>
          <w:p>
            <w:pPr>
              <w:spacing w:after="0"/>
              <w:rPr>
                <w:sz w:val="9"/>
                <w:szCs w:val="9"/>
                <w:color w:val="auto"/>
              </w:rPr>
            </w:pPr>
          </w:p>
        </w:tc>
        <w:tc>
          <w:tcPr>
            <w:tcW w:w="340" w:type="dxa"/>
            <w:vAlign w:val="bottom"/>
            <w:tcBorders>
              <w:bottom w:val="single" w:sz="8" w:color="auto"/>
              <w:right w:val="single" w:sz="8" w:color="auto"/>
            </w:tcBorders>
            <w:shd w:val="clear" w:color="auto" w:fill="C6D9F1"/>
          </w:tcPr>
          <w:p>
            <w:pPr>
              <w:spacing w:after="0"/>
              <w:rPr>
                <w:sz w:val="9"/>
                <w:szCs w:val="9"/>
                <w:color w:val="auto"/>
              </w:rPr>
            </w:pPr>
          </w:p>
        </w:tc>
        <w:tc>
          <w:tcPr>
            <w:tcW w:w="1160" w:type="dxa"/>
            <w:vAlign w:val="bottom"/>
            <w:tcBorders>
              <w:bottom w:val="single" w:sz="8" w:color="auto"/>
              <w:right w:val="single" w:sz="8" w:color="auto"/>
            </w:tcBorders>
            <w:shd w:val="clear" w:color="auto" w:fill="C6D9F1"/>
          </w:tcPr>
          <w:p>
            <w:pPr>
              <w:spacing w:after="0"/>
              <w:rPr>
                <w:sz w:val="9"/>
                <w:szCs w:val="9"/>
                <w:color w:val="auto"/>
              </w:rPr>
            </w:pPr>
          </w:p>
        </w:tc>
        <w:tc>
          <w:tcPr>
            <w:tcW w:w="1020" w:type="dxa"/>
            <w:vAlign w:val="bottom"/>
            <w:tcBorders>
              <w:bottom w:val="single" w:sz="8" w:color="auto"/>
              <w:right w:val="single" w:sz="8" w:color="auto"/>
            </w:tcBorders>
          </w:tcPr>
          <w:p>
            <w:pPr>
              <w:spacing w:after="0"/>
              <w:rPr>
                <w:sz w:val="9"/>
                <w:szCs w:val="9"/>
                <w:color w:val="auto"/>
              </w:rPr>
            </w:pPr>
          </w:p>
        </w:tc>
        <w:tc>
          <w:tcPr>
            <w:tcW w:w="920" w:type="dxa"/>
            <w:vAlign w:val="bottom"/>
            <w:tcBorders>
              <w:bottom w:val="single" w:sz="8" w:color="auto"/>
              <w:right w:val="single" w:sz="8" w:color="auto"/>
            </w:tcBorders>
          </w:tcPr>
          <w:p>
            <w:pPr>
              <w:spacing w:after="0"/>
              <w:rPr>
                <w:sz w:val="9"/>
                <w:szCs w:val="9"/>
                <w:color w:val="auto"/>
              </w:rPr>
            </w:pPr>
          </w:p>
        </w:tc>
        <w:tc>
          <w:tcPr>
            <w:tcW w:w="920" w:type="dxa"/>
            <w:vAlign w:val="bottom"/>
            <w:tcBorders>
              <w:bottom w:val="single" w:sz="8" w:color="auto"/>
              <w:right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40" w:type="dxa"/>
            <w:vAlign w:val="bottom"/>
            <w:tcBorders>
              <w:bottom w:val="single" w:sz="8" w:color="auto"/>
              <w:right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3100" w:type="dxa"/>
            <w:vAlign w:val="bottom"/>
            <w:tcBorders>
              <w:bottom w:val="single" w:sz="8" w:color="auto"/>
              <w:right w:val="single" w:sz="8" w:color="auto"/>
            </w:tcBorders>
            <w:shd w:val="clear" w:color="auto" w:fill="C6D9F1"/>
          </w:tcPr>
          <w:p>
            <w:pPr>
              <w:ind w:left="120"/>
              <w:spacing w:after="0"/>
              <w:rPr>
                <w:sz w:val="20"/>
                <w:szCs w:val="20"/>
                <w:color w:val="auto"/>
              </w:rPr>
            </w:pPr>
            <w:r>
              <w:rPr>
                <w:rFonts w:ascii="Arial" w:cs="Arial" w:eastAsia="Arial" w:hAnsi="Arial"/>
                <w:sz w:val="18"/>
                <w:szCs w:val="18"/>
                <w:color w:val="auto"/>
              </w:rPr>
              <w:t>International / Global Experience</w:t>
            </w:r>
          </w:p>
        </w:tc>
        <w:tc>
          <w:tcPr>
            <w:tcW w:w="920" w:type="dxa"/>
            <w:vAlign w:val="bottom"/>
            <w:tcBorders>
              <w:bottom w:val="single" w:sz="8" w:color="auto"/>
            </w:tcBorders>
            <w:shd w:val="clear" w:color="auto" w:fill="C6D9F1"/>
          </w:tcPr>
          <w:p>
            <w:pPr>
              <w:jc w:val="center"/>
              <w:ind w:left="230"/>
              <w:spacing w:after="0"/>
              <w:rPr>
                <w:sz w:val="20"/>
                <w:szCs w:val="20"/>
                <w:color w:val="auto"/>
              </w:rPr>
            </w:pPr>
            <w:r>
              <w:rPr>
                <w:rFonts w:ascii="Arial" w:cs="Arial" w:eastAsia="Arial" w:hAnsi="Arial"/>
                <w:sz w:val="18"/>
                <w:szCs w:val="18"/>
                <w:color w:val="auto"/>
                <w:w w:val="79"/>
              </w:rPr>
              <w:t>ü</w:t>
            </w:r>
          </w:p>
        </w:tc>
        <w:tc>
          <w:tcPr>
            <w:tcW w:w="340" w:type="dxa"/>
            <w:vAlign w:val="bottom"/>
            <w:tcBorders>
              <w:bottom w:val="single" w:sz="8" w:color="auto"/>
              <w:right w:val="single" w:sz="8" w:color="auto"/>
            </w:tcBorders>
            <w:shd w:val="clear" w:color="auto" w:fill="C6D9F1"/>
          </w:tcPr>
          <w:p>
            <w:pPr>
              <w:spacing w:after="0"/>
              <w:rPr>
                <w:sz w:val="20"/>
                <w:szCs w:val="20"/>
                <w:color w:val="auto"/>
              </w:rPr>
            </w:pPr>
          </w:p>
        </w:tc>
        <w:tc>
          <w:tcPr>
            <w:tcW w:w="1160" w:type="dxa"/>
            <w:vAlign w:val="bottom"/>
            <w:tcBorders>
              <w:bottom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18"/>
                <w:szCs w:val="18"/>
                <w:color w:val="auto"/>
                <w:w w:val="79"/>
              </w:rPr>
              <w:t>ü</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ü</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ü</w:t>
            </w:r>
          </w:p>
        </w:tc>
        <w:tc>
          <w:tcPr>
            <w:tcW w:w="66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99"/>
              </w:rPr>
              <w:t>ü</w:t>
            </w:r>
          </w:p>
        </w:tc>
        <w:tc>
          <w:tcPr>
            <w:tcW w:w="24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5"/>
        </w:trPr>
        <w:tc>
          <w:tcPr>
            <w:tcW w:w="3100" w:type="dxa"/>
            <w:vAlign w:val="bottom"/>
            <w:tcBorders>
              <w:right w:val="single" w:sz="8" w:color="auto"/>
            </w:tcBorders>
            <w:shd w:val="clear" w:color="auto" w:fill="C6D9F1"/>
          </w:tcPr>
          <w:p>
            <w:pPr>
              <w:ind w:left="120"/>
              <w:spacing w:after="0"/>
              <w:rPr>
                <w:sz w:val="20"/>
                <w:szCs w:val="20"/>
                <w:color w:val="auto"/>
              </w:rPr>
            </w:pPr>
            <w:r>
              <w:rPr>
                <w:rFonts w:ascii="Arial" w:cs="Arial" w:eastAsia="Arial" w:hAnsi="Arial"/>
                <w:sz w:val="18"/>
                <w:szCs w:val="18"/>
                <w:color w:val="auto"/>
              </w:rPr>
              <w:t>Operations Management, Analytics</w:t>
            </w:r>
          </w:p>
        </w:tc>
        <w:tc>
          <w:tcPr>
            <w:tcW w:w="920" w:type="dxa"/>
            <w:vAlign w:val="bottom"/>
            <w:vMerge w:val="restart"/>
            <w:shd w:val="clear" w:color="auto" w:fill="C6D9F1"/>
          </w:tcPr>
          <w:p>
            <w:pPr>
              <w:jc w:val="center"/>
              <w:ind w:left="230"/>
              <w:spacing w:after="0"/>
              <w:rPr>
                <w:sz w:val="20"/>
                <w:szCs w:val="20"/>
                <w:color w:val="auto"/>
              </w:rPr>
            </w:pPr>
            <w:r>
              <w:rPr>
                <w:rFonts w:ascii="Arial" w:cs="Arial" w:eastAsia="Arial" w:hAnsi="Arial"/>
                <w:sz w:val="18"/>
                <w:szCs w:val="18"/>
                <w:color w:val="auto"/>
                <w:w w:val="79"/>
              </w:rPr>
              <w:t>ü</w:t>
            </w:r>
          </w:p>
        </w:tc>
        <w:tc>
          <w:tcPr>
            <w:tcW w:w="340" w:type="dxa"/>
            <w:vAlign w:val="bottom"/>
            <w:tcBorders>
              <w:right w:val="single" w:sz="8" w:color="auto"/>
            </w:tcBorders>
            <w:shd w:val="clear" w:color="auto" w:fill="C6D9F1"/>
          </w:tcPr>
          <w:p>
            <w:pPr>
              <w:spacing w:after="0"/>
              <w:rPr>
                <w:sz w:val="18"/>
                <w:szCs w:val="18"/>
                <w:color w:val="auto"/>
              </w:rPr>
            </w:pPr>
          </w:p>
        </w:tc>
        <w:tc>
          <w:tcPr>
            <w:tcW w:w="1160" w:type="dxa"/>
            <w:vAlign w:val="bottom"/>
            <w:tcBorders>
              <w:right w:val="single" w:sz="8" w:color="auto"/>
            </w:tcBorders>
            <w:vMerge w:val="restart"/>
            <w:shd w:val="clear" w:color="auto" w:fill="C6D9F1"/>
          </w:tcPr>
          <w:p>
            <w:pPr>
              <w:jc w:val="center"/>
              <w:spacing w:after="0"/>
              <w:rPr>
                <w:sz w:val="20"/>
                <w:szCs w:val="20"/>
                <w:color w:val="auto"/>
              </w:rPr>
            </w:pPr>
            <w:r>
              <w:rPr>
                <w:rFonts w:ascii="Arial" w:cs="Arial" w:eastAsia="Arial" w:hAnsi="Arial"/>
                <w:sz w:val="18"/>
                <w:szCs w:val="18"/>
                <w:color w:val="auto"/>
                <w:w w:val="79"/>
              </w:rPr>
              <w:t>ü</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ü</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ü</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ü</w:t>
            </w:r>
          </w:p>
        </w:tc>
        <w:tc>
          <w:tcPr>
            <w:tcW w:w="660" w:type="dxa"/>
            <w:vAlign w:val="bottom"/>
            <w:vMerge w:val="restart"/>
          </w:tcPr>
          <w:p>
            <w:pPr>
              <w:jc w:val="center"/>
              <w:ind w:left="110"/>
              <w:spacing w:after="0"/>
              <w:rPr>
                <w:sz w:val="20"/>
                <w:szCs w:val="20"/>
                <w:color w:val="auto"/>
              </w:rPr>
            </w:pPr>
            <w:r>
              <w:rPr>
                <w:rFonts w:ascii="Arial" w:cs="Arial" w:eastAsia="Arial" w:hAnsi="Arial"/>
                <w:sz w:val="18"/>
                <w:szCs w:val="18"/>
                <w:color w:val="auto"/>
                <w:w w:val="99"/>
              </w:rPr>
              <w:t>ü</w:t>
            </w:r>
          </w:p>
        </w:tc>
        <w:tc>
          <w:tcPr>
            <w:tcW w:w="2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ü</w:t>
            </w: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109"/>
        </w:trPr>
        <w:tc>
          <w:tcPr>
            <w:tcW w:w="3100" w:type="dxa"/>
            <w:vAlign w:val="bottom"/>
            <w:tcBorders>
              <w:right w:val="single" w:sz="8" w:color="auto"/>
            </w:tcBorders>
            <w:vMerge w:val="restart"/>
            <w:shd w:val="clear" w:color="auto" w:fill="C6D9F1"/>
          </w:tcPr>
          <w:p>
            <w:pPr>
              <w:ind w:left="120"/>
              <w:spacing w:after="0"/>
              <w:rPr>
                <w:sz w:val="20"/>
                <w:szCs w:val="20"/>
                <w:color w:val="auto"/>
              </w:rPr>
            </w:pPr>
            <w:r>
              <w:rPr>
                <w:rFonts w:ascii="Arial" w:cs="Arial" w:eastAsia="Arial" w:hAnsi="Arial"/>
                <w:sz w:val="18"/>
                <w:szCs w:val="18"/>
                <w:color w:val="auto"/>
              </w:rPr>
              <w:t>and/or Industry Vertical Experience</w:t>
            </w:r>
          </w:p>
        </w:tc>
        <w:tc>
          <w:tcPr>
            <w:tcW w:w="920" w:type="dxa"/>
            <w:vAlign w:val="bottom"/>
            <w:vMerge w:val="continue"/>
            <w:shd w:val="clear" w:color="auto" w:fill="C6D9F1"/>
          </w:tcPr>
          <w:p>
            <w:pPr>
              <w:spacing w:after="0"/>
              <w:rPr>
                <w:sz w:val="9"/>
                <w:szCs w:val="9"/>
                <w:color w:val="auto"/>
              </w:rPr>
            </w:pPr>
          </w:p>
        </w:tc>
        <w:tc>
          <w:tcPr>
            <w:tcW w:w="340" w:type="dxa"/>
            <w:vAlign w:val="bottom"/>
            <w:tcBorders>
              <w:right w:val="single" w:sz="8" w:color="auto"/>
            </w:tcBorders>
            <w:shd w:val="clear" w:color="auto" w:fill="C6D9F1"/>
          </w:tcPr>
          <w:p>
            <w:pPr>
              <w:spacing w:after="0"/>
              <w:rPr>
                <w:sz w:val="9"/>
                <w:szCs w:val="9"/>
                <w:color w:val="auto"/>
              </w:rPr>
            </w:pPr>
          </w:p>
        </w:tc>
        <w:tc>
          <w:tcPr>
            <w:tcW w:w="1160" w:type="dxa"/>
            <w:vAlign w:val="bottom"/>
            <w:tcBorders>
              <w:right w:val="single" w:sz="8" w:color="auto"/>
            </w:tcBorders>
            <w:vMerge w:val="continue"/>
            <w:shd w:val="clear" w:color="auto" w:fill="C6D9F1"/>
          </w:tcPr>
          <w:p>
            <w:pPr>
              <w:spacing w:after="0"/>
              <w:rPr>
                <w:sz w:val="9"/>
                <w:szCs w:val="9"/>
                <w:color w:val="auto"/>
              </w:rPr>
            </w:pPr>
          </w:p>
        </w:tc>
        <w:tc>
          <w:tcPr>
            <w:tcW w:w="1020" w:type="dxa"/>
            <w:vAlign w:val="bottom"/>
            <w:tcBorders>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1140" w:type="dxa"/>
            <w:vAlign w:val="bottom"/>
            <w:tcBorders>
              <w:right w:val="single" w:sz="8" w:color="auto"/>
            </w:tcBorders>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100" w:type="dxa"/>
            <w:vAlign w:val="bottom"/>
            <w:tcBorders>
              <w:bottom w:val="single" w:sz="8" w:color="auto"/>
              <w:right w:val="single" w:sz="8" w:color="auto"/>
            </w:tcBorders>
            <w:vMerge w:val="continue"/>
            <w:shd w:val="clear" w:color="auto" w:fill="C6D9F1"/>
          </w:tcPr>
          <w:p>
            <w:pPr>
              <w:spacing w:after="0"/>
              <w:rPr>
                <w:sz w:val="9"/>
                <w:szCs w:val="9"/>
                <w:color w:val="auto"/>
              </w:rPr>
            </w:pPr>
          </w:p>
        </w:tc>
        <w:tc>
          <w:tcPr>
            <w:tcW w:w="920" w:type="dxa"/>
            <w:vAlign w:val="bottom"/>
            <w:tcBorders>
              <w:bottom w:val="single" w:sz="8" w:color="auto"/>
            </w:tcBorders>
            <w:shd w:val="clear" w:color="auto" w:fill="C6D9F1"/>
          </w:tcPr>
          <w:p>
            <w:pPr>
              <w:spacing w:after="0"/>
              <w:rPr>
                <w:sz w:val="9"/>
                <w:szCs w:val="9"/>
                <w:color w:val="auto"/>
              </w:rPr>
            </w:pPr>
          </w:p>
        </w:tc>
        <w:tc>
          <w:tcPr>
            <w:tcW w:w="340" w:type="dxa"/>
            <w:vAlign w:val="bottom"/>
            <w:tcBorders>
              <w:bottom w:val="single" w:sz="8" w:color="auto"/>
              <w:right w:val="single" w:sz="8" w:color="auto"/>
            </w:tcBorders>
            <w:shd w:val="clear" w:color="auto" w:fill="C6D9F1"/>
          </w:tcPr>
          <w:p>
            <w:pPr>
              <w:spacing w:after="0"/>
              <w:rPr>
                <w:sz w:val="9"/>
                <w:szCs w:val="9"/>
                <w:color w:val="auto"/>
              </w:rPr>
            </w:pPr>
          </w:p>
        </w:tc>
        <w:tc>
          <w:tcPr>
            <w:tcW w:w="1160" w:type="dxa"/>
            <w:vAlign w:val="bottom"/>
            <w:tcBorders>
              <w:bottom w:val="single" w:sz="8" w:color="auto"/>
              <w:right w:val="single" w:sz="8" w:color="auto"/>
            </w:tcBorders>
            <w:shd w:val="clear" w:color="auto" w:fill="C6D9F1"/>
          </w:tcPr>
          <w:p>
            <w:pPr>
              <w:spacing w:after="0"/>
              <w:rPr>
                <w:sz w:val="9"/>
                <w:szCs w:val="9"/>
                <w:color w:val="auto"/>
              </w:rPr>
            </w:pPr>
          </w:p>
        </w:tc>
        <w:tc>
          <w:tcPr>
            <w:tcW w:w="1020" w:type="dxa"/>
            <w:vAlign w:val="bottom"/>
            <w:tcBorders>
              <w:bottom w:val="single" w:sz="8" w:color="auto"/>
              <w:right w:val="single" w:sz="8" w:color="auto"/>
            </w:tcBorders>
          </w:tcPr>
          <w:p>
            <w:pPr>
              <w:spacing w:after="0"/>
              <w:rPr>
                <w:sz w:val="9"/>
                <w:szCs w:val="9"/>
                <w:color w:val="auto"/>
              </w:rPr>
            </w:pPr>
          </w:p>
        </w:tc>
        <w:tc>
          <w:tcPr>
            <w:tcW w:w="920" w:type="dxa"/>
            <w:vAlign w:val="bottom"/>
            <w:tcBorders>
              <w:bottom w:val="single" w:sz="8" w:color="auto"/>
              <w:right w:val="single" w:sz="8" w:color="auto"/>
            </w:tcBorders>
          </w:tcPr>
          <w:p>
            <w:pPr>
              <w:spacing w:after="0"/>
              <w:rPr>
                <w:sz w:val="9"/>
                <w:szCs w:val="9"/>
                <w:color w:val="auto"/>
              </w:rPr>
            </w:pPr>
          </w:p>
        </w:tc>
        <w:tc>
          <w:tcPr>
            <w:tcW w:w="920" w:type="dxa"/>
            <w:vAlign w:val="bottom"/>
            <w:tcBorders>
              <w:bottom w:val="single" w:sz="8" w:color="auto"/>
              <w:right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40" w:type="dxa"/>
            <w:vAlign w:val="bottom"/>
            <w:tcBorders>
              <w:bottom w:val="single" w:sz="8" w:color="auto"/>
              <w:right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120015</wp:posOffset>
            </wp:positionV>
            <wp:extent cx="17145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309"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Audit committee financial experts under applicable SEC rules and regulations.</w:t>
      </w:r>
    </w:p>
    <w:p>
      <w:pPr>
        <w:spacing w:after="0" w:line="225" w:lineRule="exact"/>
        <w:rPr>
          <w:sz w:val="20"/>
          <w:szCs w:val="20"/>
          <w:color w:val="auto"/>
        </w:rPr>
      </w:pPr>
    </w:p>
    <w:p>
      <w:pPr>
        <w:ind w:right="100" w:firstLine="441"/>
        <w:spacing w:after="0"/>
        <w:rPr>
          <w:sz w:val="20"/>
          <w:szCs w:val="20"/>
          <w:color w:val="auto"/>
        </w:rPr>
      </w:pPr>
      <w:r>
        <w:rPr>
          <w:rFonts w:ascii="Arial" w:cs="Arial" w:eastAsia="Arial" w:hAnsi="Arial"/>
          <w:sz w:val="18"/>
          <w:szCs w:val="18"/>
          <w:color w:val="auto"/>
        </w:rPr>
        <w:t>The election of our Class I directors will take place at the Annual Meeting. If elected, each of the Class I director nominees will serve on our board of directors until our 2019 Annual Meeting of Stockholders or until their successors are duly elected and qualified in accordance with our by-laws.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220" w:lineRule="exact"/>
        <w:rPr>
          <w:sz w:val="20"/>
          <w:szCs w:val="20"/>
          <w:color w:val="auto"/>
        </w:rPr>
      </w:pPr>
    </w:p>
    <w:p>
      <w:pPr>
        <w:jc w:val="both"/>
        <w:ind w:firstLine="441"/>
        <w:spacing w:after="0"/>
        <w:rPr>
          <w:sz w:val="20"/>
          <w:szCs w:val="20"/>
          <w:color w:val="auto"/>
        </w:rPr>
      </w:pPr>
      <w:r>
        <w:rPr>
          <w:rFonts w:ascii="Arial" w:cs="Arial" w:eastAsia="Arial" w:hAnsi="Arial"/>
          <w:sz w:val="18"/>
          <w:szCs w:val="18"/>
          <w:color w:val="auto"/>
        </w:rPr>
        <w:t>The names, ages and principal occupations (which have continued for at least the past five years unless otherwise indicated) and certain other information, including the specific experience, qualifications, attributes or skills that led to the conclusion that such person should serve as a director of the Company, with respect to each of the nominees and continuing directors are set forth below.</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Directors with Terms Expiring in 2016</w:t>
      </w:r>
    </w:p>
    <w:p>
      <w:pPr>
        <w:spacing w:after="0" w:line="198" w:lineRule="exact"/>
        <w:rPr>
          <w:sz w:val="20"/>
          <w:szCs w:val="20"/>
          <w:color w:val="auto"/>
        </w:rPr>
      </w:pPr>
    </w:p>
    <w:p>
      <w:pPr>
        <w:ind w:right="140" w:firstLine="441"/>
        <w:spacing w:after="0"/>
        <w:rPr>
          <w:sz w:val="20"/>
          <w:szCs w:val="20"/>
          <w:color w:val="auto"/>
        </w:rPr>
      </w:pPr>
      <w:r>
        <w:rPr>
          <w:rFonts w:ascii="Arial" w:cs="Arial" w:eastAsia="Arial" w:hAnsi="Arial"/>
          <w:sz w:val="18"/>
          <w:szCs w:val="18"/>
          <w:i w:val="1"/>
          <w:iCs w:val="1"/>
          <w:color w:val="auto"/>
        </w:rPr>
        <w:t>Rohit Kapoor</w:t>
      </w:r>
      <w:r>
        <w:rPr>
          <w:rFonts w:ascii="Arial" w:cs="Arial" w:eastAsia="Arial" w:hAnsi="Arial"/>
          <w:sz w:val="18"/>
          <w:szCs w:val="18"/>
          <w:color w:val="auto"/>
        </w:rPr>
        <w:t>—Age: 51—co-founded EXL Inc. in April 1999 and has served as our Vice Chairman and CEO since April 2012 and as a</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 since November 2002. Mr. Kapoor served as our President and CEO from May 2008 to March 2012, as our Chief Financial Officer (“CFO”) from November 2002 until June 2005 and from September 2006 to March 2007, as our Chief Operating Officer from June 2007 until April 2008 and as President and CFO of EXL Inc. since August 2000. Prior to founding EXL Inc., Mr. Kapoor served as a business head of Deutsche Bank from July 1999 to July 2000. From 1991 to 2000, Mr. Kapoor served in various capacities at Bank of America in the United States and Asia, including India. Mr. Kapoor was appointed as a member of the board of directors of CA Technologies, Inc. (NASDAQ: CA) on April 7, 2011 and is an active member of the National Association of Software and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46" w:right="239" w:bottom="1440" w:gutter="0" w:footer="0" w:header="0"/>
        </w:sectPr>
      </w:pPr>
    </w:p>
    <w:bookmarkStart w:id="14" w:name="page15"/>
    <w:bookmarkEnd w:id="14"/>
    <w:p>
      <w:pPr>
        <w:ind w:right="200"/>
        <w:spacing w:after="0" w:line="246" w:lineRule="auto"/>
        <w:rPr>
          <w:sz w:val="20"/>
          <w:szCs w:val="20"/>
          <w:color w:val="auto"/>
        </w:rPr>
      </w:pPr>
      <w:r>
        <w:rPr>
          <w:rFonts w:ascii="Arial" w:cs="Arial" w:eastAsia="Arial" w:hAnsi="Arial"/>
          <w:sz w:val="18"/>
          <w:szCs w:val="18"/>
          <w:color w:val="auto"/>
        </w:rPr>
        <w:t>Services Companies (“NASSCOM”) BPM Forum. The Company has concluded that in connection with Mr. Kapoor’s experience as a founder and current role as CEO of the Company, he should serve as a director.</w:t>
      </w:r>
    </w:p>
    <w:p>
      <w:pPr>
        <w:spacing w:after="0" w:line="165" w:lineRule="exact"/>
        <w:rPr>
          <w:sz w:val="20"/>
          <w:szCs w:val="20"/>
          <w:color w:val="auto"/>
        </w:rPr>
      </w:pPr>
    </w:p>
    <w:p>
      <w:pPr>
        <w:ind w:right="40" w:firstLine="441"/>
        <w:spacing w:after="0" w:line="238" w:lineRule="auto"/>
        <w:rPr>
          <w:sz w:val="20"/>
          <w:szCs w:val="20"/>
          <w:color w:val="auto"/>
        </w:rPr>
      </w:pPr>
      <w:r>
        <w:rPr>
          <w:rFonts w:ascii="Arial" w:cs="Arial" w:eastAsia="Arial" w:hAnsi="Arial"/>
          <w:sz w:val="18"/>
          <w:szCs w:val="18"/>
          <w:i w:val="1"/>
          <w:iCs w:val="1"/>
          <w:color w:val="auto"/>
        </w:rPr>
        <w:t>Anne E. Minto</w:t>
      </w:r>
      <w:r>
        <w:rPr>
          <w:rFonts w:ascii="Arial" w:cs="Arial" w:eastAsia="Arial" w:hAnsi="Arial"/>
          <w:sz w:val="18"/>
          <w:szCs w:val="18"/>
          <w:color w:val="auto"/>
        </w:rPr>
        <w:t>—Age: 62—has served as a member of our board of directors since March 2013. Ms. Minto is a qualified lawyer and</w:t>
      </w:r>
      <w:r>
        <w:rPr>
          <w:rFonts w:ascii="Arial" w:cs="Arial" w:eastAsia="Arial" w:hAnsi="Arial"/>
          <w:sz w:val="18"/>
          <w:szCs w:val="18"/>
          <w:i w:val="1"/>
          <w:iCs w:val="1"/>
          <w:color w:val="auto"/>
        </w:rPr>
        <w:t xml:space="preserve"> </w:t>
      </w:r>
      <w:r>
        <w:rPr>
          <w:rFonts w:ascii="Arial" w:cs="Arial" w:eastAsia="Arial" w:hAnsi="Arial"/>
          <w:sz w:val="18"/>
          <w:szCs w:val="18"/>
          <w:color w:val="auto"/>
        </w:rPr>
        <w:t>member of the Law Society of Scotland. She is a Fellow of the Chartered Institute of Personnel &amp; Development, the Chartered Institute of Management and the City and Guilds of London Institute. She was Group Director Human Resources and a member of the executive committee at Centrica plc from 2002 until her retirement in 2011. Ms. Minto previously held senior management roles at Shell UK and Smiths Group plc and was Deputy Director-General of the Engineering Employers’ Federation. Based in the UK, Ms. Minto is a non-executive director of Shire plc (NASDAQ: SHPG; LSE: SHP) and a non-executive director of Tate &amp; Lyle plc (LSE: TATE) where she serves as Chairman of the Remuneration Committees of both companies. She is also a non-executive director of the Court of the University of Aberdeen and Vice Chairman of the University of Aberdeen Development Trust. She was awarded an OBE in 2000 for services to the engineering industry in the UK. The Company has concluded, based in part on Ms. Minto’s extensive experience as a member of international company boards and of management in the human resources field, together with her knowledge and experience of the European business and regulatory environment that she should serve as a director.</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Directors with Terms Expiring in 2017</w:t>
      </w:r>
    </w:p>
    <w:p>
      <w:pPr>
        <w:spacing w:after="0" w:line="198" w:lineRule="exact"/>
        <w:rPr>
          <w:sz w:val="20"/>
          <w:szCs w:val="20"/>
          <w:color w:val="auto"/>
        </w:rPr>
      </w:pPr>
    </w:p>
    <w:p>
      <w:pPr>
        <w:ind w:firstLine="441"/>
        <w:spacing w:after="0" w:line="238" w:lineRule="auto"/>
        <w:rPr>
          <w:sz w:val="20"/>
          <w:szCs w:val="20"/>
          <w:color w:val="auto"/>
        </w:rPr>
      </w:pPr>
      <w:r>
        <w:rPr>
          <w:rFonts w:ascii="Arial" w:cs="Arial" w:eastAsia="Arial" w:hAnsi="Arial"/>
          <w:sz w:val="18"/>
          <w:szCs w:val="18"/>
          <w:i w:val="1"/>
          <w:iCs w:val="1"/>
          <w:color w:val="auto"/>
        </w:rPr>
        <w:t>David B. Kelso</w:t>
      </w:r>
      <w:r>
        <w:rPr>
          <w:rFonts w:ascii="Arial" w:cs="Arial" w:eastAsia="Arial" w:hAnsi="Arial"/>
          <w:sz w:val="18"/>
          <w:szCs w:val="18"/>
          <w:color w:val="auto"/>
        </w:rPr>
        <w:t>—Age: 63—has served as a member of our board of directors since July 2006. Mr. Kelso is a financial advisor for Kelso</w:t>
      </w:r>
      <w:r>
        <w:rPr>
          <w:rFonts w:ascii="Arial" w:cs="Arial" w:eastAsia="Arial" w:hAnsi="Arial"/>
          <w:sz w:val="18"/>
          <w:szCs w:val="18"/>
          <w:i w:val="1"/>
          <w:iCs w:val="1"/>
          <w:color w:val="auto"/>
        </w:rPr>
        <w:t xml:space="preserve"> </w:t>
      </w:r>
      <w:r>
        <w:rPr>
          <w:rFonts w:ascii="Arial" w:cs="Arial" w:eastAsia="Arial" w:hAnsi="Arial"/>
          <w:sz w:val="18"/>
          <w:szCs w:val="18"/>
          <w:color w:val="auto"/>
        </w:rPr>
        <w:t>Advisory Services, a company he started in 2003. Mr. Kelso served as a senior advisor to Inductis, Inc. from June 2004 through June 2006 at which time the firm was acquired by the Company. From September 2001 through September 2003, Mr. Kelso served as Chairman of the Aetna Life Insurance Co. as well as the Executive Vice President, Strategy and Finance and a member of the Office of the Chairman for Aetna, Inc. From 1996 to 2001, Mr. Kelso was Executive Vice President, Chief Financial Officer and Managing Director of the Chubb Corporation. Mr. Kelso currently serves on the Board of Directors of the Sound Shore Fund where he is the lead independent director and Chair of the Audit, Nominating, and Valuation Committees. From 2005 to 2010, Mr. Kelso was a member of the Board of Directors of Aspen Holdings Limited. From 2007 to 2015, Mr. Kelso served on the Board of Assurant, Inc. and was a member of its Audit Committee and Finance &amp; Investment Committee. In November 2015, Mr. Kelso was appointed to the Board of Trustees of the Darden School Foundation of the University of Virginia Darden School of Business. Mr. Kelso’s business experience with Inductis, his management and operating experience at major public companies, his expertise in finance, strategy and investments, and his board and committee service at other global companies led to the conclusion that he should serve as a director.</w:t>
      </w:r>
    </w:p>
    <w:p>
      <w:pPr>
        <w:spacing w:after="0" w:line="170" w:lineRule="exact"/>
        <w:rPr>
          <w:sz w:val="20"/>
          <w:szCs w:val="20"/>
          <w:color w:val="auto"/>
        </w:rPr>
      </w:pPr>
    </w:p>
    <w:p>
      <w:pPr>
        <w:ind w:right="20" w:firstLine="441"/>
        <w:spacing w:after="0"/>
        <w:rPr>
          <w:sz w:val="20"/>
          <w:szCs w:val="20"/>
          <w:color w:val="auto"/>
        </w:rPr>
      </w:pPr>
      <w:r>
        <w:rPr>
          <w:rFonts w:ascii="Arial" w:cs="Arial" w:eastAsia="Arial" w:hAnsi="Arial"/>
          <w:sz w:val="18"/>
          <w:szCs w:val="18"/>
          <w:i w:val="1"/>
          <w:iCs w:val="1"/>
          <w:color w:val="auto"/>
        </w:rPr>
        <w:t>Som Mittal</w:t>
      </w:r>
      <w:r>
        <w:rPr>
          <w:rFonts w:ascii="Arial" w:cs="Arial" w:eastAsia="Arial" w:hAnsi="Arial"/>
          <w:sz w:val="18"/>
          <w:szCs w:val="18"/>
          <w:color w:val="auto"/>
        </w:rPr>
        <w:t>—Age: 64—has served as a member of our board of directors since December 2013. Mr. Mittal served as President of</w:t>
      </w:r>
      <w:r>
        <w:rPr>
          <w:rFonts w:ascii="Arial" w:cs="Arial" w:eastAsia="Arial" w:hAnsi="Arial"/>
          <w:sz w:val="18"/>
          <w:szCs w:val="18"/>
          <w:i w:val="1"/>
          <w:iCs w:val="1"/>
          <w:color w:val="auto"/>
        </w:rPr>
        <w:t xml:space="preserve"> </w:t>
      </w:r>
      <w:r>
        <w:rPr>
          <w:rFonts w:ascii="Arial" w:cs="Arial" w:eastAsia="Arial" w:hAnsi="Arial"/>
          <w:sz w:val="18"/>
          <w:szCs w:val="18"/>
          <w:color w:val="auto"/>
        </w:rPr>
        <w:t>NASSCOM, a trade body for the IT and business process management industries in India from 2008 through January 2014. Mr. Mittal has held various corporate leadership roles in the IT industry since 1989, including at companies such as Wipro, Digital India, Compaq and HP. He also has extensive experience in the engineering, manufacturing and automotive industries, having held executive roles with Larsen &amp; Toubro, Escorts and Denso. Mr. Mittal became an Independent Director of Axis Bank (NSE: Axis) in October 2011, Cyient Ltd. (NSE: CYIENT) in April 2014 and Tata SIA Airlines in July 2015. He is a member of the Board of Governors of the Indian Institute of Corporate Affairs. Mr. Mittal has been a committee member with the Indian Prime Minister’s National</w:t>
      </w:r>
    </w:p>
    <w:p>
      <w:pPr>
        <w:spacing w:after="0" w:line="1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68" w:right="279" w:bottom="1440" w:gutter="0" w:footer="0" w:header="0"/>
        </w:sectPr>
      </w:pPr>
    </w:p>
    <w:bookmarkStart w:id="15" w:name="page16"/>
    <w:bookmarkEnd w:id="15"/>
    <w:p>
      <w:pPr>
        <w:ind w:right="200"/>
        <w:spacing w:after="0" w:line="239" w:lineRule="auto"/>
        <w:rPr>
          <w:sz w:val="20"/>
          <w:szCs w:val="20"/>
          <w:color w:val="auto"/>
        </w:rPr>
      </w:pPr>
      <w:r>
        <w:rPr>
          <w:rFonts w:ascii="Arial" w:cs="Arial" w:eastAsia="Arial" w:hAnsi="Arial"/>
          <w:sz w:val="18"/>
          <w:szCs w:val="18"/>
          <w:color w:val="auto"/>
        </w:rPr>
        <w:t>e-Governance Program and is part of several committees of the Government of India. Besides being an Advisor to several companies he is also deeply associated with education as he is on the Board of Governors of several of them. The Company has concluded, based in part on Mr. Mittal’s business experience as President of NASSCOM and his knowledge of the outsourcing industry, that Mr. Mittal should serve as a director.</w:t>
      </w:r>
    </w:p>
    <w:p>
      <w:pPr>
        <w:spacing w:after="0" w:line="170" w:lineRule="exact"/>
        <w:rPr>
          <w:sz w:val="20"/>
          <w:szCs w:val="20"/>
          <w:color w:val="auto"/>
        </w:rPr>
      </w:pPr>
    </w:p>
    <w:p>
      <w:pPr>
        <w:ind w:firstLine="441"/>
        <w:spacing w:after="0" w:line="239" w:lineRule="auto"/>
        <w:rPr>
          <w:sz w:val="20"/>
          <w:szCs w:val="20"/>
          <w:color w:val="auto"/>
        </w:rPr>
      </w:pPr>
      <w:r>
        <w:rPr>
          <w:rFonts w:ascii="Arial" w:cs="Arial" w:eastAsia="Arial" w:hAnsi="Arial"/>
          <w:sz w:val="18"/>
          <w:szCs w:val="18"/>
          <w:i w:val="1"/>
          <w:iCs w:val="1"/>
          <w:color w:val="auto"/>
        </w:rPr>
        <w:t>Clyde W. Ostler</w:t>
      </w:r>
      <w:r>
        <w:rPr>
          <w:rFonts w:ascii="Arial" w:cs="Arial" w:eastAsia="Arial" w:hAnsi="Arial"/>
          <w:sz w:val="18"/>
          <w:szCs w:val="18"/>
          <w:color w:val="auto"/>
        </w:rPr>
        <w:t>—Age: 69—has served as a member of our board of directors since December 2007. At the time of his retirement in 2011</w:t>
      </w:r>
      <w:r>
        <w:rPr>
          <w:rFonts w:ascii="Arial" w:cs="Arial" w:eastAsia="Arial" w:hAnsi="Arial"/>
          <w:sz w:val="18"/>
          <w:szCs w:val="18"/>
          <w:i w:val="1"/>
          <w:iCs w:val="1"/>
          <w:color w:val="auto"/>
        </w:rPr>
        <w:t xml:space="preserve"> </w:t>
      </w:r>
      <w:r>
        <w:rPr>
          <w:rFonts w:ascii="Arial" w:cs="Arial" w:eastAsia="Arial" w:hAnsi="Arial"/>
          <w:sz w:val="18"/>
          <w:szCs w:val="18"/>
          <w:color w:val="auto"/>
        </w:rPr>
        <w:t>from Wells Fargo &amp; Co., Mr. Ostler was a Group Executive Vice President of Wells Fargo &amp; Co., Vice Chairman of Wells Fargo Bank California NA, and President of Wells Fargo Family Wealth. Mr. Ostler served in a number of capacities during his forty year tenure with Wells Fargo, including Vice Chairman in the Office of the President, Chief Financial Officer, Chief Auditor, Head of Retail Branch Banking, Head of Information Technology, Head of Institutional and Personal Investments and Head of Internet Services. Mr. Ostler also served on the Senior Management Committee of Wells Fargo for over twenty-five years. Mr. Ostler has also served on a number of for-profit and non-profit boards of directors. Mr. Ostler was appointed to the board of The McClatchy Company (NYSE: MNI) in March 2013. The Company has concluded, based in part on Mr. Ostler’s business experience through his positions at Wells Fargo &amp; Company that Mr. Ostler should serve as a director.</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Nominees for Terms Expiring in 2018</w:t>
      </w:r>
    </w:p>
    <w:p>
      <w:pPr>
        <w:spacing w:after="0" w:line="198" w:lineRule="exact"/>
        <w:rPr>
          <w:sz w:val="20"/>
          <w:szCs w:val="20"/>
          <w:color w:val="auto"/>
        </w:rPr>
      </w:pPr>
    </w:p>
    <w:p>
      <w:pPr>
        <w:ind w:firstLine="441"/>
        <w:spacing w:after="0" w:line="238" w:lineRule="auto"/>
        <w:rPr>
          <w:sz w:val="20"/>
          <w:szCs w:val="20"/>
          <w:color w:val="auto"/>
        </w:rPr>
      </w:pPr>
      <w:r>
        <w:rPr>
          <w:rFonts w:ascii="Arial" w:cs="Arial" w:eastAsia="Arial" w:hAnsi="Arial"/>
          <w:sz w:val="18"/>
          <w:szCs w:val="18"/>
          <w:i w:val="1"/>
          <w:iCs w:val="1"/>
          <w:color w:val="auto"/>
        </w:rPr>
        <w:t>Deborah Kerr</w:t>
      </w:r>
      <w:r>
        <w:rPr>
          <w:rFonts w:ascii="Arial" w:cs="Arial" w:eastAsia="Arial" w:hAnsi="Arial"/>
          <w:sz w:val="18"/>
          <w:szCs w:val="18"/>
          <w:color w:val="auto"/>
        </w:rPr>
        <w:t>—Age: 44—has served as a member of our board of directors since January 2015. Ms. Kerr is a proven technology leader</w:t>
      </w:r>
      <w:r>
        <w:rPr>
          <w:rFonts w:ascii="Arial" w:cs="Arial" w:eastAsia="Arial" w:hAnsi="Arial"/>
          <w:sz w:val="18"/>
          <w:szCs w:val="18"/>
          <w:i w:val="1"/>
          <w:iCs w:val="1"/>
          <w:color w:val="auto"/>
        </w:rPr>
        <w:t xml:space="preserve"> </w:t>
      </w:r>
      <w:r>
        <w:rPr>
          <w:rFonts w:ascii="Arial" w:cs="Arial" w:eastAsia="Arial" w:hAnsi="Arial"/>
          <w:sz w:val="18"/>
          <w:szCs w:val="18"/>
          <w:color w:val="auto"/>
        </w:rPr>
        <w:t>in the software industry with more than 25 years of diverse management experience. Ms. Kerr has served as the Executive Vice President and Chief Product and Technology Officer at Sabre Corporation (NASDAQ: SABR) since 2013 and is responsible for leading the global product and technology organization. Prior to her appointment at Sabre Corporation, Ms. Kerr served as Executive Vice President, Chief Product and Technology Officer at Fair Isaac Corporation (FICO) from 2009 until 2012. Ms. Kerr previously held senior leadership roles with Hewlett-Packard, Peregrine Systems and NASA’s Jet Propulsion Laboratory. From 2013 to present Ms. Kerr serves as an Independent Director of D+H Corporation (TSX: DH), which provides technology solutions and products to the financial services industry. She was previously a member of the board of directors of Mitchell International Inc. and was Chair of the Technology Committee. The Company has concluded, based in part on Ms. Kerr’s experience driving business through innovative technology solutions and more than 25 years of diverse management experience that Ms. Kerr should serve as a director.</w:t>
      </w:r>
    </w:p>
    <w:p>
      <w:pPr>
        <w:spacing w:after="0" w:line="176" w:lineRule="exact"/>
        <w:rPr>
          <w:sz w:val="20"/>
          <w:szCs w:val="20"/>
          <w:color w:val="auto"/>
        </w:rPr>
      </w:pPr>
    </w:p>
    <w:p>
      <w:pPr>
        <w:ind w:firstLine="441"/>
        <w:spacing w:after="0"/>
        <w:rPr>
          <w:sz w:val="20"/>
          <w:szCs w:val="20"/>
          <w:color w:val="auto"/>
        </w:rPr>
      </w:pPr>
      <w:r>
        <w:rPr>
          <w:rFonts w:ascii="Arial" w:cs="Arial" w:eastAsia="Arial" w:hAnsi="Arial"/>
          <w:sz w:val="18"/>
          <w:szCs w:val="18"/>
          <w:i w:val="1"/>
          <w:iCs w:val="1"/>
          <w:color w:val="auto"/>
        </w:rPr>
        <w:t>Nitin Sahney</w:t>
      </w:r>
      <w:r>
        <w:rPr>
          <w:rFonts w:ascii="Arial" w:cs="Arial" w:eastAsia="Arial" w:hAnsi="Arial"/>
          <w:sz w:val="18"/>
          <w:szCs w:val="18"/>
          <w:color w:val="auto"/>
        </w:rPr>
        <w:t>—Age: 53—has served as a member of our board of directors since January 2016. He is a leader in the healthcare industry</w:t>
      </w:r>
      <w:r>
        <w:rPr>
          <w:rFonts w:ascii="Arial" w:cs="Arial" w:eastAsia="Arial" w:hAnsi="Arial"/>
          <w:sz w:val="18"/>
          <w:szCs w:val="18"/>
          <w:i w:val="1"/>
          <w:iCs w:val="1"/>
          <w:color w:val="auto"/>
        </w:rPr>
        <w:t xml:space="preserve"> </w:t>
      </w:r>
      <w:r>
        <w:rPr>
          <w:rFonts w:ascii="Arial" w:cs="Arial" w:eastAsia="Arial" w:hAnsi="Arial"/>
          <w:sz w:val="18"/>
          <w:szCs w:val="18"/>
          <w:color w:val="auto"/>
        </w:rPr>
        <w:t>with over 25 years of experience across all areas of healthcare. He is the former President and CEO of Omnicare Inc., a former New York Stock Exchange-listed Fortune 500 company in the long-term care and specialty care industries. Prior to Omnicare, Mr. Sahney managed a healthcare investment fund, and was the founder and CEO of RxCrossroads, a specialty pharmaceutical company. He also held a series of leadership positions with Cardinal Healthcare, a global healthcare services and products company. The Company has concluded, based in part on Mr. Sahney’s experience as CEO of Omnicare, Inc. and his expertise in the healthcare industry garnered from more than two decades of experience that he should serve as a director.</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68" w:right="279" w:bottom="1440" w:gutter="0" w:footer="0" w:header="0"/>
        </w:sectPr>
      </w:pPr>
    </w:p>
    <w:bookmarkStart w:id="16" w:name="page17"/>
    <w:bookmarkEnd w:id="16"/>
    <w:p>
      <w:pPr>
        <w:ind w:left="440"/>
        <w:spacing w:after="0"/>
        <w:rPr>
          <w:sz w:val="20"/>
          <w:szCs w:val="20"/>
          <w:color w:val="auto"/>
        </w:rPr>
      </w:pPr>
      <w:r>
        <w:rPr>
          <w:rFonts w:ascii="Arial" w:cs="Arial" w:eastAsia="Arial" w:hAnsi="Arial"/>
          <w:sz w:val="18"/>
          <w:szCs w:val="18"/>
          <w:i w:val="1"/>
          <w:iCs w:val="1"/>
          <w:color w:val="auto"/>
        </w:rPr>
        <w:t>Garen K. Staglin</w:t>
      </w:r>
      <w:r>
        <w:rPr>
          <w:rFonts w:ascii="Arial" w:cs="Arial" w:eastAsia="Arial" w:hAnsi="Arial"/>
          <w:sz w:val="18"/>
          <w:szCs w:val="18"/>
          <w:color w:val="auto"/>
        </w:rPr>
        <w:t>—Age: 71—has served as our Chairman since February 2014 and as a member of our board of directors since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2005. Mr. Staglin has over 40 years of experience in the financial services and technology industries. From 2001 to 2004 he was Chief</w:t>
      </w:r>
    </w:p>
    <w:p>
      <w:pPr>
        <w:spacing w:after="0" w:line="234" w:lineRule="auto"/>
        <w:rPr>
          <w:sz w:val="20"/>
          <w:szCs w:val="20"/>
          <w:color w:val="auto"/>
        </w:rPr>
      </w:pPr>
      <w:r>
        <w:rPr>
          <w:rFonts w:ascii="Arial" w:cs="Arial" w:eastAsia="Arial" w:hAnsi="Arial"/>
          <w:sz w:val="18"/>
          <w:szCs w:val="18"/>
          <w:color w:val="auto"/>
        </w:rPr>
        <w:t>Executive Officer of eONE Global LP, an emerging payments company, and from 1993 – 1999 he was CEO of Safelite Auto Glass, a provider</w:t>
      </w:r>
    </w:p>
    <w:p>
      <w:pPr>
        <w:spacing w:after="0" w:line="235" w:lineRule="auto"/>
        <w:rPr>
          <w:sz w:val="20"/>
          <w:szCs w:val="20"/>
          <w:color w:val="auto"/>
        </w:rPr>
      </w:pPr>
      <w:r>
        <w:rPr>
          <w:rFonts w:ascii="Arial" w:cs="Arial" w:eastAsia="Arial" w:hAnsi="Arial"/>
          <w:sz w:val="18"/>
          <w:szCs w:val="18"/>
          <w:color w:val="auto"/>
        </w:rPr>
        <w:t>of glass claim solutions. Mr. Staglin serves on the boards of directors of several public and private companies and non-profit corporations. In</w:t>
      </w:r>
    </w:p>
    <w:p>
      <w:pPr>
        <w:spacing w:after="0" w:line="235" w:lineRule="auto"/>
        <w:rPr>
          <w:sz w:val="20"/>
          <w:szCs w:val="20"/>
          <w:color w:val="auto"/>
        </w:rPr>
      </w:pPr>
      <w:r>
        <w:rPr>
          <w:rFonts w:ascii="Arial" w:cs="Arial" w:eastAsia="Arial" w:hAnsi="Arial"/>
          <w:sz w:val="18"/>
          <w:szCs w:val="18"/>
          <w:color w:val="auto"/>
        </w:rPr>
        <w:t>the past five years, Mr. Staglin has served on the public company board of directors of Bottomline Technologies, Inc. and of Solera Holdings,</w:t>
      </w:r>
    </w:p>
    <w:p>
      <w:pPr>
        <w:spacing w:after="0" w:line="235" w:lineRule="auto"/>
        <w:rPr>
          <w:sz w:val="20"/>
          <w:szCs w:val="20"/>
          <w:color w:val="auto"/>
        </w:rPr>
      </w:pPr>
      <w:r>
        <w:rPr>
          <w:rFonts w:ascii="Arial" w:cs="Arial" w:eastAsia="Arial" w:hAnsi="Arial"/>
          <w:sz w:val="18"/>
          <w:szCs w:val="18"/>
          <w:color w:val="auto"/>
        </w:rPr>
        <w:t>Inc. and is presently serving on the board of SVB Financial Group (NASDAQ: SIVB). Additional prior public board experience includes First</w:t>
      </w:r>
    </w:p>
    <w:p>
      <w:pPr>
        <w:spacing w:after="0" w:line="235" w:lineRule="auto"/>
        <w:rPr>
          <w:sz w:val="20"/>
          <w:szCs w:val="20"/>
          <w:color w:val="auto"/>
        </w:rPr>
      </w:pPr>
      <w:r>
        <w:rPr>
          <w:rFonts w:ascii="Arial" w:cs="Arial" w:eastAsia="Arial" w:hAnsi="Arial"/>
          <w:sz w:val="18"/>
          <w:szCs w:val="18"/>
          <w:color w:val="auto"/>
        </w:rPr>
        <w:t>Data Corporation, CyberCash, Inc., and Quick Response Services. Private board experience includes Specialized Bicycle, NVoice Payments,</w:t>
      </w:r>
    </w:p>
    <w:p>
      <w:pPr>
        <w:spacing w:after="0" w:line="235" w:lineRule="auto"/>
        <w:rPr>
          <w:sz w:val="20"/>
          <w:szCs w:val="20"/>
          <w:color w:val="auto"/>
        </w:rPr>
      </w:pPr>
      <w:r>
        <w:rPr>
          <w:rFonts w:ascii="Arial" w:cs="Arial" w:eastAsia="Arial" w:hAnsi="Arial"/>
          <w:sz w:val="18"/>
          <w:szCs w:val="18"/>
          <w:color w:val="auto"/>
        </w:rPr>
        <w:t>Profit Velocity Solutions, and Winecountry.com. Non-profit board experience includes One Mind, IMHRO, and BringChange2Mind. The</w:t>
      </w:r>
    </w:p>
    <w:p>
      <w:pPr>
        <w:spacing w:after="0" w:line="235" w:lineRule="auto"/>
        <w:rPr>
          <w:sz w:val="20"/>
          <w:szCs w:val="20"/>
          <w:color w:val="auto"/>
        </w:rPr>
      </w:pPr>
      <w:r>
        <w:rPr>
          <w:rFonts w:ascii="Arial" w:cs="Arial" w:eastAsia="Arial" w:hAnsi="Arial"/>
          <w:sz w:val="18"/>
          <w:szCs w:val="18"/>
          <w:color w:val="auto"/>
        </w:rPr>
        <w:t>Company has concluded, based in part on Mr. Staglin’s experience in the financial services and technology industries and his past experience</w:t>
      </w:r>
    </w:p>
    <w:p>
      <w:pPr>
        <w:spacing w:after="0"/>
        <w:rPr>
          <w:sz w:val="20"/>
          <w:szCs w:val="20"/>
          <w:color w:val="auto"/>
        </w:rPr>
      </w:pPr>
      <w:r>
        <w:rPr>
          <w:rFonts w:ascii="Arial" w:cs="Arial" w:eastAsia="Arial" w:hAnsi="Arial"/>
          <w:sz w:val="18"/>
          <w:szCs w:val="18"/>
          <w:color w:val="auto"/>
        </w:rPr>
        <w:t>as a member of public company boards of directors that Mr. Staglin should serve as a director.</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are no family relationships among any of our directors or executive officers.</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850" w:right="35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CORPORATE GOVERNANCE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0" w:lineRule="exact"/>
        <w:rPr>
          <w:sz w:val="20"/>
          <w:szCs w:val="20"/>
          <w:color w:val="auto"/>
        </w:rPr>
      </w:pPr>
    </w:p>
    <w:p>
      <w:pPr>
        <w:ind w:right="200" w:firstLine="441"/>
        <w:spacing w:after="0" w:line="246" w:lineRule="auto"/>
        <w:rPr>
          <w:sz w:val="20"/>
          <w:szCs w:val="20"/>
          <w:color w:val="auto"/>
        </w:rPr>
      </w:pPr>
      <w:r>
        <w:rPr>
          <w:rFonts w:ascii="Arial" w:cs="Arial" w:eastAsia="Arial" w:hAnsi="Arial"/>
          <w:sz w:val="18"/>
          <w:szCs w:val="18"/>
          <w:color w:val="auto"/>
        </w:rPr>
        <w:t>Our board of directors has determined that all of the members on our board of directors, other than Mr. Kapoor, meet the independence requirements of the Nasdaq Stock Market and federal securities laws.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 Attendance</w:t>
      </w:r>
    </w:p>
    <w:p>
      <w:pPr>
        <w:spacing w:after="0" w:line="220" w:lineRule="exact"/>
        <w:rPr>
          <w:sz w:val="20"/>
          <w:szCs w:val="20"/>
          <w:color w:val="auto"/>
        </w:rPr>
      </w:pPr>
    </w:p>
    <w:p>
      <w:pPr>
        <w:ind w:right="60" w:firstLine="441"/>
        <w:spacing w:after="0" w:line="237" w:lineRule="auto"/>
        <w:rPr>
          <w:sz w:val="20"/>
          <w:szCs w:val="20"/>
          <w:color w:val="auto"/>
        </w:rPr>
      </w:pPr>
      <w:r>
        <w:rPr>
          <w:rFonts w:ascii="Arial" w:cs="Arial" w:eastAsia="Arial" w:hAnsi="Arial"/>
          <w:sz w:val="18"/>
          <w:szCs w:val="18"/>
          <w:color w:val="auto"/>
        </w:rPr>
        <w:t>Our directors are expected to attend all board of directors meetings and meetings of committees on which they serve. Directors are also expected to spend sufficient time and meet as frequently as necessary to discharge their responsibilities properly. Overall, during 2015, our board of directors met 7 times. Each member of our board of directors attended more than 75% of our board of directors meetings during the period in 2015 in which he or she served on our board of directors. It is our policy that all of our directors should attend our Annual Meetings of Stockholders absent exceptional cause. All of the persons who were members of the board of directors at the time of our 2015 Annual Meeting of Stockholders attended such meeting.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board of directors is currently led by Garen K. Staglin, our Chairman, and Rohit Kapoor, our Vice Chairman and CEO.</w:t>
      </w:r>
    </w:p>
    <w:p>
      <w:pPr>
        <w:spacing w:after="0" w:line="198" w:lineRule="exact"/>
        <w:rPr>
          <w:sz w:val="20"/>
          <w:szCs w:val="20"/>
          <w:color w:val="auto"/>
        </w:rPr>
      </w:pPr>
    </w:p>
    <w:p>
      <w:pPr>
        <w:ind w:firstLine="441"/>
        <w:spacing w:after="0" w:line="237" w:lineRule="auto"/>
        <w:rPr>
          <w:sz w:val="20"/>
          <w:szCs w:val="20"/>
          <w:color w:val="auto"/>
        </w:rPr>
      </w:pPr>
      <w:r>
        <w:rPr>
          <w:rFonts w:ascii="Arial" w:cs="Arial" w:eastAsia="Arial" w:hAnsi="Arial"/>
          <w:sz w:val="18"/>
          <w:szCs w:val="18"/>
          <w:color w:val="auto"/>
        </w:rPr>
        <w:t>Our by-laws provide that our Chairman or, in the absence of our Chairman, our Lead Director (if there is a Lead Director serving at such time), or in the absence of both our Chairman and Lead Director, our CEO, shall call meetings of our board of directors to order and shall act as the chairman thereof. In the absence of our Chairman, our Lead Director (if there is a Lead Director serving at such time), our CEO and a majority of our directors present may elect as chairman of the meeting any director present. Independent directors meet at least quarterly in executive session without any management directors or members of the Company’s management present. The Lead Director or, in the absence of the Lead Director, a director chosen by the directors meeting in executive session, presides at all executive sessions.</w:t>
      </w:r>
    </w:p>
    <w:p>
      <w:pPr>
        <w:spacing w:after="0" w:line="192" w:lineRule="exact"/>
        <w:rPr>
          <w:sz w:val="20"/>
          <w:szCs w:val="20"/>
          <w:color w:val="auto"/>
        </w:rPr>
      </w:pPr>
    </w:p>
    <w:p>
      <w:pPr>
        <w:ind w:firstLine="441"/>
        <w:spacing w:after="0" w:line="237" w:lineRule="auto"/>
        <w:rPr>
          <w:sz w:val="20"/>
          <w:szCs w:val="20"/>
          <w:color w:val="auto"/>
        </w:rPr>
      </w:pPr>
      <w:r>
        <w:rPr>
          <w:rFonts w:ascii="Arial" w:cs="Arial" w:eastAsia="Arial" w:hAnsi="Arial"/>
          <w:sz w:val="18"/>
          <w:szCs w:val="18"/>
          <w:color w:val="auto"/>
        </w:rPr>
        <w:t>Consolidating the Vice Chairman and CEO positions allows our CEO to contribute his experience and perspective regarding management and leadership of the Company towards the goals of improved corporate governance and greater management accountability. In addition, the presence of our Chairman ensures that the board can retain sufficient delineation of responsibilities, such that our Chairman and our Vice Chairman and CEO may each successfully and effectively perform and discharge their respective duties and, as a corollary, enhance our prospects for success. The Company will thus benefit from the ability to integrate the collective leadership and corporate governance experience of our Chairman and our Vice Chairman and CEO, while retaining the ability to facilitate the functioning of the board of directors independently of our management and to focus on our commitment to corporate governance.</w:t>
      </w:r>
    </w:p>
    <w:p>
      <w:pPr>
        <w:spacing w:after="0" w:line="190" w:lineRule="exact"/>
        <w:rPr>
          <w:sz w:val="20"/>
          <w:szCs w:val="20"/>
          <w:color w:val="auto"/>
        </w:rPr>
      </w:pPr>
    </w:p>
    <w:p>
      <w:pPr>
        <w:ind w:right="280" w:firstLine="441"/>
        <w:spacing w:after="0" w:line="246" w:lineRule="auto"/>
        <w:rPr>
          <w:sz w:val="20"/>
          <w:szCs w:val="20"/>
          <w:color w:val="auto"/>
        </w:rPr>
      </w:pPr>
      <w:r>
        <w:rPr>
          <w:rFonts w:ascii="Arial" w:cs="Arial" w:eastAsia="Arial" w:hAnsi="Arial"/>
          <w:sz w:val="18"/>
          <w:szCs w:val="18"/>
          <w:color w:val="auto"/>
        </w:rPr>
        <w:t>For the foregoing reasons, our board of directors has determined that its leadership structure is appropriate and in the best interests of our stockholders at this time.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46"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Committees</w:t>
      </w:r>
    </w:p>
    <w:p>
      <w:pPr>
        <w:spacing w:after="0" w:line="220" w:lineRule="exact"/>
        <w:rPr>
          <w:sz w:val="20"/>
          <w:szCs w:val="20"/>
          <w:color w:val="auto"/>
        </w:rPr>
      </w:pPr>
    </w:p>
    <w:p>
      <w:pPr>
        <w:ind w:right="280" w:firstLine="441"/>
        <w:spacing w:after="0" w:line="246" w:lineRule="auto"/>
        <w:rPr>
          <w:sz w:val="20"/>
          <w:szCs w:val="20"/>
          <w:color w:val="auto"/>
        </w:rPr>
      </w:pPr>
      <w:r>
        <w:rPr>
          <w:rFonts w:ascii="Arial" w:cs="Arial" w:eastAsia="Arial" w:hAnsi="Arial"/>
          <w:sz w:val="18"/>
          <w:szCs w:val="18"/>
          <w:color w:val="auto"/>
        </w:rPr>
        <w:t>Our board of directors currently has three standing committees: the Audit Committee, the Nominating and Governance Committee and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246620" cy="19812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981200"/>
                    </a:xfrm>
                    <a:prstGeom prst="rect">
                      <a:avLst/>
                    </a:prstGeom>
                    <a:noFill/>
                  </pic:spPr>
                </pic:pic>
              </a:graphicData>
            </a:graphic>
          </wp:anchor>
        </w:drawing>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Committee Composition</w:t>
      </w:r>
      <w:r>
        <w:rPr>
          <w:rFonts w:ascii="Arial" w:cs="Arial" w:eastAsia="Arial" w:hAnsi="Arial"/>
          <w:sz w:val="30"/>
          <w:szCs w:val="30"/>
          <w:color w:val="FFFFFF"/>
          <w:vertAlign w:val="superscript"/>
        </w:rPr>
        <w:t>(1)</w:t>
      </w:r>
    </w:p>
    <w:tbl>
      <w:tblPr>
        <w:tblLayout w:type="fixed"/>
        <w:tblInd w:w="0" w:type="dxa"/>
        <w:tblCellMar>
          <w:top w:w="0" w:type="dxa"/>
          <w:left w:w="0" w:type="dxa"/>
          <w:bottom w:w="0" w:type="dxa"/>
          <w:right w:w="0" w:type="dxa"/>
        </w:tblCellMar>
      </w:tblPr>
      <w:tr>
        <w:trPr>
          <w:trHeight w:val="187"/>
        </w:trPr>
        <w:tc>
          <w:tcPr>
            <w:tcW w:w="2760" w:type="dxa"/>
            <w:vAlign w:val="bottom"/>
            <w:tcBorders>
              <w:top w:val="single" w:sz="8" w:color="auto"/>
              <w:right w:val="single" w:sz="8" w:color="auto"/>
            </w:tcBorders>
            <w:shd w:val="clear" w:color="auto" w:fill="C6D9F1"/>
          </w:tcPr>
          <w:p>
            <w:pPr>
              <w:spacing w:after="0"/>
              <w:rPr>
                <w:sz w:val="16"/>
                <w:szCs w:val="16"/>
                <w:color w:val="auto"/>
              </w:rPr>
            </w:pPr>
          </w:p>
        </w:tc>
        <w:tc>
          <w:tcPr>
            <w:tcW w:w="2640" w:type="dxa"/>
            <w:vAlign w:val="bottom"/>
            <w:tcBorders>
              <w:top w:val="single" w:sz="8" w:color="auto"/>
              <w:right w:val="single" w:sz="8" w:color="auto"/>
            </w:tcBorders>
            <w:shd w:val="clear" w:color="auto" w:fill="C6D9F1"/>
          </w:tcPr>
          <w:p>
            <w:pPr>
              <w:spacing w:after="0"/>
              <w:rPr>
                <w:sz w:val="16"/>
                <w:szCs w:val="16"/>
                <w:color w:val="auto"/>
              </w:rPr>
            </w:pPr>
          </w:p>
        </w:tc>
        <w:tc>
          <w:tcPr>
            <w:tcW w:w="2740" w:type="dxa"/>
            <w:vAlign w:val="bottom"/>
            <w:tcBorders>
              <w:top w:val="single" w:sz="8" w:color="auto"/>
              <w:right w:val="single" w:sz="8" w:color="auto"/>
            </w:tcBorders>
            <w:vMerge w:val="restart"/>
            <w:shd w:val="clear" w:color="auto" w:fill="C6D9F1"/>
          </w:tcPr>
          <w:p>
            <w:pPr>
              <w:ind w:left="700"/>
              <w:spacing w:after="0"/>
              <w:rPr>
                <w:sz w:val="20"/>
                <w:szCs w:val="20"/>
                <w:color w:val="auto"/>
              </w:rPr>
            </w:pPr>
            <w:r>
              <w:rPr>
                <w:rFonts w:ascii="Arial" w:cs="Arial" w:eastAsia="Arial" w:hAnsi="Arial"/>
                <w:sz w:val="18"/>
                <w:szCs w:val="18"/>
                <w:b w:val="1"/>
                <w:bCs w:val="1"/>
                <w:color w:val="auto"/>
              </w:rPr>
              <w:t>Compensation</w:t>
            </w:r>
          </w:p>
        </w:tc>
        <w:tc>
          <w:tcPr>
            <w:tcW w:w="3260" w:type="dxa"/>
            <w:vAlign w:val="bottom"/>
            <w:tcBorders>
              <w:top w:val="single" w:sz="8" w:color="auto"/>
            </w:tcBorders>
            <w:shd w:val="clear" w:color="auto" w:fill="C6D9F1"/>
          </w:tcPr>
          <w:p>
            <w:pPr>
              <w:jc w:val="center"/>
              <w:spacing w:after="0" w:line="187" w:lineRule="exact"/>
              <w:rPr>
                <w:sz w:val="20"/>
                <w:szCs w:val="20"/>
                <w:color w:val="auto"/>
              </w:rPr>
            </w:pPr>
            <w:r>
              <w:rPr>
                <w:rFonts w:ascii="Arial" w:cs="Arial" w:eastAsia="Arial" w:hAnsi="Arial"/>
                <w:sz w:val="18"/>
                <w:szCs w:val="18"/>
                <w:b w:val="1"/>
                <w:bCs w:val="1"/>
                <w:color w:val="auto"/>
                <w:w w:val="99"/>
              </w:rPr>
              <w:t>Nominating and</w:t>
            </w:r>
          </w:p>
        </w:tc>
        <w:tc>
          <w:tcPr>
            <w:tcW w:w="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2760" w:type="dxa"/>
            <w:vAlign w:val="bottom"/>
            <w:tcBorders>
              <w:right w:val="single" w:sz="8" w:color="auto"/>
            </w:tcBorders>
            <w:shd w:val="clear" w:color="auto" w:fill="C6D9F1"/>
          </w:tcPr>
          <w:p>
            <w:pPr>
              <w:spacing w:after="0"/>
              <w:rPr>
                <w:sz w:val="8"/>
                <w:szCs w:val="8"/>
                <w:color w:val="auto"/>
              </w:rPr>
            </w:pPr>
          </w:p>
        </w:tc>
        <w:tc>
          <w:tcPr>
            <w:tcW w:w="2640" w:type="dxa"/>
            <w:vAlign w:val="bottom"/>
            <w:tcBorders>
              <w:right w:val="single" w:sz="8" w:color="auto"/>
            </w:tcBorders>
            <w:vMerge w:val="restart"/>
            <w:shd w:val="clear" w:color="auto" w:fill="C6D9F1"/>
          </w:tcPr>
          <w:p>
            <w:pPr>
              <w:ind w:left="600"/>
              <w:spacing w:after="0" w:line="202" w:lineRule="exact"/>
              <w:rPr>
                <w:sz w:val="20"/>
                <w:szCs w:val="20"/>
                <w:color w:val="auto"/>
              </w:rPr>
            </w:pPr>
            <w:r>
              <w:rPr>
                <w:rFonts w:ascii="Arial" w:cs="Arial" w:eastAsia="Arial" w:hAnsi="Arial"/>
                <w:sz w:val="18"/>
                <w:szCs w:val="18"/>
                <w:b w:val="1"/>
                <w:bCs w:val="1"/>
                <w:color w:val="auto"/>
              </w:rPr>
              <w:t>Audit Committee</w:t>
            </w:r>
          </w:p>
        </w:tc>
        <w:tc>
          <w:tcPr>
            <w:tcW w:w="2740" w:type="dxa"/>
            <w:vAlign w:val="bottom"/>
            <w:tcBorders>
              <w:right w:val="single" w:sz="8" w:color="auto"/>
            </w:tcBorders>
            <w:vMerge w:val="continue"/>
            <w:shd w:val="clear" w:color="auto" w:fill="C6D9F1"/>
          </w:tcPr>
          <w:p>
            <w:pPr>
              <w:spacing w:after="0"/>
              <w:rPr>
                <w:sz w:val="8"/>
                <w:szCs w:val="8"/>
                <w:color w:val="auto"/>
              </w:rPr>
            </w:pPr>
          </w:p>
        </w:tc>
        <w:tc>
          <w:tcPr>
            <w:tcW w:w="3260" w:type="dxa"/>
            <w:vAlign w:val="bottom"/>
            <w:vMerge w:val="restart"/>
            <w:shd w:val="clear" w:color="auto" w:fill="C6D9F1"/>
          </w:tcPr>
          <w:p>
            <w:pPr>
              <w:jc w:val="center"/>
              <w:spacing w:after="0" w:line="202" w:lineRule="exact"/>
              <w:rPr>
                <w:sz w:val="20"/>
                <w:szCs w:val="20"/>
                <w:color w:val="auto"/>
              </w:rPr>
            </w:pPr>
            <w:r>
              <w:rPr>
                <w:rFonts w:ascii="Arial" w:cs="Arial" w:eastAsia="Arial" w:hAnsi="Arial"/>
                <w:sz w:val="18"/>
                <w:szCs w:val="18"/>
                <w:b w:val="1"/>
                <w:bCs w:val="1"/>
                <w:color w:val="auto"/>
              </w:rPr>
              <w:t>Corporate Governance</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760" w:type="dxa"/>
            <w:vAlign w:val="bottom"/>
            <w:tcBorders>
              <w:right w:val="single" w:sz="8" w:color="auto"/>
            </w:tcBorders>
            <w:shd w:val="clear" w:color="auto" w:fill="C6D9F1"/>
          </w:tcPr>
          <w:p>
            <w:pPr>
              <w:spacing w:after="0"/>
              <w:rPr>
                <w:sz w:val="9"/>
                <w:szCs w:val="9"/>
                <w:color w:val="auto"/>
              </w:rPr>
            </w:pPr>
          </w:p>
        </w:tc>
        <w:tc>
          <w:tcPr>
            <w:tcW w:w="2640" w:type="dxa"/>
            <w:vAlign w:val="bottom"/>
            <w:tcBorders>
              <w:right w:val="single" w:sz="8" w:color="auto"/>
            </w:tcBorders>
            <w:vMerge w:val="continue"/>
            <w:shd w:val="clear" w:color="auto" w:fill="C6D9F1"/>
          </w:tcPr>
          <w:p>
            <w:pPr>
              <w:spacing w:after="0"/>
              <w:rPr>
                <w:sz w:val="9"/>
                <w:szCs w:val="9"/>
                <w:color w:val="auto"/>
              </w:rPr>
            </w:pPr>
          </w:p>
        </w:tc>
        <w:tc>
          <w:tcPr>
            <w:tcW w:w="2740" w:type="dxa"/>
            <w:vAlign w:val="bottom"/>
            <w:tcBorders>
              <w:right w:val="single" w:sz="8" w:color="auto"/>
            </w:tcBorders>
            <w:vMerge w:val="restart"/>
            <w:shd w:val="clear" w:color="auto" w:fill="C6D9F1"/>
          </w:tcPr>
          <w:p>
            <w:pPr>
              <w:ind w:left="880"/>
              <w:spacing w:after="0"/>
              <w:rPr>
                <w:sz w:val="20"/>
                <w:szCs w:val="20"/>
                <w:color w:val="auto"/>
              </w:rPr>
            </w:pPr>
            <w:r>
              <w:rPr>
                <w:rFonts w:ascii="Arial" w:cs="Arial" w:eastAsia="Arial" w:hAnsi="Arial"/>
                <w:sz w:val="18"/>
                <w:szCs w:val="18"/>
                <w:b w:val="1"/>
                <w:bCs w:val="1"/>
                <w:color w:val="auto"/>
              </w:rPr>
              <w:t>Committee</w:t>
            </w:r>
          </w:p>
        </w:tc>
        <w:tc>
          <w:tcPr>
            <w:tcW w:w="3260" w:type="dxa"/>
            <w:vAlign w:val="bottom"/>
            <w:vMerge w:val="continue"/>
            <w:shd w:val="clear" w:color="auto" w:fill="C6D9F1"/>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760" w:type="dxa"/>
            <w:vAlign w:val="bottom"/>
            <w:tcBorders>
              <w:right w:val="single" w:sz="8" w:color="auto"/>
            </w:tcBorders>
            <w:shd w:val="clear" w:color="auto" w:fill="C6D9F1"/>
          </w:tcPr>
          <w:p>
            <w:pPr>
              <w:spacing w:after="0"/>
              <w:rPr>
                <w:sz w:val="11"/>
                <w:szCs w:val="11"/>
                <w:color w:val="auto"/>
              </w:rPr>
            </w:pPr>
          </w:p>
        </w:tc>
        <w:tc>
          <w:tcPr>
            <w:tcW w:w="2640" w:type="dxa"/>
            <w:vAlign w:val="bottom"/>
            <w:tcBorders>
              <w:right w:val="single" w:sz="8" w:color="auto"/>
            </w:tcBorders>
            <w:shd w:val="clear" w:color="auto" w:fill="C6D9F1"/>
          </w:tcPr>
          <w:p>
            <w:pPr>
              <w:spacing w:after="0"/>
              <w:rPr>
                <w:sz w:val="11"/>
                <w:szCs w:val="11"/>
                <w:color w:val="auto"/>
              </w:rPr>
            </w:pPr>
          </w:p>
        </w:tc>
        <w:tc>
          <w:tcPr>
            <w:tcW w:w="2740" w:type="dxa"/>
            <w:vAlign w:val="bottom"/>
            <w:tcBorders>
              <w:right w:val="single" w:sz="8" w:color="auto"/>
            </w:tcBorders>
            <w:vMerge w:val="continue"/>
            <w:shd w:val="clear" w:color="auto" w:fill="C6D9F1"/>
          </w:tcPr>
          <w:p>
            <w:pPr>
              <w:spacing w:after="0"/>
              <w:rPr>
                <w:sz w:val="11"/>
                <w:szCs w:val="11"/>
                <w:color w:val="auto"/>
              </w:rPr>
            </w:pPr>
          </w:p>
        </w:tc>
        <w:tc>
          <w:tcPr>
            <w:tcW w:w="3260" w:type="dxa"/>
            <w:vAlign w:val="bottom"/>
            <w:vMerge w:val="restart"/>
            <w:shd w:val="clear" w:color="auto" w:fill="C6D9F1"/>
          </w:tcPr>
          <w:p>
            <w:pPr>
              <w:jc w:val="center"/>
              <w:spacing w:after="0"/>
              <w:rPr>
                <w:sz w:val="20"/>
                <w:szCs w:val="20"/>
                <w:color w:val="auto"/>
              </w:rPr>
            </w:pPr>
            <w:r>
              <w:rPr>
                <w:rFonts w:ascii="Arial" w:cs="Arial" w:eastAsia="Arial" w:hAnsi="Arial"/>
                <w:sz w:val="18"/>
                <w:szCs w:val="18"/>
                <w:b w:val="1"/>
                <w:bCs w:val="1"/>
                <w:color w:val="auto"/>
              </w:rPr>
              <w:t>Committee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760" w:type="dxa"/>
            <w:vAlign w:val="bottom"/>
            <w:tcBorders>
              <w:bottom w:val="single" w:sz="8" w:color="auto"/>
              <w:right w:val="single" w:sz="8" w:color="auto"/>
            </w:tcBorders>
            <w:shd w:val="clear" w:color="auto" w:fill="C6D9F1"/>
          </w:tcPr>
          <w:p>
            <w:pPr>
              <w:spacing w:after="0"/>
              <w:rPr>
                <w:sz w:val="9"/>
                <w:szCs w:val="9"/>
                <w:color w:val="auto"/>
              </w:rPr>
            </w:pPr>
          </w:p>
        </w:tc>
        <w:tc>
          <w:tcPr>
            <w:tcW w:w="2640" w:type="dxa"/>
            <w:vAlign w:val="bottom"/>
            <w:tcBorders>
              <w:bottom w:val="single" w:sz="8" w:color="auto"/>
              <w:right w:val="single" w:sz="8" w:color="auto"/>
            </w:tcBorders>
            <w:shd w:val="clear" w:color="auto" w:fill="C6D9F1"/>
          </w:tcPr>
          <w:p>
            <w:pPr>
              <w:spacing w:after="0"/>
              <w:rPr>
                <w:sz w:val="9"/>
                <w:szCs w:val="9"/>
                <w:color w:val="auto"/>
              </w:rPr>
            </w:pPr>
          </w:p>
        </w:tc>
        <w:tc>
          <w:tcPr>
            <w:tcW w:w="2740" w:type="dxa"/>
            <w:vAlign w:val="bottom"/>
            <w:tcBorders>
              <w:bottom w:val="single" w:sz="8" w:color="auto"/>
              <w:right w:val="single" w:sz="8" w:color="auto"/>
            </w:tcBorders>
            <w:shd w:val="clear" w:color="auto" w:fill="C6D9F1"/>
          </w:tcPr>
          <w:p>
            <w:pPr>
              <w:spacing w:after="0"/>
              <w:rPr>
                <w:sz w:val="9"/>
                <w:szCs w:val="9"/>
                <w:color w:val="auto"/>
              </w:rPr>
            </w:pPr>
          </w:p>
        </w:tc>
        <w:tc>
          <w:tcPr>
            <w:tcW w:w="3260" w:type="dxa"/>
            <w:vAlign w:val="bottom"/>
            <w:tcBorders>
              <w:bottom w:val="single" w:sz="8" w:color="auto"/>
            </w:tcBorders>
            <w:vMerge w:val="continue"/>
            <w:shd w:val="clear" w:color="auto" w:fill="C6D9F1"/>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65"/>
        </w:trPr>
        <w:tc>
          <w:tcPr>
            <w:tcW w:w="27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David B. Kelso</w:t>
            </w:r>
          </w:p>
        </w:tc>
        <w:tc>
          <w:tcPr>
            <w:tcW w:w="264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1F487D"/>
              </w:rPr>
              <w:t>ü</w:t>
            </w:r>
          </w:p>
        </w:tc>
        <w:tc>
          <w:tcPr>
            <w:tcW w:w="2740" w:type="dxa"/>
            <w:vAlign w:val="bottom"/>
            <w:tcBorders>
              <w:bottom w:val="single" w:sz="8" w:color="auto"/>
              <w:right w:val="single" w:sz="8" w:color="auto"/>
            </w:tcBorders>
          </w:tcPr>
          <w:p>
            <w:pPr>
              <w:spacing w:after="0"/>
              <w:rPr>
                <w:sz w:val="24"/>
                <w:szCs w:val="24"/>
                <w:color w:val="auto"/>
              </w:rPr>
            </w:pPr>
          </w:p>
        </w:tc>
        <w:tc>
          <w:tcPr>
            <w:tcW w:w="326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1F487D"/>
              </w:rPr>
              <w:t xml:space="preserve">ü </w:t>
            </w:r>
            <w:r>
              <w:rPr>
                <w:rFonts w:ascii="Arial" w:cs="Arial" w:eastAsia="Arial" w:hAnsi="Arial"/>
                <w:sz w:val="18"/>
                <w:szCs w:val="18"/>
                <w:color w:val="000000"/>
              </w:rPr>
              <w:t>(Chair)</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760" w:type="dxa"/>
            <w:vAlign w:val="bottom"/>
            <w:tcBorders>
              <w:bottom w:val="single" w:sz="8" w:color="auto"/>
              <w:right w:val="single" w:sz="8" w:color="auto"/>
            </w:tcBorders>
            <w:shd w:val="clear" w:color="auto" w:fill="C6D9F1"/>
          </w:tcPr>
          <w:p>
            <w:pPr>
              <w:ind w:left="120"/>
              <w:spacing w:after="0"/>
              <w:rPr>
                <w:sz w:val="20"/>
                <w:szCs w:val="20"/>
                <w:color w:val="auto"/>
              </w:rPr>
            </w:pPr>
            <w:r>
              <w:rPr>
                <w:rFonts w:ascii="Arial" w:cs="Arial" w:eastAsia="Arial" w:hAnsi="Arial"/>
                <w:sz w:val="18"/>
                <w:szCs w:val="18"/>
                <w:color w:val="auto"/>
              </w:rPr>
              <w:t>Deborah Kerr</w:t>
            </w:r>
          </w:p>
        </w:tc>
        <w:tc>
          <w:tcPr>
            <w:tcW w:w="2640" w:type="dxa"/>
            <w:vAlign w:val="bottom"/>
            <w:tcBorders>
              <w:bottom w:val="single" w:sz="8" w:color="auto"/>
              <w:right w:val="single" w:sz="8" w:color="auto"/>
            </w:tcBorders>
            <w:shd w:val="clear" w:color="auto" w:fill="C6D9F1"/>
          </w:tcPr>
          <w:p>
            <w:pPr>
              <w:ind w:left="420"/>
              <w:spacing w:after="0"/>
              <w:rPr>
                <w:sz w:val="20"/>
                <w:szCs w:val="20"/>
                <w:color w:val="auto"/>
              </w:rPr>
            </w:pPr>
            <w:r>
              <w:rPr>
                <w:rFonts w:ascii="Arial" w:cs="Arial" w:eastAsia="Arial" w:hAnsi="Arial"/>
                <w:sz w:val="18"/>
                <w:szCs w:val="18"/>
                <w:color w:val="1F487D"/>
              </w:rPr>
              <w:t>ü</w:t>
            </w:r>
          </w:p>
        </w:tc>
        <w:tc>
          <w:tcPr>
            <w:tcW w:w="2740" w:type="dxa"/>
            <w:vAlign w:val="bottom"/>
            <w:tcBorders>
              <w:bottom w:val="single" w:sz="8" w:color="auto"/>
              <w:right w:val="single" w:sz="8" w:color="auto"/>
            </w:tcBorders>
            <w:shd w:val="clear" w:color="auto" w:fill="C6D9F1"/>
          </w:tcPr>
          <w:p>
            <w:pPr>
              <w:ind w:left="480"/>
              <w:spacing w:after="0"/>
              <w:rPr>
                <w:sz w:val="20"/>
                <w:szCs w:val="20"/>
                <w:color w:val="auto"/>
              </w:rPr>
            </w:pPr>
            <w:r>
              <w:rPr>
                <w:rFonts w:ascii="Arial" w:cs="Arial" w:eastAsia="Arial" w:hAnsi="Arial"/>
                <w:sz w:val="18"/>
                <w:szCs w:val="18"/>
                <w:color w:val="1F487D"/>
              </w:rPr>
              <w:t>ü</w:t>
            </w:r>
          </w:p>
        </w:tc>
        <w:tc>
          <w:tcPr>
            <w:tcW w:w="3260" w:type="dxa"/>
            <w:vAlign w:val="bottom"/>
            <w:tcBorders>
              <w:bottom w:val="single" w:sz="8" w:color="auto"/>
            </w:tcBorders>
            <w:shd w:val="clear" w:color="auto" w:fill="C6D9F1"/>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7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Anne Minto</w:t>
            </w:r>
          </w:p>
        </w:tc>
        <w:tc>
          <w:tcPr>
            <w:tcW w:w="2640" w:type="dxa"/>
            <w:vAlign w:val="bottom"/>
            <w:tcBorders>
              <w:bottom w:val="single" w:sz="8" w:color="auto"/>
              <w:right w:val="single" w:sz="8" w:color="auto"/>
            </w:tcBorders>
          </w:tcPr>
          <w:p>
            <w:pPr>
              <w:spacing w:after="0"/>
              <w:rPr>
                <w:sz w:val="22"/>
                <w:szCs w:val="22"/>
                <w:color w:val="auto"/>
              </w:rPr>
            </w:pPr>
          </w:p>
        </w:tc>
        <w:tc>
          <w:tcPr>
            <w:tcW w:w="274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8"/>
                <w:szCs w:val="18"/>
                <w:color w:val="1F487D"/>
              </w:rPr>
              <w:t xml:space="preserve">ü </w:t>
            </w:r>
            <w:r>
              <w:rPr>
                <w:rFonts w:ascii="Arial" w:cs="Arial" w:eastAsia="Arial" w:hAnsi="Arial"/>
                <w:sz w:val="18"/>
                <w:szCs w:val="18"/>
                <w:color w:val="000000"/>
              </w:rPr>
              <w:t>(Chair)</w:t>
            </w:r>
          </w:p>
        </w:tc>
        <w:tc>
          <w:tcPr>
            <w:tcW w:w="326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1F487D"/>
              </w:rPr>
              <w:t>ü</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760" w:type="dxa"/>
            <w:vAlign w:val="bottom"/>
            <w:tcBorders>
              <w:bottom w:val="single" w:sz="8" w:color="auto"/>
              <w:right w:val="single" w:sz="8" w:color="auto"/>
            </w:tcBorders>
            <w:shd w:val="clear" w:color="auto" w:fill="C6D9F1"/>
          </w:tcPr>
          <w:p>
            <w:pPr>
              <w:ind w:left="120"/>
              <w:spacing w:after="0"/>
              <w:rPr>
                <w:sz w:val="20"/>
                <w:szCs w:val="20"/>
                <w:color w:val="auto"/>
              </w:rPr>
            </w:pPr>
            <w:r>
              <w:rPr>
                <w:rFonts w:ascii="Arial" w:cs="Arial" w:eastAsia="Arial" w:hAnsi="Arial"/>
                <w:sz w:val="18"/>
                <w:szCs w:val="18"/>
                <w:color w:val="auto"/>
              </w:rPr>
              <w:t>Som Mittal</w:t>
            </w:r>
          </w:p>
        </w:tc>
        <w:tc>
          <w:tcPr>
            <w:tcW w:w="2640" w:type="dxa"/>
            <w:vAlign w:val="bottom"/>
            <w:tcBorders>
              <w:bottom w:val="single" w:sz="8" w:color="auto"/>
              <w:right w:val="single" w:sz="8" w:color="auto"/>
            </w:tcBorders>
            <w:shd w:val="clear" w:color="auto" w:fill="C6D9F1"/>
          </w:tcPr>
          <w:p>
            <w:pPr>
              <w:spacing w:after="0"/>
              <w:rPr>
                <w:sz w:val="22"/>
                <w:szCs w:val="22"/>
                <w:color w:val="auto"/>
              </w:rPr>
            </w:pPr>
          </w:p>
        </w:tc>
        <w:tc>
          <w:tcPr>
            <w:tcW w:w="2740" w:type="dxa"/>
            <w:vAlign w:val="bottom"/>
            <w:tcBorders>
              <w:bottom w:val="single" w:sz="8" w:color="auto"/>
              <w:right w:val="single" w:sz="8" w:color="auto"/>
            </w:tcBorders>
            <w:shd w:val="clear" w:color="auto" w:fill="C6D9F1"/>
          </w:tcPr>
          <w:p>
            <w:pPr>
              <w:ind w:left="480"/>
              <w:spacing w:after="0"/>
              <w:rPr>
                <w:sz w:val="20"/>
                <w:szCs w:val="20"/>
                <w:color w:val="auto"/>
              </w:rPr>
            </w:pPr>
            <w:r>
              <w:rPr>
                <w:rFonts w:ascii="Arial" w:cs="Arial" w:eastAsia="Arial" w:hAnsi="Arial"/>
                <w:sz w:val="18"/>
                <w:szCs w:val="18"/>
                <w:color w:val="1F487D"/>
              </w:rPr>
              <w:t>ü</w:t>
            </w:r>
          </w:p>
        </w:tc>
        <w:tc>
          <w:tcPr>
            <w:tcW w:w="3260" w:type="dxa"/>
            <w:vAlign w:val="bottom"/>
            <w:tcBorders>
              <w:bottom w:val="single" w:sz="8" w:color="auto"/>
            </w:tcBorders>
            <w:shd w:val="clear" w:color="auto" w:fill="C6D9F1"/>
          </w:tcPr>
          <w:p>
            <w:pPr>
              <w:ind w:left="800"/>
              <w:spacing w:after="0"/>
              <w:rPr>
                <w:sz w:val="20"/>
                <w:szCs w:val="20"/>
                <w:color w:val="auto"/>
              </w:rPr>
            </w:pPr>
            <w:r>
              <w:rPr>
                <w:rFonts w:ascii="Arial" w:cs="Arial" w:eastAsia="Arial" w:hAnsi="Arial"/>
                <w:sz w:val="18"/>
                <w:szCs w:val="18"/>
                <w:color w:val="1F487D"/>
              </w:rPr>
              <w:t>ü</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5"/>
        </w:trPr>
        <w:tc>
          <w:tcPr>
            <w:tcW w:w="27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Clyde Ostler</w:t>
            </w:r>
          </w:p>
        </w:tc>
        <w:tc>
          <w:tcPr>
            <w:tcW w:w="264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1F487D"/>
              </w:rPr>
              <w:t xml:space="preserve">ü    </w:t>
            </w:r>
            <w:r>
              <w:rPr>
                <w:rFonts w:ascii="Arial" w:cs="Arial" w:eastAsia="Arial" w:hAnsi="Arial"/>
                <w:sz w:val="18"/>
                <w:szCs w:val="18"/>
                <w:color w:val="000000"/>
              </w:rPr>
              <w:t>(Chair)</w:t>
            </w:r>
          </w:p>
        </w:tc>
        <w:tc>
          <w:tcPr>
            <w:tcW w:w="274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8"/>
                <w:szCs w:val="18"/>
                <w:color w:val="1F487D"/>
              </w:rPr>
              <w:t>ü</w:t>
            </w:r>
          </w:p>
        </w:tc>
        <w:tc>
          <w:tcPr>
            <w:tcW w:w="3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760" w:type="dxa"/>
            <w:vAlign w:val="bottom"/>
            <w:tcBorders>
              <w:bottom w:val="single" w:sz="8" w:color="auto"/>
              <w:right w:val="single" w:sz="8" w:color="auto"/>
            </w:tcBorders>
            <w:shd w:val="clear" w:color="auto" w:fill="C6D9F1"/>
          </w:tcPr>
          <w:p>
            <w:pPr>
              <w:ind w:left="120"/>
              <w:spacing w:after="0"/>
              <w:rPr>
                <w:sz w:val="20"/>
                <w:szCs w:val="20"/>
                <w:color w:val="auto"/>
              </w:rPr>
            </w:pPr>
            <w:r>
              <w:rPr>
                <w:rFonts w:ascii="Arial" w:cs="Arial" w:eastAsia="Arial" w:hAnsi="Arial"/>
                <w:sz w:val="18"/>
                <w:szCs w:val="18"/>
                <w:color w:val="auto"/>
              </w:rPr>
              <w:t>Nitin Sahney</w:t>
            </w:r>
          </w:p>
        </w:tc>
        <w:tc>
          <w:tcPr>
            <w:tcW w:w="2640" w:type="dxa"/>
            <w:vAlign w:val="bottom"/>
            <w:tcBorders>
              <w:bottom w:val="single" w:sz="8" w:color="auto"/>
              <w:right w:val="single" w:sz="8" w:color="auto"/>
            </w:tcBorders>
            <w:shd w:val="clear" w:color="auto" w:fill="C6D9F1"/>
          </w:tcPr>
          <w:p>
            <w:pPr>
              <w:ind w:left="420"/>
              <w:spacing w:after="0"/>
              <w:rPr>
                <w:sz w:val="20"/>
                <w:szCs w:val="20"/>
                <w:color w:val="auto"/>
              </w:rPr>
            </w:pPr>
            <w:r>
              <w:rPr>
                <w:rFonts w:ascii="Arial" w:cs="Arial" w:eastAsia="Arial" w:hAnsi="Arial"/>
                <w:sz w:val="18"/>
                <w:szCs w:val="18"/>
                <w:color w:val="1F487D"/>
              </w:rPr>
              <w:t>ü</w:t>
            </w:r>
          </w:p>
        </w:tc>
        <w:tc>
          <w:tcPr>
            <w:tcW w:w="2740" w:type="dxa"/>
            <w:vAlign w:val="bottom"/>
            <w:tcBorders>
              <w:bottom w:val="single" w:sz="8" w:color="auto"/>
              <w:right w:val="single" w:sz="8" w:color="auto"/>
            </w:tcBorders>
            <w:shd w:val="clear" w:color="auto" w:fill="C6D9F1"/>
          </w:tcPr>
          <w:p>
            <w:pPr>
              <w:spacing w:after="0"/>
              <w:rPr>
                <w:sz w:val="22"/>
                <w:szCs w:val="22"/>
                <w:color w:val="auto"/>
              </w:rPr>
            </w:pPr>
          </w:p>
        </w:tc>
        <w:tc>
          <w:tcPr>
            <w:tcW w:w="3260" w:type="dxa"/>
            <w:vAlign w:val="bottom"/>
            <w:tcBorders>
              <w:bottom w:val="single" w:sz="8" w:color="auto"/>
            </w:tcBorders>
            <w:shd w:val="clear" w:color="auto" w:fill="C6D9F1"/>
          </w:tcPr>
          <w:p>
            <w:pPr>
              <w:ind w:left="800"/>
              <w:spacing w:after="0"/>
              <w:rPr>
                <w:sz w:val="20"/>
                <w:szCs w:val="20"/>
                <w:color w:val="auto"/>
              </w:rPr>
            </w:pPr>
            <w:r>
              <w:rPr>
                <w:rFonts w:ascii="Arial" w:cs="Arial" w:eastAsia="Arial" w:hAnsi="Arial"/>
                <w:sz w:val="18"/>
                <w:szCs w:val="18"/>
                <w:color w:val="1F487D"/>
              </w:rPr>
              <w:t>ü</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7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Garen K. Staglin</w:t>
            </w:r>
          </w:p>
        </w:tc>
        <w:tc>
          <w:tcPr>
            <w:tcW w:w="2640" w:type="dxa"/>
            <w:vAlign w:val="bottom"/>
            <w:tcBorders>
              <w:bottom w:val="single" w:sz="8" w:color="auto"/>
              <w:right w:val="single" w:sz="8" w:color="auto"/>
            </w:tcBorders>
          </w:tcPr>
          <w:p>
            <w:pPr>
              <w:spacing w:after="0"/>
              <w:rPr>
                <w:sz w:val="22"/>
                <w:szCs w:val="22"/>
                <w:color w:val="auto"/>
              </w:rPr>
            </w:pPr>
          </w:p>
        </w:tc>
        <w:tc>
          <w:tcPr>
            <w:tcW w:w="274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8"/>
                <w:szCs w:val="18"/>
                <w:color w:val="1F487D"/>
              </w:rPr>
              <w:t>ü</w:t>
            </w:r>
          </w:p>
        </w:tc>
        <w:tc>
          <w:tcPr>
            <w:tcW w:w="326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1F487D"/>
              </w:rPr>
              <w:t>ü</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128905</wp:posOffset>
            </wp:positionV>
            <wp:extent cx="17145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322" w:lineRule="exact"/>
        <w:rPr>
          <w:sz w:val="20"/>
          <w:szCs w:val="20"/>
          <w:color w:val="auto"/>
        </w:rPr>
      </w:pPr>
    </w:p>
    <w:p>
      <w:pPr>
        <w:ind w:left="860"/>
        <w:spacing w:after="0"/>
        <w:rPr>
          <w:sz w:val="20"/>
          <w:szCs w:val="20"/>
          <w:color w:val="auto"/>
        </w:rPr>
      </w:pPr>
      <w:r>
        <w:rPr>
          <w:rFonts w:ascii="Arial" w:cs="Arial" w:eastAsia="Arial" w:hAnsi="Arial"/>
          <w:sz w:val="14"/>
          <w:szCs w:val="14"/>
          <w:color w:val="auto"/>
        </w:rPr>
        <w:t>Audit committee financial expert under applicable SEC rules and regulations.</w:t>
      </w:r>
    </w:p>
    <w:p>
      <w:pPr>
        <w:spacing w:after="0" w:line="28" w:lineRule="exact"/>
        <w:rPr>
          <w:sz w:val="20"/>
          <w:szCs w:val="20"/>
          <w:color w:val="auto"/>
        </w:rPr>
      </w:pPr>
    </w:p>
    <w:p>
      <w:pPr>
        <w:ind w:left="820" w:hanging="326"/>
        <w:spacing w:after="0"/>
        <w:tabs>
          <w:tab w:leader="none" w:pos="8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Our standing committees consist of independent directors. As such, Mr. Kapoor is not included in the table.</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 xml:space="preserve">Audit Committee. </w:t>
      </w:r>
      <w:r>
        <w:rPr>
          <w:rFonts w:ascii="Arial" w:cs="Arial" w:eastAsia="Arial" w:hAnsi="Arial"/>
          <w:sz w:val="18"/>
          <w:szCs w:val="18"/>
          <w:color w:val="auto"/>
        </w:rPr>
        <w:t>Our Audit Committee oversees and assists our board of directors in fulfilling its oversight responsibilities with respect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198" w:lineRule="exact"/>
        <w:rPr>
          <w:sz w:val="20"/>
          <w:szCs w:val="20"/>
          <w:color w:val="auto"/>
        </w:rPr>
      </w:pPr>
    </w:p>
    <w:p>
      <w:pPr>
        <w:ind w:left="880" w:right="280" w:hanging="332"/>
        <w:spacing w:after="0" w:line="246"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accounting and financial reporting processes, including the integrity of the financial statements and other financial information provided by us to our stockholders, the public, stock exchanges and others;</w:t>
      </w:r>
    </w:p>
    <w:p>
      <w:pPr>
        <w:spacing w:after="0" w:line="183" w:lineRule="exact"/>
        <w:rPr>
          <w:rFonts w:ascii="Arial" w:cs="Arial" w:eastAsia="Arial" w:hAnsi="Arial"/>
          <w:sz w:val="18"/>
          <w:szCs w:val="18"/>
          <w:color w:val="auto"/>
        </w:rPr>
      </w:pPr>
    </w:p>
    <w:p>
      <w:pPr>
        <w:ind w:left="880" w:hanging="332"/>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w:t>
      </w:r>
    </w:p>
    <w:p>
      <w:pPr>
        <w:spacing w:after="0" w:line="211" w:lineRule="exact"/>
        <w:rPr>
          <w:rFonts w:ascii="Arial" w:cs="Arial" w:eastAsia="Arial" w:hAnsi="Arial"/>
          <w:sz w:val="18"/>
          <w:szCs w:val="18"/>
          <w:color w:val="auto"/>
        </w:rPr>
      </w:pPr>
    </w:p>
    <w:p>
      <w:pPr>
        <w:ind w:left="880" w:hanging="332"/>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independent registered public accounting firm’s qualifications and independence;</w:t>
      </w:r>
    </w:p>
    <w:p>
      <w:pPr>
        <w:spacing w:after="0" w:line="211" w:lineRule="exact"/>
        <w:rPr>
          <w:rFonts w:ascii="Arial" w:cs="Arial" w:eastAsia="Arial" w:hAnsi="Arial"/>
          <w:sz w:val="18"/>
          <w:szCs w:val="18"/>
          <w:color w:val="auto"/>
        </w:rPr>
      </w:pPr>
    </w:p>
    <w:p>
      <w:pPr>
        <w:ind w:left="880" w:hanging="332"/>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audit of our financial statements;</w:t>
      </w:r>
    </w:p>
    <w:p>
      <w:pPr>
        <w:spacing w:after="0" w:line="211" w:lineRule="exact"/>
        <w:rPr>
          <w:rFonts w:ascii="Arial" w:cs="Arial" w:eastAsia="Arial" w:hAnsi="Arial"/>
          <w:sz w:val="18"/>
          <w:szCs w:val="18"/>
          <w:color w:val="auto"/>
        </w:rPr>
      </w:pPr>
    </w:p>
    <w:p>
      <w:pPr>
        <w:ind w:left="880" w:hanging="332"/>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performance of our internal audit function and independent registered public accounting firm; and</w:t>
      </w:r>
    </w:p>
    <w:p>
      <w:pPr>
        <w:spacing w:after="0" w:line="211" w:lineRule="exact"/>
        <w:rPr>
          <w:rFonts w:ascii="Arial" w:cs="Arial" w:eastAsia="Arial" w:hAnsi="Arial"/>
          <w:sz w:val="18"/>
          <w:szCs w:val="18"/>
          <w:color w:val="auto"/>
        </w:rPr>
      </w:pPr>
    </w:p>
    <w:p>
      <w:pPr>
        <w:ind w:left="880" w:hanging="332"/>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Company’s cyber security program and cyber strategy-related risks.</w:t>
      </w:r>
    </w:p>
    <w:p>
      <w:pPr>
        <w:spacing w:after="0" w:line="212" w:lineRule="exact"/>
        <w:rPr>
          <w:sz w:val="20"/>
          <w:szCs w:val="20"/>
          <w:color w:val="auto"/>
        </w:rPr>
      </w:pPr>
    </w:p>
    <w:p>
      <w:pPr>
        <w:ind w:right="100" w:firstLine="441"/>
        <w:spacing w:after="0" w:line="237" w:lineRule="auto"/>
        <w:rPr>
          <w:sz w:val="20"/>
          <w:szCs w:val="20"/>
          <w:color w:val="auto"/>
        </w:rPr>
      </w:pPr>
      <w:r>
        <w:rPr>
          <w:rFonts w:ascii="Arial" w:cs="Arial" w:eastAsia="Arial" w:hAnsi="Arial"/>
          <w:sz w:val="18"/>
          <w:szCs w:val="18"/>
          <w:color w:val="auto"/>
        </w:rPr>
        <w:t>Our Audit Committee has direct responsibility for the appointment, compensation, retention (including termination) and oversight of our independent registered public accounting firm, and our independent registered public accounting firm reports directly to our Audit Committee. Our Audit Committee also reviews and approves certain related-party transactions as required by the rules of the Nasdaq Stock Market. The Audit Committee was established in accordance with Section 3(a)(58)(A) of the Securities Exchange Act of 1934 (the “Exchange Act”). Our Audit Committee annually reviews and assesses the adequacy of the Audit Committee charter and its own performance. In December 2015, the Audit Committee approved an amendment to its charter to include responsibility for overseeing the Company’s cyber security program and cyber strategy related risks. A copy of our Audit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46" w:right="239" w:bottom="1440" w:gutter="0" w:footer="0" w:header="0"/>
        </w:sectPr>
      </w:pPr>
    </w:p>
    <w:bookmarkStart w:id="19" w:name="page20"/>
    <w:bookmarkEnd w:id="19"/>
    <w:p>
      <w:pPr>
        <w:ind w:right="40"/>
        <w:spacing w:after="0" w:line="246" w:lineRule="auto"/>
        <w:rPr>
          <w:sz w:val="20"/>
          <w:szCs w:val="20"/>
          <w:color w:val="auto"/>
        </w:rPr>
      </w:pPr>
      <w:r>
        <w:rPr>
          <w:rFonts w:ascii="Arial" w:cs="Arial" w:eastAsia="Arial" w:hAnsi="Arial"/>
          <w:sz w:val="18"/>
          <w:szCs w:val="18"/>
          <w:color w:val="auto"/>
        </w:rPr>
        <w:t>Committee charter can be found on our website at www.exlservice.com. Information on our website referred to in this proxy statement does not constitute a part of this proxy statement.</w:t>
      </w:r>
    </w:p>
    <w:p>
      <w:pPr>
        <w:spacing w:after="0" w:line="183" w:lineRule="exact"/>
        <w:rPr>
          <w:sz w:val="20"/>
          <w:szCs w:val="20"/>
          <w:color w:val="auto"/>
        </w:rPr>
      </w:pPr>
    </w:p>
    <w:p>
      <w:pPr>
        <w:ind w:right="240" w:firstLine="441"/>
        <w:spacing w:after="0" w:line="238" w:lineRule="auto"/>
        <w:rPr>
          <w:sz w:val="20"/>
          <w:szCs w:val="20"/>
          <w:color w:val="auto"/>
        </w:rPr>
      </w:pPr>
      <w:r>
        <w:rPr>
          <w:rFonts w:ascii="Arial" w:cs="Arial" w:eastAsia="Arial" w:hAnsi="Arial"/>
          <w:sz w:val="18"/>
          <w:szCs w:val="18"/>
          <w:color w:val="auto"/>
        </w:rPr>
        <w:t>The members of our Audit Committee are appointed by our board of directors. All members of our Audit Committee must also be recommended by our Nominating and Governance Committee. Our board of directors has determined that all of the members of the Audit Committee meet the independence and experience requirements of the Nasdaq Stock Market and the federal securities laws for audit committee membership. During 2015, our Audit Committee met seven times. Each member of our Audit Committee attended at least 75% of our Audit Committee’s meetings in 2015 during the period in which he or she served on our Audit Committee.</w:t>
      </w:r>
    </w:p>
    <w:p>
      <w:pPr>
        <w:spacing w:after="0" w:line="167" w:lineRule="exact"/>
        <w:rPr>
          <w:sz w:val="20"/>
          <w:szCs w:val="20"/>
          <w:color w:val="auto"/>
        </w:rPr>
      </w:pPr>
    </w:p>
    <w:p>
      <w:pPr>
        <w:ind w:right="180" w:firstLine="441"/>
        <w:spacing w:after="0" w:line="244" w:lineRule="auto"/>
        <w:rPr>
          <w:sz w:val="20"/>
          <w:szCs w:val="20"/>
          <w:color w:val="auto"/>
        </w:rPr>
      </w:pPr>
      <w:r>
        <w:rPr>
          <w:rFonts w:ascii="Arial" w:cs="Arial" w:eastAsia="Arial" w:hAnsi="Arial"/>
          <w:sz w:val="18"/>
          <w:szCs w:val="18"/>
          <w:b w:val="1"/>
          <w:bCs w:val="1"/>
          <w:i w:val="1"/>
          <w:iCs w:val="1"/>
          <w:color w:val="auto"/>
        </w:rPr>
        <w:t xml:space="preserve">Nominating and Governance Committee. </w:t>
      </w:r>
      <w:r>
        <w:rPr>
          <w:rFonts w:ascii="Arial" w:cs="Arial" w:eastAsia="Arial" w:hAnsi="Arial"/>
          <w:sz w:val="18"/>
          <w:szCs w:val="18"/>
          <w:color w:val="auto"/>
        </w:rPr>
        <w:t>Our Nominating and Governance Committee identifies individuals qualified to become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members of our board of directors (consistent with criteria approved by our board of directors), selects, or recommends that our board of directors select, candidates for election to our board of directors, develops and recommends to our board of directors Corporate Governance Guidelines that are applicable to us and oversees board of director and management evaluations. A copy of our Nominating and Governance Committee charter can be found on our website at www.exlservice.com.</w:t>
      </w:r>
    </w:p>
    <w:p>
      <w:pPr>
        <w:spacing w:after="0" w:line="185" w:lineRule="exact"/>
        <w:rPr>
          <w:sz w:val="20"/>
          <w:szCs w:val="20"/>
          <w:color w:val="auto"/>
        </w:rPr>
      </w:pPr>
    </w:p>
    <w:p>
      <w:pPr>
        <w:ind w:firstLine="441"/>
        <w:spacing w:after="0" w:line="234" w:lineRule="auto"/>
        <w:rPr>
          <w:sz w:val="20"/>
          <w:szCs w:val="20"/>
          <w:color w:val="auto"/>
        </w:rPr>
      </w:pPr>
      <w:r>
        <w:rPr>
          <w:rFonts w:ascii="Arial" w:cs="Arial" w:eastAsia="Arial" w:hAnsi="Arial"/>
          <w:sz w:val="18"/>
          <w:szCs w:val="18"/>
          <w:color w:val="auto"/>
        </w:rPr>
        <w:t>Our Nominating and Governance Committee has a policy, reflected in such committee’s charter, of considering director candidates recommended by our stockholders. Candidate recommendations should be sent to our Nominating and Governance Committee, c/o ExlService</w:t>
      </w:r>
    </w:p>
    <w:p>
      <w:pPr>
        <w:spacing w:after="0" w:line="2" w:lineRule="exact"/>
        <w:rPr>
          <w:sz w:val="20"/>
          <w:szCs w:val="20"/>
          <w:color w:val="auto"/>
        </w:rPr>
      </w:pPr>
    </w:p>
    <w:p>
      <w:pPr>
        <w:ind w:right="240"/>
        <w:spacing w:after="0" w:line="218" w:lineRule="auto"/>
        <w:rPr>
          <w:sz w:val="20"/>
          <w:szCs w:val="20"/>
          <w:color w:val="auto"/>
        </w:rPr>
      </w:pPr>
      <w:r>
        <w:rPr>
          <w:rFonts w:ascii="Arial" w:cs="Arial" w:eastAsia="Arial" w:hAnsi="Arial"/>
          <w:sz w:val="18"/>
          <w:szCs w:val="18"/>
          <w:color w:val="auto"/>
        </w:rPr>
        <w:t>Holdings, Inc., 280 Park Avenue, 38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New York 10017, Attention: Corporate Secretary. Our Nominating and Governance Committee evaluates all candidates in the same manner regardless of the source of the recommendation. Our Nominating and Governance Committee, in making its selection of director candidates, considers the appropriate skills and personal characteristics required in the light of the then-current makeup of our board of directors and in the context of our perceived needs at the time. The Nominating and Governance Committee considers a number of factors in selecting director candidates, including, among others:</w:t>
      </w:r>
    </w:p>
    <w:p>
      <w:pPr>
        <w:spacing w:after="0" w:line="190" w:lineRule="exact"/>
        <w:rPr>
          <w:sz w:val="20"/>
          <w:szCs w:val="20"/>
          <w:color w:val="auto"/>
        </w:rPr>
      </w:pPr>
    </w:p>
    <w:p>
      <w:pPr>
        <w:ind w:left="880" w:hanging="332"/>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ethical standards and integrity in personal and professional dealings of the candidate;</w:t>
      </w:r>
    </w:p>
    <w:p>
      <w:pPr>
        <w:spacing w:after="0" w:line="211" w:lineRule="exact"/>
        <w:rPr>
          <w:rFonts w:ascii="Arial" w:cs="Arial" w:eastAsia="Arial" w:hAnsi="Arial"/>
          <w:sz w:val="18"/>
          <w:szCs w:val="18"/>
          <w:color w:val="auto"/>
        </w:rPr>
      </w:pPr>
    </w:p>
    <w:p>
      <w:pPr>
        <w:ind w:left="880" w:hanging="332"/>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independence of the candidate under legal, regulatory and other applicable standards;</w:t>
      </w:r>
    </w:p>
    <w:p>
      <w:pPr>
        <w:spacing w:after="0" w:line="211" w:lineRule="exact"/>
        <w:rPr>
          <w:rFonts w:ascii="Arial" w:cs="Arial" w:eastAsia="Arial" w:hAnsi="Arial"/>
          <w:sz w:val="18"/>
          <w:szCs w:val="18"/>
          <w:color w:val="auto"/>
        </w:rPr>
      </w:pPr>
    </w:p>
    <w:p>
      <w:pPr>
        <w:ind w:left="880" w:right="620" w:hanging="332"/>
        <w:spacing w:after="0" w:line="246"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diversity of our existing board of directors, so that we maintain a body of directors from diverse professional and personal backgrounds;</w:t>
      </w:r>
    </w:p>
    <w:p>
      <w:pPr>
        <w:spacing w:after="0" w:line="183" w:lineRule="exact"/>
        <w:rPr>
          <w:rFonts w:ascii="Arial" w:cs="Arial" w:eastAsia="Arial" w:hAnsi="Arial"/>
          <w:sz w:val="18"/>
          <w:szCs w:val="18"/>
          <w:color w:val="auto"/>
        </w:rPr>
      </w:pPr>
    </w:p>
    <w:p>
      <w:pPr>
        <w:ind w:left="880" w:hanging="332"/>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the skills and experience of the candidate will complement that of our existing board of directors;</w:t>
      </w:r>
    </w:p>
    <w:p>
      <w:pPr>
        <w:spacing w:after="0" w:line="211" w:lineRule="exact"/>
        <w:rPr>
          <w:rFonts w:ascii="Arial" w:cs="Arial" w:eastAsia="Arial" w:hAnsi="Arial"/>
          <w:sz w:val="18"/>
          <w:szCs w:val="18"/>
          <w:color w:val="auto"/>
        </w:rPr>
      </w:pPr>
    </w:p>
    <w:p>
      <w:pPr>
        <w:ind w:left="880" w:right="80" w:hanging="332"/>
        <w:spacing w:after="0" w:line="246"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number of other public company boards of directors on which the candidate serves or intends to serve, with the expectation that the candidate would not serve on the boards of directors of more than three other public companies;</w:t>
      </w:r>
    </w:p>
    <w:p>
      <w:pPr>
        <w:spacing w:after="0" w:line="183" w:lineRule="exact"/>
        <w:rPr>
          <w:rFonts w:ascii="Arial" w:cs="Arial" w:eastAsia="Arial" w:hAnsi="Arial"/>
          <w:sz w:val="18"/>
          <w:szCs w:val="18"/>
          <w:color w:val="auto"/>
        </w:rPr>
      </w:pPr>
    </w:p>
    <w:p>
      <w:pPr>
        <w:ind w:left="880" w:right="80" w:hanging="332"/>
        <w:spacing w:after="0" w:line="246"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and willingness of the candidate to dedicate sufficient time, energy and attention to ensure the diligent performance of his or her board of directors’ duties;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68" w:right="259" w:bottom="1440" w:gutter="0" w:footer="0" w:header="0"/>
        </w:sectPr>
      </w:pPr>
    </w:p>
    <w:bookmarkStart w:id="20" w:name="page21"/>
    <w:bookmarkEnd w:id="20"/>
    <w:p>
      <w:pPr>
        <w:ind w:left="880" w:right="80" w:hanging="332"/>
        <w:spacing w:after="0" w:line="246"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of the candidate to read and understand fundamental financial statements and understand the use of financial ratios and information in evaluating our financial performance;</w:t>
      </w:r>
    </w:p>
    <w:p>
      <w:pPr>
        <w:spacing w:after="0" w:line="183" w:lineRule="exact"/>
        <w:rPr>
          <w:rFonts w:ascii="Arial" w:cs="Arial" w:eastAsia="Arial" w:hAnsi="Arial"/>
          <w:sz w:val="18"/>
          <w:szCs w:val="18"/>
          <w:color w:val="auto"/>
        </w:rPr>
      </w:pPr>
    </w:p>
    <w:p>
      <w:pPr>
        <w:ind w:left="880" w:hanging="332"/>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willingness of the candidate to be accountable for his or her decisions as a director;</w:t>
      </w:r>
    </w:p>
    <w:p>
      <w:pPr>
        <w:spacing w:after="0" w:line="211" w:lineRule="exact"/>
        <w:rPr>
          <w:rFonts w:ascii="Arial" w:cs="Arial" w:eastAsia="Arial" w:hAnsi="Arial"/>
          <w:sz w:val="18"/>
          <w:szCs w:val="18"/>
          <w:color w:val="auto"/>
        </w:rPr>
      </w:pPr>
    </w:p>
    <w:p>
      <w:pPr>
        <w:ind w:left="880" w:hanging="332"/>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of the candidate to provide wise and thoughtful counsel on a broad range of issues;</w:t>
      </w:r>
    </w:p>
    <w:p>
      <w:pPr>
        <w:spacing w:after="0" w:line="211" w:lineRule="exact"/>
        <w:rPr>
          <w:rFonts w:ascii="Arial" w:cs="Arial" w:eastAsia="Arial" w:hAnsi="Arial"/>
          <w:sz w:val="18"/>
          <w:szCs w:val="18"/>
          <w:color w:val="auto"/>
        </w:rPr>
      </w:pPr>
    </w:p>
    <w:p>
      <w:pPr>
        <w:ind w:left="880" w:right="820" w:hanging="332"/>
        <w:spacing w:after="0" w:line="246"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and willingness of the candidate to interact with other directors in a manner that encourages responsible, open, challenging and inspired discussion;</w:t>
      </w:r>
    </w:p>
    <w:p>
      <w:pPr>
        <w:spacing w:after="0" w:line="183" w:lineRule="exact"/>
        <w:rPr>
          <w:rFonts w:ascii="Arial" w:cs="Arial" w:eastAsia="Arial" w:hAnsi="Arial"/>
          <w:sz w:val="18"/>
          <w:szCs w:val="18"/>
          <w:color w:val="auto"/>
        </w:rPr>
      </w:pPr>
    </w:p>
    <w:p>
      <w:pPr>
        <w:ind w:left="880" w:hanging="332"/>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the candidate has a history of achievements that reflects high standards;</w:t>
      </w:r>
    </w:p>
    <w:p>
      <w:pPr>
        <w:spacing w:after="0" w:line="211" w:lineRule="exact"/>
        <w:rPr>
          <w:rFonts w:ascii="Arial" w:cs="Arial" w:eastAsia="Arial" w:hAnsi="Arial"/>
          <w:sz w:val="18"/>
          <w:szCs w:val="18"/>
          <w:color w:val="auto"/>
        </w:rPr>
      </w:pPr>
    </w:p>
    <w:p>
      <w:pPr>
        <w:ind w:left="880" w:right="160" w:hanging="332"/>
        <w:spacing w:after="0" w:line="246"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and willingness of the candidate to be committed to, and enthusiastic about, his or her performance for us as a director, both in absolute terms and relative to his or her peers;</w:t>
      </w:r>
    </w:p>
    <w:p>
      <w:pPr>
        <w:spacing w:after="0" w:line="183" w:lineRule="exact"/>
        <w:rPr>
          <w:rFonts w:ascii="Arial" w:cs="Arial" w:eastAsia="Arial" w:hAnsi="Arial"/>
          <w:sz w:val="18"/>
          <w:szCs w:val="18"/>
          <w:color w:val="auto"/>
        </w:rPr>
      </w:pPr>
    </w:p>
    <w:p>
      <w:pPr>
        <w:ind w:left="880" w:hanging="332"/>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the candidate possesses the courage to express views openly, even in the face of opposition;</w:t>
      </w:r>
    </w:p>
    <w:p>
      <w:pPr>
        <w:spacing w:after="0" w:line="211" w:lineRule="exact"/>
        <w:rPr>
          <w:rFonts w:ascii="Arial" w:cs="Arial" w:eastAsia="Arial" w:hAnsi="Arial"/>
          <w:sz w:val="18"/>
          <w:szCs w:val="18"/>
          <w:color w:val="auto"/>
        </w:rPr>
      </w:pPr>
    </w:p>
    <w:p>
      <w:pPr>
        <w:ind w:left="880" w:right="400" w:hanging="332"/>
        <w:spacing w:after="0" w:line="246"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and willingness of the candidate to comply with the duties and responsibilities set forth in our Corporate Governance Guidelines and by-laws;</w:t>
      </w:r>
    </w:p>
    <w:p>
      <w:pPr>
        <w:spacing w:after="0" w:line="183" w:lineRule="exact"/>
        <w:rPr>
          <w:rFonts w:ascii="Arial" w:cs="Arial" w:eastAsia="Arial" w:hAnsi="Arial"/>
          <w:sz w:val="18"/>
          <w:szCs w:val="18"/>
          <w:color w:val="auto"/>
        </w:rPr>
      </w:pPr>
    </w:p>
    <w:p>
      <w:pPr>
        <w:ind w:left="880" w:right="360" w:hanging="332"/>
        <w:spacing w:after="0" w:line="246"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and willingness of the candidate to comply with the duties of care, loyalty and confidentiality applicable to directors of publicly traded companies organized in our jurisdiction of incorporation;</w:t>
      </w:r>
    </w:p>
    <w:p>
      <w:pPr>
        <w:spacing w:after="0" w:line="183" w:lineRule="exact"/>
        <w:rPr>
          <w:rFonts w:ascii="Arial" w:cs="Arial" w:eastAsia="Arial" w:hAnsi="Arial"/>
          <w:sz w:val="18"/>
          <w:szCs w:val="18"/>
          <w:color w:val="auto"/>
        </w:rPr>
      </w:pPr>
    </w:p>
    <w:p>
      <w:pPr>
        <w:ind w:left="880" w:hanging="332"/>
        <w:spacing w:after="0" w:line="246"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and willingness of the candidate to adhere to our Code of Conduct and Ethics, including, but not limited to, the policies on conflicts of interest expressed therein; and</w:t>
      </w:r>
    </w:p>
    <w:p>
      <w:pPr>
        <w:spacing w:after="0" w:line="183" w:lineRule="exact"/>
        <w:rPr>
          <w:rFonts w:ascii="Arial" w:cs="Arial" w:eastAsia="Arial" w:hAnsi="Arial"/>
          <w:sz w:val="18"/>
          <w:szCs w:val="18"/>
          <w:color w:val="auto"/>
        </w:rPr>
      </w:pPr>
    </w:p>
    <w:p>
      <w:pPr>
        <w:ind w:left="880" w:hanging="332"/>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such other attributes of the candidate and external factors as our board of directors deems appropriate.</w:t>
      </w:r>
    </w:p>
    <w:p>
      <w:pPr>
        <w:spacing w:after="0" w:line="212" w:lineRule="exact"/>
        <w:rPr>
          <w:sz w:val="20"/>
          <w:szCs w:val="20"/>
          <w:color w:val="auto"/>
        </w:rPr>
      </w:pPr>
    </w:p>
    <w:p>
      <w:pPr>
        <w:ind w:firstLine="441"/>
        <w:spacing w:after="0"/>
        <w:rPr>
          <w:sz w:val="20"/>
          <w:szCs w:val="20"/>
          <w:color w:val="auto"/>
        </w:rPr>
      </w:pPr>
      <w:r>
        <w:rPr>
          <w:rFonts w:ascii="Arial" w:cs="Arial" w:eastAsia="Arial" w:hAnsi="Arial"/>
          <w:sz w:val="18"/>
          <w:szCs w:val="18"/>
          <w:color w:val="auto"/>
        </w:rPr>
        <w:t>Our Nominating and Governance Committee reviews written and oral information provided by and about candidates and considers any additional criteria it feels is appropriate to ensure that all director nominees possess appropriate skills and experience to serve as a member of our board of directors.</w:t>
      </w:r>
    </w:p>
    <w:p>
      <w:pPr>
        <w:spacing w:after="0" w:line="189" w:lineRule="exact"/>
        <w:rPr>
          <w:sz w:val="20"/>
          <w:szCs w:val="20"/>
          <w:color w:val="auto"/>
        </w:rPr>
      </w:pPr>
    </w:p>
    <w:p>
      <w:pPr>
        <w:ind w:right="40" w:firstLine="441"/>
        <w:spacing w:after="0" w:line="236" w:lineRule="auto"/>
        <w:rPr>
          <w:sz w:val="20"/>
          <w:szCs w:val="20"/>
          <w:color w:val="auto"/>
        </w:rPr>
      </w:pPr>
      <w:r>
        <w:rPr>
          <w:rFonts w:ascii="Arial" w:cs="Arial" w:eastAsia="Arial" w:hAnsi="Arial"/>
          <w:sz w:val="18"/>
          <w:szCs w:val="18"/>
          <w:color w:val="auto"/>
        </w:rPr>
        <w:t>Although our Nominating and Governance Committee does not have a formal policy with regard to diversity of board members, pursuant to our Corporate Governance Guidelines, our board of directors seeks members from diverse professional and personal backgrounds who combine a broad spectrum of experience and expertise with a reputation for integrity. This assessment includes an individual’s independence, as well as consideration of diversity, age, skills and experience in the context of the needs of the board of directors. Our Nominating and Governance Committee reviews and makes recommendations regarding the composition of our board of directors in order to ensure that the board has an appropriate breadth of expertise and its membership consists of persons with sufficiently diverse and independent skill sets and backgrounds. Our Nominating and Governance Committee annually reviews and assesses the adequacy of the Nominating and Governance Committee charter and its own performance.</w:t>
      </w:r>
    </w:p>
    <w:p>
      <w:pPr>
        <w:spacing w:after="0" w:line="19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868" w:right="339" w:bottom="1440" w:gutter="0" w:footer="0" w:header="0"/>
        </w:sectPr>
      </w:pPr>
    </w:p>
    <w:bookmarkStart w:id="21" w:name="page22"/>
    <w:bookmarkEnd w:id="21"/>
    <w:p>
      <w:pPr>
        <w:ind w:right="180" w:firstLine="441"/>
        <w:spacing w:after="0" w:line="238" w:lineRule="auto"/>
        <w:rPr>
          <w:sz w:val="20"/>
          <w:szCs w:val="20"/>
          <w:color w:val="auto"/>
        </w:rPr>
      </w:pPr>
      <w:r>
        <w:rPr>
          <w:rFonts w:ascii="Arial" w:cs="Arial" w:eastAsia="Arial" w:hAnsi="Arial"/>
          <w:sz w:val="18"/>
          <w:szCs w:val="18"/>
          <w:color w:val="auto"/>
        </w:rPr>
        <w:t>The members of our Nominating and Governance Committee are appointed by our board of directors. During 2015, our Nominating and Governance Committee met five times. Each appointed member of our Nominating and Governance Committee attended at least 75% of our Nominating and Governance Committee’s meetings in 2015 during the period in which he or she served on our Nominating and Governance Committee. Our board of directors has determined that all of the members of the Nominating and Governance Committee meet the independence requirements of the Nasdaq Stock Market and federal securities laws.</w:t>
      </w:r>
    </w:p>
    <w:p>
      <w:pPr>
        <w:spacing w:after="0" w:line="167" w:lineRule="exact"/>
        <w:rPr>
          <w:sz w:val="20"/>
          <w:szCs w:val="20"/>
          <w:color w:val="auto"/>
        </w:rPr>
      </w:pPr>
    </w:p>
    <w:p>
      <w:pPr>
        <w:ind w:right="120" w:firstLine="441"/>
        <w:spacing w:after="0" w:line="237" w:lineRule="auto"/>
        <w:rPr>
          <w:sz w:val="20"/>
          <w:szCs w:val="20"/>
          <w:color w:val="auto"/>
        </w:rPr>
      </w:pPr>
      <w:r>
        <w:rPr>
          <w:rFonts w:ascii="Arial" w:cs="Arial" w:eastAsia="Arial" w:hAnsi="Arial"/>
          <w:sz w:val="18"/>
          <w:szCs w:val="18"/>
          <w:b w:val="1"/>
          <w:bCs w:val="1"/>
          <w:i w:val="1"/>
          <w:iCs w:val="1"/>
          <w:color w:val="auto"/>
        </w:rPr>
        <w:t xml:space="preserve">Compensation Committee. </w:t>
      </w:r>
      <w:r>
        <w:rPr>
          <w:rFonts w:ascii="Arial" w:cs="Arial" w:eastAsia="Arial" w:hAnsi="Arial"/>
          <w:sz w:val="18"/>
          <w:szCs w:val="18"/>
          <w:color w:val="auto"/>
        </w:rPr>
        <w:t>Our Compensation Committee reviews and recommends policies relating to compensation and benefits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directors, officers and employees and is responsible for approving the compensation of our Vice Chairman and CEO and other executive officers. Our Compensation Committee also reviews, evaluates and makes recommendations to our board of directors with respect to our incentive compensation plans and equity-based plans and administers the issuance of awards under our equity incentive plans. Our Compensation Committee charter permits the committee to form and delegate authority to subcommittees when appropriate, provided that the subcommittees are composed entirely of directors who satisfy the applicable independence requirements of the Nasdaq Stock Market. Any such subcommittee must have a published committee charter. Our Compensation Committee charter also permits the committee to retain advisors, consultants or other professionals to assist the Compensation Committee to evaluate director, Vice Chairman and CEO or other senior executive compensation and to carry out its duties. For 2015, our Compensation Committee retained the services of Frederick W. Cook</w:t>
      </w:r>
    </w:p>
    <w:p>
      <w:pPr>
        <w:spacing w:after="0" w:line="6" w:lineRule="exact"/>
        <w:rPr>
          <w:sz w:val="20"/>
          <w:szCs w:val="20"/>
          <w:color w:val="auto"/>
        </w:rPr>
      </w:pPr>
    </w:p>
    <w:p>
      <w:pPr>
        <w:ind w:right="180" w:firstLine="8"/>
        <w:spacing w:after="0" w:line="238" w:lineRule="auto"/>
        <w:tabs>
          <w:tab w:leader="none" w:pos="17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 Inc. (“Cook &amp; Co.), a qualified and independent compensation consultant, to aid the Compensation Committee in performing its review of executive compensation. Our Compensation Committee annually reviews and assesses the adequacy of the Compensation Committee charter and its own performance. Additional information regarding our Compensation Committee’s processes and procedures for considering executive compensation are addressed in the Compensation Discussion and Analysis below. A copy of our Compensation Committee charter can be found on our website at www.exlservice.com.</w:t>
      </w:r>
    </w:p>
    <w:p>
      <w:pPr>
        <w:spacing w:after="0" w:line="189" w:lineRule="exact"/>
        <w:rPr>
          <w:sz w:val="20"/>
          <w:szCs w:val="20"/>
          <w:color w:val="auto"/>
        </w:rPr>
      </w:pPr>
    </w:p>
    <w:p>
      <w:pPr>
        <w:ind w:right="80" w:firstLine="441"/>
        <w:spacing w:after="0" w:line="237" w:lineRule="auto"/>
        <w:rPr>
          <w:sz w:val="20"/>
          <w:szCs w:val="20"/>
          <w:color w:val="auto"/>
        </w:rPr>
      </w:pPr>
      <w:r>
        <w:rPr>
          <w:rFonts w:ascii="Arial" w:cs="Arial" w:eastAsia="Arial" w:hAnsi="Arial"/>
          <w:sz w:val="18"/>
          <w:szCs w:val="18"/>
          <w:color w:val="auto"/>
        </w:rPr>
        <w:t>The members of our Compensation Committee are appointed by our board of directors. All new members of our Compensation Committee must be recommended by our Nominating and Governance Committee. Our board of directors has determined that all members of the Compensation Committee meet the independence requirements of the Nasdaq Stock Market and federal securities laws for compensation committee membership. During 2015, our Compensation Committee met eight times. Each member of our Compensation Committee attended at least 75% of our Compensation Committee’s meetings in 2015 during the period in which he or she served on our Compensation Committee.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Oversight</w:t>
      </w:r>
    </w:p>
    <w:p>
      <w:pPr>
        <w:spacing w:after="0" w:line="220" w:lineRule="exact"/>
        <w:rPr>
          <w:sz w:val="20"/>
          <w:szCs w:val="20"/>
          <w:color w:val="auto"/>
        </w:rPr>
      </w:pPr>
    </w:p>
    <w:p>
      <w:pPr>
        <w:ind w:firstLine="441"/>
        <w:spacing w:after="0" w:line="239" w:lineRule="auto"/>
        <w:rPr>
          <w:sz w:val="20"/>
          <w:szCs w:val="20"/>
          <w:color w:val="auto"/>
        </w:rPr>
      </w:pPr>
      <w:r>
        <w:rPr>
          <w:rFonts w:ascii="Arial" w:cs="Arial" w:eastAsia="Arial" w:hAnsi="Arial"/>
          <w:sz w:val="18"/>
          <w:szCs w:val="18"/>
          <w:color w:val="auto"/>
        </w:rPr>
        <w:t>Our board of directors provides risk oversight. Our management assists the board in identifying strategic and operating risks that could affect the achievement of our business goals and objectives, assessing the likelihood and potential impact of these risks and proposing courses of action to mitigate and/or respond to these risks. These risks are reviewed and discussed periodically with the full board of directors as part of the business and operating review.</w:t>
      </w:r>
    </w:p>
    <w:p>
      <w:pPr>
        <w:spacing w:after="0" w:line="188" w:lineRule="exact"/>
        <w:rPr>
          <w:sz w:val="20"/>
          <w:szCs w:val="20"/>
          <w:color w:val="auto"/>
        </w:rPr>
      </w:pPr>
    </w:p>
    <w:p>
      <w:pPr>
        <w:ind w:right="40" w:firstLine="441"/>
        <w:spacing w:after="0" w:line="246" w:lineRule="auto"/>
        <w:rPr>
          <w:sz w:val="20"/>
          <w:szCs w:val="20"/>
          <w:color w:val="auto"/>
        </w:rPr>
      </w:pPr>
      <w:r>
        <w:rPr>
          <w:rFonts w:ascii="Arial" w:cs="Arial" w:eastAsia="Arial" w:hAnsi="Arial"/>
          <w:sz w:val="18"/>
          <w:szCs w:val="18"/>
          <w:color w:val="auto"/>
        </w:rPr>
        <w:t>Our management is responsible for management of our day-to-day risks, and, because we are exposed to financial risks in multiple areas of our business, day-to-day risk management activities and processes are performed by multiple members of our senior and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22" w:name="page23"/>
    <w:bookmarkEnd w:id="22"/>
    <w:p>
      <w:pPr>
        <w:spacing w:after="0" w:line="237" w:lineRule="auto"/>
        <w:rPr>
          <w:sz w:val="20"/>
          <w:szCs w:val="20"/>
          <w:color w:val="auto"/>
        </w:rPr>
      </w:pPr>
      <w:r>
        <w:rPr>
          <w:rFonts w:ascii="Arial" w:cs="Arial" w:eastAsia="Arial" w:hAnsi="Arial"/>
          <w:sz w:val="18"/>
          <w:szCs w:val="18"/>
          <w:color w:val="auto"/>
        </w:rPr>
        <w:t>other management. Our board of directors primarily relies on the Audit Committee for oversight of our risk management and cyber security risk. The Audit Committee regularly reviews and discusses with management our major financial risk and cyber security exposures and the steps management has taken to monitor, control and manage such exposures, including our risk assessment and risk management guidelines and policies. In addition, our management maintains, as part of our disclosure controls and procedures, a separate disclosure committee that, as part of its review of our quarterly and annual reports, helps facilitate understanding by the Audit Committee and our full board of directors of new or changing risks affecting us. Once a year, the full board receives a report from management on the Company’s readiness and capability to prevent, detect and respond to a cyber-attack.</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Ms. Kerr, Ms. Minto, Mr. Mittal, Mr. Ostler and Mr. Staglin are the members of our Compensation Committee.</w:t>
      </w:r>
    </w:p>
    <w:p>
      <w:pPr>
        <w:spacing w:after="0" w:line="198" w:lineRule="exact"/>
        <w:rPr>
          <w:sz w:val="20"/>
          <w:szCs w:val="20"/>
          <w:color w:val="auto"/>
        </w:rPr>
      </w:pPr>
    </w:p>
    <w:p>
      <w:pPr>
        <w:ind w:right="220" w:firstLine="441"/>
        <w:spacing w:after="0" w:line="246" w:lineRule="auto"/>
        <w:rPr>
          <w:sz w:val="20"/>
          <w:szCs w:val="20"/>
          <w:color w:val="auto"/>
        </w:rPr>
      </w:pPr>
      <w:r>
        <w:rPr>
          <w:rFonts w:ascii="Arial" w:cs="Arial" w:eastAsia="Arial" w:hAnsi="Arial"/>
          <w:sz w:val="18"/>
          <w:szCs w:val="18"/>
          <w:color w:val="auto"/>
        </w:rPr>
        <w:t>During 2015, none of our executive officers served as a member of the board of directors or compensation committee of any entity that has one or more executive officers who serve on our board of directors or Compensation Committee.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Directorships</w:t>
      </w:r>
    </w:p>
    <w:p>
      <w:pPr>
        <w:spacing w:after="0" w:line="220" w:lineRule="exact"/>
        <w:rPr>
          <w:sz w:val="20"/>
          <w:szCs w:val="20"/>
          <w:color w:val="auto"/>
        </w:rPr>
      </w:pPr>
    </w:p>
    <w:p>
      <w:pPr>
        <w:ind w:right="20" w:firstLine="486"/>
        <w:spacing w:after="0" w:line="246" w:lineRule="auto"/>
        <w:rPr>
          <w:sz w:val="20"/>
          <w:szCs w:val="20"/>
          <w:color w:val="auto"/>
        </w:rPr>
      </w:pPr>
      <w:r>
        <w:rPr>
          <w:rFonts w:ascii="Arial" w:cs="Arial" w:eastAsia="Arial" w:hAnsi="Arial"/>
          <w:sz w:val="18"/>
          <w:szCs w:val="18"/>
          <w:color w:val="auto"/>
        </w:rPr>
        <w:t>The Board maintains a practice whereby our directors disclose to the Board any offers to be a director of any other organization, which is then evaluated by the Board for potential business and other conflicts.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 and Ethics; Corporate Governance Guidelines</w:t>
      </w:r>
    </w:p>
    <w:p>
      <w:pPr>
        <w:spacing w:after="0" w:line="220" w:lineRule="exact"/>
        <w:rPr>
          <w:sz w:val="20"/>
          <w:szCs w:val="20"/>
          <w:color w:val="auto"/>
        </w:rPr>
      </w:pPr>
    </w:p>
    <w:p>
      <w:pPr>
        <w:ind w:right="100" w:firstLine="441"/>
        <w:spacing w:after="0" w:line="238" w:lineRule="auto"/>
        <w:rPr>
          <w:sz w:val="20"/>
          <w:szCs w:val="20"/>
          <w:color w:val="auto"/>
        </w:rPr>
      </w:pPr>
      <w:r>
        <w:rPr>
          <w:rFonts w:ascii="Arial" w:cs="Arial" w:eastAsia="Arial" w:hAnsi="Arial"/>
          <w:sz w:val="18"/>
          <w:szCs w:val="18"/>
          <w:color w:val="auto"/>
        </w:rPr>
        <w:t>Our board of directors has adopted a Code of Conduct and Ethics that is applicable to our directors, officers and employees and which outlines the high ethical standards that we support and details how our directors, officers and employees should conduct themselves when dealing with fellow employees, clients, suppliers, competitors and the general public. Our Code of Conduct and Ethics is reviewed annually by the Audit Committee. In December 2015, the Audit Committee approved our revised and enhanced Code of Conduct and Ethics which can be found on our website at www.exlservice.com.</w:t>
      </w:r>
    </w:p>
    <w:p>
      <w:pPr>
        <w:spacing w:after="0" w:line="189" w:lineRule="exact"/>
        <w:rPr>
          <w:sz w:val="20"/>
          <w:szCs w:val="20"/>
          <w:color w:val="auto"/>
        </w:rPr>
      </w:pPr>
    </w:p>
    <w:p>
      <w:pPr>
        <w:jc w:val="both"/>
        <w:ind w:right="200" w:firstLine="441"/>
        <w:spacing w:after="0" w:line="239" w:lineRule="auto"/>
        <w:rPr>
          <w:sz w:val="20"/>
          <w:szCs w:val="20"/>
          <w:color w:val="auto"/>
        </w:rPr>
      </w:pPr>
      <w:r>
        <w:rPr>
          <w:rFonts w:ascii="Arial" w:cs="Arial" w:eastAsia="Arial" w:hAnsi="Arial"/>
          <w:sz w:val="18"/>
          <w:szCs w:val="18"/>
          <w:color w:val="auto"/>
        </w:rPr>
        <w:t>Our board of directors has also adopted a set of Corporate Governance Guidelines to assist our board of directors in the exercise of its responsibilities. The Corporate Governance Guidelines reflect the commitment of our board of directors to monitor the effectiveness of policy and decision-making, both at the board and senior management levels, and to enhance stockholder value over the long term. A copy of our Corporate Governance Guidelines can be found on our website at www.exlservice.com.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the Board</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Stockholders interested in contacting our board of directors, our Chairman or any individual director are invited to do so by writing to:</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Board of Directors of ExlService Holdings, Inc.</w:t>
      </w:r>
    </w:p>
    <w:p>
      <w:pPr>
        <w:ind w:left="440"/>
        <w:spacing w:after="0" w:line="234" w:lineRule="auto"/>
        <w:rPr>
          <w:sz w:val="20"/>
          <w:szCs w:val="20"/>
          <w:color w:val="auto"/>
        </w:rPr>
      </w:pPr>
      <w:r>
        <w:rPr>
          <w:rFonts w:ascii="Arial" w:cs="Arial" w:eastAsia="Arial" w:hAnsi="Arial"/>
          <w:sz w:val="18"/>
          <w:szCs w:val="18"/>
          <w:color w:val="auto"/>
        </w:rPr>
        <w:t>c/o Corporate Secretary</w:t>
      </w:r>
    </w:p>
    <w:p>
      <w:pPr>
        <w:ind w:left="440"/>
        <w:spacing w:after="0" w:line="235" w:lineRule="auto"/>
        <w:rPr>
          <w:sz w:val="20"/>
          <w:szCs w:val="20"/>
          <w:color w:val="auto"/>
        </w:rPr>
      </w:pPr>
      <w:r>
        <w:rPr>
          <w:rFonts w:ascii="Arial" w:cs="Arial" w:eastAsia="Arial" w:hAnsi="Arial"/>
          <w:sz w:val="18"/>
          <w:szCs w:val="18"/>
          <w:color w:val="auto"/>
        </w:rPr>
        <w:t>ExlService Holdings, Inc.</w:t>
      </w:r>
    </w:p>
    <w:p>
      <w:pPr>
        <w:ind w:left="440"/>
        <w:spacing w:after="0" w:line="181" w:lineRule="auto"/>
        <w:rPr>
          <w:sz w:val="20"/>
          <w:szCs w:val="20"/>
          <w:color w:val="auto"/>
        </w:rPr>
      </w:pPr>
      <w:r>
        <w:rPr>
          <w:rFonts w:ascii="Arial" w:cs="Arial" w:eastAsia="Arial" w:hAnsi="Arial"/>
          <w:sz w:val="17"/>
          <w:szCs w:val="17"/>
          <w:color w:val="auto"/>
        </w:rPr>
        <w:t>280 Park Avenue, 38</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10017</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68" w:right="279" w:bottom="1440" w:gutter="0" w:footer="0" w:header="0"/>
        </w:sectPr>
      </w:pPr>
    </w:p>
    <w:bookmarkStart w:id="23" w:name="page24"/>
    <w:bookmarkEnd w:id="23"/>
    <w:p>
      <w:pPr>
        <w:ind w:right="160" w:firstLine="441"/>
        <w:spacing w:after="0" w:line="246" w:lineRule="auto"/>
        <w:rPr>
          <w:sz w:val="20"/>
          <w:szCs w:val="20"/>
          <w:color w:val="auto"/>
        </w:rPr>
      </w:pPr>
      <w:r>
        <w:rPr>
          <w:rFonts w:ascii="Arial" w:cs="Arial" w:eastAsia="Arial" w:hAnsi="Arial"/>
          <w:sz w:val="18"/>
          <w:szCs w:val="18"/>
          <w:color w:val="auto"/>
        </w:rPr>
        <w:t>All other stockholder communications addressed to our board of directors will be referred to our Chairman and tracked by our Corporate Secretary. Stockholder communications specifically addressed to a particular director will be referred to that director.</w:t>
      </w:r>
    </w:p>
    <w:p>
      <w:pPr>
        <w:spacing w:after="0" w:line="183" w:lineRule="exact"/>
        <w:rPr>
          <w:sz w:val="20"/>
          <w:szCs w:val="20"/>
          <w:color w:val="auto"/>
        </w:rPr>
      </w:pPr>
    </w:p>
    <w:p>
      <w:pPr>
        <w:ind w:firstLine="441"/>
        <w:spacing w:after="0"/>
        <w:rPr>
          <w:sz w:val="20"/>
          <w:szCs w:val="20"/>
          <w:color w:val="auto"/>
        </w:rPr>
      </w:pPr>
      <w:r>
        <w:rPr>
          <w:rFonts w:ascii="Arial" w:cs="Arial" w:eastAsia="Arial" w:hAnsi="Arial"/>
          <w:sz w:val="18"/>
          <w:szCs w:val="18"/>
          <w:color w:val="auto"/>
        </w:rPr>
        <w:t>Complaints and concerns relating to our accounting, internal accounting controls or auditing matters should be communicated to our Audit Committee, which consists solely of non-employee directors. Any such communication may be anonymous and may be reported to our Audit Committee through our General Counsel by writing to:</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Audit Committee of the Board of Directors</w:t>
      </w:r>
    </w:p>
    <w:p>
      <w:pPr>
        <w:ind w:left="440"/>
        <w:spacing w:after="0" w:line="235" w:lineRule="auto"/>
        <w:rPr>
          <w:sz w:val="20"/>
          <w:szCs w:val="20"/>
          <w:color w:val="auto"/>
        </w:rPr>
      </w:pPr>
      <w:r>
        <w:rPr>
          <w:rFonts w:ascii="Arial" w:cs="Arial" w:eastAsia="Arial" w:hAnsi="Arial"/>
          <w:sz w:val="18"/>
          <w:szCs w:val="18"/>
          <w:color w:val="auto"/>
        </w:rPr>
        <w:t>ExlService Holdings, Inc.</w:t>
      </w:r>
    </w:p>
    <w:p>
      <w:pPr>
        <w:ind w:left="440"/>
        <w:spacing w:after="0" w:line="181" w:lineRule="auto"/>
        <w:rPr>
          <w:sz w:val="20"/>
          <w:szCs w:val="20"/>
          <w:color w:val="auto"/>
        </w:rPr>
      </w:pPr>
      <w:r>
        <w:rPr>
          <w:rFonts w:ascii="Arial" w:cs="Arial" w:eastAsia="Arial" w:hAnsi="Arial"/>
          <w:sz w:val="17"/>
          <w:szCs w:val="17"/>
          <w:color w:val="auto"/>
        </w:rPr>
        <w:t>280 Park Avenue, 38</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w:t>
      </w:r>
    </w:p>
    <w:p>
      <w:pPr>
        <w:ind w:left="440"/>
        <w:spacing w:after="0" w:line="235" w:lineRule="auto"/>
        <w:rPr>
          <w:sz w:val="20"/>
          <w:szCs w:val="20"/>
          <w:color w:val="auto"/>
        </w:rPr>
      </w:pPr>
      <w:r>
        <w:rPr>
          <w:rFonts w:ascii="Arial" w:cs="Arial" w:eastAsia="Arial" w:hAnsi="Arial"/>
          <w:sz w:val="18"/>
          <w:szCs w:val="18"/>
          <w:color w:val="auto"/>
        </w:rPr>
        <w:t>New York, New York 10017</w:t>
      </w:r>
    </w:p>
    <w:p>
      <w:pPr>
        <w:ind w:left="440"/>
        <w:spacing w:after="0"/>
        <w:rPr>
          <w:sz w:val="20"/>
          <w:szCs w:val="20"/>
          <w:color w:val="auto"/>
        </w:rPr>
      </w:pPr>
      <w:r>
        <w:rPr>
          <w:rFonts w:ascii="Arial" w:cs="Arial" w:eastAsia="Arial" w:hAnsi="Arial"/>
          <w:sz w:val="18"/>
          <w:szCs w:val="18"/>
          <w:color w:val="auto"/>
        </w:rPr>
        <w:t>Attn: General Counsel</w:t>
      </w:r>
    </w:p>
    <w:p>
      <w:pPr>
        <w:spacing w:after="0" w:line="198" w:lineRule="exact"/>
        <w:rPr>
          <w:sz w:val="20"/>
          <w:szCs w:val="20"/>
          <w:color w:val="auto"/>
        </w:rPr>
      </w:pPr>
    </w:p>
    <w:p>
      <w:pPr>
        <w:ind w:right="160" w:firstLine="441"/>
        <w:spacing w:after="0" w:line="239" w:lineRule="auto"/>
        <w:rPr>
          <w:sz w:val="20"/>
          <w:szCs w:val="20"/>
          <w:color w:val="auto"/>
        </w:rPr>
      </w:pPr>
      <w:r>
        <w:rPr>
          <w:rFonts w:ascii="Arial" w:cs="Arial" w:eastAsia="Arial" w:hAnsi="Arial"/>
          <w:sz w:val="18"/>
          <w:szCs w:val="18"/>
          <w:color w:val="auto"/>
        </w:rPr>
        <w:t>All such concerns will be reviewed under Audit Committee direction and oversight by our General Counsel, our Head of Internal Audit or such other persons as our Audit Committee determines to be appropriate. Confidentiality will be maintained to the fullest extent possible, consistent with the need to conduct an adequate review. Prompt and appropriate corrective action will be taken when and as warranted in the judgment of our Audit Committee. We prepare periodic summary reports of all such communications for our Audit Committee.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0" w:lineRule="exact"/>
        <w:rPr>
          <w:sz w:val="20"/>
          <w:szCs w:val="20"/>
          <w:color w:val="auto"/>
        </w:rPr>
      </w:pPr>
    </w:p>
    <w:p>
      <w:pPr>
        <w:jc w:val="both"/>
        <w:ind w:right="320" w:firstLine="441"/>
        <w:spacing w:after="0"/>
        <w:rPr>
          <w:sz w:val="20"/>
          <w:szCs w:val="20"/>
          <w:color w:val="auto"/>
        </w:rPr>
      </w:pPr>
      <w:r>
        <w:rPr>
          <w:rFonts w:ascii="Arial" w:cs="Arial" w:eastAsia="Arial" w:hAnsi="Arial"/>
          <w:sz w:val="18"/>
          <w:szCs w:val="18"/>
          <w:color w:val="auto"/>
        </w:rPr>
        <w:t>Section 16(a) of the Exchange Act requires our executive officers and directors, and persons who own more than 10% of a registered class of our equity securities, to file reports of ownership on Forms 3, 4 and 5 with the SEC. Officers and directors are required to furnish us with copies of all Forms 3, 4 and 5 they file.</w:t>
      </w:r>
    </w:p>
    <w:p>
      <w:pPr>
        <w:spacing w:after="0" w:line="189" w:lineRule="exact"/>
        <w:rPr>
          <w:sz w:val="20"/>
          <w:szCs w:val="20"/>
          <w:color w:val="auto"/>
        </w:rPr>
      </w:pPr>
    </w:p>
    <w:p>
      <w:pPr>
        <w:ind w:right="180" w:firstLine="441"/>
        <w:spacing w:after="0" w:line="237" w:lineRule="auto"/>
        <w:rPr>
          <w:sz w:val="20"/>
          <w:szCs w:val="20"/>
          <w:color w:val="auto"/>
        </w:rPr>
      </w:pPr>
      <w:r>
        <w:rPr>
          <w:rFonts w:ascii="Arial" w:cs="Arial" w:eastAsia="Arial" w:hAnsi="Arial"/>
          <w:sz w:val="18"/>
          <w:szCs w:val="18"/>
          <w:color w:val="auto"/>
        </w:rPr>
        <w:t>Based solely on a review of the reports furnished to us, or written representations from reporting persons that all reportable transaction were reported, the Company’s officers, directors and greater than ten percent owners timely filed all reports they were required to file under Section 16(a) with respect to transactions during fiscal year 2015, except for the following Form 4s that were filed subsequent to the due date on account of administrative and/or broker error: three reports (eight transactions) for each of Messrs. Bagai, Bhalla, Chhibbar and de Villa; three reports (six transactions) for Mr. Kapoor; two reports (four transactions) for Mr. Miglani; one report (five transactions) for Mr. Mohanbir Sawhney, a former director; one report (two transactions) for Ms. Saltzman and one report (one transaction) for Mr. Mittal.</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68" w:right="25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9"/>
        </w:trPr>
        <w:tc>
          <w:tcPr>
            <w:tcW w:w="16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7440" w:type="dxa"/>
            <w:vAlign w:val="bottom"/>
          </w:tcPr>
          <w:p>
            <w:pPr>
              <w:ind w:left="520"/>
              <w:spacing w:after="0"/>
              <w:rPr>
                <w:sz w:val="20"/>
                <w:szCs w:val="20"/>
                <w:color w:val="auto"/>
              </w:rPr>
            </w:pPr>
            <w:r>
              <w:rPr>
                <w:rFonts w:ascii="Arial" w:cs="Arial" w:eastAsia="Arial" w:hAnsi="Arial"/>
                <w:sz w:val="18"/>
                <w:szCs w:val="18"/>
                <w:b w:val="1"/>
                <w:bCs w:val="1"/>
                <w:color w:val="auto"/>
              </w:rPr>
              <w:t>OUR EXECUTIVE OFFICERS</w:t>
            </w:r>
          </w:p>
        </w:tc>
      </w:tr>
      <w:tr>
        <w:trPr>
          <w:trHeight w:val="189"/>
        </w:trPr>
        <w:tc>
          <w:tcPr>
            <w:tcW w:w="16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7440" w:type="dxa"/>
            <w:vAlign w:val="bottom"/>
          </w:tcPr>
          <w:p>
            <w:pPr>
              <w:spacing w:after="0"/>
              <w:rPr>
                <w:sz w:val="16"/>
                <w:szCs w:val="16"/>
                <w:color w:val="auto"/>
              </w:rPr>
            </w:pPr>
          </w:p>
        </w:tc>
      </w:tr>
      <w:tr>
        <w:trPr>
          <w:trHeight w:val="162"/>
        </w:trPr>
        <w:tc>
          <w:tcPr>
            <w:tcW w:w="1660" w:type="dxa"/>
            <w:vAlign w:val="bottom"/>
            <w:tcBorders>
              <w:bottom w:val="single" w:sz="8" w:color="auto"/>
            </w:tcBorders>
            <w:shd w:val="clear" w:color="auto" w:fill="5591C7"/>
          </w:tcPr>
          <w:p>
            <w:pPr>
              <w:ind w:left="660"/>
              <w:spacing w:after="0"/>
              <w:rPr>
                <w:sz w:val="20"/>
                <w:szCs w:val="20"/>
                <w:color w:val="auto"/>
              </w:rPr>
            </w:pPr>
            <w:r>
              <w:rPr>
                <w:rFonts w:ascii="Arial" w:cs="Arial" w:eastAsia="Arial" w:hAnsi="Arial"/>
                <w:sz w:val="14"/>
                <w:szCs w:val="14"/>
                <w:b w:val="1"/>
                <w:bCs w:val="1"/>
                <w:color w:val="auto"/>
              </w:rPr>
              <w:t>Name</w:t>
            </w:r>
          </w:p>
        </w:tc>
        <w:tc>
          <w:tcPr>
            <w:tcW w:w="2320" w:type="dxa"/>
            <w:vAlign w:val="bottom"/>
            <w:tcBorders>
              <w:bottom w:val="single" w:sz="8" w:color="auto"/>
            </w:tcBorders>
            <w:shd w:val="clear" w:color="auto" w:fill="5591C7"/>
          </w:tcPr>
          <w:p>
            <w:pPr>
              <w:ind w:left="980"/>
              <w:spacing w:after="0"/>
              <w:rPr>
                <w:sz w:val="20"/>
                <w:szCs w:val="20"/>
                <w:color w:val="auto"/>
              </w:rPr>
            </w:pPr>
            <w:r>
              <w:rPr>
                <w:rFonts w:ascii="Arial" w:cs="Arial" w:eastAsia="Arial" w:hAnsi="Arial"/>
                <w:sz w:val="14"/>
                <w:szCs w:val="14"/>
                <w:b w:val="1"/>
                <w:bCs w:val="1"/>
                <w:color w:val="auto"/>
              </w:rPr>
              <w:t>Position</w:t>
            </w:r>
          </w:p>
        </w:tc>
        <w:tc>
          <w:tcPr>
            <w:tcW w:w="7440" w:type="dxa"/>
            <w:vAlign w:val="bottom"/>
            <w:tcBorders>
              <w:bottom w:val="single" w:sz="8" w:color="auto"/>
            </w:tcBorders>
            <w:shd w:val="clear" w:color="auto" w:fill="5591C7"/>
          </w:tcPr>
          <w:p>
            <w:pPr>
              <w:ind w:left="2940"/>
              <w:spacing w:after="0"/>
              <w:rPr>
                <w:sz w:val="20"/>
                <w:szCs w:val="20"/>
                <w:color w:val="auto"/>
              </w:rPr>
            </w:pPr>
            <w:r>
              <w:rPr>
                <w:rFonts w:ascii="Arial" w:cs="Arial" w:eastAsia="Arial" w:hAnsi="Arial"/>
                <w:sz w:val="14"/>
                <w:szCs w:val="14"/>
                <w:b w:val="1"/>
                <w:bCs w:val="1"/>
                <w:color w:val="auto"/>
              </w:rPr>
              <w:t>Biographical Information</w:t>
            </w:r>
          </w:p>
        </w:tc>
      </w:tr>
      <w:tr>
        <w:trPr>
          <w:trHeight w:val="195"/>
        </w:trPr>
        <w:tc>
          <w:tcPr>
            <w:tcW w:w="1660" w:type="dxa"/>
            <w:vAlign w:val="bottom"/>
          </w:tcPr>
          <w:p>
            <w:pPr>
              <w:ind w:left="100"/>
              <w:spacing w:after="0" w:line="195" w:lineRule="exact"/>
              <w:rPr>
                <w:sz w:val="20"/>
                <w:szCs w:val="20"/>
                <w:color w:val="auto"/>
              </w:rPr>
            </w:pPr>
            <w:r>
              <w:rPr>
                <w:rFonts w:ascii="Arial" w:cs="Arial" w:eastAsia="Arial" w:hAnsi="Arial"/>
                <w:sz w:val="18"/>
                <w:szCs w:val="18"/>
                <w:color w:val="auto"/>
              </w:rPr>
              <w:t>Rohit Kapoor</w:t>
            </w:r>
          </w:p>
        </w:tc>
        <w:tc>
          <w:tcPr>
            <w:tcW w:w="2320" w:type="dxa"/>
            <w:vAlign w:val="bottom"/>
          </w:tcPr>
          <w:p>
            <w:pPr>
              <w:ind w:left="300"/>
              <w:spacing w:after="0" w:line="195" w:lineRule="exact"/>
              <w:rPr>
                <w:sz w:val="20"/>
                <w:szCs w:val="20"/>
                <w:color w:val="auto"/>
              </w:rPr>
            </w:pPr>
            <w:r>
              <w:rPr>
                <w:rFonts w:ascii="Arial" w:cs="Arial" w:eastAsia="Arial" w:hAnsi="Arial"/>
                <w:sz w:val="18"/>
                <w:szCs w:val="18"/>
                <w:color w:val="auto"/>
              </w:rPr>
              <w:t>Vice Chairman and</w:t>
            </w:r>
          </w:p>
        </w:tc>
        <w:tc>
          <w:tcPr>
            <w:tcW w:w="7440" w:type="dxa"/>
            <w:vAlign w:val="bottom"/>
          </w:tcPr>
          <w:p>
            <w:pPr>
              <w:ind w:left="140"/>
              <w:spacing w:after="0" w:line="195" w:lineRule="exact"/>
              <w:rPr>
                <w:sz w:val="20"/>
                <w:szCs w:val="20"/>
                <w:color w:val="auto"/>
              </w:rPr>
            </w:pPr>
            <w:r>
              <w:rPr>
                <w:rFonts w:ascii="Arial" w:cs="Arial" w:eastAsia="Arial" w:hAnsi="Arial"/>
                <w:sz w:val="18"/>
                <w:szCs w:val="18"/>
                <w:color w:val="auto"/>
              </w:rPr>
              <w:t>See section entitled “Our Board of Directors” above.</w:t>
            </w:r>
          </w:p>
        </w:tc>
      </w:tr>
      <w:tr>
        <w:trPr>
          <w:trHeight w:val="203"/>
        </w:trPr>
        <w:tc>
          <w:tcPr>
            <w:tcW w:w="1660" w:type="dxa"/>
            <w:vAlign w:val="bottom"/>
          </w:tcPr>
          <w:p>
            <w:pPr>
              <w:ind w:left="100"/>
              <w:spacing w:after="0" w:line="203" w:lineRule="exact"/>
              <w:rPr>
                <w:sz w:val="20"/>
                <w:szCs w:val="20"/>
                <w:color w:val="auto"/>
              </w:rPr>
            </w:pPr>
            <w:r>
              <w:rPr>
                <w:rFonts w:ascii="Arial" w:cs="Arial" w:eastAsia="Arial" w:hAnsi="Arial"/>
                <w:sz w:val="18"/>
                <w:szCs w:val="18"/>
                <w:color w:val="auto"/>
              </w:rPr>
              <w:t>(age 51)</w:t>
            </w:r>
          </w:p>
        </w:tc>
        <w:tc>
          <w:tcPr>
            <w:tcW w:w="2320" w:type="dxa"/>
            <w:vAlign w:val="bottom"/>
          </w:tcPr>
          <w:p>
            <w:pPr>
              <w:ind w:left="300"/>
              <w:spacing w:after="0" w:line="203" w:lineRule="exact"/>
              <w:rPr>
                <w:sz w:val="20"/>
                <w:szCs w:val="20"/>
                <w:color w:val="auto"/>
              </w:rPr>
            </w:pPr>
            <w:r>
              <w:rPr>
                <w:rFonts w:ascii="Arial" w:cs="Arial" w:eastAsia="Arial" w:hAnsi="Arial"/>
                <w:sz w:val="18"/>
                <w:szCs w:val="18"/>
                <w:color w:val="auto"/>
              </w:rPr>
              <w:t>CEO</w:t>
            </w:r>
          </w:p>
        </w:tc>
        <w:tc>
          <w:tcPr>
            <w:tcW w:w="7440" w:type="dxa"/>
            <w:vAlign w:val="bottom"/>
          </w:tcPr>
          <w:p>
            <w:pPr>
              <w:spacing w:after="0"/>
              <w:rPr>
                <w:sz w:val="17"/>
                <w:szCs w:val="17"/>
                <w:color w:val="auto"/>
              </w:rPr>
            </w:pPr>
          </w:p>
        </w:tc>
      </w:tr>
      <w:tr>
        <w:trPr>
          <w:trHeight w:val="202"/>
        </w:trPr>
        <w:tc>
          <w:tcPr>
            <w:tcW w:w="1660" w:type="dxa"/>
            <w:vAlign w:val="bottom"/>
            <w:shd w:val="clear" w:color="auto" w:fill="C6D9F1"/>
          </w:tcPr>
          <w:p>
            <w:pPr>
              <w:ind w:left="100"/>
              <w:spacing w:after="0" w:line="201" w:lineRule="exact"/>
              <w:rPr>
                <w:sz w:val="20"/>
                <w:szCs w:val="20"/>
                <w:color w:val="auto"/>
              </w:rPr>
            </w:pPr>
            <w:r>
              <w:rPr>
                <w:rFonts w:ascii="Arial" w:cs="Arial" w:eastAsia="Arial" w:hAnsi="Arial"/>
                <w:sz w:val="18"/>
                <w:szCs w:val="18"/>
                <w:color w:val="auto"/>
              </w:rPr>
              <w:t>Pavan Bagai</w:t>
            </w:r>
          </w:p>
        </w:tc>
        <w:tc>
          <w:tcPr>
            <w:tcW w:w="2320" w:type="dxa"/>
            <w:vAlign w:val="bottom"/>
            <w:shd w:val="clear" w:color="auto" w:fill="C6D9F1"/>
          </w:tcPr>
          <w:p>
            <w:pPr>
              <w:ind w:left="300"/>
              <w:spacing w:after="0" w:line="201" w:lineRule="exact"/>
              <w:rPr>
                <w:sz w:val="20"/>
                <w:szCs w:val="20"/>
                <w:color w:val="auto"/>
              </w:rPr>
            </w:pPr>
            <w:r>
              <w:rPr>
                <w:rFonts w:ascii="Arial" w:cs="Arial" w:eastAsia="Arial" w:hAnsi="Arial"/>
                <w:sz w:val="18"/>
                <w:szCs w:val="18"/>
                <w:color w:val="auto"/>
              </w:rPr>
              <w:t>President and Chief</w:t>
            </w:r>
          </w:p>
        </w:tc>
        <w:tc>
          <w:tcPr>
            <w:tcW w:w="7440" w:type="dxa"/>
            <w:vAlign w:val="bottom"/>
            <w:shd w:val="clear" w:color="auto" w:fill="C6D9F1"/>
          </w:tcPr>
          <w:p>
            <w:pPr>
              <w:ind w:left="140"/>
              <w:spacing w:after="0" w:line="201" w:lineRule="exact"/>
              <w:rPr>
                <w:sz w:val="20"/>
                <w:szCs w:val="20"/>
                <w:color w:val="auto"/>
              </w:rPr>
            </w:pPr>
            <w:r>
              <w:rPr>
                <w:rFonts w:ascii="Arial" w:cs="Arial" w:eastAsia="Arial" w:hAnsi="Arial"/>
                <w:sz w:val="18"/>
                <w:szCs w:val="18"/>
                <w:color w:val="auto"/>
              </w:rPr>
              <w:t>Mr. Bagai has served as our President and Chief Operating Officer since April 2012, as our</w:t>
            </w:r>
          </w:p>
        </w:tc>
      </w:tr>
      <w:tr>
        <w:trPr>
          <w:trHeight w:val="203"/>
        </w:trPr>
        <w:tc>
          <w:tcPr>
            <w:tcW w:w="1660" w:type="dxa"/>
            <w:vAlign w:val="bottom"/>
            <w:shd w:val="clear" w:color="auto" w:fill="C6D9F1"/>
          </w:tcPr>
          <w:p>
            <w:pPr>
              <w:ind w:left="100"/>
              <w:spacing w:after="0" w:line="202" w:lineRule="exact"/>
              <w:rPr>
                <w:sz w:val="20"/>
                <w:szCs w:val="20"/>
                <w:color w:val="auto"/>
              </w:rPr>
            </w:pPr>
            <w:r>
              <w:rPr>
                <w:rFonts w:ascii="Arial" w:cs="Arial" w:eastAsia="Arial" w:hAnsi="Arial"/>
                <w:sz w:val="18"/>
                <w:szCs w:val="18"/>
                <w:color w:val="auto"/>
              </w:rPr>
              <w:t>(age 54)</w:t>
            </w:r>
          </w:p>
        </w:tc>
        <w:tc>
          <w:tcPr>
            <w:tcW w:w="2320" w:type="dxa"/>
            <w:vAlign w:val="bottom"/>
            <w:shd w:val="clear" w:color="auto" w:fill="C6D9F1"/>
          </w:tcPr>
          <w:p>
            <w:pPr>
              <w:ind w:left="300"/>
              <w:spacing w:after="0" w:line="202" w:lineRule="exact"/>
              <w:rPr>
                <w:sz w:val="20"/>
                <w:szCs w:val="20"/>
                <w:color w:val="auto"/>
              </w:rPr>
            </w:pPr>
            <w:r>
              <w:rPr>
                <w:rFonts w:ascii="Arial" w:cs="Arial" w:eastAsia="Arial" w:hAnsi="Arial"/>
                <w:sz w:val="18"/>
                <w:szCs w:val="18"/>
                <w:color w:val="auto"/>
              </w:rPr>
              <w:t>Operating Officer of the</w:t>
            </w:r>
          </w:p>
        </w:tc>
        <w:tc>
          <w:tcPr>
            <w:tcW w:w="7440" w:type="dxa"/>
            <w:vAlign w:val="bottom"/>
            <w:shd w:val="clear" w:color="auto" w:fill="C6D9F1"/>
          </w:tcPr>
          <w:p>
            <w:pPr>
              <w:ind w:left="140"/>
              <w:spacing w:after="0" w:line="202" w:lineRule="exact"/>
              <w:rPr>
                <w:sz w:val="20"/>
                <w:szCs w:val="20"/>
                <w:color w:val="auto"/>
              </w:rPr>
            </w:pPr>
            <w:r>
              <w:rPr>
                <w:rFonts w:ascii="Arial" w:cs="Arial" w:eastAsia="Arial" w:hAnsi="Arial"/>
                <w:sz w:val="18"/>
                <w:szCs w:val="18"/>
                <w:color w:val="auto"/>
              </w:rPr>
              <w:t>Chief Operating Officer from May 2008 to March 2012 and as Vice President, Head of</w:t>
            </w:r>
          </w:p>
        </w:tc>
      </w:tr>
      <w:tr>
        <w:trPr>
          <w:trHeight w:val="203"/>
        </w:trPr>
        <w:tc>
          <w:tcPr>
            <w:tcW w:w="1660" w:type="dxa"/>
            <w:vAlign w:val="bottom"/>
            <w:shd w:val="clear" w:color="auto" w:fill="C6D9F1"/>
          </w:tcPr>
          <w:p>
            <w:pPr>
              <w:spacing w:after="0"/>
              <w:rPr>
                <w:sz w:val="17"/>
                <w:szCs w:val="17"/>
                <w:color w:val="auto"/>
              </w:rPr>
            </w:pPr>
          </w:p>
        </w:tc>
        <w:tc>
          <w:tcPr>
            <w:tcW w:w="2320" w:type="dxa"/>
            <w:vAlign w:val="bottom"/>
            <w:shd w:val="clear" w:color="auto" w:fill="C6D9F1"/>
          </w:tcPr>
          <w:p>
            <w:pPr>
              <w:ind w:left="300"/>
              <w:spacing w:after="0" w:line="202" w:lineRule="exact"/>
              <w:rPr>
                <w:sz w:val="20"/>
                <w:szCs w:val="20"/>
                <w:color w:val="auto"/>
              </w:rPr>
            </w:pPr>
            <w:r>
              <w:rPr>
                <w:rFonts w:ascii="Arial" w:cs="Arial" w:eastAsia="Arial" w:hAnsi="Arial"/>
                <w:sz w:val="18"/>
                <w:szCs w:val="18"/>
                <w:color w:val="auto"/>
              </w:rPr>
              <w:t>Company</w:t>
            </w:r>
          </w:p>
        </w:tc>
        <w:tc>
          <w:tcPr>
            <w:tcW w:w="7440" w:type="dxa"/>
            <w:vAlign w:val="bottom"/>
            <w:shd w:val="clear" w:color="auto" w:fill="C6D9F1"/>
          </w:tcPr>
          <w:p>
            <w:pPr>
              <w:ind w:left="140"/>
              <w:spacing w:after="0" w:line="202" w:lineRule="exact"/>
              <w:rPr>
                <w:sz w:val="20"/>
                <w:szCs w:val="20"/>
                <w:color w:val="auto"/>
              </w:rPr>
            </w:pPr>
            <w:r>
              <w:rPr>
                <w:rFonts w:ascii="Arial" w:cs="Arial" w:eastAsia="Arial" w:hAnsi="Arial"/>
                <w:sz w:val="18"/>
                <w:szCs w:val="18"/>
                <w:color w:val="auto"/>
              </w:rPr>
              <w:t>Outsourcing Services of EXL India from June 2006 until April 2008. He previously served</w:t>
            </w:r>
          </w:p>
        </w:tc>
      </w:tr>
      <w:tr>
        <w:trPr>
          <w:trHeight w:val="203"/>
        </w:trPr>
        <w:tc>
          <w:tcPr>
            <w:tcW w:w="1660" w:type="dxa"/>
            <w:vAlign w:val="bottom"/>
            <w:shd w:val="clear" w:color="auto" w:fill="C6D9F1"/>
          </w:tcPr>
          <w:p>
            <w:pPr>
              <w:spacing w:after="0"/>
              <w:rPr>
                <w:sz w:val="17"/>
                <w:szCs w:val="17"/>
                <w:color w:val="auto"/>
              </w:rPr>
            </w:pPr>
          </w:p>
        </w:tc>
        <w:tc>
          <w:tcPr>
            <w:tcW w:w="2320" w:type="dxa"/>
            <w:vAlign w:val="bottom"/>
            <w:shd w:val="clear" w:color="auto" w:fill="C6D9F1"/>
          </w:tcPr>
          <w:p>
            <w:pPr>
              <w:spacing w:after="0"/>
              <w:rPr>
                <w:sz w:val="17"/>
                <w:szCs w:val="17"/>
                <w:color w:val="auto"/>
              </w:rPr>
            </w:pPr>
          </w:p>
        </w:tc>
        <w:tc>
          <w:tcPr>
            <w:tcW w:w="7440" w:type="dxa"/>
            <w:vAlign w:val="bottom"/>
            <w:shd w:val="clear" w:color="auto" w:fill="C6D9F1"/>
          </w:tcPr>
          <w:p>
            <w:pPr>
              <w:ind w:left="140"/>
              <w:spacing w:after="0" w:line="202" w:lineRule="exact"/>
              <w:rPr>
                <w:sz w:val="20"/>
                <w:szCs w:val="20"/>
                <w:color w:val="auto"/>
              </w:rPr>
            </w:pPr>
            <w:r>
              <w:rPr>
                <w:rFonts w:ascii="Arial" w:cs="Arial" w:eastAsia="Arial" w:hAnsi="Arial"/>
                <w:sz w:val="18"/>
                <w:szCs w:val="18"/>
                <w:color w:val="auto"/>
              </w:rPr>
              <w:t>as Vice President, Research and Analytics of EXL India from December 2004 to May 2006,</w:t>
            </w:r>
          </w:p>
        </w:tc>
      </w:tr>
      <w:tr>
        <w:trPr>
          <w:trHeight w:val="203"/>
        </w:trPr>
        <w:tc>
          <w:tcPr>
            <w:tcW w:w="1660" w:type="dxa"/>
            <w:vAlign w:val="bottom"/>
            <w:shd w:val="clear" w:color="auto" w:fill="C6D9F1"/>
          </w:tcPr>
          <w:p>
            <w:pPr>
              <w:spacing w:after="0"/>
              <w:rPr>
                <w:sz w:val="17"/>
                <w:szCs w:val="17"/>
                <w:color w:val="auto"/>
              </w:rPr>
            </w:pPr>
          </w:p>
        </w:tc>
        <w:tc>
          <w:tcPr>
            <w:tcW w:w="2320" w:type="dxa"/>
            <w:vAlign w:val="bottom"/>
            <w:shd w:val="clear" w:color="auto" w:fill="C6D9F1"/>
          </w:tcPr>
          <w:p>
            <w:pPr>
              <w:spacing w:after="0"/>
              <w:rPr>
                <w:sz w:val="17"/>
                <w:szCs w:val="17"/>
                <w:color w:val="auto"/>
              </w:rPr>
            </w:pPr>
          </w:p>
        </w:tc>
        <w:tc>
          <w:tcPr>
            <w:tcW w:w="7440" w:type="dxa"/>
            <w:vAlign w:val="bottom"/>
            <w:shd w:val="clear" w:color="auto" w:fill="C6D9F1"/>
          </w:tcPr>
          <w:p>
            <w:pPr>
              <w:ind w:left="140"/>
              <w:spacing w:after="0" w:line="202" w:lineRule="exact"/>
              <w:rPr>
                <w:sz w:val="20"/>
                <w:szCs w:val="20"/>
                <w:color w:val="auto"/>
              </w:rPr>
            </w:pPr>
            <w:r>
              <w:rPr>
                <w:rFonts w:ascii="Arial" w:cs="Arial" w:eastAsia="Arial" w:hAnsi="Arial"/>
                <w:sz w:val="18"/>
                <w:szCs w:val="18"/>
                <w:color w:val="auto"/>
              </w:rPr>
              <w:t>as Vice President, Operations of EXL India from November 2003 to November 2004 and as</w:t>
            </w:r>
          </w:p>
        </w:tc>
      </w:tr>
      <w:tr>
        <w:trPr>
          <w:trHeight w:val="203"/>
        </w:trPr>
        <w:tc>
          <w:tcPr>
            <w:tcW w:w="1660" w:type="dxa"/>
            <w:vAlign w:val="bottom"/>
            <w:shd w:val="clear" w:color="auto" w:fill="C6D9F1"/>
          </w:tcPr>
          <w:p>
            <w:pPr>
              <w:spacing w:after="0"/>
              <w:rPr>
                <w:sz w:val="17"/>
                <w:szCs w:val="17"/>
                <w:color w:val="auto"/>
              </w:rPr>
            </w:pPr>
          </w:p>
        </w:tc>
        <w:tc>
          <w:tcPr>
            <w:tcW w:w="2320" w:type="dxa"/>
            <w:vAlign w:val="bottom"/>
            <w:shd w:val="clear" w:color="auto" w:fill="C6D9F1"/>
          </w:tcPr>
          <w:p>
            <w:pPr>
              <w:spacing w:after="0"/>
              <w:rPr>
                <w:sz w:val="17"/>
                <w:szCs w:val="17"/>
                <w:color w:val="auto"/>
              </w:rPr>
            </w:pPr>
          </w:p>
        </w:tc>
        <w:tc>
          <w:tcPr>
            <w:tcW w:w="7440" w:type="dxa"/>
            <w:vAlign w:val="bottom"/>
            <w:shd w:val="clear" w:color="auto" w:fill="C6D9F1"/>
          </w:tcPr>
          <w:p>
            <w:pPr>
              <w:ind w:left="140"/>
              <w:spacing w:after="0" w:line="202" w:lineRule="exact"/>
              <w:rPr>
                <w:sz w:val="20"/>
                <w:szCs w:val="20"/>
                <w:color w:val="auto"/>
              </w:rPr>
            </w:pPr>
            <w:r>
              <w:rPr>
                <w:rFonts w:ascii="Arial" w:cs="Arial" w:eastAsia="Arial" w:hAnsi="Arial"/>
                <w:sz w:val="18"/>
                <w:szCs w:val="18"/>
                <w:color w:val="auto"/>
              </w:rPr>
              <w:t>Vice President, Strategic Businesses of EXL India from July 2002 to November 2003. Prior</w:t>
            </w:r>
          </w:p>
        </w:tc>
      </w:tr>
      <w:tr>
        <w:trPr>
          <w:trHeight w:val="203"/>
        </w:trPr>
        <w:tc>
          <w:tcPr>
            <w:tcW w:w="1660" w:type="dxa"/>
            <w:vAlign w:val="bottom"/>
            <w:shd w:val="clear" w:color="auto" w:fill="C6D9F1"/>
          </w:tcPr>
          <w:p>
            <w:pPr>
              <w:spacing w:after="0"/>
              <w:rPr>
                <w:sz w:val="17"/>
                <w:szCs w:val="17"/>
                <w:color w:val="auto"/>
              </w:rPr>
            </w:pPr>
          </w:p>
        </w:tc>
        <w:tc>
          <w:tcPr>
            <w:tcW w:w="2320" w:type="dxa"/>
            <w:vAlign w:val="bottom"/>
            <w:shd w:val="clear" w:color="auto" w:fill="C6D9F1"/>
          </w:tcPr>
          <w:p>
            <w:pPr>
              <w:spacing w:after="0"/>
              <w:rPr>
                <w:sz w:val="17"/>
                <w:szCs w:val="17"/>
                <w:color w:val="auto"/>
              </w:rPr>
            </w:pPr>
          </w:p>
        </w:tc>
        <w:tc>
          <w:tcPr>
            <w:tcW w:w="7440" w:type="dxa"/>
            <w:vAlign w:val="bottom"/>
            <w:shd w:val="clear" w:color="auto" w:fill="C6D9F1"/>
          </w:tcPr>
          <w:p>
            <w:pPr>
              <w:ind w:left="140"/>
              <w:spacing w:after="0" w:line="202" w:lineRule="exact"/>
              <w:rPr>
                <w:sz w:val="20"/>
                <w:szCs w:val="20"/>
                <w:color w:val="auto"/>
              </w:rPr>
            </w:pPr>
            <w:r>
              <w:rPr>
                <w:rFonts w:ascii="Arial" w:cs="Arial" w:eastAsia="Arial" w:hAnsi="Arial"/>
                <w:sz w:val="18"/>
                <w:szCs w:val="18"/>
                <w:color w:val="auto"/>
              </w:rPr>
              <w:t>to joining us, Mr. Bagai served in various capacities in several business areas across</w:t>
            </w:r>
          </w:p>
        </w:tc>
      </w:tr>
      <w:tr>
        <w:trPr>
          <w:trHeight w:val="203"/>
        </w:trPr>
        <w:tc>
          <w:tcPr>
            <w:tcW w:w="1660" w:type="dxa"/>
            <w:vAlign w:val="bottom"/>
            <w:shd w:val="clear" w:color="auto" w:fill="C6D9F1"/>
          </w:tcPr>
          <w:p>
            <w:pPr>
              <w:spacing w:after="0"/>
              <w:rPr>
                <w:sz w:val="17"/>
                <w:szCs w:val="17"/>
                <w:color w:val="auto"/>
              </w:rPr>
            </w:pPr>
          </w:p>
        </w:tc>
        <w:tc>
          <w:tcPr>
            <w:tcW w:w="2320" w:type="dxa"/>
            <w:vAlign w:val="bottom"/>
            <w:shd w:val="clear" w:color="auto" w:fill="C6D9F1"/>
          </w:tcPr>
          <w:p>
            <w:pPr>
              <w:spacing w:after="0"/>
              <w:rPr>
                <w:sz w:val="17"/>
                <w:szCs w:val="17"/>
                <w:color w:val="auto"/>
              </w:rPr>
            </w:pPr>
          </w:p>
        </w:tc>
        <w:tc>
          <w:tcPr>
            <w:tcW w:w="7440" w:type="dxa"/>
            <w:vAlign w:val="bottom"/>
            <w:shd w:val="clear" w:color="auto" w:fill="C6D9F1"/>
          </w:tcPr>
          <w:p>
            <w:pPr>
              <w:ind w:left="140"/>
              <w:spacing w:after="0" w:line="203" w:lineRule="exact"/>
              <w:rPr>
                <w:sz w:val="20"/>
                <w:szCs w:val="20"/>
                <w:color w:val="auto"/>
              </w:rPr>
            </w:pPr>
            <w:r>
              <w:rPr>
                <w:rFonts w:ascii="Arial" w:cs="Arial" w:eastAsia="Arial" w:hAnsi="Arial"/>
                <w:sz w:val="18"/>
                <w:szCs w:val="18"/>
                <w:color w:val="auto"/>
              </w:rPr>
              <w:t>markets in Europe and Asia, including India, at Bank of America beginning in 1985.</w:t>
            </w:r>
          </w:p>
        </w:tc>
      </w:tr>
      <w:tr>
        <w:trPr>
          <w:trHeight w:val="202"/>
        </w:trPr>
        <w:tc>
          <w:tcPr>
            <w:tcW w:w="1660" w:type="dxa"/>
            <w:vAlign w:val="bottom"/>
          </w:tcPr>
          <w:p>
            <w:pPr>
              <w:ind w:left="100"/>
              <w:spacing w:after="0" w:line="201" w:lineRule="exact"/>
              <w:rPr>
                <w:sz w:val="20"/>
                <w:szCs w:val="20"/>
                <w:color w:val="auto"/>
              </w:rPr>
            </w:pPr>
            <w:r>
              <w:rPr>
                <w:rFonts w:ascii="Arial" w:cs="Arial" w:eastAsia="Arial" w:hAnsi="Arial"/>
                <w:sz w:val="18"/>
                <w:szCs w:val="18"/>
                <w:color w:val="auto"/>
              </w:rPr>
              <w:t>Vikas Bhalla</w:t>
            </w:r>
          </w:p>
        </w:tc>
        <w:tc>
          <w:tcPr>
            <w:tcW w:w="2320" w:type="dxa"/>
            <w:vAlign w:val="bottom"/>
          </w:tcPr>
          <w:p>
            <w:pPr>
              <w:ind w:left="300"/>
              <w:spacing w:after="0" w:line="201" w:lineRule="exact"/>
              <w:rPr>
                <w:sz w:val="20"/>
                <w:szCs w:val="20"/>
                <w:color w:val="auto"/>
              </w:rPr>
            </w:pPr>
            <w:r>
              <w:rPr>
                <w:rFonts w:ascii="Arial" w:cs="Arial" w:eastAsia="Arial" w:hAnsi="Arial"/>
                <w:sz w:val="18"/>
                <w:szCs w:val="18"/>
                <w:color w:val="auto"/>
              </w:rPr>
              <w:t>Executive Vice</w:t>
            </w:r>
          </w:p>
        </w:tc>
        <w:tc>
          <w:tcPr>
            <w:tcW w:w="7440" w:type="dxa"/>
            <w:vAlign w:val="bottom"/>
          </w:tcPr>
          <w:p>
            <w:pPr>
              <w:ind w:left="140"/>
              <w:spacing w:after="0" w:line="201" w:lineRule="exact"/>
              <w:rPr>
                <w:sz w:val="20"/>
                <w:szCs w:val="20"/>
                <w:color w:val="auto"/>
              </w:rPr>
            </w:pPr>
            <w:r>
              <w:rPr>
                <w:rFonts w:ascii="Arial" w:cs="Arial" w:eastAsia="Arial" w:hAnsi="Arial"/>
                <w:sz w:val="18"/>
                <w:szCs w:val="18"/>
                <w:color w:val="auto"/>
              </w:rPr>
              <w:t>Mr. Bhalla has served as our Executive Vice President and Head of Insurance since</w:t>
            </w:r>
          </w:p>
        </w:tc>
      </w:tr>
      <w:tr>
        <w:trPr>
          <w:trHeight w:val="203"/>
        </w:trPr>
        <w:tc>
          <w:tcPr>
            <w:tcW w:w="1660" w:type="dxa"/>
            <w:vAlign w:val="bottom"/>
          </w:tcPr>
          <w:p>
            <w:pPr>
              <w:ind w:left="100"/>
              <w:spacing w:after="0" w:line="202" w:lineRule="exact"/>
              <w:rPr>
                <w:sz w:val="20"/>
                <w:szCs w:val="20"/>
                <w:color w:val="auto"/>
              </w:rPr>
            </w:pPr>
            <w:r>
              <w:rPr>
                <w:rFonts w:ascii="Arial" w:cs="Arial" w:eastAsia="Arial" w:hAnsi="Arial"/>
                <w:sz w:val="18"/>
                <w:szCs w:val="18"/>
                <w:color w:val="auto"/>
              </w:rPr>
              <w:t>(age 44)</w:t>
            </w:r>
          </w:p>
        </w:tc>
        <w:tc>
          <w:tcPr>
            <w:tcW w:w="2320" w:type="dxa"/>
            <w:vAlign w:val="bottom"/>
          </w:tcPr>
          <w:p>
            <w:pPr>
              <w:ind w:left="300"/>
              <w:spacing w:after="0" w:line="202" w:lineRule="exact"/>
              <w:rPr>
                <w:sz w:val="20"/>
                <w:szCs w:val="20"/>
                <w:color w:val="auto"/>
              </w:rPr>
            </w:pPr>
            <w:r>
              <w:rPr>
                <w:rFonts w:ascii="Arial" w:cs="Arial" w:eastAsia="Arial" w:hAnsi="Arial"/>
                <w:sz w:val="18"/>
                <w:szCs w:val="18"/>
                <w:color w:val="auto"/>
              </w:rPr>
              <w:t>President and Head of</w:t>
            </w:r>
          </w:p>
        </w:tc>
        <w:tc>
          <w:tcPr>
            <w:tcW w:w="7440" w:type="dxa"/>
            <w:vAlign w:val="bottom"/>
          </w:tcPr>
          <w:p>
            <w:pPr>
              <w:ind w:left="140"/>
              <w:spacing w:after="0" w:line="202" w:lineRule="exact"/>
              <w:rPr>
                <w:sz w:val="20"/>
                <w:szCs w:val="20"/>
                <w:color w:val="auto"/>
              </w:rPr>
            </w:pPr>
            <w:r>
              <w:rPr>
                <w:rFonts w:ascii="Arial" w:cs="Arial" w:eastAsia="Arial" w:hAnsi="Arial"/>
                <w:sz w:val="18"/>
                <w:szCs w:val="18"/>
                <w:color w:val="auto"/>
              </w:rPr>
              <w:t>January 2014, and as our Head of Outsourcing since November 2009. He previously</w:t>
            </w:r>
          </w:p>
        </w:tc>
      </w:tr>
      <w:tr>
        <w:trPr>
          <w:trHeight w:val="203"/>
        </w:trPr>
        <w:tc>
          <w:tcPr>
            <w:tcW w:w="1660" w:type="dxa"/>
            <w:vAlign w:val="bottom"/>
          </w:tcPr>
          <w:p>
            <w:pPr>
              <w:spacing w:after="0"/>
              <w:rPr>
                <w:sz w:val="17"/>
                <w:szCs w:val="17"/>
                <w:color w:val="auto"/>
              </w:rPr>
            </w:pPr>
          </w:p>
        </w:tc>
        <w:tc>
          <w:tcPr>
            <w:tcW w:w="2320" w:type="dxa"/>
            <w:vAlign w:val="bottom"/>
          </w:tcPr>
          <w:p>
            <w:pPr>
              <w:ind w:left="300"/>
              <w:spacing w:after="0" w:line="202" w:lineRule="exact"/>
              <w:rPr>
                <w:sz w:val="20"/>
                <w:szCs w:val="20"/>
                <w:color w:val="auto"/>
              </w:rPr>
            </w:pPr>
            <w:r>
              <w:rPr>
                <w:rFonts w:ascii="Arial" w:cs="Arial" w:eastAsia="Arial" w:hAnsi="Arial"/>
                <w:sz w:val="18"/>
                <w:szCs w:val="18"/>
                <w:color w:val="auto"/>
              </w:rPr>
              <w:t>Insurance</w:t>
            </w:r>
          </w:p>
        </w:tc>
        <w:tc>
          <w:tcPr>
            <w:tcW w:w="7440" w:type="dxa"/>
            <w:vAlign w:val="bottom"/>
          </w:tcPr>
          <w:p>
            <w:pPr>
              <w:ind w:left="140"/>
              <w:spacing w:after="0" w:line="202" w:lineRule="exact"/>
              <w:rPr>
                <w:sz w:val="20"/>
                <w:szCs w:val="20"/>
                <w:color w:val="auto"/>
              </w:rPr>
            </w:pPr>
            <w:r>
              <w:rPr>
                <w:rFonts w:ascii="Arial" w:cs="Arial" w:eastAsia="Arial" w:hAnsi="Arial"/>
                <w:sz w:val="18"/>
                <w:szCs w:val="18"/>
                <w:color w:val="auto"/>
              </w:rPr>
              <w:t>served as Vice President, Operations of EXL India from June 2006 to October 2009 and as</w:t>
            </w:r>
          </w:p>
        </w:tc>
      </w:tr>
      <w:tr>
        <w:trPr>
          <w:trHeight w:val="203"/>
        </w:trPr>
        <w:tc>
          <w:tcPr>
            <w:tcW w:w="16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7440" w:type="dxa"/>
            <w:vAlign w:val="bottom"/>
          </w:tcPr>
          <w:p>
            <w:pPr>
              <w:ind w:left="140"/>
              <w:spacing w:after="0" w:line="202" w:lineRule="exact"/>
              <w:rPr>
                <w:sz w:val="20"/>
                <w:szCs w:val="20"/>
                <w:color w:val="auto"/>
              </w:rPr>
            </w:pPr>
            <w:r>
              <w:rPr>
                <w:rFonts w:ascii="Arial" w:cs="Arial" w:eastAsia="Arial" w:hAnsi="Arial"/>
                <w:sz w:val="18"/>
                <w:szCs w:val="18"/>
                <w:color w:val="auto"/>
              </w:rPr>
              <w:t>Vice President, Migrations, Quality and Process Excellence of EXL India from April 2002 to</w:t>
            </w:r>
          </w:p>
        </w:tc>
      </w:tr>
      <w:tr>
        <w:trPr>
          <w:trHeight w:val="203"/>
        </w:trPr>
        <w:tc>
          <w:tcPr>
            <w:tcW w:w="16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7440" w:type="dxa"/>
            <w:vAlign w:val="bottom"/>
          </w:tcPr>
          <w:p>
            <w:pPr>
              <w:ind w:left="140"/>
              <w:spacing w:after="0" w:line="202" w:lineRule="exact"/>
              <w:rPr>
                <w:sz w:val="20"/>
                <w:szCs w:val="20"/>
                <w:color w:val="auto"/>
              </w:rPr>
            </w:pPr>
            <w:r>
              <w:rPr>
                <w:rFonts w:ascii="Arial" w:cs="Arial" w:eastAsia="Arial" w:hAnsi="Arial"/>
                <w:sz w:val="18"/>
                <w:szCs w:val="18"/>
                <w:color w:val="auto"/>
              </w:rPr>
              <w:t>June 2006 and as Director, Quality Initiatives of EXL India from May 2001 to March 2002.</w:t>
            </w:r>
          </w:p>
        </w:tc>
      </w:tr>
      <w:tr>
        <w:trPr>
          <w:trHeight w:val="203"/>
        </w:trPr>
        <w:tc>
          <w:tcPr>
            <w:tcW w:w="16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7440" w:type="dxa"/>
            <w:vAlign w:val="bottom"/>
          </w:tcPr>
          <w:p>
            <w:pPr>
              <w:ind w:left="140"/>
              <w:spacing w:after="0" w:line="202" w:lineRule="exact"/>
              <w:rPr>
                <w:sz w:val="20"/>
                <w:szCs w:val="20"/>
                <w:color w:val="auto"/>
              </w:rPr>
            </w:pPr>
            <w:r>
              <w:rPr>
                <w:rFonts w:ascii="Arial" w:cs="Arial" w:eastAsia="Arial" w:hAnsi="Arial"/>
                <w:sz w:val="18"/>
                <w:szCs w:val="18"/>
                <w:color w:val="auto"/>
              </w:rPr>
              <w:t>From May 1998 to May 2001, Mr. Bhalla served in various capacities at General Electric,</w:t>
            </w:r>
          </w:p>
        </w:tc>
      </w:tr>
      <w:tr>
        <w:trPr>
          <w:trHeight w:val="203"/>
        </w:trPr>
        <w:tc>
          <w:tcPr>
            <w:tcW w:w="16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7440" w:type="dxa"/>
            <w:vAlign w:val="bottom"/>
          </w:tcPr>
          <w:p>
            <w:pPr>
              <w:ind w:left="140"/>
              <w:spacing w:after="0" w:line="203" w:lineRule="exact"/>
              <w:rPr>
                <w:sz w:val="20"/>
                <w:szCs w:val="20"/>
                <w:color w:val="auto"/>
              </w:rPr>
            </w:pPr>
            <w:r>
              <w:rPr>
                <w:rFonts w:ascii="Arial" w:cs="Arial" w:eastAsia="Arial" w:hAnsi="Arial"/>
                <w:sz w:val="18"/>
                <w:szCs w:val="18"/>
                <w:color w:val="auto"/>
              </w:rPr>
              <w:t>including as the Quality Leader and E-Business Leader for GE Plastics India.</w:t>
            </w:r>
          </w:p>
        </w:tc>
      </w:tr>
      <w:tr>
        <w:trPr>
          <w:trHeight w:val="202"/>
        </w:trPr>
        <w:tc>
          <w:tcPr>
            <w:tcW w:w="1660" w:type="dxa"/>
            <w:vAlign w:val="bottom"/>
            <w:shd w:val="clear" w:color="auto" w:fill="C6D9F1"/>
          </w:tcPr>
          <w:p>
            <w:pPr>
              <w:ind w:left="100"/>
              <w:spacing w:after="0" w:line="201" w:lineRule="exact"/>
              <w:rPr>
                <w:sz w:val="20"/>
                <w:szCs w:val="20"/>
                <w:color w:val="auto"/>
              </w:rPr>
            </w:pPr>
            <w:r>
              <w:rPr>
                <w:rFonts w:ascii="Arial" w:cs="Arial" w:eastAsia="Arial" w:hAnsi="Arial"/>
                <w:sz w:val="18"/>
                <w:szCs w:val="18"/>
                <w:color w:val="auto"/>
              </w:rPr>
              <w:t>Vishal Chhibbar</w:t>
            </w:r>
          </w:p>
        </w:tc>
        <w:tc>
          <w:tcPr>
            <w:tcW w:w="2320" w:type="dxa"/>
            <w:vAlign w:val="bottom"/>
            <w:shd w:val="clear" w:color="auto" w:fill="C6D9F1"/>
          </w:tcPr>
          <w:p>
            <w:pPr>
              <w:ind w:left="300"/>
              <w:spacing w:after="0" w:line="201" w:lineRule="exact"/>
              <w:rPr>
                <w:sz w:val="20"/>
                <w:szCs w:val="20"/>
                <w:color w:val="auto"/>
              </w:rPr>
            </w:pPr>
            <w:r>
              <w:rPr>
                <w:rFonts w:ascii="Arial" w:cs="Arial" w:eastAsia="Arial" w:hAnsi="Arial"/>
                <w:sz w:val="18"/>
                <w:szCs w:val="18"/>
                <w:color w:val="auto"/>
              </w:rPr>
              <w:t>Executive Vice</w:t>
            </w:r>
          </w:p>
        </w:tc>
        <w:tc>
          <w:tcPr>
            <w:tcW w:w="7440" w:type="dxa"/>
            <w:vAlign w:val="bottom"/>
            <w:shd w:val="clear" w:color="auto" w:fill="C6D9F1"/>
          </w:tcPr>
          <w:p>
            <w:pPr>
              <w:ind w:left="140"/>
              <w:spacing w:after="0" w:line="201" w:lineRule="exact"/>
              <w:rPr>
                <w:sz w:val="20"/>
                <w:szCs w:val="20"/>
                <w:color w:val="auto"/>
              </w:rPr>
            </w:pPr>
            <w:r>
              <w:rPr>
                <w:rFonts w:ascii="Arial" w:cs="Arial" w:eastAsia="Arial" w:hAnsi="Arial"/>
                <w:sz w:val="18"/>
                <w:szCs w:val="18"/>
                <w:color w:val="auto"/>
              </w:rPr>
              <w:t>Mr. Chhibbar has served as our Executive Vice President and CFO since April 2012 and as</w:t>
            </w:r>
          </w:p>
        </w:tc>
      </w:tr>
      <w:tr>
        <w:trPr>
          <w:trHeight w:val="203"/>
        </w:trPr>
        <w:tc>
          <w:tcPr>
            <w:tcW w:w="1660" w:type="dxa"/>
            <w:vAlign w:val="bottom"/>
            <w:shd w:val="clear" w:color="auto" w:fill="C6D9F1"/>
          </w:tcPr>
          <w:p>
            <w:pPr>
              <w:ind w:left="100"/>
              <w:spacing w:after="0" w:line="202" w:lineRule="exact"/>
              <w:rPr>
                <w:sz w:val="20"/>
                <w:szCs w:val="20"/>
                <w:color w:val="auto"/>
              </w:rPr>
            </w:pPr>
            <w:r>
              <w:rPr>
                <w:rFonts w:ascii="Arial" w:cs="Arial" w:eastAsia="Arial" w:hAnsi="Arial"/>
                <w:sz w:val="18"/>
                <w:szCs w:val="18"/>
                <w:color w:val="auto"/>
              </w:rPr>
              <w:t>(age 48)</w:t>
            </w:r>
          </w:p>
        </w:tc>
        <w:tc>
          <w:tcPr>
            <w:tcW w:w="2320" w:type="dxa"/>
            <w:vAlign w:val="bottom"/>
            <w:shd w:val="clear" w:color="auto" w:fill="C6D9F1"/>
          </w:tcPr>
          <w:p>
            <w:pPr>
              <w:ind w:left="300"/>
              <w:spacing w:after="0" w:line="202" w:lineRule="exact"/>
              <w:rPr>
                <w:sz w:val="20"/>
                <w:szCs w:val="20"/>
                <w:color w:val="auto"/>
              </w:rPr>
            </w:pPr>
            <w:r>
              <w:rPr>
                <w:rFonts w:ascii="Arial" w:cs="Arial" w:eastAsia="Arial" w:hAnsi="Arial"/>
                <w:sz w:val="18"/>
                <w:szCs w:val="18"/>
                <w:color w:val="auto"/>
              </w:rPr>
              <w:t>President and CFO</w:t>
            </w:r>
          </w:p>
        </w:tc>
        <w:tc>
          <w:tcPr>
            <w:tcW w:w="7440" w:type="dxa"/>
            <w:vAlign w:val="bottom"/>
            <w:shd w:val="clear" w:color="auto" w:fill="C6D9F1"/>
          </w:tcPr>
          <w:p>
            <w:pPr>
              <w:ind w:left="140"/>
              <w:spacing w:after="0" w:line="202" w:lineRule="exact"/>
              <w:rPr>
                <w:sz w:val="20"/>
                <w:szCs w:val="20"/>
                <w:color w:val="auto"/>
              </w:rPr>
            </w:pPr>
            <w:r>
              <w:rPr>
                <w:rFonts w:ascii="Arial" w:cs="Arial" w:eastAsia="Arial" w:hAnsi="Arial"/>
                <w:sz w:val="18"/>
                <w:szCs w:val="18"/>
                <w:color w:val="auto"/>
              </w:rPr>
              <w:t>our CFO since June 2009. He has over 25 years of professional experience in finance.</w:t>
            </w:r>
          </w:p>
        </w:tc>
      </w:tr>
      <w:tr>
        <w:trPr>
          <w:trHeight w:val="203"/>
        </w:trPr>
        <w:tc>
          <w:tcPr>
            <w:tcW w:w="1660" w:type="dxa"/>
            <w:vAlign w:val="bottom"/>
            <w:shd w:val="clear" w:color="auto" w:fill="C6D9F1"/>
          </w:tcPr>
          <w:p>
            <w:pPr>
              <w:spacing w:after="0"/>
              <w:rPr>
                <w:sz w:val="17"/>
                <w:szCs w:val="17"/>
                <w:color w:val="auto"/>
              </w:rPr>
            </w:pPr>
          </w:p>
        </w:tc>
        <w:tc>
          <w:tcPr>
            <w:tcW w:w="2320" w:type="dxa"/>
            <w:vAlign w:val="bottom"/>
            <w:shd w:val="clear" w:color="auto" w:fill="C6D9F1"/>
          </w:tcPr>
          <w:p>
            <w:pPr>
              <w:spacing w:after="0"/>
              <w:rPr>
                <w:sz w:val="17"/>
                <w:szCs w:val="17"/>
                <w:color w:val="auto"/>
              </w:rPr>
            </w:pPr>
          </w:p>
        </w:tc>
        <w:tc>
          <w:tcPr>
            <w:tcW w:w="7440" w:type="dxa"/>
            <w:vAlign w:val="bottom"/>
            <w:shd w:val="clear" w:color="auto" w:fill="C6D9F1"/>
          </w:tcPr>
          <w:p>
            <w:pPr>
              <w:ind w:left="140"/>
              <w:spacing w:after="0" w:line="202" w:lineRule="exact"/>
              <w:rPr>
                <w:sz w:val="20"/>
                <w:szCs w:val="20"/>
                <w:color w:val="auto"/>
              </w:rPr>
            </w:pPr>
            <w:r>
              <w:rPr>
                <w:rFonts w:ascii="Arial" w:cs="Arial" w:eastAsia="Arial" w:hAnsi="Arial"/>
                <w:sz w:val="18"/>
                <w:szCs w:val="18"/>
                <w:color w:val="auto"/>
              </w:rPr>
              <w:t>Prior to joining us, Mr. Chhibbar was with GE Capital in various leadership roles. Since</w:t>
            </w:r>
          </w:p>
        </w:tc>
      </w:tr>
      <w:tr>
        <w:trPr>
          <w:trHeight w:val="203"/>
        </w:trPr>
        <w:tc>
          <w:tcPr>
            <w:tcW w:w="1660" w:type="dxa"/>
            <w:vAlign w:val="bottom"/>
            <w:shd w:val="clear" w:color="auto" w:fill="C6D9F1"/>
          </w:tcPr>
          <w:p>
            <w:pPr>
              <w:spacing w:after="0"/>
              <w:rPr>
                <w:sz w:val="17"/>
                <w:szCs w:val="17"/>
                <w:color w:val="auto"/>
              </w:rPr>
            </w:pPr>
          </w:p>
        </w:tc>
        <w:tc>
          <w:tcPr>
            <w:tcW w:w="2320" w:type="dxa"/>
            <w:vAlign w:val="bottom"/>
            <w:shd w:val="clear" w:color="auto" w:fill="C6D9F1"/>
          </w:tcPr>
          <w:p>
            <w:pPr>
              <w:spacing w:after="0"/>
              <w:rPr>
                <w:sz w:val="17"/>
                <w:szCs w:val="17"/>
                <w:color w:val="auto"/>
              </w:rPr>
            </w:pPr>
          </w:p>
        </w:tc>
        <w:tc>
          <w:tcPr>
            <w:tcW w:w="7440" w:type="dxa"/>
            <w:vAlign w:val="bottom"/>
            <w:shd w:val="clear" w:color="auto" w:fill="C6D9F1"/>
          </w:tcPr>
          <w:p>
            <w:pPr>
              <w:ind w:left="140"/>
              <w:spacing w:after="0" w:line="202" w:lineRule="exact"/>
              <w:rPr>
                <w:sz w:val="20"/>
                <w:szCs w:val="20"/>
                <w:color w:val="auto"/>
              </w:rPr>
            </w:pPr>
            <w:r>
              <w:rPr>
                <w:rFonts w:ascii="Arial" w:cs="Arial" w:eastAsia="Arial" w:hAnsi="Arial"/>
                <w:sz w:val="18"/>
                <w:szCs w:val="18"/>
                <w:color w:val="auto"/>
              </w:rPr>
              <w:t>2005, Mr. Chhibbar has served as the Regional Head, Group Financial Planning for</w:t>
            </w:r>
          </w:p>
        </w:tc>
      </w:tr>
      <w:tr>
        <w:trPr>
          <w:trHeight w:val="203"/>
        </w:trPr>
        <w:tc>
          <w:tcPr>
            <w:tcW w:w="1660" w:type="dxa"/>
            <w:vAlign w:val="bottom"/>
            <w:shd w:val="clear" w:color="auto" w:fill="C6D9F1"/>
          </w:tcPr>
          <w:p>
            <w:pPr>
              <w:spacing w:after="0"/>
              <w:rPr>
                <w:sz w:val="17"/>
                <w:szCs w:val="17"/>
                <w:color w:val="auto"/>
              </w:rPr>
            </w:pPr>
          </w:p>
        </w:tc>
        <w:tc>
          <w:tcPr>
            <w:tcW w:w="2320" w:type="dxa"/>
            <w:vAlign w:val="bottom"/>
            <w:shd w:val="clear" w:color="auto" w:fill="C6D9F1"/>
          </w:tcPr>
          <w:p>
            <w:pPr>
              <w:spacing w:after="0"/>
              <w:rPr>
                <w:sz w:val="17"/>
                <w:szCs w:val="17"/>
                <w:color w:val="auto"/>
              </w:rPr>
            </w:pPr>
          </w:p>
        </w:tc>
        <w:tc>
          <w:tcPr>
            <w:tcW w:w="7440" w:type="dxa"/>
            <w:vAlign w:val="bottom"/>
            <w:shd w:val="clear" w:color="auto" w:fill="C6D9F1"/>
          </w:tcPr>
          <w:p>
            <w:pPr>
              <w:ind w:left="140"/>
              <w:spacing w:after="0" w:line="202" w:lineRule="exact"/>
              <w:rPr>
                <w:sz w:val="20"/>
                <w:szCs w:val="20"/>
                <w:color w:val="auto"/>
              </w:rPr>
            </w:pPr>
            <w:r>
              <w:rPr>
                <w:rFonts w:ascii="Arial" w:cs="Arial" w:eastAsia="Arial" w:hAnsi="Arial"/>
                <w:sz w:val="18"/>
                <w:szCs w:val="18"/>
                <w:color w:val="auto"/>
              </w:rPr>
              <w:t>Strategy and Treasury for GE Capital, Australia and New Zealand. In 2004 and 2005, Mr.</w:t>
            </w:r>
          </w:p>
        </w:tc>
      </w:tr>
      <w:tr>
        <w:trPr>
          <w:trHeight w:val="203"/>
        </w:trPr>
        <w:tc>
          <w:tcPr>
            <w:tcW w:w="1660" w:type="dxa"/>
            <w:vAlign w:val="bottom"/>
            <w:shd w:val="clear" w:color="auto" w:fill="C6D9F1"/>
          </w:tcPr>
          <w:p>
            <w:pPr>
              <w:spacing w:after="0"/>
              <w:rPr>
                <w:sz w:val="17"/>
                <w:szCs w:val="17"/>
                <w:color w:val="auto"/>
              </w:rPr>
            </w:pPr>
          </w:p>
        </w:tc>
        <w:tc>
          <w:tcPr>
            <w:tcW w:w="2320" w:type="dxa"/>
            <w:vAlign w:val="bottom"/>
            <w:shd w:val="clear" w:color="auto" w:fill="C6D9F1"/>
          </w:tcPr>
          <w:p>
            <w:pPr>
              <w:spacing w:after="0"/>
              <w:rPr>
                <w:sz w:val="17"/>
                <w:szCs w:val="17"/>
                <w:color w:val="auto"/>
              </w:rPr>
            </w:pPr>
          </w:p>
        </w:tc>
        <w:tc>
          <w:tcPr>
            <w:tcW w:w="7440" w:type="dxa"/>
            <w:vAlign w:val="bottom"/>
            <w:shd w:val="clear" w:color="auto" w:fill="C6D9F1"/>
          </w:tcPr>
          <w:p>
            <w:pPr>
              <w:ind w:left="140"/>
              <w:spacing w:after="0" w:line="202" w:lineRule="exact"/>
              <w:rPr>
                <w:sz w:val="20"/>
                <w:szCs w:val="20"/>
                <w:color w:val="auto"/>
              </w:rPr>
            </w:pPr>
            <w:r>
              <w:rPr>
                <w:rFonts w:ascii="Arial" w:cs="Arial" w:eastAsia="Arial" w:hAnsi="Arial"/>
                <w:sz w:val="18"/>
                <w:szCs w:val="18"/>
                <w:color w:val="auto"/>
              </w:rPr>
              <w:t>Chhibbar was Chief Financial Officer for GE Capital, South Korea. From 1998 to 2004, Mr.</w:t>
            </w:r>
          </w:p>
        </w:tc>
      </w:tr>
      <w:tr>
        <w:trPr>
          <w:trHeight w:val="203"/>
        </w:trPr>
        <w:tc>
          <w:tcPr>
            <w:tcW w:w="1660" w:type="dxa"/>
            <w:vAlign w:val="bottom"/>
            <w:shd w:val="clear" w:color="auto" w:fill="C6D9F1"/>
          </w:tcPr>
          <w:p>
            <w:pPr>
              <w:spacing w:after="0"/>
              <w:rPr>
                <w:sz w:val="17"/>
                <w:szCs w:val="17"/>
                <w:color w:val="auto"/>
              </w:rPr>
            </w:pPr>
          </w:p>
        </w:tc>
        <w:tc>
          <w:tcPr>
            <w:tcW w:w="2320" w:type="dxa"/>
            <w:vAlign w:val="bottom"/>
            <w:shd w:val="clear" w:color="auto" w:fill="C6D9F1"/>
          </w:tcPr>
          <w:p>
            <w:pPr>
              <w:spacing w:after="0"/>
              <w:rPr>
                <w:sz w:val="17"/>
                <w:szCs w:val="17"/>
                <w:color w:val="auto"/>
              </w:rPr>
            </w:pPr>
          </w:p>
        </w:tc>
        <w:tc>
          <w:tcPr>
            <w:tcW w:w="7440" w:type="dxa"/>
            <w:vAlign w:val="bottom"/>
            <w:shd w:val="clear" w:color="auto" w:fill="C6D9F1"/>
          </w:tcPr>
          <w:p>
            <w:pPr>
              <w:ind w:left="140"/>
              <w:spacing w:after="0" w:line="202" w:lineRule="exact"/>
              <w:rPr>
                <w:sz w:val="20"/>
                <w:szCs w:val="20"/>
                <w:color w:val="auto"/>
              </w:rPr>
            </w:pPr>
            <w:r>
              <w:rPr>
                <w:rFonts w:ascii="Arial" w:cs="Arial" w:eastAsia="Arial" w:hAnsi="Arial"/>
                <w:sz w:val="18"/>
                <w:szCs w:val="18"/>
                <w:color w:val="auto"/>
              </w:rPr>
              <w:t>Chhibbar was the Chief Financial Officer for GE Capital, Indonesia and Malaysia. Mr.</w:t>
            </w:r>
          </w:p>
        </w:tc>
      </w:tr>
      <w:tr>
        <w:trPr>
          <w:trHeight w:val="203"/>
        </w:trPr>
        <w:tc>
          <w:tcPr>
            <w:tcW w:w="1660" w:type="dxa"/>
            <w:vAlign w:val="bottom"/>
            <w:shd w:val="clear" w:color="auto" w:fill="C6D9F1"/>
          </w:tcPr>
          <w:p>
            <w:pPr>
              <w:spacing w:after="0"/>
              <w:rPr>
                <w:sz w:val="17"/>
                <w:szCs w:val="17"/>
                <w:color w:val="auto"/>
              </w:rPr>
            </w:pPr>
          </w:p>
        </w:tc>
        <w:tc>
          <w:tcPr>
            <w:tcW w:w="2320" w:type="dxa"/>
            <w:vAlign w:val="bottom"/>
            <w:shd w:val="clear" w:color="auto" w:fill="C6D9F1"/>
          </w:tcPr>
          <w:p>
            <w:pPr>
              <w:spacing w:after="0"/>
              <w:rPr>
                <w:sz w:val="17"/>
                <w:szCs w:val="17"/>
                <w:color w:val="auto"/>
              </w:rPr>
            </w:pPr>
          </w:p>
        </w:tc>
        <w:tc>
          <w:tcPr>
            <w:tcW w:w="7440" w:type="dxa"/>
            <w:vAlign w:val="bottom"/>
            <w:shd w:val="clear" w:color="auto" w:fill="C6D9F1"/>
          </w:tcPr>
          <w:p>
            <w:pPr>
              <w:ind w:left="140"/>
              <w:spacing w:after="0" w:line="203" w:lineRule="exact"/>
              <w:rPr>
                <w:sz w:val="20"/>
                <w:szCs w:val="20"/>
                <w:color w:val="auto"/>
              </w:rPr>
            </w:pPr>
            <w:r>
              <w:rPr>
                <w:rFonts w:ascii="Arial" w:cs="Arial" w:eastAsia="Arial" w:hAnsi="Arial"/>
                <w:sz w:val="18"/>
                <w:szCs w:val="18"/>
                <w:color w:val="auto"/>
              </w:rPr>
              <w:t>Chhibbar is a Chartered Accountant and an Associate Member of CPA, Australia.</w:t>
            </w:r>
          </w:p>
        </w:tc>
      </w:tr>
      <w:tr>
        <w:trPr>
          <w:trHeight w:val="662"/>
        </w:trPr>
        <w:tc>
          <w:tcPr>
            <w:tcW w:w="16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7440" w:type="dxa"/>
            <w:vAlign w:val="bottom"/>
            <w:tcBorders>
              <w:bottom w:val="single" w:sz="8" w:color="auto"/>
            </w:tcBorders>
          </w:tcPr>
          <w:p>
            <w:pPr>
              <w:ind w:left="1640"/>
              <w:spacing w:after="0"/>
              <w:rPr>
                <w:sz w:val="20"/>
                <w:szCs w:val="20"/>
                <w:color w:val="auto"/>
              </w:rPr>
            </w:pPr>
            <w:r>
              <w:rPr>
                <w:rFonts w:ascii="Arial" w:cs="Arial" w:eastAsia="Arial" w:hAnsi="Arial"/>
                <w:sz w:val="18"/>
                <w:szCs w:val="18"/>
                <w:color w:val="auto"/>
              </w:rPr>
              <w:t>21</w:t>
            </w:r>
          </w:p>
        </w:tc>
      </w:tr>
    </w:tbl>
    <w:p>
      <w:pPr>
        <w:sectPr>
          <w:pgSz w:w="11900" w:h="16838" w:orient="portrait"/>
          <w:cols w:equalWidth="0" w:num="1">
            <w:col w:w="11420"/>
          </w:cols>
          <w:pgMar w:left="240" w:top="846" w:right="239" w:bottom="144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00" w:type="dxa"/>
            <w:vAlign w:val="bottom"/>
            <w:tcBorders>
              <w:bottom w:val="single" w:sz="8" w:color="auto"/>
            </w:tcBorders>
            <w:shd w:val="clear" w:color="auto" w:fill="5591C7"/>
          </w:tcPr>
          <w:p>
            <w:pPr>
              <w:ind w:left="660"/>
              <w:spacing w:after="0"/>
              <w:rPr>
                <w:sz w:val="20"/>
                <w:szCs w:val="20"/>
                <w:color w:val="auto"/>
              </w:rPr>
            </w:pPr>
            <w:r>
              <w:rPr>
                <w:rFonts w:ascii="Arial" w:cs="Arial" w:eastAsia="Arial" w:hAnsi="Arial"/>
                <w:sz w:val="14"/>
                <w:szCs w:val="14"/>
                <w:b w:val="1"/>
                <w:bCs w:val="1"/>
                <w:color w:val="auto"/>
              </w:rPr>
              <w:t>Name</w:t>
            </w:r>
          </w:p>
        </w:tc>
        <w:tc>
          <w:tcPr>
            <w:tcW w:w="2280" w:type="dxa"/>
            <w:vAlign w:val="bottom"/>
            <w:tcBorders>
              <w:bottom w:val="single" w:sz="8" w:color="auto"/>
            </w:tcBorders>
            <w:shd w:val="clear" w:color="auto" w:fill="5591C7"/>
          </w:tcPr>
          <w:p>
            <w:pPr>
              <w:ind w:left="940"/>
              <w:spacing w:after="0"/>
              <w:rPr>
                <w:sz w:val="20"/>
                <w:szCs w:val="20"/>
                <w:color w:val="auto"/>
              </w:rPr>
            </w:pPr>
            <w:r>
              <w:rPr>
                <w:rFonts w:ascii="Arial" w:cs="Arial" w:eastAsia="Arial" w:hAnsi="Arial"/>
                <w:sz w:val="14"/>
                <w:szCs w:val="14"/>
                <w:b w:val="1"/>
                <w:bCs w:val="1"/>
                <w:color w:val="auto"/>
              </w:rPr>
              <w:t>Position</w:t>
            </w:r>
          </w:p>
        </w:tc>
        <w:tc>
          <w:tcPr>
            <w:tcW w:w="7440" w:type="dxa"/>
            <w:vAlign w:val="bottom"/>
            <w:tcBorders>
              <w:bottom w:val="single" w:sz="8" w:color="auto"/>
            </w:tcBorders>
            <w:shd w:val="clear" w:color="auto" w:fill="5591C7"/>
          </w:tcPr>
          <w:p>
            <w:pPr>
              <w:ind w:left="2940"/>
              <w:spacing w:after="0"/>
              <w:rPr>
                <w:sz w:val="20"/>
                <w:szCs w:val="20"/>
                <w:color w:val="auto"/>
              </w:rPr>
            </w:pPr>
            <w:r>
              <w:rPr>
                <w:rFonts w:ascii="Arial" w:cs="Arial" w:eastAsia="Arial" w:hAnsi="Arial"/>
                <w:sz w:val="14"/>
                <w:szCs w:val="14"/>
                <w:b w:val="1"/>
                <w:bCs w:val="1"/>
                <w:color w:val="auto"/>
              </w:rPr>
              <w:t>Biographical Information</w:t>
            </w:r>
          </w:p>
        </w:tc>
      </w:tr>
      <w:tr>
        <w:trPr>
          <w:trHeight w:val="195"/>
        </w:trPr>
        <w:tc>
          <w:tcPr>
            <w:tcW w:w="1700" w:type="dxa"/>
            <w:vAlign w:val="bottom"/>
          </w:tcPr>
          <w:p>
            <w:pPr>
              <w:ind w:left="100"/>
              <w:spacing w:after="0" w:line="195" w:lineRule="exact"/>
              <w:rPr>
                <w:sz w:val="20"/>
                <w:szCs w:val="20"/>
                <w:color w:val="auto"/>
              </w:rPr>
            </w:pPr>
            <w:r>
              <w:rPr>
                <w:rFonts w:ascii="Arial" w:cs="Arial" w:eastAsia="Arial" w:hAnsi="Arial"/>
                <w:sz w:val="18"/>
                <w:szCs w:val="18"/>
                <w:color w:val="auto"/>
              </w:rPr>
              <w:t>Rembert de Villa</w:t>
            </w:r>
          </w:p>
        </w:tc>
        <w:tc>
          <w:tcPr>
            <w:tcW w:w="2280" w:type="dxa"/>
            <w:vAlign w:val="bottom"/>
          </w:tcPr>
          <w:p>
            <w:pPr>
              <w:ind w:left="260"/>
              <w:spacing w:after="0" w:line="195" w:lineRule="exact"/>
              <w:rPr>
                <w:sz w:val="20"/>
                <w:szCs w:val="20"/>
                <w:color w:val="auto"/>
              </w:rPr>
            </w:pPr>
            <w:r>
              <w:rPr>
                <w:rFonts w:ascii="Arial" w:cs="Arial" w:eastAsia="Arial" w:hAnsi="Arial"/>
                <w:sz w:val="18"/>
                <w:szCs w:val="18"/>
                <w:color w:val="auto"/>
              </w:rPr>
              <w:t>Executive Vice</w:t>
            </w:r>
          </w:p>
        </w:tc>
        <w:tc>
          <w:tcPr>
            <w:tcW w:w="7440" w:type="dxa"/>
            <w:vAlign w:val="bottom"/>
          </w:tcPr>
          <w:p>
            <w:pPr>
              <w:ind w:left="140"/>
              <w:spacing w:after="0" w:line="195" w:lineRule="exact"/>
              <w:rPr>
                <w:sz w:val="20"/>
                <w:szCs w:val="20"/>
                <w:color w:val="auto"/>
              </w:rPr>
            </w:pPr>
            <w:r>
              <w:rPr>
                <w:rFonts w:ascii="Arial" w:cs="Arial" w:eastAsia="Arial" w:hAnsi="Arial"/>
                <w:sz w:val="18"/>
                <w:szCs w:val="18"/>
                <w:color w:val="auto"/>
              </w:rPr>
              <w:t>Mr. Villa has served as our Executive Vice President, Head of Healthcare since January</w:t>
            </w:r>
          </w:p>
        </w:tc>
      </w:tr>
      <w:tr>
        <w:trPr>
          <w:trHeight w:val="203"/>
        </w:trPr>
        <w:tc>
          <w:tcPr>
            <w:tcW w:w="1700" w:type="dxa"/>
            <w:vAlign w:val="bottom"/>
          </w:tcPr>
          <w:p>
            <w:pPr>
              <w:ind w:left="100"/>
              <w:spacing w:after="0" w:line="202" w:lineRule="exact"/>
              <w:rPr>
                <w:sz w:val="20"/>
                <w:szCs w:val="20"/>
                <w:color w:val="auto"/>
              </w:rPr>
            </w:pPr>
            <w:r>
              <w:rPr>
                <w:rFonts w:ascii="Arial" w:cs="Arial" w:eastAsia="Arial" w:hAnsi="Arial"/>
                <w:sz w:val="18"/>
                <w:szCs w:val="18"/>
                <w:color w:val="auto"/>
              </w:rPr>
              <w:t>(age 59)</w:t>
            </w:r>
          </w:p>
        </w:tc>
        <w:tc>
          <w:tcPr>
            <w:tcW w:w="2280" w:type="dxa"/>
            <w:vAlign w:val="bottom"/>
          </w:tcPr>
          <w:p>
            <w:pPr>
              <w:ind w:left="260"/>
              <w:spacing w:after="0" w:line="202" w:lineRule="exact"/>
              <w:rPr>
                <w:sz w:val="20"/>
                <w:szCs w:val="20"/>
                <w:color w:val="auto"/>
              </w:rPr>
            </w:pPr>
            <w:r>
              <w:rPr>
                <w:rFonts w:ascii="Arial" w:cs="Arial" w:eastAsia="Arial" w:hAnsi="Arial"/>
                <w:sz w:val="18"/>
                <w:szCs w:val="18"/>
                <w:color w:val="auto"/>
              </w:rPr>
              <w:t>President, Head of</w:t>
            </w:r>
          </w:p>
        </w:tc>
        <w:tc>
          <w:tcPr>
            <w:tcW w:w="7440" w:type="dxa"/>
            <w:vAlign w:val="bottom"/>
          </w:tcPr>
          <w:p>
            <w:pPr>
              <w:ind w:left="140"/>
              <w:spacing w:after="0" w:line="202" w:lineRule="exact"/>
              <w:rPr>
                <w:sz w:val="20"/>
                <w:szCs w:val="20"/>
                <w:color w:val="auto"/>
              </w:rPr>
            </w:pPr>
            <w:r>
              <w:rPr>
                <w:rFonts w:ascii="Arial" w:cs="Arial" w:eastAsia="Arial" w:hAnsi="Arial"/>
                <w:sz w:val="18"/>
                <w:szCs w:val="18"/>
                <w:color w:val="auto"/>
              </w:rPr>
              <w:t>2014 and also as our Chief Strategy Officer from April 2012 to January 2014. He previously</w:t>
            </w:r>
          </w:p>
        </w:tc>
      </w:tr>
      <w:tr>
        <w:trPr>
          <w:trHeight w:val="203"/>
        </w:trPr>
        <w:tc>
          <w:tcPr>
            <w:tcW w:w="1700" w:type="dxa"/>
            <w:vAlign w:val="bottom"/>
          </w:tcPr>
          <w:p>
            <w:pPr>
              <w:spacing w:after="0"/>
              <w:rPr>
                <w:sz w:val="17"/>
                <w:szCs w:val="17"/>
                <w:color w:val="auto"/>
              </w:rPr>
            </w:pPr>
          </w:p>
        </w:tc>
        <w:tc>
          <w:tcPr>
            <w:tcW w:w="2280" w:type="dxa"/>
            <w:vAlign w:val="bottom"/>
          </w:tcPr>
          <w:p>
            <w:pPr>
              <w:ind w:left="260"/>
              <w:spacing w:after="0" w:line="202" w:lineRule="exact"/>
              <w:rPr>
                <w:sz w:val="20"/>
                <w:szCs w:val="20"/>
                <w:color w:val="auto"/>
              </w:rPr>
            </w:pPr>
            <w:r>
              <w:rPr>
                <w:rFonts w:ascii="Arial" w:cs="Arial" w:eastAsia="Arial" w:hAnsi="Arial"/>
                <w:sz w:val="18"/>
                <w:szCs w:val="18"/>
                <w:color w:val="auto"/>
              </w:rPr>
              <w:t>Healthcare</w:t>
            </w:r>
          </w:p>
        </w:tc>
        <w:tc>
          <w:tcPr>
            <w:tcW w:w="7440" w:type="dxa"/>
            <w:vAlign w:val="bottom"/>
          </w:tcPr>
          <w:p>
            <w:pPr>
              <w:ind w:left="140"/>
              <w:spacing w:after="0" w:line="202" w:lineRule="exact"/>
              <w:rPr>
                <w:sz w:val="20"/>
                <w:szCs w:val="20"/>
                <w:color w:val="auto"/>
              </w:rPr>
            </w:pPr>
            <w:r>
              <w:rPr>
                <w:rFonts w:ascii="Arial" w:cs="Arial" w:eastAsia="Arial" w:hAnsi="Arial"/>
                <w:sz w:val="18"/>
                <w:szCs w:val="18"/>
                <w:color w:val="auto"/>
              </w:rPr>
              <w:t>served as our Global Head of Client Management and Chief Strategy Officer from</w:t>
            </w:r>
          </w:p>
        </w:tc>
      </w:tr>
      <w:tr>
        <w:trPr>
          <w:trHeight w:val="203"/>
        </w:trPr>
        <w:tc>
          <w:tcPr>
            <w:tcW w:w="17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7440" w:type="dxa"/>
            <w:vAlign w:val="bottom"/>
          </w:tcPr>
          <w:p>
            <w:pPr>
              <w:ind w:left="140"/>
              <w:spacing w:after="0" w:line="202" w:lineRule="exact"/>
              <w:rPr>
                <w:sz w:val="20"/>
                <w:szCs w:val="20"/>
                <w:color w:val="auto"/>
              </w:rPr>
            </w:pPr>
            <w:r>
              <w:rPr>
                <w:rFonts w:ascii="Arial" w:cs="Arial" w:eastAsia="Arial" w:hAnsi="Arial"/>
                <w:sz w:val="18"/>
                <w:szCs w:val="18"/>
                <w:color w:val="auto"/>
              </w:rPr>
              <w:t>September 2010 to April 2012 and as our Managing Principal and Head of Transformation</w:t>
            </w:r>
          </w:p>
        </w:tc>
      </w:tr>
      <w:tr>
        <w:trPr>
          <w:trHeight w:val="203"/>
        </w:trPr>
        <w:tc>
          <w:tcPr>
            <w:tcW w:w="17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7440" w:type="dxa"/>
            <w:vAlign w:val="bottom"/>
          </w:tcPr>
          <w:p>
            <w:pPr>
              <w:ind w:left="140"/>
              <w:spacing w:after="0" w:line="202" w:lineRule="exact"/>
              <w:rPr>
                <w:sz w:val="20"/>
                <w:szCs w:val="20"/>
                <w:color w:val="auto"/>
              </w:rPr>
            </w:pPr>
            <w:r>
              <w:rPr>
                <w:rFonts w:ascii="Arial" w:cs="Arial" w:eastAsia="Arial" w:hAnsi="Arial"/>
                <w:sz w:val="18"/>
                <w:szCs w:val="18"/>
                <w:color w:val="auto"/>
              </w:rPr>
              <w:t>Services from April 2008 to August 2010. Prior to joining us, Mr. de Villa served as Global</w:t>
            </w:r>
          </w:p>
        </w:tc>
      </w:tr>
      <w:tr>
        <w:trPr>
          <w:trHeight w:val="203"/>
        </w:trPr>
        <w:tc>
          <w:tcPr>
            <w:tcW w:w="17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7440" w:type="dxa"/>
            <w:vAlign w:val="bottom"/>
          </w:tcPr>
          <w:p>
            <w:pPr>
              <w:ind w:left="140"/>
              <w:spacing w:after="0" w:line="202" w:lineRule="exact"/>
              <w:rPr>
                <w:sz w:val="20"/>
                <w:szCs w:val="20"/>
                <w:color w:val="auto"/>
              </w:rPr>
            </w:pPr>
            <w:r>
              <w:rPr>
                <w:rFonts w:ascii="Arial" w:cs="Arial" w:eastAsia="Arial" w:hAnsi="Arial"/>
                <w:sz w:val="18"/>
                <w:szCs w:val="18"/>
                <w:color w:val="auto"/>
              </w:rPr>
              <w:t>Practice Leader, Strategic Services at MasterCard Advisors from December 2005 through</w:t>
            </w:r>
          </w:p>
        </w:tc>
      </w:tr>
      <w:tr>
        <w:trPr>
          <w:trHeight w:val="203"/>
        </w:trPr>
        <w:tc>
          <w:tcPr>
            <w:tcW w:w="17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7440" w:type="dxa"/>
            <w:vAlign w:val="bottom"/>
          </w:tcPr>
          <w:p>
            <w:pPr>
              <w:ind w:left="140"/>
              <w:spacing w:after="0" w:line="202" w:lineRule="exact"/>
              <w:rPr>
                <w:sz w:val="20"/>
                <w:szCs w:val="20"/>
                <w:color w:val="auto"/>
              </w:rPr>
            </w:pPr>
            <w:r>
              <w:rPr>
                <w:rFonts w:ascii="Arial" w:cs="Arial" w:eastAsia="Arial" w:hAnsi="Arial"/>
                <w:sz w:val="18"/>
                <w:szCs w:val="18"/>
                <w:color w:val="auto"/>
              </w:rPr>
              <w:t>April 2008 and as Vice President and Financial Services Practice Leader for North America</w:t>
            </w:r>
          </w:p>
        </w:tc>
      </w:tr>
      <w:tr>
        <w:trPr>
          <w:trHeight w:val="203"/>
        </w:trPr>
        <w:tc>
          <w:tcPr>
            <w:tcW w:w="17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7440" w:type="dxa"/>
            <w:vAlign w:val="bottom"/>
          </w:tcPr>
          <w:p>
            <w:pPr>
              <w:ind w:left="140"/>
              <w:spacing w:after="0" w:line="202" w:lineRule="exact"/>
              <w:rPr>
                <w:sz w:val="20"/>
                <w:szCs w:val="20"/>
                <w:color w:val="auto"/>
              </w:rPr>
            </w:pPr>
            <w:r>
              <w:rPr>
                <w:rFonts w:ascii="Arial" w:cs="Arial" w:eastAsia="Arial" w:hAnsi="Arial"/>
                <w:sz w:val="18"/>
                <w:szCs w:val="18"/>
                <w:color w:val="auto"/>
              </w:rPr>
              <w:t>at Capgemini Ernst &amp; Young from March 2003 to December 2005. Prior to his time at</w:t>
            </w:r>
          </w:p>
        </w:tc>
      </w:tr>
      <w:tr>
        <w:trPr>
          <w:trHeight w:val="203"/>
        </w:trPr>
        <w:tc>
          <w:tcPr>
            <w:tcW w:w="17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7440" w:type="dxa"/>
            <w:vAlign w:val="bottom"/>
          </w:tcPr>
          <w:p>
            <w:pPr>
              <w:ind w:left="140"/>
              <w:spacing w:after="0" w:line="202" w:lineRule="exact"/>
              <w:rPr>
                <w:sz w:val="20"/>
                <w:szCs w:val="20"/>
                <w:color w:val="auto"/>
              </w:rPr>
            </w:pPr>
            <w:r>
              <w:rPr>
                <w:rFonts w:ascii="Arial" w:cs="Arial" w:eastAsia="Arial" w:hAnsi="Arial"/>
                <w:sz w:val="18"/>
                <w:szCs w:val="18"/>
                <w:color w:val="auto"/>
              </w:rPr>
              <w:t>Capgemini Ernst &amp; Young, Mr. de Villa was a Partner at A.T. Kearney’s Global Financial</w:t>
            </w:r>
          </w:p>
        </w:tc>
      </w:tr>
      <w:tr>
        <w:trPr>
          <w:trHeight w:val="203"/>
        </w:trPr>
        <w:tc>
          <w:tcPr>
            <w:tcW w:w="17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7440" w:type="dxa"/>
            <w:vAlign w:val="bottom"/>
          </w:tcPr>
          <w:p>
            <w:pPr>
              <w:ind w:left="140"/>
              <w:spacing w:after="0" w:line="203" w:lineRule="exact"/>
              <w:rPr>
                <w:sz w:val="20"/>
                <w:szCs w:val="20"/>
                <w:color w:val="auto"/>
              </w:rPr>
            </w:pPr>
            <w:r>
              <w:rPr>
                <w:rFonts w:ascii="Arial" w:cs="Arial" w:eastAsia="Arial" w:hAnsi="Arial"/>
                <w:sz w:val="18"/>
                <w:szCs w:val="18"/>
                <w:color w:val="auto"/>
              </w:rPr>
              <w:t>Institutions Group.</w:t>
            </w:r>
          </w:p>
        </w:tc>
      </w:tr>
      <w:tr>
        <w:trPr>
          <w:trHeight w:val="202"/>
        </w:trPr>
        <w:tc>
          <w:tcPr>
            <w:tcW w:w="1700" w:type="dxa"/>
            <w:vAlign w:val="bottom"/>
            <w:shd w:val="clear" w:color="auto" w:fill="C6D9F1"/>
          </w:tcPr>
          <w:p>
            <w:pPr>
              <w:ind w:left="100"/>
              <w:spacing w:after="0" w:line="201" w:lineRule="exact"/>
              <w:rPr>
                <w:sz w:val="20"/>
                <w:szCs w:val="20"/>
                <w:color w:val="auto"/>
              </w:rPr>
            </w:pPr>
            <w:r>
              <w:rPr>
                <w:rFonts w:ascii="Arial" w:cs="Arial" w:eastAsia="Arial" w:hAnsi="Arial"/>
                <w:sz w:val="18"/>
                <w:szCs w:val="18"/>
                <w:color w:val="auto"/>
              </w:rPr>
              <w:t>Nalin Miglani</w:t>
            </w:r>
          </w:p>
        </w:tc>
        <w:tc>
          <w:tcPr>
            <w:tcW w:w="2280" w:type="dxa"/>
            <w:vAlign w:val="bottom"/>
            <w:shd w:val="clear" w:color="auto" w:fill="C6D9F1"/>
          </w:tcPr>
          <w:p>
            <w:pPr>
              <w:ind w:left="260"/>
              <w:spacing w:after="0" w:line="201" w:lineRule="exact"/>
              <w:rPr>
                <w:sz w:val="20"/>
                <w:szCs w:val="20"/>
                <w:color w:val="auto"/>
              </w:rPr>
            </w:pPr>
            <w:r>
              <w:rPr>
                <w:rFonts w:ascii="Arial" w:cs="Arial" w:eastAsia="Arial" w:hAnsi="Arial"/>
                <w:sz w:val="18"/>
                <w:szCs w:val="18"/>
                <w:color w:val="auto"/>
              </w:rPr>
              <w:t>Executive Vice</w:t>
            </w:r>
          </w:p>
        </w:tc>
        <w:tc>
          <w:tcPr>
            <w:tcW w:w="7440" w:type="dxa"/>
            <w:vAlign w:val="bottom"/>
            <w:shd w:val="clear" w:color="auto" w:fill="C6D9F1"/>
          </w:tcPr>
          <w:p>
            <w:pPr>
              <w:ind w:left="140"/>
              <w:spacing w:after="0" w:line="201" w:lineRule="exact"/>
              <w:rPr>
                <w:sz w:val="20"/>
                <w:szCs w:val="20"/>
                <w:color w:val="auto"/>
              </w:rPr>
            </w:pPr>
            <w:r>
              <w:rPr>
                <w:rFonts w:ascii="Arial" w:cs="Arial" w:eastAsia="Arial" w:hAnsi="Arial"/>
                <w:sz w:val="18"/>
                <w:szCs w:val="18"/>
                <w:color w:val="auto"/>
              </w:rPr>
              <w:t>Mr. Miglani has served as our Executive Vice President, Chief Human Resource Officer</w:t>
            </w:r>
          </w:p>
        </w:tc>
      </w:tr>
      <w:tr>
        <w:trPr>
          <w:trHeight w:val="203"/>
        </w:trPr>
        <w:tc>
          <w:tcPr>
            <w:tcW w:w="1700" w:type="dxa"/>
            <w:vAlign w:val="bottom"/>
            <w:shd w:val="clear" w:color="auto" w:fill="C6D9F1"/>
          </w:tcPr>
          <w:p>
            <w:pPr>
              <w:ind w:left="100"/>
              <w:spacing w:after="0" w:line="202" w:lineRule="exact"/>
              <w:rPr>
                <w:sz w:val="20"/>
                <w:szCs w:val="20"/>
                <w:color w:val="auto"/>
              </w:rPr>
            </w:pPr>
            <w:r>
              <w:rPr>
                <w:rFonts w:ascii="Arial" w:cs="Arial" w:eastAsia="Arial" w:hAnsi="Arial"/>
                <w:sz w:val="18"/>
                <w:szCs w:val="18"/>
                <w:color w:val="auto"/>
              </w:rPr>
              <w:t>(age 55)</w:t>
            </w:r>
          </w:p>
        </w:tc>
        <w:tc>
          <w:tcPr>
            <w:tcW w:w="2280" w:type="dxa"/>
            <w:vAlign w:val="bottom"/>
            <w:shd w:val="clear" w:color="auto" w:fill="C6D9F1"/>
          </w:tcPr>
          <w:p>
            <w:pPr>
              <w:ind w:left="260"/>
              <w:spacing w:after="0" w:line="202" w:lineRule="exact"/>
              <w:rPr>
                <w:sz w:val="20"/>
                <w:szCs w:val="20"/>
                <w:color w:val="auto"/>
              </w:rPr>
            </w:pPr>
            <w:r>
              <w:rPr>
                <w:rFonts w:ascii="Arial" w:cs="Arial" w:eastAsia="Arial" w:hAnsi="Arial"/>
                <w:sz w:val="18"/>
                <w:szCs w:val="18"/>
                <w:color w:val="auto"/>
              </w:rPr>
              <w:t>President and Chief</w:t>
            </w:r>
          </w:p>
        </w:tc>
        <w:tc>
          <w:tcPr>
            <w:tcW w:w="7440" w:type="dxa"/>
            <w:vAlign w:val="bottom"/>
            <w:shd w:val="clear" w:color="auto" w:fill="C6D9F1"/>
          </w:tcPr>
          <w:p>
            <w:pPr>
              <w:ind w:left="140"/>
              <w:spacing w:after="0" w:line="202" w:lineRule="exact"/>
              <w:rPr>
                <w:sz w:val="20"/>
                <w:szCs w:val="20"/>
                <w:color w:val="auto"/>
              </w:rPr>
            </w:pPr>
            <w:r>
              <w:rPr>
                <w:rFonts w:ascii="Arial" w:cs="Arial" w:eastAsia="Arial" w:hAnsi="Arial"/>
                <w:sz w:val="18"/>
                <w:szCs w:val="18"/>
                <w:color w:val="auto"/>
                <w:w w:val="99"/>
              </w:rPr>
              <w:t>since December 2014. Mr. Miglani is responsible for the global human resources function at</w:t>
            </w:r>
          </w:p>
        </w:tc>
      </w:tr>
      <w:tr>
        <w:trPr>
          <w:trHeight w:val="203"/>
        </w:trPr>
        <w:tc>
          <w:tcPr>
            <w:tcW w:w="1700" w:type="dxa"/>
            <w:vAlign w:val="bottom"/>
            <w:shd w:val="clear" w:color="auto" w:fill="C6D9F1"/>
          </w:tcPr>
          <w:p>
            <w:pPr>
              <w:spacing w:after="0"/>
              <w:rPr>
                <w:sz w:val="17"/>
                <w:szCs w:val="17"/>
                <w:color w:val="auto"/>
              </w:rPr>
            </w:pPr>
          </w:p>
        </w:tc>
        <w:tc>
          <w:tcPr>
            <w:tcW w:w="2280" w:type="dxa"/>
            <w:vAlign w:val="bottom"/>
            <w:shd w:val="clear" w:color="auto" w:fill="C6D9F1"/>
          </w:tcPr>
          <w:p>
            <w:pPr>
              <w:ind w:left="260"/>
              <w:spacing w:after="0" w:line="202" w:lineRule="exact"/>
              <w:rPr>
                <w:sz w:val="20"/>
                <w:szCs w:val="20"/>
                <w:color w:val="auto"/>
              </w:rPr>
            </w:pPr>
            <w:r>
              <w:rPr>
                <w:rFonts w:ascii="Arial" w:cs="Arial" w:eastAsia="Arial" w:hAnsi="Arial"/>
                <w:sz w:val="18"/>
                <w:szCs w:val="18"/>
                <w:color w:val="auto"/>
              </w:rPr>
              <w:t>Human Resource</w:t>
            </w:r>
          </w:p>
        </w:tc>
        <w:tc>
          <w:tcPr>
            <w:tcW w:w="7440" w:type="dxa"/>
            <w:vAlign w:val="bottom"/>
            <w:shd w:val="clear" w:color="auto" w:fill="C6D9F1"/>
          </w:tcPr>
          <w:p>
            <w:pPr>
              <w:ind w:left="140"/>
              <w:spacing w:after="0" w:line="202" w:lineRule="exact"/>
              <w:rPr>
                <w:sz w:val="20"/>
                <w:szCs w:val="20"/>
                <w:color w:val="auto"/>
              </w:rPr>
            </w:pPr>
            <w:r>
              <w:rPr>
                <w:rFonts w:ascii="Arial" w:cs="Arial" w:eastAsia="Arial" w:hAnsi="Arial"/>
                <w:sz w:val="18"/>
                <w:szCs w:val="18"/>
                <w:color w:val="auto"/>
              </w:rPr>
              <w:t>EXL. Prior to joining EXL, he was the Chief HR and Corporate Development Officer for</w:t>
            </w:r>
          </w:p>
        </w:tc>
      </w:tr>
      <w:tr>
        <w:trPr>
          <w:trHeight w:val="203"/>
        </w:trPr>
        <w:tc>
          <w:tcPr>
            <w:tcW w:w="1700" w:type="dxa"/>
            <w:vAlign w:val="bottom"/>
            <w:shd w:val="clear" w:color="auto" w:fill="C6D9F1"/>
          </w:tcPr>
          <w:p>
            <w:pPr>
              <w:spacing w:after="0"/>
              <w:rPr>
                <w:sz w:val="17"/>
                <w:szCs w:val="17"/>
                <w:color w:val="auto"/>
              </w:rPr>
            </w:pPr>
          </w:p>
        </w:tc>
        <w:tc>
          <w:tcPr>
            <w:tcW w:w="2280" w:type="dxa"/>
            <w:vAlign w:val="bottom"/>
            <w:shd w:val="clear" w:color="auto" w:fill="C6D9F1"/>
          </w:tcPr>
          <w:p>
            <w:pPr>
              <w:ind w:left="260"/>
              <w:spacing w:after="0" w:line="202" w:lineRule="exact"/>
              <w:rPr>
                <w:sz w:val="20"/>
                <w:szCs w:val="20"/>
                <w:color w:val="auto"/>
              </w:rPr>
            </w:pPr>
            <w:r>
              <w:rPr>
                <w:rFonts w:ascii="Arial" w:cs="Arial" w:eastAsia="Arial" w:hAnsi="Arial"/>
                <w:sz w:val="18"/>
                <w:szCs w:val="18"/>
                <w:color w:val="auto"/>
              </w:rPr>
              <w:t>Officer</w:t>
            </w:r>
          </w:p>
        </w:tc>
        <w:tc>
          <w:tcPr>
            <w:tcW w:w="7440" w:type="dxa"/>
            <w:vAlign w:val="bottom"/>
            <w:shd w:val="clear" w:color="auto" w:fill="C6D9F1"/>
          </w:tcPr>
          <w:p>
            <w:pPr>
              <w:ind w:left="140"/>
              <w:spacing w:after="0" w:line="202" w:lineRule="exact"/>
              <w:rPr>
                <w:sz w:val="20"/>
                <w:szCs w:val="20"/>
                <w:color w:val="auto"/>
              </w:rPr>
            </w:pPr>
            <w:r>
              <w:rPr>
                <w:rFonts w:ascii="Arial" w:cs="Arial" w:eastAsia="Arial" w:hAnsi="Arial"/>
                <w:sz w:val="18"/>
                <w:szCs w:val="18"/>
                <w:color w:val="auto"/>
              </w:rPr>
              <w:t>Nutreco, based in Amsterdam, Netherlands, from March 2013 to November 2014. Mr.</w:t>
            </w:r>
          </w:p>
        </w:tc>
      </w:tr>
      <w:tr>
        <w:trPr>
          <w:trHeight w:val="203"/>
        </w:trPr>
        <w:tc>
          <w:tcPr>
            <w:tcW w:w="1700" w:type="dxa"/>
            <w:vAlign w:val="bottom"/>
            <w:shd w:val="clear" w:color="auto" w:fill="C6D9F1"/>
          </w:tcPr>
          <w:p>
            <w:pPr>
              <w:spacing w:after="0"/>
              <w:rPr>
                <w:sz w:val="17"/>
                <w:szCs w:val="17"/>
                <w:color w:val="auto"/>
              </w:rPr>
            </w:pPr>
          </w:p>
        </w:tc>
        <w:tc>
          <w:tcPr>
            <w:tcW w:w="2280" w:type="dxa"/>
            <w:vAlign w:val="bottom"/>
            <w:shd w:val="clear" w:color="auto" w:fill="C6D9F1"/>
          </w:tcPr>
          <w:p>
            <w:pPr>
              <w:spacing w:after="0"/>
              <w:rPr>
                <w:sz w:val="17"/>
                <w:szCs w:val="17"/>
                <w:color w:val="auto"/>
              </w:rPr>
            </w:pPr>
          </w:p>
        </w:tc>
        <w:tc>
          <w:tcPr>
            <w:tcW w:w="7440" w:type="dxa"/>
            <w:vAlign w:val="bottom"/>
            <w:shd w:val="clear" w:color="auto" w:fill="C6D9F1"/>
          </w:tcPr>
          <w:p>
            <w:pPr>
              <w:ind w:left="140"/>
              <w:spacing w:after="0" w:line="202" w:lineRule="exact"/>
              <w:rPr>
                <w:sz w:val="20"/>
                <w:szCs w:val="20"/>
                <w:color w:val="auto"/>
              </w:rPr>
            </w:pPr>
            <w:r>
              <w:rPr>
                <w:rFonts w:ascii="Arial" w:cs="Arial" w:eastAsia="Arial" w:hAnsi="Arial"/>
                <w:sz w:val="18"/>
                <w:szCs w:val="18"/>
                <w:color w:val="auto"/>
              </w:rPr>
              <w:t>Miglani also served as the Chief HR and Communications Officer for Tata Global</w:t>
            </w:r>
          </w:p>
        </w:tc>
      </w:tr>
      <w:tr>
        <w:trPr>
          <w:trHeight w:val="203"/>
        </w:trPr>
        <w:tc>
          <w:tcPr>
            <w:tcW w:w="1700" w:type="dxa"/>
            <w:vAlign w:val="bottom"/>
            <w:shd w:val="clear" w:color="auto" w:fill="C6D9F1"/>
          </w:tcPr>
          <w:p>
            <w:pPr>
              <w:spacing w:after="0"/>
              <w:rPr>
                <w:sz w:val="17"/>
                <w:szCs w:val="17"/>
                <w:color w:val="auto"/>
              </w:rPr>
            </w:pPr>
          </w:p>
        </w:tc>
        <w:tc>
          <w:tcPr>
            <w:tcW w:w="2280" w:type="dxa"/>
            <w:vAlign w:val="bottom"/>
            <w:shd w:val="clear" w:color="auto" w:fill="C6D9F1"/>
          </w:tcPr>
          <w:p>
            <w:pPr>
              <w:spacing w:after="0"/>
              <w:rPr>
                <w:sz w:val="17"/>
                <w:szCs w:val="17"/>
                <w:color w:val="auto"/>
              </w:rPr>
            </w:pPr>
          </w:p>
        </w:tc>
        <w:tc>
          <w:tcPr>
            <w:tcW w:w="7440" w:type="dxa"/>
            <w:vAlign w:val="bottom"/>
            <w:shd w:val="clear" w:color="auto" w:fill="C6D9F1"/>
          </w:tcPr>
          <w:p>
            <w:pPr>
              <w:ind w:left="140"/>
              <w:spacing w:after="0" w:line="202" w:lineRule="exact"/>
              <w:rPr>
                <w:sz w:val="20"/>
                <w:szCs w:val="20"/>
                <w:color w:val="auto"/>
              </w:rPr>
            </w:pPr>
            <w:r>
              <w:rPr>
                <w:rFonts w:ascii="Arial" w:cs="Arial" w:eastAsia="Arial" w:hAnsi="Arial"/>
                <w:sz w:val="18"/>
                <w:szCs w:val="18"/>
                <w:color w:val="auto"/>
              </w:rPr>
              <w:t>Beverages Company, London, UK, from June 2008 to February 2013. In addition, Mr.</w:t>
            </w:r>
          </w:p>
        </w:tc>
      </w:tr>
      <w:tr>
        <w:trPr>
          <w:trHeight w:val="203"/>
        </w:trPr>
        <w:tc>
          <w:tcPr>
            <w:tcW w:w="1700" w:type="dxa"/>
            <w:vAlign w:val="bottom"/>
            <w:shd w:val="clear" w:color="auto" w:fill="C6D9F1"/>
          </w:tcPr>
          <w:p>
            <w:pPr>
              <w:spacing w:after="0"/>
              <w:rPr>
                <w:sz w:val="17"/>
                <w:szCs w:val="17"/>
                <w:color w:val="auto"/>
              </w:rPr>
            </w:pPr>
          </w:p>
        </w:tc>
        <w:tc>
          <w:tcPr>
            <w:tcW w:w="2280" w:type="dxa"/>
            <w:vAlign w:val="bottom"/>
            <w:shd w:val="clear" w:color="auto" w:fill="C6D9F1"/>
          </w:tcPr>
          <w:p>
            <w:pPr>
              <w:spacing w:after="0"/>
              <w:rPr>
                <w:sz w:val="17"/>
                <w:szCs w:val="17"/>
                <w:color w:val="auto"/>
              </w:rPr>
            </w:pPr>
          </w:p>
        </w:tc>
        <w:tc>
          <w:tcPr>
            <w:tcW w:w="7440" w:type="dxa"/>
            <w:vAlign w:val="bottom"/>
            <w:shd w:val="clear" w:color="auto" w:fill="C6D9F1"/>
          </w:tcPr>
          <w:p>
            <w:pPr>
              <w:ind w:left="140"/>
              <w:spacing w:after="0" w:line="202" w:lineRule="exact"/>
              <w:rPr>
                <w:sz w:val="20"/>
                <w:szCs w:val="20"/>
                <w:color w:val="auto"/>
              </w:rPr>
            </w:pPr>
            <w:r>
              <w:rPr>
                <w:rFonts w:ascii="Arial" w:cs="Arial" w:eastAsia="Arial" w:hAnsi="Arial"/>
                <w:sz w:val="18"/>
                <w:szCs w:val="18"/>
                <w:color w:val="auto"/>
              </w:rPr>
              <w:t>Miglani held various global and regional HR leadership roles around the world during his</w:t>
            </w:r>
          </w:p>
        </w:tc>
      </w:tr>
      <w:tr>
        <w:trPr>
          <w:trHeight w:val="203"/>
        </w:trPr>
        <w:tc>
          <w:tcPr>
            <w:tcW w:w="1700" w:type="dxa"/>
            <w:vAlign w:val="bottom"/>
            <w:shd w:val="clear" w:color="auto" w:fill="C6D9F1"/>
          </w:tcPr>
          <w:p>
            <w:pPr>
              <w:spacing w:after="0"/>
              <w:rPr>
                <w:sz w:val="17"/>
                <w:szCs w:val="17"/>
                <w:color w:val="auto"/>
              </w:rPr>
            </w:pPr>
          </w:p>
        </w:tc>
        <w:tc>
          <w:tcPr>
            <w:tcW w:w="2280" w:type="dxa"/>
            <w:vAlign w:val="bottom"/>
            <w:shd w:val="clear" w:color="auto" w:fill="C6D9F1"/>
          </w:tcPr>
          <w:p>
            <w:pPr>
              <w:spacing w:after="0"/>
              <w:rPr>
                <w:sz w:val="17"/>
                <w:szCs w:val="17"/>
                <w:color w:val="auto"/>
              </w:rPr>
            </w:pPr>
          </w:p>
        </w:tc>
        <w:tc>
          <w:tcPr>
            <w:tcW w:w="7440" w:type="dxa"/>
            <w:vAlign w:val="bottom"/>
            <w:shd w:val="clear" w:color="auto" w:fill="C6D9F1"/>
          </w:tcPr>
          <w:p>
            <w:pPr>
              <w:ind w:left="140"/>
              <w:spacing w:after="0" w:line="203" w:lineRule="exact"/>
              <w:rPr>
                <w:sz w:val="20"/>
                <w:szCs w:val="20"/>
                <w:color w:val="auto"/>
              </w:rPr>
            </w:pPr>
            <w:r>
              <w:rPr>
                <w:rFonts w:ascii="Arial" w:cs="Arial" w:eastAsia="Arial" w:hAnsi="Arial"/>
                <w:sz w:val="18"/>
                <w:szCs w:val="18"/>
                <w:color w:val="auto"/>
              </w:rPr>
              <w:t>career at The Coca-Cola Company and British American Tobacco.</w:t>
            </w:r>
          </w:p>
        </w:tc>
      </w:tr>
      <w:tr>
        <w:trPr>
          <w:trHeight w:val="202"/>
        </w:trPr>
        <w:tc>
          <w:tcPr>
            <w:tcW w:w="1700" w:type="dxa"/>
            <w:vAlign w:val="bottom"/>
          </w:tcPr>
          <w:p>
            <w:pPr>
              <w:ind w:left="100"/>
              <w:spacing w:after="0" w:line="201" w:lineRule="exact"/>
              <w:rPr>
                <w:sz w:val="20"/>
                <w:szCs w:val="20"/>
                <w:color w:val="auto"/>
              </w:rPr>
            </w:pPr>
            <w:r>
              <w:rPr>
                <w:rFonts w:ascii="Arial" w:cs="Arial" w:eastAsia="Arial" w:hAnsi="Arial"/>
                <w:sz w:val="18"/>
                <w:szCs w:val="18"/>
                <w:color w:val="auto"/>
              </w:rPr>
              <w:t>Nancy Saltzman</w:t>
            </w:r>
          </w:p>
        </w:tc>
        <w:tc>
          <w:tcPr>
            <w:tcW w:w="2280" w:type="dxa"/>
            <w:vAlign w:val="bottom"/>
          </w:tcPr>
          <w:p>
            <w:pPr>
              <w:ind w:left="260"/>
              <w:spacing w:after="0" w:line="201" w:lineRule="exact"/>
              <w:rPr>
                <w:sz w:val="20"/>
                <w:szCs w:val="20"/>
                <w:color w:val="auto"/>
              </w:rPr>
            </w:pPr>
            <w:r>
              <w:rPr>
                <w:rFonts w:ascii="Arial" w:cs="Arial" w:eastAsia="Arial" w:hAnsi="Arial"/>
                <w:sz w:val="18"/>
                <w:szCs w:val="18"/>
                <w:color w:val="auto"/>
              </w:rPr>
              <w:t>Executive Vice</w:t>
            </w:r>
          </w:p>
        </w:tc>
        <w:tc>
          <w:tcPr>
            <w:tcW w:w="7440" w:type="dxa"/>
            <w:vAlign w:val="bottom"/>
          </w:tcPr>
          <w:p>
            <w:pPr>
              <w:ind w:left="140"/>
              <w:spacing w:after="0" w:line="201" w:lineRule="exact"/>
              <w:rPr>
                <w:sz w:val="20"/>
                <w:szCs w:val="20"/>
                <w:color w:val="auto"/>
              </w:rPr>
            </w:pPr>
            <w:r>
              <w:rPr>
                <w:rFonts w:ascii="Arial" w:cs="Arial" w:eastAsia="Arial" w:hAnsi="Arial"/>
                <w:sz w:val="18"/>
                <w:szCs w:val="18"/>
                <w:color w:val="auto"/>
              </w:rPr>
              <w:t>Ms. Saltzman has served as our Executive Vice President and General Counsel since April</w:t>
            </w:r>
          </w:p>
        </w:tc>
      </w:tr>
      <w:tr>
        <w:trPr>
          <w:trHeight w:val="203"/>
        </w:trPr>
        <w:tc>
          <w:tcPr>
            <w:tcW w:w="1700" w:type="dxa"/>
            <w:vAlign w:val="bottom"/>
          </w:tcPr>
          <w:p>
            <w:pPr>
              <w:ind w:left="100"/>
              <w:spacing w:after="0" w:line="202" w:lineRule="exact"/>
              <w:rPr>
                <w:sz w:val="20"/>
                <w:szCs w:val="20"/>
                <w:color w:val="auto"/>
              </w:rPr>
            </w:pPr>
            <w:r>
              <w:rPr>
                <w:rFonts w:ascii="Arial" w:cs="Arial" w:eastAsia="Arial" w:hAnsi="Arial"/>
                <w:sz w:val="18"/>
                <w:szCs w:val="18"/>
                <w:color w:val="auto"/>
              </w:rPr>
              <w:t>(age 50)</w:t>
            </w:r>
          </w:p>
        </w:tc>
        <w:tc>
          <w:tcPr>
            <w:tcW w:w="2280" w:type="dxa"/>
            <w:vAlign w:val="bottom"/>
          </w:tcPr>
          <w:p>
            <w:pPr>
              <w:ind w:left="260"/>
              <w:spacing w:after="0" w:line="202" w:lineRule="exact"/>
              <w:rPr>
                <w:sz w:val="20"/>
                <w:szCs w:val="20"/>
                <w:color w:val="auto"/>
              </w:rPr>
            </w:pPr>
            <w:r>
              <w:rPr>
                <w:rFonts w:ascii="Arial" w:cs="Arial" w:eastAsia="Arial" w:hAnsi="Arial"/>
                <w:sz w:val="18"/>
                <w:szCs w:val="18"/>
                <w:color w:val="auto"/>
              </w:rPr>
              <w:t>President, General</w:t>
            </w:r>
          </w:p>
        </w:tc>
        <w:tc>
          <w:tcPr>
            <w:tcW w:w="7440" w:type="dxa"/>
            <w:vAlign w:val="bottom"/>
          </w:tcPr>
          <w:p>
            <w:pPr>
              <w:ind w:left="140"/>
              <w:spacing w:after="0" w:line="202" w:lineRule="exact"/>
              <w:rPr>
                <w:sz w:val="20"/>
                <w:szCs w:val="20"/>
                <w:color w:val="auto"/>
              </w:rPr>
            </w:pPr>
            <w:r>
              <w:rPr>
                <w:rFonts w:ascii="Arial" w:cs="Arial" w:eastAsia="Arial" w:hAnsi="Arial"/>
                <w:sz w:val="18"/>
                <w:szCs w:val="18"/>
                <w:color w:val="auto"/>
              </w:rPr>
              <w:t>2014. Ms. Saltzman also serves as Corporate Secretary of the Company. Prior to joining</w:t>
            </w:r>
          </w:p>
        </w:tc>
      </w:tr>
      <w:tr>
        <w:trPr>
          <w:trHeight w:val="203"/>
        </w:trPr>
        <w:tc>
          <w:tcPr>
            <w:tcW w:w="1700" w:type="dxa"/>
            <w:vAlign w:val="bottom"/>
          </w:tcPr>
          <w:p>
            <w:pPr>
              <w:spacing w:after="0"/>
              <w:rPr>
                <w:sz w:val="17"/>
                <w:szCs w:val="17"/>
                <w:color w:val="auto"/>
              </w:rPr>
            </w:pPr>
          </w:p>
        </w:tc>
        <w:tc>
          <w:tcPr>
            <w:tcW w:w="2280" w:type="dxa"/>
            <w:vAlign w:val="bottom"/>
          </w:tcPr>
          <w:p>
            <w:pPr>
              <w:ind w:left="260"/>
              <w:spacing w:after="0" w:line="202" w:lineRule="exact"/>
              <w:rPr>
                <w:sz w:val="20"/>
                <w:szCs w:val="20"/>
                <w:color w:val="auto"/>
              </w:rPr>
            </w:pPr>
            <w:r>
              <w:rPr>
                <w:rFonts w:ascii="Arial" w:cs="Arial" w:eastAsia="Arial" w:hAnsi="Arial"/>
                <w:sz w:val="18"/>
                <w:szCs w:val="18"/>
                <w:color w:val="auto"/>
              </w:rPr>
              <w:t>Counsel and Corporate</w:t>
            </w:r>
          </w:p>
        </w:tc>
        <w:tc>
          <w:tcPr>
            <w:tcW w:w="7440" w:type="dxa"/>
            <w:vAlign w:val="bottom"/>
          </w:tcPr>
          <w:p>
            <w:pPr>
              <w:ind w:left="140"/>
              <w:spacing w:after="0" w:line="202" w:lineRule="exact"/>
              <w:rPr>
                <w:sz w:val="20"/>
                <w:szCs w:val="20"/>
                <w:color w:val="auto"/>
              </w:rPr>
            </w:pPr>
            <w:r>
              <w:rPr>
                <w:rFonts w:ascii="Arial" w:cs="Arial" w:eastAsia="Arial" w:hAnsi="Arial"/>
                <w:sz w:val="18"/>
                <w:szCs w:val="18"/>
                <w:color w:val="auto"/>
              </w:rPr>
              <w:t>us, Ms. Saltzman was a Senior Vice President, the General Counsel and Corporate</w:t>
            </w:r>
          </w:p>
        </w:tc>
      </w:tr>
      <w:tr>
        <w:trPr>
          <w:trHeight w:val="203"/>
        </w:trPr>
        <w:tc>
          <w:tcPr>
            <w:tcW w:w="1700" w:type="dxa"/>
            <w:vAlign w:val="bottom"/>
          </w:tcPr>
          <w:p>
            <w:pPr>
              <w:spacing w:after="0"/>
              <w:rPr>
                <w:sz w:val="17"/>
                <w:szCs w:val="17"/>
                <w:color w:val="auto"/>
              </w:rPr>
            </w:pPr>
          </w:p>
        </w:tc>
        <w:tc>
          <w:tcPr>
            <w:tcW w:w="2280" w:type="dxa"/>
            <w:vAlign w:val="bottom"/>
          </w:tcPr>
          <w:p>
            <w:pPr>
              <w:ind w:left="260"/>
              <w:spacing w:after="0" w:line="202" w:lineRule="exact"/>
              <w:rPr>
                <w:sz w:val="20"/>
                <w:szCs w:val="20"/>
                <w:color w:val="auto"/>
              </w:rPr>
            </w:pPr>
            <w:r>
              <w:rPr>
                <w:rFonts w:ascii="Arial" w:cs="Arial" w:eastAsia="Arial" w:hAnsi="Arial"/>
                <w:sz w:val="18"/>
                <w:szCs w:val="18"/>
                <w:color w:val="auto"/>
              </w:rPr>
              <w:t>Secretary of the</w:t>
            </w:r>
          </w:p>
        </w:tc>
        <w:tc>
          <w:tcPr>
            <w:tcW w:w="7440" w:type="dxa"/>
            <w:vAlign w:val="bottom"/>
          </w:tcPr>
          <w:p>
            <w:pPr>
              <w:ind w:left="140"/>
              <w:spacing w:after="0" w:line="202" w:lineRule="exact"/>
              <w:rPr>
                <w:sz w:val="20"/>
                <w:szCs w:val="20"/>
                <w:color w:val="auto"/>
              </w:rPr>
            </w:pPr>
            <w:r>
              <w:rPr>
                <w:rFonts w:ascii="Arial" w:cs="Arial" w:eastAsia="Arial" w:hAnsi="Arial"/>
                <w:sz w:val="18"/>
                <w:szCs w:val="18"/>
                <w:color w:val="auto"/>
              </w:rPr>
              <w:t>Secretary for Westcon Group, Inc. from January 2005 to April 2014. Prior to joining</w:t>
            </w:r>
          </w:p>
        </w:tc>
      </w:tr>
      <w:tr>
        <w:trPr>
          <w:trHeight w:val="203"/>
        </w:trPr>
        <w:tc>
          <w:tcPr>
            <w:tcW w:w="1700" w:type="dxa"/>
            <w:vAlign w:val="bottom"/>
          </w:tcPr>
          <w:p>
            <w:pPr>
              <w:spacing w:after="0"/>
              <w:rPr>
                <w:sz w:val="17"/>
                <w:szCs w:val="17"/>
                <w:color w:val="auto"/>
              </w:rPr>
            </w:pPr>
          </w:p>
        </w:tc>
        <w:tc>
          <w:tcPr>
            <w:tcW w:w="2280" w:type="dxa"/>
            <w:vAlign w:val="bottom"/>
          </w:tcPr>
          <w:p>
            <w:pPr>
              <w:ind w:left="260"/>
              <w:spacing w:after="0" w:line="202" w:lineRule="exact"/>
              <w:rPr>
                <w:sz w:val="20"/>
                <w:szCs w:val="20"/>
                <w:color w:val="auto"/>
              </w:rPr>
            </w:pPr>
            <w:r>
              <w:rPr>
                <w:rFonts w:ascii="Arial" w:cs="Arial" w:eastAsia="Arial" w:hAnsi="Arial"/>
                <w:sz w:val="18"/>
                <w:szCs w:val="18"/>
                <w:color w:val="auto"/>
              </w:rPr>
              <w:t>Company</w:t>
            </w:r>
          </w:p>
        </w:tc>
        <w:tc>
          <w:tcPr>
            <w:tcW w:w="7440" w:type="dxa"/>
            <w:vAlign w:val="bottom"/>
          </w:tcPr>
          <w:p>
            <w:pPr>
              <w:ind w:left="140"/>
              <w:spacing w:after="0" w:line="202" w:lineRule="exact"/>
              <w:rPr>
                <w:sz w:val="20"/>
                <w:szCs w:val="20"/>
                <w:color w:val="auto"/>
              </w:rPr>
            </w:pPr>
            <w:r>
              <w:rPr>
                <w:rFonts w:ascii="Arial" w:cs="Arial" w:eastAsia="Arial" w:hAnsi="Arial"/>
                <w:sz w:val="18"/>
                <w:szCs w:val="18"/>
                <w:color w:val="auto"/>
              </w:rPr>
              <w:t>Westcon Group, Inc., Ms. Saltzman was a Senior Associate with the law firm of Dewey</w:t>
            </w:r>
          </w:p>
        </w:tc>
      </w:tr>
      <w:tr>
        <w:trPr>
          <w:trHeight w:val="203"/>
        </w:trPr>
        <w:tc>
          <w:tcPr>
            <w:tcW w:w="17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7440" w:type="dxa"/>
            <w:vAlign w:val="bottom"/>
          </w:tcPr>
          <w:p>
            <w:pPr>
              <w:ind w:left="140"/>
              <w:spacing w:after="0" w:line="202" w:lineRule="exact"/>
              <w:rPr>
                <w:sz w:val="20"/>
                <w:szCs w:val="20"/>
                <w:color w:val="auto"/>
              </w:rPr>
            </w:pPr>
            <w:r>
              <w:rPr>
                <w:rFonts w:ascii="Arial" w:cs="Arial" w:eastAsia="Arial" w:hAnsi="Arial"/>
                <w:sz w:val="18"/>
                <w:szCs w:val="18"/>
                <w:color w:val="auto"/>
              </w:rPr>
              <w:t>Ballantine LLP from October 1998 to April 2000, the Associate General Counsel and Vice</w:t>
            </w:r>
          </w:p>
        </w:tc>
      </w:tr>
      <w:tr>
        <w:trPr>
          <w:trHeight w:val="203"/>
        </w:trPr>
        <w:tc>
          <w:tcPr>
            <w:tcW w:w="17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7440" w:type="dxa"/>
            <w:vAlign w:val="bottom"/>
          </w:tcPr>
          <w:p>
            <w:pPr>
              <w:ind w:left="140"/>
              <w:spacing w:after="0" w:line="202" w:lineRule="exact"/>
              <w:rPr>
                <w:sz w:val="20"/>
                <w:szCs w:val="20"/>
                <w:color w:val="auto"/>
              </w:rPr>
            </w:pPr>
            <w:r>
              <w:rPr>
                <w:rFonts w:ascii="Arial" w:cs="Arial" w:eastAsia="Arial" w:hAnsi="Arial"/>
                <w:sz w:val="18"/>
                <w:szCs w:val="18"/>
                <w:color w:val="auto"/>
              </w:rPr>
              <w:t>President Investor Relations at Chartwell Re Corporation from October 1995 to October</w:t>
            </w:r>
          </w:p>
        </w:tc>
      </w:tr>
      <w:tr>
        <w:trPr>
          <w:trHeight w:val="203"/>
        </w:trPr>
        <w:tc>
          <w:tcPr>
            <w:tcW w:w="17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7440" w:type="dxa"/>
            <w:vAlign w:val="bottom"/>
          </w:tcPr>
          <w:p>
            <w:pPr>
              <w:ind w:left="140"/>
              <w:spacing w:after="0" w:line="202" w:lineRule="exact"/>
              <w:rPr>
                <w:sz w:val="20"/>
                <w:szCs w:val="20"/>
                <w:color w:val="auto"/>
              </w:rPr>
            </w:pPr>
            <w:r>
              <w:rPr>
                <w:rFonts w:ascii="Arial" w:cs="Arial" w:eastAsia="Arial" w:hAnsi="Arial"/>
                <w:sz w:val="18"/>
                <w:szCs w:val="18"/>
                <w:color w:val="auto"/>
              </w:rPr>
              <w:t>1998 and prior to that an Associate with the law firm of Dewey Ballantine LLP from</w:t>
            </w:r>
          </w:p>
        </w:tc>
      </w:tr>
      <w:tr>
        <w:trPr>
          <w:trHeight w:val="217"/>
        </w:trPr>
        <w:tc>
          <w:tcPr>
            <w:tcW w:w="17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7440" w:type="dxa"/>
            <w:vAlign w:val="bottom"/>
          </w:tcPr>
          <w:p>
            <w:pPr>
              <w:ind w:left="140"/>
              <w:spacing w:after="0"/>
              <w:rPr>
                <w:sz w:val="20"/>
                <w:szCs w:val="20"/>
                <w:color w:val="auto"/>
              </w:rPr>
            </w:pPr>
            <w:r>
              <w:rPr>
                <w:rFonts w:ascii="Arial" w:cs="Arial" w:eastAsia="Arial" w:hAnsi="Arial"/>
                <w:sz w:val="18"/>
                <w:szCs w:val="18"/>
                <w:color w:val="auto"/>
              </w:rPr>
              <w:t>September 1992 to October 1995.</w:t>
            </w:r>
          </w:p>
        </w:tc>
      </w:tr>
      <w:tr>
        <w:trPr>
          <w:trHeight w:val="608"/>
        </w:trPr>
        <w:tc>
          <w:tcPr>
            <w:tcW w:w="17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7440" w:type="dxa"/>
            <w:vAlign w:val="bottom"/>
            <w:tcBorders>
              <w:bottom w:val="single" w:sz="8" w:color="auto"/>
            </w:tcBorders>
          </w:tcPr>
          <w:p>
            <w:pPr>
              <w:ind w:left="1640"/>
              <w:spacing w:after="0"/>
              <w:rPr>
                <w:sz w:val="20"/>
                <w:szCs w:val="20"/>
                <w:color w:val="auto"/>
              </w:rPr>
            </w:pPr>
            <w:r>
              <w:rPr>
                <w:rFonts w:ascii="Arial" w:cs="Arial" w:eastAsia="Arial" w:hAnsi="Arial"/>
                <w:sz w:val="18"/>
                <w:szCs w:val="18"/>
                <w:color w:val="auto"/>
              </w:rPr>
              <w:t>22</w:t>
            </w:r>
          </w:p>
        </w:tc>
      </w:tr>
    </w:tbl>
    <w:p>
      <w:pPr>
        <w:sectPr>
          <w:pgSz w:w="11900" w:h="16838" w:orient="portrait"/>
          <w:cols w:equalWidth="0" w:num="1">
            <w:col w:w="11420"/>
          </w:cols>
          <w:pgMar w:left="240" w:top="693" w:right="239" w:bottom="1440" w:gutter="0" w:footer="0" w:header="0"/>
        </w:sectPr>
      </w:pPr>
    </w:p>
    <w:bookmarkStart w:id="26" w:name="page27"/>
    <w:bookmarkEnd w:id="26"/>
    <w:p>
      <w:pPr>
        <w:jc w:val="center"/>
        <w:ind w:right="-39"/>
        <w:spacing w:after="0"/>
        <w:rPr>
          <w:sz w:val="20"/>
          <w:szCs w:val="20"/>
          <w:color w:val="auto"/>
        </w:rPr>
      </w:pPr>
      <w:r>
        <w:rPr>
          <w:rFonts w:ascii="Arial" w:cs="Arial" w:eastAsia="Arial" w:hAnsi="Arial"/>
          <w:sz w:val="18"/>
          <w:szCs w:val="18"/>
          <w:b w:val="1"/>
          <w:bCs w:val="1"/>
          <w:color w:val="auto"/>
        </w:rPr>
        <w:t>EXECUTIVE COMPENSATION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Named Executive Officers</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determined in accordance with SEC rules, our “named executive officers” in 2015 were:</w:t>
      </w:r>
    </w:p>
    <w:p>
      <w:pPr>
        <w:spacing w:after="0" w:line="198" w:lineRule="exact"/>
        <w:rPr>
          <w:sz w:val="20"/>
          <w:szCs w:val="20"/>
          <w:color w:val="auto"/>
        </w:rPr>
      </w:pPr>
    </w:p>
    <w:p>
      <w:pPr>
        <w:ind w:left="680" w:hanging="321"/>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Rohit Kapoor, our Vice Chairman and CEO;</w:t>
      </w:r>
    </w:p>
    <w:p>
      <w:pPr>
        <w:spacing w:after="0" w:line="211" w:lineRule="exact"/>
        <w:rPr>
          <w:rFonts w:ascii="Arial" w:cs="Arial" w:eastAsia="Arial" w:hAnsi="Arial"/>
          <w:sz w:val="18"/>
          <w:szCs w:val="18"/>
          <w:color w:val="auto"/>
        </w:rPr>
      </w:pPr>
    </w:p>
    <w:p>
      <w:pPr>
        <w:ind w:left="680" w:hanging="321"/>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Vishal Chhibbar, our Executive Vice President and CFO;</w:t>
      </w:r>
    </w:p>
    <w:p>
      <w:pPr>
        <w:spacing w:after="0" w:line="211" w:lineRule="exact"/>
        <w:rPr>
          <w:rFonts w:ascii="Arial" w:cs="Arial" w:eastAsia="Arial" w:hAnsi="Arial"/>
          <w:sz w:val="18"/>
          <w:szCs w:val="18"/>
          <w:color w:val="auto"/>
        </w:rPr>
      </w:pPr>
    </w:p>
    <w:p>
      <w:pPr>
        <w:ind w:left="680" w:hanging="321"/>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Pavan Bagai, our President and Chief Operating Officer;</w:t>
      </w:r>
    </w:p>
    <w:p>
      <w:pPr>
        <w:spacing w:after="0" w:line="211" w:lineRule="exact"/>
        <w:rPr>
          <w:rFonts w:ascii="Arial" w:cs="Arial" w:eastAsia="Arial" w:hAnsi="Arial"/>
          <w:sz w:val="18"/>
          <w:szCs w:val="18"/>
          <w:color w:val="auto"/>
        </w:rPr>
      </w:pPr>
    </w:p>
    <w:p>
      <w:pPr>
        <w:ind w:left="680" w:hanging="321"/>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Nalin Miglani, our Executive Vice President and Chief Human Resources Officer, and</w:t>
      </w:r>
    </w:p>
    <w:p>
      <w:pPr>
        <w:spacing w:after="0" w:line="211" w:lineRule="exact"/>
        <w:rPr>
          <w:rFonts w:ascii="Arial" w:cs="Arial" w:eastAsia="Arial" w:hAnsi="Arial"/>
          <w:sz w:val="18"/>
          <w:szCs w:val="18"/>
          <w:color w:val="auto"/>
        </w:rPr>
      </w:pPr>
    </w:p>
    <w:p>
      <w:pPr>
        <w:ind w:left="680" w:hanging="321"/>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Henry Schweppe, our former President, Global Business and Marketing.</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Executive Summary –Business Highlights and Key Compensation Decisions for 2015</w:t>
      </w:r>
    </w:p>
    <w:p>
      <w:pPr>
        <w:spacing w:after="0" w:line="216" w:lineRule="exact"/>
        <w:rPr>
          <w:sz w:val="20"/>
          <w:szCs w:val="20"/>
          <w:color w:val="auto"/>
        </w:rPr>
      </w:pPr>
    </w:p>
    <w:p>
      <w:pPr>
        <w:ind w:right="20" w:firstLine="324"/>
        <w:spacing w:after="0" w:line="237" w:lineRule="auto"/>
        <w:rPr>
          <w:sz w:val="20"/>
          <w:szCs w:val="20"/>
          <w:color w:val="auto"/>
        </w:rPr>
      </w:pPr>
      <w:r>
        <w:rPr>
          <w:rFonts w:ascii="Arial" w:cs="Arial" w:eastAsia="Arial" w:hAnsi="Arial"/>
          <w:sz w:val="18"/>
          <w:szCs w:val="18"/>
          <w:color w:val="auto"/>
        </w:rPr>
        <w:t>The Company had a successful 2015 from the perspective of achieving various financial performance goals that drive the creation of stockholder value, but also with respect to making a strategic acquisition, attaining industry recognition for our outstanding client-service, winning new clients and expanding our operations and geographic footprint. Our compensation program offers our executives the opportunity to earn annual cash bonuses based on achievement of revenue and Adjusted EPS targets (as described below). We also granted our executives a mix of time-vested restricted stock units that vest over four years and performance-vested restricted stock units, half of which vest based on revenue achievement over three years and half of which vest based on relative total stockholder return over three years.</w:t>
      </w:r>
    </w:p>
    <w:p>
      <w:pPr>
        <w:spacing w:after="0" w:line="192" w:lineRule="exact"/>
        <w:rPr>
          <w:sz w:val="20"/>
          <w:szCs w:val="20"/>
          <w:color w:val="auto"/>
        </w:rPr>
      </w:pPr>
    </w:p>
    <w:p>
      <w:pPr>
        <w:ind w:right="20" w:firstLine="324"/>
        <w:spacing w:after="0" w:line="237" w:lineRule="auto"/>
        <w:rPr>
          <w:sz w:val="20"/>
          <w:szCs w:val="20"/>
          <w:color w:val="auto"/>
        </w:rPr>
      </w:pPr>
      <w:r>
        <w:rPr>
          <w:rFonts w:ascii="Arial" w:cs="Arial" w:eastAsia="Arial" w:hAnsi="Arial"/>
          <w:sz w:val="18"/>
          <w:szCs w:val="18"/>
          <w:color w:val="auto"/>
        </w:rPr>
        <w:t>As a result of our performance, our Compensation Committee granted increases in base salary or fixed compensation payable to certain of our named executive officers and funded our bonus pool based on an achievement of approximately 102.2% for the revenue component and 100% for the Adjusted EPS component. Moreover, our performance resulted in our executives banking one-third of their 2014 and 2015 revenue-based performance restricted stock units, subject to continued employment through the end of the performance period. This banking feature is described under “Compensation and Discussion Analysis – Long-Term Equity Incentives” on page 36. For the revenue-based performance restricted stock units granted in fiscal year 2016, we have removed this banking feature and the revenue-based performance restricted stock units cliff vest on December 31, 2018 if the revenue target is achieved.</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2015 Business Highlights</w:t>
      </w:r>
    </w:p>
    <w:p>
      <w:pPr>
        <w:spacing w:after="0" w:line="216" w:lineRule="exact"/>
        <w:rPr>
          <w:sz w:val="20"/>
          <w:szCs w:val="20"/>
          <w:color w:val="auto"/>
        </w:rPr>
      </w:pPr>
    </w:p>
    <w:p>
      <w:pPr>
        <w:ind w:firstLine="324"/>
        <w:spacing w:after="0" w:line="237" w:lineRule="auto"/>
        <w:rPr>
          <w:sz w:val="20"/>
          <w:szCs w:val="20"/>
          <w:color w:val="auto"/>
        </w:rPr>
      </w:pPr>
      <w:r>
        <w:rPr>
          <w:rFonts w:ascii="Arial" w:cs="Arial" w:eastAsia="Arial" w:hAnsi="Arial"/>
          <w:sz w:val="18"/>
          <w:szCs w:val="18"/>
          <w:color w:val="auto"/>
        </w:rPr>
        <w:t>We improved our annual revenues from $499.3 million ($525.6 million excluding the reimbursement of one-time disentanglement costs of $26.3 million) in fiscal year 2014 to $628.5 million in fiscal year 2015, completed the acquisition of RPM Direct LLC (an analytics firm which specializes in analyzing large consumer data sets to segment populations, predict response rates, forecast customer lifetime value, design and execute targeted, multi-channel marketing campaigns) and formed a joint venture with Carvajal S.A.S. that should allow EXL to address the growing demand for Spanish and bilingual Operations Management solutions. We won 34 new clients, received numerous awards and industry recognitions and opened new delivery centers in Cape Town, South Africa, Bogota and Cali, Colombia and a new Analytics Center of Excellence in Gurgaon, India.</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630" w:right="279" w:bottom="1440" w:gutter="0" w:footer="0" w:header="0"/>
        </w:sectPr>
      </w:pPr>
    </w:p>
    <w:bookmarkStart w:id="27" w:name="page28"/>
    <w:bookmarkEnd w:id="27"/>
    <w:p>
      <w:pPr>
        <w:ind w:left="8"/>
        <w:spacing w:after="0"/>
        <w:rPr>
          <w:sz w:val="20"/>
          <w:szCs w:val="20"/>
          <w:color w:val="auto"/>
        </w:rPr>
      </w:pPr>
      <w:r>
        <w:rPr>
          <w:rFonts w:ascii="Arial" w:cs="Arial" w:eastAsia="Arial" w:hAnsi="Arial"/>
          <w:sz w:val="18"/>
          <w:szCs w:val="18"/>
          <w:i w:val="1"/>
          <w:iCs w:val="1"/>
          <w:color w:val="auto"/>
        </w:rPr>
        <w:t>Total Stockholder Return</w:t>
      </w:r>
    </w:p>
    <w:p>
      <w:pPr>
        <w:spacing w:after="0" w:line="216" w:lineRule="exact"/>
        <w:rPr>
          <w:sz w:val="20"/>
          <w:szCs w:val="20"/>
          <w:color w:val="auto"/>
        </w:rPr>
      </w:pPr>
    </w:p>
    <w:p>
      <w:pPr>
        <w:ind w:left="8"/>
        <w:spacing w:after="0"/>
        <w:rPr>
          <w:sz w:val="20"/>
          <w:szCs w:val="20"/>
          <w:color w:val="auto"/>
        </w:rPr>
      </w:pPr>
      <w:r>
        <w:rPr>
          <w:rFonts w:ascii="Arial" w:cs="Arial" w:eastAsia="Arial" w:hAnsi="Arial"/>
          <w:sz w:val="18"/>
          <w:szCs w:val="18"/>
          <w:color w:val="auto"/>
        </w:rPr>
        <w:t>As shown in the following table, our 1-year, 3-year and 5-year total stockholder return outperformed market benchmarks.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643255</wp:posOffset>
            </wp:positionH>
            <wp:positionV relativeFrom="paragraph">
              <wp:posOffset>126365</wp:posOffset>
            </wp:positionV>
            <wp:extent cx="5574030" cy="15265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574030" cy="1526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648" w:hanging="324"/>
        <w:spacing w:after="0"/>
        <w:tabs>
          <w:tab w:leader="none" w:pos="648" w:val="left"/>
        </w:tabs>
        <w:numPr>
          <w:ilvl w:val="0"/>
          <w:numId w:val="21"/>
        </w:numPr>
        <w:rPr>
          <w:rFonts w:ascii="Arial" w:cs="Arial" w:eastAsia="Arial" w:hAnsi="Arial"/>
          <w:sz w:val="14"/>
          <w:szCs w:val="14"/>
          <w:color w:val="auto"/>
        </w:rPr>
      </w:pPr>
      <w:r>
        <w:rPr>
          <w:rFonts w:ascii="Arial" w:cs="Arial" w:eastAsia="Arial" w:hAnsi="Arial"/>
          <w:sz w:val="14"/>
          <w:szCs w:val="14"/>
          <w:color w:val="auto"/>
        </w:rPr>
        <w:t>Cumulative growth rate as of December 31, 2015.</w:t>
      </w:r>
    </w:p>
    <w:p>
      <w:pPr>
        <w:spacing w:after="0" w:line="1" w:lineRule="exact"/>
        <w:rPr>
          <w:rFonts w:ascii="Arial" w:cs="Arial" w:eastAsia="Arial" w:hAnsi="Arial"/>
          <w:sz w:val="14"/>
          <w:szCs w:val="14"/>
          <w:color w:val="auto"/>
        </w:rPr>
      </w:pPr>
    </w:p>
    <w:p>
      <w:pPr>
        <w:ind w:left="648" w:hanging="324"/>
        <w:spacing w:after="0" w:line="258" w:lineRule="auto"/>
        <w:tabs>
          <w:tab w:leader="none" w:pos="648" w:val="left"/>
        </w:tabs>
        <w:numPr>
          <w:ilvl w:val="0"/>
          <w:numId w:val="21"/>
        </w:numPr>
        <w:rPr>
          <w:rFonts w:ascii="Arial" w:cs="Arial" w:eastAsia="Arial" w:hAnsi="Arial"/>
          <w:sz w:val="14"/>
          <w:szCs w:val="14"/>
          <w:color w:val="auto"/>
        </w:rPr>
      </w:pPr>
      <w:r>
        <w:rPr>
          <w:rFonts w:ascii="Arial" w:cs="Arial" w:eastAsia="Arial" w:hAnsi="Arial"/>
          <w:sz w:val="14"/>
          <w:szCs w:val="14"/>
          <w:color w:val="auto"/>
        </w:rPr>
        <w:t>Peer group TSR data excludes iGate and Sapient, as these companies were acquired in 2015; Solera Holdings, which was taken private in March 2016, is included in peer group TSR data.</w:t>
      </w:r>
    </w:p>
    <w:p>
      <w:pPr>
        <w:spacing w:after="0" w:line="157" w:lineRule="exact"/>
        <w:rPr>
          <w:sz w:val="20"/>
          <w:szCs w:val="20"/>
          <w:color w:val="auto"/>
        </w:rPr>
      </w:pPr>
    </w:p>
    <w:p>
      <w:pPr>
        <w:ind w:left="8"/>
        <w:spacing w:after="0"/>
        <w:rPr>
          <w:sz w:val="20"/>
          <w:szCs w:val="20"/>
          <w:color w:val="auto"/>
        </w:rPr>
      </w:pPr>
      <w:r>
        <w:rPr>
          <w:rFonts w:ascii="Arial" w:cs="Arial" w:eastAsia="Arial" w:hAnsi="Arial"/>
          <w:sz w:val="18"/>
          <w:szCs w:val="18"/>
          <w:i w:val="1"/>
          <w:iCs w:val="1"/>
          <w:color w:val="auto"/>
        </w:rPr>
        <w:t>Acquisitions, Finance and Equity Transactions</w:t>
      </w:r>
    </w:p>
    <w:p>
      <w:pPr>
        <w:spacing w:after="0" w:line="216" w:lineRule="exact"/>
        <w:rPr>
          <w:sz w:val="20"/>
          <w:szCs w:val="20"/>
          <w:color w:val="auto"/>
        </w:rPr>
      </w:pPr>
    </w:p>
    <w:p>
      <w:pPr>
        <w:ind w:left="328" w:right="100" w:hanging="328"/>
        <w:spacing w:after="0" w:line="239" w:lineRule="auto"/>
        <w:tabs>
          <w:tab w:leader="none" w:pos="3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Acquired analytics firm RPM Direct, LLC (“RPM”) for consideration of $47.0 million in cash plus contingent cash consideration of up to $23.0 million and approximately $4.0 million of restricted stock. RPM specializes in analyzing large consumer data sets to segment populations, predict response rates, forecast customer lifetime value, design and execute targeted, multi-channel marketing campaigns.</w:t>
      </w:r>
    </w:p>
    <w:p>
      <w:pPr>
        <w:spacing w:after="0" w:line="170" w:lineRule="exact"/>
        <w:rPr>
          <w:sz w:val="20"/>
          <w:szCs w:val="20"/>
          <w:color w:val="auto"/>
        </w:rPr>
      </w:pPr>
    </w:p>
    <w:p>
      <w:pPr>
        <w:ind w:left="8"/>
        <w:spacing w:after="0"/>
        <w:rPr>
          <w:sz w:val="20"/>
          <w:szCs w:val="20"/>
          <w:color w:val="auto"/>
        </w:rPr>
      </w:pPr>
      <w:r>
        <w:rPr>
          <w:rFonts w:ascii="Arial" w:cs="Arial" w:eastAsia="Arial" w:hAnsi="Arial"/>
          <w:sz w:val="18"/>
          <w:szCs w:val="18"/>
          <w:i w:val="1"/>
          <w:iCs w:val="1"/>
          <w:color w:val="auto"/>
        </w:rPr>
        <w:t>Awards and Industry Recognition</w:t>
      </w:r>
    </w:p>
    <w:p>
      <w:pPr>
        <w:spacing w:after="0" w:line="216" w:lineRule="exact"/>
        <w:rPr>
          <w:sz w:val="20"/>
          <w:szCs w:val="20"/>
          <w:color w:val="auto"/>
        </w:rPr>
      </w:pPr>
    </w:p>
    <w:p>
      <w:pPr>
        <w:ind w:left="328" w:hanging="328"/>
        <w:spacing w:after="0"/>
        <w:tabs>
          <w:tab w:leader="none" w:pos="328"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continued to receive numerous industry recognitions and awards, pointing to our commitment to innovation and excellence.</w:t>
      </w:r>
    </w:p>
    <w:p>
      <w:pPr>
        <w:spacing w:after="0" w:line="194" w:lineRule="exact"/>
        <w:rPr>
          <w:sz w:val="20"/>
          <w:szCs w:val="20"/>
          <w:color w:val="auto"/>
        </w:rPr>
      </w:pPr>
    </w:p>
    <w:p>
      <w:pPr>
        <w:ind w:left="8"/>
        <w:spacing w:after="0"/>
        <w:rPr>
          <w:sz w:val="20"/>
          <w:szCs w:val="20"/>
          <w:color w:val="auto"/>
        </w:rPr>
      </w:pPr>
      <w:r>
        <w:rPr>
          <w:rFonts w:ascii="Arial" w:cs="Arial" w:eastAsia="Arial" w:hAnsi="Arial"/>
          <w:sz w:val="18"/>
          <w:szCs w:val="18"/>
          <w:i w:val="1"/>
          <w:iCs w:val="1"/>
          <w:color w:val="auto"/>
        </w:rPr>
        <w:t>Clients and Operations</w:t>
      </w:r>
    </w:p>
    <w:p>
      <w:pPr>
        <w:spacing w:after="0" w:line="216" w:lineRule="exact"/>
        <w:rPr>
          <w:sz w:val="20"/>
          <w:szCs w:val="20"/>
          <w:color w:val="auto"/>
        </w:rPr>
      </w:pPr>
    </w:p>
    <w:p>
      <w:pPr>
        <w:ind w:left="328" w:hanging="328"/>
        <w:spacing w:after="0"/>
        <w:tabs>
          <w:tab w:leader="none" w:pos="3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2015 we won 34 new clients of which 3 were Fortune 500 companies compared to the 26 new clients we won in 2014.</w:t>
      </w:r>
    </w:p>
    <w:p>
      <w:pPr>
        <w:spacing w:after="0" w:line="211" w:lineRule="exact"/>
        <w:rPr>
          <w:rFonts w:ascii="Arial" w:cs="Arial" w:eastAsia="Arial" w:hAnsi="Arial"/>
          <w:sz w:val="18"/>
          <w:szCs w:val="18"/>
          <w:color w:val="auto"/>
        </w:rPr>
      </w:pPr>
    </w:p>
    <w:p>
      <w:pPr>
        <w:ind w:left="328" w:right="620" w:hanging="328"/>
        <w:spacing w:after="0" w:line="239" w:lineRule="auto"/>
        <w:tabs>
          <w:tab w:leader="none" w:pos="3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opened three new delivery centers including two in Colombia (Bogotá and Cali) in order to address the growing demand for bilingual services and one in Cape Town South Africa to provide English language customer service for UK clients. We also consolidated our Analytics delivery facilities into a new world-class center of excellence in Gurgaon in order to add additional expansion capacity and create an environment to showcase our analytical capabilities.</w:t>
      </w:r>
    </w:p>
    <w:p>
      <w:pPr>
        <w:spacing w:after="0" w:line="188" w:lineRule="exact"/>
        <w:rPr>
          <w:rFonts w:ascii="Arial" w:cs="Arial" w:eastAsia="Arial" w:hAnsi="Arial"/>
          <w:sz w:val="18"/>
          <w:szCs w:val="18"/>
          <w:color w:val="auto"/>
        </w:rPr>
      </w:pPr>
    </w:p>
    <w:p>
      <w:pPr>
        <w:ind w:left="328" w:right="140" w:hanging="328"/>
        <w:spacing w:after="0" w:line="246" w:lineRule="auto"/>
        <w:tabs>
          <w:tab w:leader="none" w:pos="3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redesigned the EXL website creating a better client experience while showcasing EXL’s investments in thought leadership across our business domains.</w:t>
      </w:r>
    </w:p>
    <w:p>
      <w:pPr>
        <w:spacing w:after="0" w:line="183" w:lineRule="exact"/>
        <w:rPr>
          <w:rFonts w:ascii="Arial" w:cs="Arial" w:eastAsia="Arial" w:hAnsi="Arial"/>
          <w:sz w:val="18"/>
          <w:szCs w:val="18"/>
          <w:color w:val="auto"/>
        </w:rPr>
      </w:pPr>
    </w:p>
    <w:p>
      <w:pPr>
        <w:ind w:left="328" w:hanging="328"/>
        <w:spacing w:after="0"/>
        <w:tabs>
          <w:tab w:leader="none" w:pos="3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Released Version 18 of LifePRO® with 60 significant business and technology enhancements.</w:t>
      </w:r>
    </w:p>
    <w:p>
      <w:pPr>
        <w:spacing w:after="0" w:line="200" w:lineRule="exact"/>
        <w:rPr>
          <w:sz w:val="20"/>
          <w:szCs w:val="20"/>
          <w:color w:val="auto"/>
        </w:rPr>
      </w:pPr>
    </w:p>
    <w:p>
      <w:pPr>
        <w:spacing w:after="0" w:line="228" w:lineRule="exact"/>
        <w:rPr>
          <w:sz w:val="20"/>
          <w:szCs w:val="20"/>
          <w:color w:val="auto"/>
        </w:rPr>
      </w:pPr>
    </w:p>
    <w:p>
      <w:pPr>
        <w:jc w:val="center"/>
        <w:ind w:right="272"/>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48"/>
          </w:cols>
          <w:pgMar w:left="572" w:top="634" w:right="279" w:bottom="1440" w:gutter="0" w:footer="0" w:header="0"/>
        </w:sectPr>
      </w:pPr>
    </w:p>
    <w:bookmarkStart w:id="28" w:name="page29"/>
    <w:bookmarkEnd w:id="28"/>
    <w:p>
      <w:pPr>
        <w:ind w:left="340"/>
        <w:spacing w:after="0"/>
        <w:rPr>
          <w:sz w:val="20"/>
          <w:szCs w:val="20"/>
          <w:color w:val="auto"/>
        </w:rPr>
      </w:pPr>
      <w:r>
        <w:rPr>
          <w:rFonts w:ascii="Arial" w:cs="Arial" w:eastAsia="Arial" w:hAnsi="Arial"/>
          <w:sz w:val="18"/>
          <w:szCs w:val="18"/>
          <w:i w:val="1"/>
          <w:iCs w:val="1"/>
          <w:color w:val="auto"/>
        </w:rPr>
        <w:t>Summary of Key Compensation Decisions in 2015</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highlights the Compensation Committee’s key compensation decisions in 2015 and with respect to performance for 2015.</w:t>
      </w:r>
    </w:p>
    <w:p>
      <w:pPr>
        <w:spacing w:after="0" w:line="180" w:lineRule="exact"/>
        <w:rPr>
          <w:sz w:val="20"/>
          <w:szCs w:val="20"/>
          <w:color w:val="auto"/>
        </w:rPr>
      </w:pPr>
    </w:p>
    <w:p>
      <w:pPr>
        <w:ind w:left="340" w:right="260" w:hanging="332"/>
        <w:spacing w:after="0" w:line="241"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Say-on-Pay Approval</w:t>
      </w:r>
      <w:r>
        <w:rPr>
          <w:rFonts w:ascii="Arial" w:cs="Arial" w:eastAsia="Arial" w:hAnsi="Arial"/>
          <w:sz w:val="18"/>
          <w:szCs w:val="18"/>
          <w:color w:val="auto"/>
        </w:rPr>
        <w:t>. At our 2015 Annual Meeting of Stockholders, approximately 98% of our stockholders approved (on a non-binding</w:t>
      </w:r>
      <w:r>
        <w:rPr>
          <w:rFonts w:ascii="Arial" w:cs="Arial" w:eastAsia="Arial" w:hAnsi="Arial"/>
          <w:sz w:val="18"/>
          <w:szCs w:val="18"/>
          <w:i w:val="1"/>
          <w:iCs w:val="1"/>
          <w:color w:val="auto"/>
        </w:rPr>
        <w:t xml:space="preserve"> </w:t>
      </w:r>
      <w:r>
        <w:rPr>
          <w:rFonts w:ascii="Arial" w:cs="Arial" w:eastAsia="Arial" w:hAnsi="Arial"/>
          <w:sz w:val="18"/>
          <w:szCs w:val="18"/>
          <w:color w:val="auto"/>
        </w:rPr>
        <w:t>basis and excluding broker non-votes) the compensation of our named executive officers, as disclosed in our annual proxy statement for fiscal year 2014 pursuant to the SEC’s compensation disclosure rules. In our Compensation Committee’s review and evaluation of our compensation program for 2015, our Compensation Committee viewed the strong support from our stockholders as indicative that our compensation program for our named executive officers was designed and implemented to the satisfaction of the interests of our stockholders.</w:t>
      </w:r>
    </w:p>
    <w:p>
      <w:pPr>
        <w:spacing w:after="0" w:line="170" w:lineRule="exact"/>
        <w:rPr>
          <w:rFonts w:ascii="Arial" w:cs="Arial" w:eastAsia="Arial" w:hAnsi="Arial"/>
          <w:sz w:val="18"/>
          <w:szCs w:val="18"/>
          <w:color w:val="auto"/>
        </w:rPr>
      </w:pPr>
    </w:p>
    <w:p>
      <w:pPr>
        <w:ind w:left="340" w:right="8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Utilization of Performance Criteria</w:t>
      </w:r>
      <w:r>
        <w:rPr>
          <w:rFonts w:ascii="Arial" w:cs="Arial" w:eastAsia="Arial" w:hAnsi="Arial"/>
          <w:sz w:val="18"/>
          <w:szCs w:val="18"/>
          <w:color w:val="auto"/>
        </w:rPr>
        <w:t>. The Compensation Committee approved the performance criteria of our annual incentive bonus</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The Company-wide performance measures for 2015 were (1) earnings per share, adjusted to remove the after-tax impact of stock-based compensation and the amortization of intangible assets (which we refer to as “Adjusted EPS”) and (2) total revenues. With respect to the performance criteria for our separate business lines, the performance goals continue to focus on the business line’s total revenues, new client revenues and contribution margin. We believe this mix of performance goals streamlines the performance criteria of our annual incentive bonus program and focuses our senior executives’ efforts on performance measures that demonstrate our profitability to stockholders.</w:t>
      </w:r>
    </w:p>
    <w:p>
      <w:pPr>
        <w:spacing w:after="0" w:line="171" w:lineRule="exact"/>
        <w:rPr>
          <w:rFonts w:ascii="Arial" w:cs="Arial" w:eastAsia="Arial" w:hAnsi="Arial"/>
          <w:sz w:val="18"/>
          <w:szCs w:val="18"/>
          <w:color w:val="auto"/>
        </w:rPr>
      </w:pPr>
    </w:p>
    <w:p>
      <w:pPr>
        <w:ind w:left="340" w:right="320" w:hanging="332"/>
        <w:spacing w:after="0" w:line="267"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Base Salaries</w:t>
      </w:r>
      <w:r>
        <w:rPr>
          <w:rFonts w:ascii="Arial" w:cs="Arial" w:eastAsia="Arial" w:hAnsi="Arial"/>
          <w:sz w:val="18"/>
          <w:szCs w:val="18"/>
          <w:color w:val="auto"/>
        </w:rPr>
        <w:t>. In 2015, we implemented increases to Messrs. Kapoor’s, Chhibbar’s and Bagai’s base salaries averaging approximately</w:t>
      </w:r>
      <w:r>
        <w:rPr>
          <w:rFonts w:ascii="Arial" w:cs="Arial" w:eastAsia="Arial" w:hAnsi="Arial"/>
          <w:sz w:val="18"/>
          <w:szCs w:val="18"/>
          <w:i w:val="1"/>
          <w:iCs w:val="1"/>
          <w:color w:val="auto"/>
        </w:rPr>
        <w:t xml:space="preserve"> </w:t>
      </w:r>
      <w:r>
        <w:rPr>
          <w:rFonts w:ascii="Arial" w:cs="Arial" w:eastAsia="Arial" w:hAnsi="Arial"/>
          <w:sz w:val="18"/>
          <w:szCs w:val="18"/>
          <w:color w:val="auto"/>
        </w:rPr>
        <w:t>6.03% based on each executive officer’s home currency.</w:t>
      </w:r>
    </w:p>
    <w:p>
      <w:pPr>
        <w:spacing w:after="0" w:line="147" w:lineRule="exact"/>
        <w:rPr>
          <w:rFonts w:ascii="Arial" w:cs="Arial" w:eastAsia="Arial" w:hAnsi="Arial"/>
          <w:sz w:val="18"/>
          <w:szCs w:val="18"/>
          <w:color w:val="auto"/>
        </w:rPr>
      </w:pPr>
    </w:p>
    <w:p>
      <w:pPr>
        <w:ind w:left="340" w:right="100" w:hanging="332"/>
        <w:spacing w:after="0" w:line="267"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Performance Targets</w:t>
      </w:r>
      <w:r>
        <w:rPr>
          <w:rFonts w:ascii="Arial" w:cs="Arial" w:eastAsia="Arial" w:hAnsi="Arial"/>
          <w:sz w:val="18"/>
          <w:szCs w:val="18"/>
          <w:color w:val="auto"/>
        </w:rPr>
        <w:t>. For 2015, the Compensation Committee established performance targets which were intended to encourage stretch</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We achieved 100% of our Adjusted EPS target and exceeded our total revenue performance target (102.2%).</w:t>
      </w:r>
    </w:p>
    <w:p>
      <w:pPr>
        <w:spacing w:after="0" w:line="147" w:lineRule="exact"/>
        <w:rPr>
          <w:rFonts w:ascii="Arial" w:cs="Arial" w:eastAsia="Arial" w:hAnsi="Arial"/>
          <w:sz w:val="18"/>
          <w:szCs w:val="18"/>
          <w:color w:val="auto"/>
        </w:rPr>
      </w:pPr>
    </w:p>
    <w:p>
      <w:pPr>
        <w:ind w:left="340" w:hanging="332"/>
        <w:spacing w:after="0" w:line="245"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Bonuses and Equity Incentives</w:t>
      </w:r>
      <w:r>
        <w:rPr>
          <w:rFonts w:ascii="Arial" w:cs="Arial" w:eastAsia="Arial" w:hAnsi="Arial"/>
          <w:sz w:val="18"/>
          <w:szCs w:val="18"/>
          <w:color w:val="auto"/>
        </w:rPr>
        <w:t>. In 2015, we achieved our annual incentive bonus targets, and we exceeded the 2015 revenue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targets for each of the 2014 and 2015 revenue-based restricted stock unit grants. Based upon the revenue performance for each year’s grant relative to the applicable target, our executives banked one-third of each of their 2014 and 2015 target awards (subject to continued employment), which is the maximum amount that may be banked in either the first or second year of our three-year program.</w:t>
      </w:r>
    </w:p>
    <w:p>
      <w:pPr>
        <w:spacing w:after="0" w:line="167" w:lineRule="exact"/>
        <w:rPr>
          <w:rFonts w:ascii="Arial" w:cs="Arial" w:eastAsia="Arial" w:hAnsi="Arial"/>
          <w:sz w:val="18"/>
          <w:szCs w:val="18"/>
          <w:color w:val="auto"/>
        </w:rPr>
      </w:pPr>
    </w:p>
    <w:p>
      <w:pPr>
        <w:ind w:left="340" w:right="20" w:hanging="332"/>
        <w:spacing w:after="0" w:line="241"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Employment Agreement with Mr. Kapoor and Stock Price Performance Award</w:t>
      </w:r>
      <w:r>
        <w:rPr>
          <w:rFonts w:ascii="Arial" w:cs="Arial" w:eastAsia="Arial" w:hAnsi="Arial"/>
          <w:sz w:val="18"/>
          <w:szCs w:val="18"/>
          <w:color w:val="auto"/>
        </w:rPr>
        <w:t>. Effective January 1, 2015, we entered into a new</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agreement with Mr. Kapoor to secure Mr. Kapoor’s services to the Company through December 31, 2017. In connection with his new employment agreement, we granted Mr. Kapoor a one-time award of 100,000 performance-based restricted stock units that he may earn based on the Company’s average stock price exceeding certain targets during the three year performance period (the “Stock Price Performance Award”). Additional information related to the new employment agreement and Stock Price Performance Award appears later in this proxy statement.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29" w:name="page30"/>
    <w:bookmarkEnd w:id="29"/>
    <w:p>
      <w:pPr>
        <w:ind w:left="340"/>
        <w:spacing w:after="0"/>
        <w:rPr>
          <w:sz w:val="20"/>
          <w:szCs w:val="20"/>
          <w:color w:val="auto"/>
        </w:rPr>
      </w:pPr>
      <w:r>
        <w:rPr>
          <w:rFonts w:ascii="Arial" w:cs="Arial" w:eastAsia="Arial" w:hAnsi="Arial"/>
          <w:sz w:val="18"/>
          <w:szCs w:val="18"/>
          <w:i w:val="1"/>
          <w:iCs w:val="1"/>
          <w:color w:val="auto"/>
        </w:rPr>
        <w:t>Key Corporate Governance Features</w:t>
      </w:r>
    </w:p>
    <w:p>
      <w:pPr>
        <w:spacing w:after="0" w:line="216" w:lineRule="exact"/>
        <w:rPr>
          <w:sz w:val="20"/>
          <w:szCs w:val="20"/>
          <w:color w:val="auto"/>
        </w:rPr>
      </w:pPr>
    </w:p>
    <w:p>
      <w:pPr>
        <w:ind w:right="80" w:firstLine="648"/>
        <w:spacing w:after="0" w:line="239" w:lineRule="auto"/>
        <w:rPr>
          <w:sz w:val="20"/>
          <w:szCs w:val="20"/>
          <w:color w:val="auto"/>
        </w:rPr>
      </w:pPr>
      <w:r>
        <w:rPr>
          <w:rFonts w:ascii="Arial" w:cs="Arial" w:eastAsia="Arial" w:hAnsi="Arial"/>
          <w:sz w:val="18"/>
          <w:szCs w:val="18"/>
          <w:color w:val="auto"/>
        </w:rPr>
        <w:t>Our compensation programs, practices and policies are reviewed and re-evaluated periodically and are subject to change from time to time. Our executive compensation philosophy is focused on pay for performance and is designed to reflect appropriate governance practices aligned with the needs of our business. Listed below are some of the Company’s more significant practices and policies that were in effect during fiscal 2015, which were adopted to drive performance and to align our executives’ interests with those of our stockholders.</w:t>
      </w:r>
    </w:p>
    <w:p>
      <w:pPr>
        <w:spacing w:after="0" w:line="170" w:lineRule="exact"/>
        <w:rPr>
          <w:sz w:val="20"/>
          <w:szCs w:val="20"/>
          <w:color w:val="auto"/>
        </w:rPr>
      </w:pPr>
    </w:p>
    <w:p>
      <w:pPr>
        <w:ind w:left="340" w:right="440" w:hanging="332"/>
        <w:spacing w:after="0" w:line="251"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Pay for performance</w:t>
      </w:r>
      <w:r>
        <w:rPr>
          <w:rFonts w:ascii="Arial" w:cs="Arial" w:eastAsia="Arial" w:hAnsi="Arial"/>
          <w:sz w:val="18"/>
          <w:szCs w:val="18"/>
          <w:color w:val="auto"/>
        </w:rPr>
        <w:t>. We link a significant portion of each named executive officer’s total compensation to the achievement of specific</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goals, as described below. Such variable compensation is “at-risk” and not guaranteed, and rewards performance and contributions to both short-term and long-term financial performance of the Company.</w:t>
      </w:r>
    </w:p>
    <w:p>
      <w:pPr>
        <w:spacing w:after="0" w:line="160" w:lineRule="exact"/>
        <w:rPr>
          <w:rFonts w:ascii="Arial" w:cs="Arial" w:eastAsia="Arial" w:hAnsi="Arial"/>
          <w:sz w:val="18"/>
          <w:szCs w:val="18"/>
          <w:color w:val="auto"/>
        </w:rPr>
      </w:pPr>
    </w:p>
    <w:p>
      <w:pPr>
        <w:ind w:left="340" w:right="140" w:hanging="332"/>
        <w:spacing w:after="0" w:line="245"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Appropriate choice and use of peer groups</w:t>
      </w:r>
      <w:r>
        <w:rPr>
          <w:rFonts w:ascii="Arial" w:cs="Arial" w:eastAsia="Arial" w:hAnsi="Arial"/>
          <w:sz w:val="18"/>
          <w:szCs w:val="18"/>
          <w:color w:val="auto"/>
        </w:rPr>
        <w:t>. We have thoughtfully selected a peer group of companies with similar market capitalization or</w:t>
      </w:r>
      <w:r>
        <w:rPr>
          <w:rFonts w:ascii="Arial" w:cs="Arial" w:eastAsia="Arial" w:hAnsi="Arial"/>
          <w:sz w:val="18"/>
          <w:szCs w:val="18"/>
          <w:i w:val="1"/>
          <w:iCs w:val="1"/>
          <w:color w:val="auto"/>
        </w:rPr>
        <w:t xml:space="preserve"> </w:t>
      </w:r>
      <w:r>
        <w:rPr>
          <w:rFonts w:ascii="Arial" w:cs="Arial" w:eastAsia="Arial" w:hAnsi="Arial"/>
          <w:sz w:val="18"/>
          <w:szCs w:val="18"/>
          <w:color w:val="auto"/>
        </w:rPr>
        <w:t>scope of operations to us, to help us review current market practices and design a competitive compensation program. We set total compensation of our executive officers at levels the Compensation Committee believes are appropriate relative to the total compensation paid to similarly situated executive officers of our peer companies, giving consideration to market and other factors as well.</w:t>
      </w:r>
    </w:p>
    <w:p>
      <w:pPr>
        <w:spacing w:after="0" w:line="167" w:lineRule="exact"/>
        <w:rPr>
          <w:rFonts w:ascii="Arial" w:cs="Arial" w:eastAsia="Arial" w:hAnsi="Arial"/>
          <w:sz w:val="18"/>
          <w:szCs w:val="18"/>
          <w:color w:val="auto"/>
        </w:rPr>
      </w:pPr>
    </w:p>
    <w:p>
      <w:pPr>
        <w:ind w:left="340" w:hanging="332"/>
        <w:spacing w:after="0" w:line="251"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Equity compensation best practices</w:t>
      </w:r>
      <w:r>
        <w:rPr>
          <w:rFonts w:ascii="Arial" w:cs="Arial" w:eastAsia="Arial" w:hAnsi="Arial"/>
          <w:sz w:val="18"/>
          <w:szCs w:val="18"/>
          <w:color w:val="auto"/>
        </w:rPr>
        <w:t>. Our equity compensation program prohibits option repricing without stockholder approval. We do not</w:t>
      </w:r>
      <w:r>
        <w:rPr>
          <w:rFonts w:ascii="Arial" w:cs="Arial" w:eastAsia="Arial" w:hAnsi="Arial"/>
          <w:sz w:val="18"/>
          <w:szCs w:val="18"/>
          <w:i w:val="1"/>
          <w:iCs w:val="1"/>
          <w:color w:val="auto"/>
        </w:rPr>
        <w:t xml:space="preserve"> </w:t>
      </w:r>
      <w:r>
        <w:rPr>
          <w:rFonts w:ascii="Arial" w:cs="Arial" w:eastAsia="Arial" w:hAnsi="Arial"/>
          <w:sz w:val="18"/>
          <w:szCs w:val="18"/>
          <w:color w:val="auto"/>
        </w:rPr>
        <w:t>have excessive overhang or dilution from equity grants. Our equity incentives are designed to encourage our executives to maintain a long-term view of stockholder value creation and to encourage retention.</w:t>
      </w:r>
    </w:p>
    <w:p>
      <w:pPr>
        <w:spacing w:after="0" w:line="160" w:lineRule="exact"/>
        <w:rPr>
          <w:rFonts w:ascii="Arial" w:cs="Arial" w:eastAsia="Arial" w:hAnsi="Arial"/>
          <w:sz w:val="18"/>
          <w:szCs w:val="18"/>
          <w:color w:val="auto"/>
        </w:rPr>
      </w:pPr>
    </w:p>
    <w:p>
      <w:pPr>
        <w:ind w:left="340" w:right="240" w:hanging="332"/>
        <w:spacing w:after="0" w:line="245"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Limited perquisites and personal benefits</w:t>
      </w:r>
      <w:r>
        <w:rPr>
          <w:rFonts w:ascii="Arial" w:cs="Arial" w:eastAsia="Arial" w:hAnsi="Arial"/>
          <w:sz w:val="18"/>
          <w:szCs w:val="18"/>
          <w:color w:val="auto"/>
        </w:rPr>
        <w:t>. We provide our named executive officers with only limited perquisites and personal benefits in</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 to the regular benefits offered to all employees, and we believe that each perquisite and personal benefit we offer serves an important business purpose. We consider the perquisites and personal benefits that we offer to our executives stationed in India to be customary benefits which allow us to remain competitive for top talent.</w:t>
      </w:r>
    </w:p>
    <w:p>
      <w:pPr>
        <w:spacing w:after="0" w:line="167" w:lineRule="exact"/>
        <w:rPr>
          <w:rFonts w:ascii="Arial" w:cs="Arial" w:eastAsia="Arial" w:hAnsi="Arial"/>
          <w:sz w:val="18"/>
          <w:szCs w:val="18"/>
          <w:color w:val="auto"/>
        </w:rPr>
      </w:pPr>
    </w:p>
    <w:p>
      <w:pPr>
        <w:jc w:val="both"/>
        <w:ind w:left="340" w:right="180" w:hanging="332"/>
        <w:spacing w:after="0" w:line="251"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Independent decision-making</w:t>
      </w:r>
      <w:r>
        <w:rPr>
          <w:rFonts w:ascii="Arial" w:cs="Arial" w:eastAsia="Arial" w:hAnsi="Arial"/>
          <w:sz w:val="18"/>
          <w:szCs w:val="18"/>
          <w:color w:val="auto"/>
        </w:rPr>
        <w:t>. Compensation decisions for our named executive officers are approved by an independent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Our Compensation Committee is advised by an independent consultant who reports directly to the Compensation Committee and provides no services to the Company or management.</w:t>
      </w:r>
    </w:p>
    <w:p>
      <w:pPr>
        <w:spacing w:after="0" w:line="160" w:lineRule="exact"/>
        <w:rPr>
          <w:rFonts w:ascii="Arial" w:cs="Arial" w:eastAsia="Arial" w:hAnsi="Arial"/>
          <w:sz w:val="18"/>
          <w:szCs w:val="18"/>
          <w:color w:val="auto"/>
        </w:rPr>
      </w:pPr>
    </w:p>
    <w:p>
      <w:pPr>
        <w:ind w:left="340" w:right="360" w:hanging="332"/>
        <w:spacing w:after="0" w:line="267"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Risk mitigation</w:t>
      </w:r>
      <w:r>
        <w:rPr>
          <w:rFonts w:ascii="Arial" w:cs="Arial" w:eastAsia="Arial" w:hAnsi="Arial"/>
          <w:sz w:val="18"/>
          <w:szCs w:val="18"/>
          <w:color w:val="auto"/>
        </w:rPr>
        <w:t>. We believe the mix and design of our compensation programs serve to mitigate operational, financial, legal, regulatory,</w:t>
      </w:r>
      <w:r>
        <w:rPr>
          <w:rFonts w:ascii="Arial" w:cs="Arial" w:eastAsia="Arial" w:hAnsi="Arial"/>
          <w:sz w:val="18"/>
          <w:szCs w:val="18"/>
          <w:i w:val="1"/>
          <w:iCs w:val="1"/>
          <w:color w:val="auto"/>
        </w:rPr>
        <w:t xml:space="preserve"> </w:t>
      </w:r>
      <w:r>
        <w:rPr>
          <w:rFonts w:ascii="Arial" w:cs="Arial" w:eastAsia="Arial" w:hAnsi="Arial"/>
          <w:sz w:val="18"/>
          <w:szCs w:val="18"/>
          <w:color w:val="auto"/>
        </w:rPr>
        <w:t>strategic and reputational risks.</w:t>
      </w:r>
    </w:p>
    <w:p>
      <w:pPr>
        <w:spacing w:after="0" w:line="147" w:lineRule="exact"/>
        <w:rPr>
          <w:rFonts w:ascii="Arial" w:cs="Arial" w:eastAsia="Arial" w:hAnsi="Arial"/>
          <w:sz w:val="18"/>
          <w:szCs w:val="18"/>
          <w:color w:val="auto"/>
        </w:rPr>
      </w:pPr>
    </w:p>
    <w:p>
      <w:pPr>
        <w:ind w:left="340" w:right="60" w:hanging="332"/>
        <w:spacing w:after="0" w:line="251"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No tax gross-ups</w:t>
      </w:r>
      <w:r>
        <w:rPr>
          <w:rFonts w:ascii="Arial" w:cs="Arial" w:eastAsia="Arial" w:hAnsi="Arial"/>
          <w:sz w:val="18"/>
          <w:szCs w:val="18"/>
          <w:color w:val="auto"/>
        </w:rPr>
        <w:t>. We do not provide “gross-ups” to any of our named executive officers, including for any excise taxes imposed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Section 280G (change-in-control payments) or Section 409A (nonqualified deferred compensation) of the U.S. Internal Revenue Code of 1986, as amended (which we refer to as the “Code”).</w:t>
      </w:r>
    </w:p>
    <w:p>
      <w:pPr>
        <w:spacing w:after="0" w:line="160" w:lineRule="exact"/>
        <w:rPr>
          <w:rFonts w:ascii="Arial" w:cs="Arial" w:eastAsia="Arial" w:hAnsi="Arial"/>
          <w:sz w:val="18"/>
          <w:szCs w:val="18"/>
          <w:color w:val="auto"/>
        </w:rPr>
      </w:pPr>
    </w:p>
    <w:p>
      <w:pPr>
        <w:ind w:left="340" w:right="400" w:hanging="332"/>
        <w:spacing w:after="0" w:line="245"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Clawback Policy</w:t>
      </w:r>
      <w:r>
        <w:rPr>
          <w:rFonts w:ascii="Arial" w:cs="Arial" w:eastAsia="Arial" w:hAnsi="Arial"/>
          <w:sz w:val="18"/>
          <w:szCs w:val="18"/>
          <w:color w:val="auto"/>
        </w:rPr>
        <w:t>. We maintain a compensation recovery policy that allows the Company to recover compensation (including both cash</w:t>
      </w:r>
      <w:r>
        <w:rPr>
          <w:rFonts w:ascii="Arial" w:cs="Arial" w:eastAsia="Arial" w:hAnsi="Arial"/>
          <w:sz w:val="18"/>
          <w:szCs w:val="18"/>
          <w:i w:val="1"/>
          <w:iCs w:val="1"/>
          <w:color w:val="auto"/>
        </w:rPr>
        <w:t xml:space="preserve"> </w:t>
      </w:r>
      <w:r>
        <w:rPr>
          <w:rFonts w:ascii="Arial" w:cs="Arial" w:eastAsia="Arial" w:hAnsi="Arial"/>
          <w:sz w:val="18"/>
          <w:szCs w:val="18"/>
          <w:color w:val="auto"/>
        </w:rPr>
        <w:t>and/or equity awards) previously paid to one or more officers in the event of a financial restatement caused by noncompliance with reporting requirements that impacts the applicable performance metric if, in the opinion of our Board or Compensation Committee, the identified executive’s misconduct was a material factor causing the restatement.</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34" w:right="259" w:bottom="1440" w:gutter="0" w:footer="0" w:header="0"/>
        </w:sectPr>
      </w:pPr>
    </w:p>
    <w:bookmarkStart w:id="30" w:name="page31"/>
    <w:bookmarkEnd w:id="30"/>
    <w:p>
      <w:pPr>
        <w:ind w:left="340" w:right="40" w:hanging="332"/>
        <w:spacing w:after="0" w:line="260" w:lineRule="auto"/>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Stock Ownership Policy</w:t>
      </w:r>
      <w:r>
        <w:rPr>
          <w:rFonts w:ascii="Arial" w:cs="Arial" w:eastAsia="Arial" w:hAnsi="Arial"/>
          <w:sz w:val="17"/>
          <w:szCs w:val="17"/>
          <w:color w:val="auto"/>
        </w:rPr>
        <w:t>. We maintain a stock ownership policy that requires our Chief Executive Officer to maintain stock ownership equal</w:t>
      </w:r>
      <w:r>
        <w:rPr>
          <w:rFonts w:ascii="Arial" w:cs="Arial" w:eastAsia="Arial" w:hAnsi="Arial"/>
          <w:sz w:val="17"/>
          <w:szCs w:val="17"/>
          <w:i w:val="1"/>
          <w:iCs w:val="1"/>
          <w:color w:val="auto"/>
        </w:rPr>
        <w:t xml:space="preserve"> </w:t>
      </w:r>
      <w:r>
        <w:rPr>
          <w:rFonts w:ascii="Arial" w:cs="Arial" w:eastAsia="Arial" w:hAnsi="Arial"/>
          <w:sz w:val="17"/>
          <w:szCs w:val="17"/>
          <w:color w:val="auto"/>
        </w:rPr>
        <w:t>to at least six times his base salary and that requires the other members of our executive committee to maintain stock ownership of at least two times their respective base salaries. We adopted this policy in December of 2014 and our covered executives have five years from its adoption date (or, if later, their hire date) to attain the required stock ownership levels. We maintain a similar stock ownership policy for our non-employee directors that requires directors to maintain stock ownership of at least five times their respective annual retainers.</w:t>
      </w:r>
    </w:p>
    <w:p>
      <w:pPr>
        <w:spacing w:after="0" w:line="156" w:lineRule="exact"/>
        <w:rPr>
          <w:rFonts w:ascii="Arial" w:cs="Arial" w:eastAsia="Arial" w:hAnsi="Arial"/>
          <w:sz w:val="17"/>
          <w:szCs w:val="17"/>
          <w:color w:val="auto"/>
        </w:rPr>
      </w:pPr>
    </w:p>
    <w:p>
      <w:pPr>
        <w:ind w:left="340" w:right="580" w:hanging="332"/>
        <w:spacing w:after="0" w:line="301"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Anti-Hedging and Pledging Restrictions</w:t>
      </w:r>
      <w:r>
        <w:rPr>
          <w:rFonts w:ascii="Arial" w:cs="Arial" w:eastAsia="Arial" w:hAnsi="Arial"/>
          <w:sz w:val="18"/>
          <w:szCs w:val="18"/>
          <w:color w:val="auto"/>
        </w:rPr>
        <w:t>. We implemented a policy that, effective January 1, 2015, prohibits our officers and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subject to the requirements of Section 16 of the Exchange Act, which includes our executive officers, from engaging in any hedging transactions with respect to Company stock they directly or indirectly own. In addition, under this policy, Reporting Persons are only permitted to pledge shares of our stock that exceed those required to be owned under our Stock Ownership Policy described above. </w:t>
      </w:r>
      <w:r>
        <w:rPr>
          <w:rFonts w:ascii="Arial" w:cs="Arial" w:eastAsia="Arial" w:hAnsi="Arial"/>
          <w:sz w:val="18"/>
          <w:szCs w:val="18"/>
          <w:i w:val="1"/>
          <w:iCs w:val="1"/>
          <w:color w:val="auto"/>
        </w:rPr>
        <w:t>Overview of compensation policies and philosophies</w:t>
      </w:r>
    </w:p>
    <w:p>
      <w:pPr>
        <w:spacing w:after="0" w:line="138"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We believe that the long-term success of companies that provide outsourcing, transformation and analytics services globally is linked to their ability to recruit, train, motivate and retain employees at every level. There is significant competitive pressure in our industry for qualified managers with a track record of achievement. It is critical that we recruit, train, motivate and retain highly talented individuals at all levels of the organization who are committed to our core values of innovation, collaboration, excellence, integrity and mutual respect. We believe that our executive compensation programs are integral to achieving this end.</w:t>
      </w:r>
    </w:p>
    <w:p>
      <w:pPr>
        <w:spacing w:after="0" w:line="189" w:lineRule="exact"/>
        <w:rPr>
          <w:sz w:val="20"/>
          <w:szCs w:val="20"/>
          <w:color w:val="auto"/>
        </w:rPr>
      </w:pPr>
    </w:p>
    <w:p>
      <w:pPr>
        <w:ind w:right="140" w:firstLine="648"/>
        <w:spacing w:after="0" w:line="246" w:lineRule="auto"/>
        <w:rPr>
          <w:sz w:val="20"/>
          <w:szCs w:val="20"/>
          <w:color w:val="auto"/>
        </w:rPr>
      </w:pPr>
      <w:r>
        <w:rPr>
          <w:rFonts w:ascii="Arial" w:cs="Arial" w:eastAsia="Arial" w:hAnsi="Arial"/>
          <w:sz w:val="18"/>
          <w:szCs w:val="18"/>
          <w:color w:val="auto"/>
        </w:rPr>
        <w:t>Our Compensation Committee bases its executive compensation programs on the following objectives, which guide us in establishing all of our compensation programs:</w:t>
      </w:r>
    </w:p>
    <w:p>
      <w:pPr>
        <w:spacing w:after="0" w:line="165" w:lineRule="exact"/>
        <w:rPr>
          <w:sz w:val="20"/>
          <w:szCs w:val="20"/>
          <w:color w:val="auto"/>
        </w:rPr>
      </w:pPr>
    </w:p>
    <w:p>
      <w:pPr>
        <w:ind w:left="340" w:right="6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Compensation should be based on the level of job responsibility, individual performance and our performance</w:t>
      </w:r>
      <w:r>
        <w:rPr>
          <w:rFonts w:ascii="Arial" w:cs="Arial" w:eastAsia="Arial" w:hAnsi="Arial"/>
          <w:sz w:val="18"/>
          <w:szCs w:val="18"/>
          <w:color w:val="auto"/>
        </w:rPr>
        <w:t>. As employees progress to</w:t>
      </w:r>
      <w:r>
        <w:rPr>
          <w:rFonts w:ascii="Arial" w:cs="Arial" w:eastAsia="Arial" w:hAnsi="Arial"/>
          <w:sz w:val="18"/>
          <w:szCs w:val="18"/>
          <w:i w:val="1"/>
          <w:iCs w:val="1"/>
          <w:color w:val="auto"/>
        </w:rPr>
        <w:t xml:space="preserve"> </w:t>
      </w:r>
      <w:r>
        <w:rPr>
          <w:rFonts w:ascii="Arial" w:cs="Arial" w:eastAsia="Arial" w:hAnsi="Arial"/>
          <w:sz w:val="18"/>
          <w:szCs w:val="18"/>
          <w:color w:val="auto"/>
        </w:rPr>
        <w:t>higher levels in the organization, they are able to more directly affect our results and strategic initiatives, and therefore an increasing proportion of their pay should be linked to our performance and tied to creation of stockholder value. Our programs should deliver top-tier compensation in return for top-tier individual and company performance; conversely, where individual performance and/or our performance falls short of expectations, the programs should deliver lower-tier compensation. In addition, the objectives of pay-for-performance and retention must be balanced. Even in periods of temporary downturns in our performance, the programs should continue to ensure that successful, high-achieving employees remain motivated and committed.</w:t>
      </w:r>
    </w:p>
    <w:p>
      <w:pPr>
        <w:spacing w:after="0" w:line="171" w:lineRule="exact"/>
        <w:rPr>
          <w:rFonts w:ascii="Arial" w:cs="Arial" w:eastAsia="Arial" w:hAnsi="Arial"/>
          <w:sz w:val="18"/>
          <w:szCs w:val="18"/>
          <w:color w:val="auto"/>
        </w:rPr>
      </w:pPr>
    </w:p>
    <w:p>
      <w:pPr>
        <w:ind w:left="340" w:right="80" w:hanging="332"/>
        <w:spacing w:after="0" w:line="242"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Compensation should balance long-term focus that is linked to stockholder value as well as short-term financial objectives</w:t>
      </w:r>
      <w:r>
        <w:rPr>
          <w:rFonts w:ascii="Arial" w:cs="Arial" w:eastAsia="Arial" w:hAnsi="Arial"/>
          <w:sz w:val="18"/>
          <w:szCs w:val="18"/>
          <w:color w:val="auto"/>
        </w:rPr>
        <w:t>. Consistent with</w:t>
      </w:r>
      <w:r>
        <w:rPr>
          <w:rFonts w:ascii="Arial" w:cs="Arial" w:eastAsia="Arial" w:hAnsi="Arial"/>
          <w:sz w:val="18"/>
          <w:szCs w:val="18"/>
          <w:i w:val="1"/>
          <w:iCs w:val="1"/>
          <w:color w:val="auto"/>
        </w:rPr>
        <w:t xml:space="preserve"> </w:t>
      </w:r>
      <w:r>
        <w:rPr>
          <w:rFonts w:ascii="Arial" w:cs="Arial" w:eastAsia="Arial" w:hAnsi="Arial"/>
          <w:sz w:val="18"/>
          <w:szCs w:val="18"/>
          <w:color w:val="auto"/>
        </w:rPr>
        <w:t>this philosophy, equity-based compensation should be higher for persons with higher levels of responsibility and greater influence on long-term results, thereby making a significant portion of their total compensation dependent on long-term stock price appreciation. In addition, compensation should focus management on achieving short-term performance goals in a manner that supports and ensures long-term success and profitability.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31" w:name="page32"/>
    <w:bookmarkEnd w:id="31"/>
    <w:p>
      <w:pPr>
        <w:ind w:left="340" w:right="200" w:hanging="332"/>
        <w:spacing w:after="0" w:line="297" w:lineRule="auto"/>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Compensation should reflect the value of the job in the marketplace</w:t>
      </w:r>
      <w:r>
        <w:rPr>
          <w:rFonts w:ascii="Arial" w:cs="Arial" w:eastAsia="Arial" w:hAnsi="Arial"/>
          <w:sz w:val="17"/>
          <w:szCs w:val="17"/>
          <w:color w:val="auto"/>
        </w:rPr>
        <w:t>. We compete for talent globally. In order to attract and retain a highly</w:t>
      </w:r>
      <w:r>
        <w:rPr>
          <w:rFonts w:ascii="Arial" w:cs="Arial" w:eastAsia="Arial" w:hAnsi="Arial"/>
          <w:sz w:val="17"/>
          <w:szCs w:val="17"/>
          <w:i w:val="1"/>
          <w:iCs w:val="1"/>
          <w:color w:val="auto"/>
        </w:rPr>
        <w:t xml:space="preserve"> </w:t>
      </w:r>
      <w:r>
        <w:rPr>
          <w:rFonts w:ascii="Arial" w:cs="Arial" w:eastAsia="Arial" w:hAnsi="Arial"/>
          <w:sz w:val="17"/>
          <w:szCs w:val="17"/>
          <w:color w:val="auto"/>
        </w:rPr>
        <w:t>skilled workforce, we must remain competitive with the pay of other employers who compete with us for talent in the relevant markets.</w:t>
      </w:r>
    </w:p>
    <w:p>
      <w:pPr>
        <w:spacing w:after="0" w:line="123" w:lineRule="exact"/>
        <w:rPr>
          <w:rFonts w:ascii="Arial" w:cs="Arial" w:eastAsia="Arial" w:hAnsi="Arial"/>
          <w:sz w:val="17"/>
          <w:szCs w:val="17"/>
          <w:color w:val="auto"/>
        </w:rPr>
      </w:pPr>
    </w:p>
    <w:p>
      <w:pPr>
        <w:ind w:left="340" w:right="20" w:hanging="332"/>
        <w:spacing w:after="0" w:line="242"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Compensation programs should be easy to understand</w:t>
      </w:r>
      <w:r>
        <w:rPr>
          <w:rFonts w:ascii="Arial" w:cs="Arial" w:eastAsia="Arial" w:hAnsi="Arial"/>
          <w:sz w:val="18"/>
          <w:szCs w:val="18"/>
          <w:color w:val="auto"/>
        </w:rPr>
        <w:t>. We believe that all aspects of executive compensation should be clearly,</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comprehensibly and promptly disclosed to employees in order to effectively motivate them. Employees need to easily understand how their efforts can affect their pay, both directly through individual performance accomplishments, and indirectly through contributing to our achievement of strategic, financial and operational goals. We also believe that compensation for our employees should be administered uniformly across the company and should be administered with clear-cut objectives and performance metrics.</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Our Compensation Committee’s Processes</w:t>
      </w:r>
    </w:p>
    <w:p>
      <w:pPr>
        <w:spacing w:after="0" w:line="216" w:lineRule="exact"/>
        <w:rPr>
          <w:sz w:val="20"/>
          <w:szCs w:val="20"/>
          <w:color w:val="auto"/>
        </w:rPr>
      </w:pPr>
    </w:p>
    <w:p>
      <w:pPr>
        <w:ind w:right="700" w:firstLine="648"/>
        <w:spacing w:after="0" w:line="246" w:lineRule="auto"/>
        <w:rPr>
          <w:sz w:val="20"/>
          <w:szCs w:val="20"/>
          <w:color w:val="auto"/>
        </w:rPr>
      </w:pPr>
      <w:r>
        <w:rPr>
          <w:rFonts w:ascii="Arial" w:cs="Arial" w:eastAsia="Arial" w:hAnsi="Arial"/>
          <w:sz w:val="18"/>
          <w:szCs w:val="18"/>
          <w:color w:val="auto"/>
        </w:rPr>
        <w:t>Our Compensation Committee has established a number of processes to assist it in ensuring that our executive compensation programs are achieving their objectives. Among those are the following:</w:t>
      </w:r>
    </w:p>
    <w:p>
      <w:pPr>
        <w:spacing w:after="0" w:line="165" w:lineRule="exact"/>
        <w:rPr>
          <w:sz w:val="20"/>
          <w:szCs w:val="20"/>
          <w:color w:val="auto"/>
        </w:rPr>
      </w:pPr>
    </w:p>
    <w:p>
      <w:pPr>
        <w:ind w:left="340" w:hanging="332"/>
        <w:spacing w:after="0" w:line="239"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Assessment of Company Performance</w:t>
      </w:r>
      <w:r>
        <w:rPr>
          <w:rFonts w:ascii="Arial" w:cs="Arial" w:eastAsia="Arial" w:hAnsi="Arial"/>
          <w:sz w:val="18"/>
          <w:szCs w:val="18"/>
          <w:color w:val="auto"/>
        </w:rPr>
        <w:t>. Our Compensation Committee uses financial performance measures to determine a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portion of the payouts under our annual incentive bonus program and equity incentive program. The financial performance measures with respect to our named executive officers’ incentive bonuses and equity incentive awards are largely based on the achievement of Company-wide goals. In addition, the incentive bonuses payable under our annual incentive bonus program to our senior executives who have responsibility for business lines are tied to such business lines’ financial or other performance. These Company-wide and business-line performance measures are established by our Compensation Committee annually at the beginning of the year. At the end of the year or performance period, in the case of our equity incentive program, our Compensation Committee reviews and certifies our performance achievement, and considers the appropriateness of adjustments to the performance criteria and calculations of performance achievement.</w:t>
      </w:r>
    </w:p>
    <w:p>
      <w:pPr>
        <w:spacing w:after="0" w:line="192" w:lineRule="exact"/>
        <w:rPr>
          <w:sz w:val="20"/>
          <w:szCs w:val="20"/>
          <w:color w:val="auto"/>
        </w:rPr>
      </w:pPr>
    </w:p>
    <w:p>
      <w:pPr>
        <w:ind w:left="340" w:right="260" w:firstLine="486"/>
        <w:spacing w:after="0"/>
        <w:rPr>
          <w:sz w:val="20"/>
          <w:szCs w:val="20"/>
          <w:color w:val="auto"/>
        </w:rPr>
      </w:pPr>
      <w:r>
        <w:rPr>
          <w:rFonts w:ascii="Arial" w:cs="Arial" w:eastAsia="Arial" w:hAnsi="Arial"/>
          <w:sz w:val="18"/>
          <w:szCs w:val="18"/>
          <w:color w:val="auto"/>
        </w:rPr>
        <w:t>We generally pay bonuses at target when we achieve the established financial measures that are set forth in our annual operating plan and personal performance goals, as described below. These measures reflect targets that are intended to encourage stretch performance.</w:t>
      </w:r>
    </w:p>
    <w:p>
      <w:pPr>
        <w:spacing w:after="0" w:line="171" w:lineRule="exact"/>
        <w:rPr>
          <w:sz w:val="20"/>
          <w:szCs w:val="20"/>
          <w:color w:val="auto"/>
        </w:rPr>
      </w:pPr>
    </w:p>
    <w:p>
      <w:pPr>
        <w:jc w:val="both"/>
        <w:ind w:left="340" w:right="160" w:hanging="332"/>
        <w:spacing w:after="0" w:line="251"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Assessment of Individual Performance</w:t>
      </w:r>
      <w:r>
        <w:rPr>
          <w:rFonts w:ascii="Arial" w:cs="Arial" w:eastAsia="Arial" w:hAnsi="Arial"/>
          <w:sz w:val="18"/>
          <w:szCs w:val="18"/>
          <w:color w:val="auto"/>
        </w:rPr>
        <w:t>. Individual performance has a strong impact on the compensation of certain employees,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our executive officers. The evaluation of an individual’s performance determines a portion of the payouts for Mr. Chhibbar and Mr. Miglani made under our incentive bonus program and also influences any changes in base salary.</w:t>
      </w:r>
    </w:p>
    <w:p>
      <w:pPr>
        <w:spacing w:after="0" w:line="179" w:lineRule="exact"/>
        <w:rPr>
          <w:sz w:val="20"/>
          <w:szCs w:val="20"/>
          <w:color w:val="auto"/>
        </w:rPr>
      </w:pPr>
    </w:p>
    <w:p>
      <w:pPr>
        <w:ind w:left="340" w:right="280" w:firstLine="486"/>
        <w:spacing w:after="0" w:line="237" w:lineRule="auto"/>
        <w:rPr>
          <w:sz w:val="20"/>
          <w:szCs w:val="20"/>
          <w:color w:val="auto"/>
        </w:rPr>
      </w:pPr>
      <w:r>
        <w:rPr>
          <w:rFonts w:ascii="Arial" w:cs="Arial" w:eastAsia="Arial" w:hAnsi="Arial"/>
          <w:sz w:val="18"/>
          <w:szCs w:val="18"/>
          <w:color w:val="auto"/>
        </w:rPr>
        <w:t>For Messrs. Chhibbar and Miglani, our Compensation Committee receives a performance assessment and compensation recommendation from our Vice Chairman and CEO. The performance assessments are based on each of our named executive officer’s respective self-evaluations and subsequent performance appraisals conducted by our Vice Chairman and CEO. Our Compensation Committee reviews the performance assessments of these executive officers with our Vice Chairman and CEO, and evaluates the achievement of established objectives by each executive officer and his or her business line (if applicable), as well as the executive officer’s contribution to our</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34" w:right="259" w:bottom="1440" w:gutter="0" w:footer="0" w:header="0"/>
        </w:sectPr>
      </w:pPr>
    </w:p>
    <w:bookmarkStart w:id="32" w:name="page33"/>
    <w:bookmarkEnd w:id="32"/>
    <w:p>
      <w:pPr>
        <w:jc w:val="both"/>
        <w:ind w:left="340" w:right="280"/>
        <w:spacing w:after="0"/>
        <w:rPr>
          <w:sz w:val="20"/>
          <w:szCs w:val="20"/>
          <w:color w:val="auto"/>
        </w:rPr>
      </w:pPr>
      <w:r>
        <w:rPr>
          <w:rFonts w:ascii="Arial" w:cs="Arial" w:eastAsia="Arial" w:hAnsi="Arial"/>
          <w:sz w:val="18"/>
          <w:szCs w:val="18"/>
          <w:color w:val="auto"/>
        </w:rPr>
        <w:t>performance, leadership accomplishments and overall competence. In determining the numerical performance rating that translates into specific payouts under our incentive bonus program and also influences any changes in base salary, our Compensation Committee may exercise its judgment based on our board of directors’ interactions with such executive officers.</w:t>
      </w:r>
    </w:p>
    <w:p>
      <w:pPr>
        <w:spacing w:after="0" w:line="171" w:lineRule="exact"/>
        <w:rPr>
          <w:sz w:val="20"/>
          <w:szCs w:val="20"/>
          <w:color w:val="auto"/>
        </w:rPr>
      </w:pPr>
    </w:p>
    <w:p>
      <w:pPr>
        <w:ind w:left="340" w:right="20" w:hanging="332"/>
        <w:spacing w:after="0" w:line="242"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Review of Peer Company Market Data</w:t>
      </w:r>
      <w:r>
        <w:rPr>
          <w:rFonts w:ascii="Arial" w:cs="Arial" w:eastAsia="Arial" w:hAnsi="Arial"/>
          <w:sz w:val="18"/>
          <w:szCs w:val="18"/>
          <w:color w:val="auto"/>
        </w:rPr>
        <w:t>. At the time compensation decisions were made for our U.S.-based and other senior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in 2015, our Compensation Committee reviewed publicly available compensation data for companies that are engaged in business and technology services like us. The Compensation Committee took into account whether the companies had market capitalizations or annual revenues similar to ours, as well as the relevance of their geographic areas. The companies that composed our peer group for 2015 were as follows:</w:t>
      </w:r>
    </w:p>
    <w:p>
      <w:pPr>
        <w:spacing w:after="0" w:line="186" w:lineRule="exact"/>
        <w:rPr>
          <w:sz w:val="20"/>
          <w:szCs w:val="20"/>
          <w:color w:val="auto"/>
        </w:rPr>
      </w:pPr>
    </w:p>
    <w:tbl>
      <w:tblPr>
        <w:tblLayout w:type="fixed"/>
        <w:tblInd w:w="980" w:type="dxa"/>
        <w:tblCellMar>
          <w:top w:w="0" w:type="dxa"/>
          <w:left w:w="0" w:type="dxa"/>
          <w:bottom w:w="0" w:type="dxa"/>
          <w:right w:w="0" w:type="dxa"/>
        </w:tblCellMar>
      </w:tblPr>
      <w:tr>
        <w:trPr>
          <w:trHeight w:val="207"/>
        </w:trPr>
        <w:tc>
          <w:tcPr>
            <w:tcW w:w="3560" w:type="dxa"/>
            <w:vAlign w:val="bottom"/>
            <w:shd w:val="clear" w:color="auto" w:fill="5591C7"/>
          </w:tcPr>
          <w:p>
            <w:pPr>
              <w:spacing w:after="0"/>
              <w:rPr>
                <w:sz w:val="17"/>
                <w:szCs w:val="17"/>
                <w:color w:val="auto"/>
              </w:rPr>
            </w:pPr>
          </w:p>
        </w:tc>
        <w:tc>
          <w:tcPr>
            <w:tcW w:w="6700" w:type="dxa"/>
            <w:vAlign w:val="bottom"/>
            <w:shd w:val="clear" w:color="auto" w:fill="5591C7"/>
          </w:tcPr>
          <w:p>
            <w:pPr>
              <w:ind w:left="580"/>
              <w:spacing w:after="0"/>
              <w:rPr>
                <w:sz w:val="20"/>
                <w:szCs w:val="20"/>
                <w:color w:val="auto"/>
              </w:rPr>
            </w:pPr>
            <w:r>
              <w:rPr>
                <w:rFonts w:ascii="Arial" w:cs="Arial" w:eastAsia="Arial" w:hAnsi="Arial"/>
                <w:sz w:val="18"/>
                <w:szCs w:val="18"/>
                <w:b w:val="1"/>
                <w:bCs w:val="1"/>
                <w:color w:val="auto"/>
              </w:rPr>
              <w:t>Peer Group Companies</w:t>
            </w:r>
          </w:p>
        </w:tc>
      </w:tr>
      <w:tr>
        <w:trPr>
          <w:trHeight w:val="203"/>
        </w:trPr>
        <w:tc>
          <w:tcPr>
            <w:tcW w:w="3560" w:type="dxa"/>
            <w:vAlign w:val="bottom"/>
            <w:shd w:val="clear" w:color="auto" w:fill="C6D9F1"/>
          </w:tcPr>
          <w:p>
            <w:pPr>
              <w:ind w:left="140"/>
              <w:spacing w:after="0" w:line="202" w:lineRule="exact"/>
              <w:rPr>
                <w:sz w:val="20"/>
                <w:szCs w:val="20"/>
                <w:color w:val="auto"/>
              </w:rPr>
            </w:pPr>
            <w:r>
              <w:rPr>
                <w:rFonts w:ascii="Arial" w:cs="Arial" w:eastAsia="Arial" w:hAnsi="Arial"/>
                <w:sz w:val="18"/>
                <w:szCs w:val="18"/>
                <w:color w:val="auto"/>
              </w:rPr>
              <w:t>Altisource Portfolio Solutions S.A.</w:t>
            </w:r>
          </w:p>
        </w:tc>
        <w:tc>
          <w:tcPr>
            <w:tcW w:w="6700" w:type="dxa"/>
            <w:vAlign w:val="bottom"/>
            <w:shd w:val="clear" w:color="auto" w:fill="C6D9F1"/>
          </w:tcPr>
          <w:p>
            <w:pPr>
              <w:ind w:left="1580"/>
              <w:spacing w:after="0" w:line="202" w:lineRule="exact"/>
              <w:rPr>
                <w:sz w:val="20"/>
                <w:szCs w:val="20"/>
                <w:color w:val="auto"/>
              </w:rPr>
            </w:pPr>
            <w:r>
              <w:rPr>
                <w:rFonts w:ascii="Arial" w:cs="Arial" w:eastAsia="Arial" w:hAnsi="Arial"/>
                <w:sz w:val="18"/>
                <w:szCs w:val="18"/>
                <w:color w:val="auto"/>
              </w:rPr>
              <w:t>IGATE Corporation</w:t>
            </w:r>
          </w:p>
        </w:tc>
      </w:tr>
      <w:tr>
        <w:trPr>
          <w:trHeight w:val="203"/>
        </w:trPr>
        <w:tc>
          <w:tcPr>
            <w:tcW w:w="3560" w:type="dxa"/>
            <w:vAlign w:val="bottom"/>
          </w:tcPr>
          <w:p>
            <w:pPr>
              <w:ind w:left="140"/>
              <w:spacing w:after="0" w:line="202" w:lineRule="exact"/>
              <w:rPr>
                <w:sz w:val="20"/>
                <w:szCs w:val="20"/>
                <w:color w:val="auto"/>
              </w:rPr>
            </w:pPr>
            <w:r>
              <w:rPr>
                <w:rFonts w:ascii="Arial" w:cs="Arial" w:eastAsia="Arial" w:hAnsi="Arial"/>
                <w:sz w:val="18"/>
                <w:szCs w:val="18"/>
                <w:color w:val="auto"/>
              </w:rPr>
              <w:t>Ciber, Inc.</w:t>
            </w:r>
          </w:p>
        </w:tc>
        <w:tc>
          <w:tcPr>
            <w:tcW w:w="6700" w:type="dxa"/>
            <w:vAlign w:val="bottom"/>
          </w:tcPr>
          <w:p>
            <w:pPr>
              <w:ind w:left="1580"/>
              <w:spacing w:after="0" w:line="202" w:lineRule="exact"/>
              <w:rPr>
                <w:sz w:val="20"/>
                <w:szCs w:val="20"/>
                <w:color w:val="auto"/>
              </w:rPr>
            </w:pPr>
            <w:r>
              <w:rPr>
                <w:rFonts w:ascii="Arial" w:cs="Arial" w:eastAsia="Arial" w:hAnsi="Arial"/>
                <w:sz w:val="18"/>
                <w:szCs w:val="18"/>
                <w:color w:val="auto"/>
              </w:rPr>
              <w:t>Sapient Corporation</w:t>
            </w:r>
          </w:p>
        </w:tc>
      </w:tr>
      <w:tr>
        <w:trPr>
          <w:trHeight w:val="203"/>
        </w:trPr>
        <w:tc>
          <w:tcPr>
            <w:tcW w:w="3560" w:type="dxa"/>
            <w:vAlign w:val="bottom"/>
            <w:shd w:val="clear" w:color="auto" w:fill="C6D9F1"/>
          </w:tcPr>
          <w:p>
            <w:pPr>
              <w:ind w:left="140"/>
              <w:spacing w:after="0" w:line="202" w:lineRule="exact"/>
              <w:rPr>
                <w:sz w:val="20"/>
                <w:szCs w:val="20"/>
                <w:color w:val="auto"/>
              </w:rPr>
            </w:pPr>
            <w:r>
              <w:rPr>
                <w:rFonts w:ascii="Arial" w:cs="Arial" w:eastAsia="Arial" w:hAnsi="Arial"/>
                <w:sz w:val="18"/>
                <w:szCs w:val="18"/>
                <w:color w:val="auto"/>
              </w:rPr>
              <w:t>Computer Task Group, Incorporated</w:t>
            </w:r>
          </w:p>
        </w:tc>
        <w:tc>
          <w:tcPr>
            <w:tcW w:w="6700" w:type="dxa"/>
            <w:vAlign w:val="bottom"/>
            <w:shd w:val="clear" w:color="auto" w:fill="C6D9F1"/>
          </w:tcPr>
          <w:p>
            <w:pPr>
              <w:ind w:left="1580"/>
              <w:spacing w:after="0" w:line="202" w:lineRule="exact"/>
              <w:rPr>
                <w:sz w:val="20"/>
                <w:szCs w:val="20"/>
                <w:color w:val="auto"/>
              </w:rPr>
            </w:pPr>
            <w:r>
              <w:rPr>
                <w:rFonts w:ascii="Arial" w:cs="Arial" w:eastAsia="Arial" w:hAnsi="Arial"/>
                <w:sz w:val="18"/>
                <w:szCs w:val="18"/>
                <w:color w:val="auto"/>
              </w:rPr>
              <w:t>Solera Holdings, Inc.</w:t>
            </w:r>
          </w:p>
        </w:tc>
      </w:tr>
      <w:tr>
        <w:trPr>
          <w:trHeight w:val="203"/>
        </w:trPr>
        <w:tc>
          <w:tcPr>
            <w:tcW w:w="3560" w:type="dxa"/>
            <w:vAlign w:val="bottom"/>
          </w:tcPr>
          <w:p>
            <w:pPr>
              <w:ind w:left="140"/>
              <w:spacing w:after="0" w:line="202" w:lineRule="exact"/>
              <w:rPr>
                <w:sz w:val="20"/>
                <w:szCs w:val="20"/>
                <w:color w:val="auto"/>
              </w:rPr>
            </w:pPr>
            <w:r>
              <w:rPr>
                <w:rFonts w:ascii="Arial" w:cs="Arial" w:eastAsia="Arial" w:hAnsi="Arial"/>
                <w:sz w:val="18"/>
                <w:szCs w:val="18"/>
                <w:color w:val="auto"/>
              </w:rPr>
              <w:t>Convergys Corporation</w:t>
            </w:r>
          </w:p>
        </w:tc>
        <w:tc>
          <w:tcPr>
            <w:tcW w:w="6700" w:type="dxa"/>
            <w:vAlign w:val="bottom"/>
          </w:tcPr>
          <w:p>
            <w:pPr>
              <w:ind w:left="1580"/>
              <w:spacing w:after="0" w:line="202" w:lineRule="exact"/>
              <w:rPr>
                <w:sz w:val="20"/>
                <w:szCs w:val="20"/>
                <w:color w:val="auto"/>
              </w:rPr>
            </w:pPr>
            <w:r>
              <w:rPr>
                <w:rFonts w:ascii="Arial" w:cs="Arial" w:eastAsia="Arial" w:hAnsi="Arial"/>
                <w:sz w:val="18"/>
                <w:szCs w:val="18"/>
                <w:color w:val="auto"/>
              </w:rPr>
              <w:t>Sykes Enterprises, Incorporated</w:t>
            </w:r>
          </w:p>
        </w:tc>
      </w:tr>
      <w:tr>
        <w:trPr>
          <w:trHeight w:val="203"/>
        </w:trPr>
        <w:tc>
          <w:tcPr>
            <w:tcW w:w="3560" w:type="dxa"/>
            <w:vAlign w:val="bottom"/>
            <w:shd w:val="clear" w:color="auto" w:fill="C6D9F1"/>
          </w:tcPr>
          <w:p>
            <w:pPr>
              <w:ind w:left="140"/>
              <w:spacing w:after="0" w:line="202" w:lineRule="exact"/>
              <w:rPr>
                <w:sz w:val="20"/>
                <w:szCs w:val="20"/>
                <w:color w:val="auto"/>
              </w:rPr>
            </w:pPr>
            <w:r>
              <w:rPr>
                <w:rFonts w:ascii="Arial" w:cs="Arial" w:eastAsia="Arial" w:hAnsi="Arial"/>
                <w:sz w:val="18"/>
                <w:szCs w:val="18"/>
                <w:color w:val="auto"/>
              </w:rPr>
              <w:t>CSG Systems International, Inc.</w:t>
            </w:r>
          </w:p>
        </w:tc>
        <w:tc>
          <w:tcPr>
            <w:tcW w:w="6700" w:type="dxa"/>
            <w:vAlign w:val="bottom"/>
            <w:shd w:val="clear" w:color="auto" w:fill="C6D9F1"/>
          </w:tcPr>
          <w:p>
            <w:pPr>
              <w:ind w:left="1580"/>
              <w:spacing w:after="0" w:line="202" w:lineRule="exact"/>
              <w:rPr>
                <w:sz w:val="20"/>
                <w:szCs w:val="20"/>
                <w:color w:val="auto"/>
              </w:rPr>
            </w:pPr>
            <w:r>
              <w:rPr>
                <w:rFonts w:ascii="Arial" w:cs="Arial" w:eastAsia="Arial" w:hAnsi="Arial"/>
                <w:sz w:val="18"/>
                <w:szCs w:val="18"/>
                <w:color w:val="auto"/>
              </w:rPr>
              <w:t>Syntel Inc.</w:t>
            </w:r>
          </w:p>
        </w:tc>
      </w:tr>
      <w:tr>
        <w:trPr>
          <w:trHeight w:val="203"/>
        </w:trPr>
        <w:tc>
          <w:tcPr>
            <w:tcW w:w="3560" w:type="dxa"/>
            <w:vAlign w:val="bottom"/>
          </w:tcPr>
          <w:p>
            <w:pPr>
              <w:ind w:left="140"/>
              <w:spacing w:after="0" w:line="202" w:lineRule="exact"/>
              <w:rPr>
                <w:sz w:val="20"/>
                <w:szCs w:val="20"/>
                <w:color w:val="auto"/>
              </w:rPr>
            </w:pPr>
            <w:r>
              <w:rPr>
                <w:rFonts w:ascii="Arial" w:cs="Arial" w:eastAsia="Arial" w:hAnsi="Arial"/>
                <w:sz w:val="18"/>
                <w:szCs w:val="18"/>
                <w:color w:val="auto"/>
              </w:rPr>
              <w:t>EPAM Systems, Inc.</w:t>
            </w:r>
          </w:p>
        </w:tc>
        <w:tc>
          <w:tcPr>
            <w:tcW w:w="6700" w:type="dxa"/>
            <w:vAlign w:val="bottom"/>
          </w:tcPr>
          <w:p>
            <w:pPr>
              <w:ind w:left="1580"/>
              <w:spacing w:after="0" w:line="202" w:lineRule="exact"/>
              <w:rPr>
                <w:sz w:val="20"/>
                <w:szCs w:val="20"/>
                <w:color w:val="auto"/>
              </w:rPr>
            </w:pPr>
            <w:r>
              <w:rPr>
                <w:rFonts w:ascii="Arial" w:cs="Arial" w:eastAsia="Arial" w:hAnsi="Arial"/>
                <w:sz w:val="18"/>
                <w:szCs w:val="18"/>
                <w:color w:val="auto"/>
              </w:rPr>
              <w:t>TeleTech Holdings, Inc.</w:t>
            </w:r>
          </w:p>
        </w:tc>
      </w:tr>
      <w:tr>
        <w:trPr>
          <w:trHeight w:val="203"/>
        </w:trPr>
        <w:tc>
          <w:tcPr>
            <w:tcW w:w="3560" w:type="dxa"/>
            <w:vAlign w:val="bottom"/>
            <w:shd w:val="clear" w:color="auto" w:fill="C6D9F1"/>
          </w:tcPr>
          <w:p>
            <w:pPr>
              <w:ind w:left="140"/>
              <w:spacing w:after="0" w:line="202" w:lineRule="exact"/>
              <w:rPr>
                <w:sz w:val="20"/>
                <w:szCs w:val="20"/>
                <w:color w:val="auto"/>
              </w:rPr>
            </w:pPr>
            <w:r>
              <w:rPr>
                <w:rFonts w:ascii="Arial" w:cs="Arial" w:eastAsia="Arial" w:hAnsi="Arial"/>
                <w:sz w:val="18"/>
                <w:szCs w:val="18"/>
                <w:color w:val="auto"/>
              </w:rPr>
              <w:t>Genpact Limited</w:t>
            </w:r>
          </w:p>
        </w:tc>
        <w:tc>
          <w:tcPr>
            <w:tcW w:w="6700" w:type="dxa"/>
            <w:vAlign w:val="bottom"/>
            <w:shd w:val="clear" w:color="auto" w:fill="C6D9F1"/>
          </w:tcPr>
          <w:p>
            <w:pPr>
              <w:ind w:left="1580"/>
              <w:spacing w:after="0" w:line="202" w:lineRule="exact"/>
              <w:rPr>
                <w:sz w:val="20"/>
                <w:szCs w:val="20"/>
                <w:color w:val="auto"/>
              </w:rPr>
            </w:pPr>
            <w:r>
              <w:rPr>
                <w:rFonts w:ascii="Arial" w:cs="Arial" w:eastAsia="Arial" w:hAnsi="Arial"/>
                <w:sz w:val="18"/>
                <w:szCs w:val="18"/>
                <w:color w:val="auto"/>
              </w:rPr>
              <w:t>Virtusa Corporation</w:t>
            </w:r>
          </w:p>
        </w:tc>
      </w:tr>
      <w:tr>
        <w:trPr>
          <w:trHeight w:val="217"/>
        </w:trPr>
        <w:tc>
          <w:tcPr>
            <w:tcW w:w="3560" w:type="dxa"/>
            <w:vAlign w:val="bottom"/>
          </w:tcPr>
          <w:p>
            <w:pPr>
              <w:ind w:left="140"/>
              <w:spacing w:after="0"/>
              <w:rPr>
                <w:sz w:val="20"/>
                <w:szCs w:val="20"/>
                <w:color w:val="auto"/>
              </w:rPr>
            </w:pPr>
            <w:r>
              <w:rPr>
                <w:rFonts w:ascii="Arial" w:cs="Arial" w:eastAsia="Arial" w:hAnsi="Arial"/>
                <w:sz w:val="18"/>
                <w:szCs w:val="18"/>
                <w:color w:val="auto"/>
              </w:rPr>
              <w:t>HMS Holdings Corp.</w:t>
            </w:r>
          </w:p>
        </w:tc>
        <w:tc>
          <w:tcPr>
            <w:tcW w:w="6700" w:type="dxa"/>
            <w:vAlign w:val="bottom"/>
          </w:tcPr>
          <w:p>
            <w:pPr>
              <w:ind w:left="1580"/>
              <w:spacing w:after="0"/>
              <w:rPr>
                <w:sz w:val="20"/>
                <w:szCs w:val="20"/>
                <w:color w:val="auto"/>
              </w:rPr>
            </w:pPr>
            <w:r>
              <w:rPr>
                <w:rFonts w:ascii="Arial" w:cs="Arial" w:eastAsia="Arial" w:hAnsi="Arial"/>
                <w:sz w:val="18"/>
                <w:szCs w:val="18"/>
                <w:color w:val="auto"/>
              </w:rPr>
              <w:t>WNS (Holdings) Limited</w:t>
            </w:r>
          </w:p>
        </w:tc>
      </w:tr>
    </w:tbl>
    <w:p>
      <w:pPr>
        <w:spacing w:after="0" w:line="187" w:lineRule="exact"/>
        <w:rPr>
          <w:sz w:val="20"/>
          <w:szCs w:val="20"/>
          <w:color w:val="auto"/>
        </w:rPr>
      </w:pPr>
    </w:p>
    <w:p>
      <w:pPr>
        <w:jc w:val="both"/>
        <w:ind w:left="340" w:firstLine="648"/>
        <w:spacing w:after="0" w:line="237" w:lineRule="auto"/>
        <w:rPr>
          <w:sz w:val="20"/>
          <w:szCs w:val="20"/>
          <w:color w:val="auto"/>
        </w:rPr>
      </w:pPr>
      <w:r>
        <w:rPr>
          <w:rFonts w:ascii="Arial" w:cs="Arial" w:eastAsia="Arial" w:hAnsi="Arial"/>
          <w:sz w:val="18"/>
          <w:szCs w:val="18"/>
          <w:color w:val="auto"/>
        </w:rPr>
        <w:t>The compensation data for our peer group is compiled directly by Cook &amp; Co., the independent consultant to the Compensation Committee. The peer group compensation data was supplemented by global general industry and technology industry survey data. The data from the surveys was scaled to our size by Cook &amp; Co. based on revenues or corresponding revenue ranges as provided by the surveys. While the Compensation Committee reviewed and considered the data provided by these surveys, it did not consider or review the compensation paid to executives at the component companies included within such surveys and did not use this information or any other data as a benchmark to set executive compensation for fiscal year 2015.</w:t>
      </w:r>
    </w:p>
    <w:p>
      <w:pPr>
        <w:spacing w:after="0" w:line="192" w:lineRule="exact"/>
        <w:rPr>
          <w:sz w:val="20"/>
          <w:szCs w:val="20"/>
          <w:color w:val="auto"/>
        </w:rPr>
      </w:pPr>
    </w:p>
    <w:p>
      <w:pPr>
        <w:jc w:val="both"/>
        <w:ind w:left="340" w:firstLine="648"/>
        <w:spacing w:after="0" w:line="239" w:lineRule="auto"/>
        <w:rPr>
          <w:sz w:val="20"/>
          <w:szCs w:val="20"/>
          <w:color w:val="auto"/>
        </w:rPr>
      </w:pPr>
      <w:r>
        <w:rPr>
          <w:rFonts w:ascii="Arial" w:cs="Arial" w:eastAsia="Arial" w:hAnsi="Arial"/>
          <w:sz w:val="18"/>
          <w:szCs w:val="18"/>
          <w:color w:val="auto"/>
        </w:rPr>
        <w:t>Our Compensation Committee uses the compensation data to obtain a general understanding of current market practices, so it can design our executive compensation program to be competitive. Market data is not used exclusively, but rather as a point of reference to draw comparisons and distinctions. The Compensation Committee also takes into account an executive officer’s job responsibilities, performance, qualifications and skills in determining individual compensation levels.</w:t>
      </w:r>
    </w:p>
    <w:p>
      <w:pPr>
        <w:spacing w:after="0" w:line="170" w:lineRule="exact"/>
        <w:rPr>
          <w:sz w:val="20"/>
          <w:szCs w:val="20"/>
          <w:color w:val="auto"/>
        </w:rPr>
      </w:pPr>
    </w:p>
    <w:p>
      <w:pPr>
        <w:ind w:left="340" w:right="220" w:hanging="332"/>
        <w:spacing w:after="0" w:line="241"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Total Compensation Review</w:t>
      </w:r>
      <w:r>
        <w:rPr>
          <w:rFonts w:ascii="Arial" w:cs="Arial" w:eastAsia="Arial" w:hAnsi="Arial"/>
          <w:sz w:val="18"/>
          <w:szCs w:val="18"/>
          <w:color w:val="auto"/>
        </w:rPr>
        <w:t>. Our Compensation Committee determines the categories and presentation of compensation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to evaluate each executive’s base pay, incentive bonus and equity incentives when changes in compensation are considered by our Compensation Committee and requests Cook &amp; Co. compile such information. Compensation decisions are designed to promote our fundamental business objectives and strategy. Our Compensation Committee periodically reviews related matters such as succession planning and management, evaluation of management performance, changes in the scope of managerial responsibilities, and consideration of the business environment, and considers such matters in making compensation decisions.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52" w:right="239" w:bottom="1440" w:gutter="0" w:footer="0" w:header="0"/>
        </w:sectPr>
      </w:pPr>
    </w:p>
    <w:bookmarkStart w:id="33" w:name="page34"/>
    <w:bookmarkEnd w:id="33"/>
    <w:p>
      <w:pPr>
        <w:ind w:left="340" w:right="20" w:hanging="332"/>
        <w:spacing w:after="0" w:line="239"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Role of the Compensation Committee’s Independent Compensation Consultant</w:t>
      </w:r>
      <w:r>
        <w:rPr>
          <w:rFonts w:ascii="Arial" w:cs="Arial" w:eastAsia="Arial" w:hAnsi="Arial"/>
          <w:sz w:val="18"/>
          <w:szCs w:val="18"/>
          <w:color w:val="auto"/>
        </w:rPr>
        <w:t>. For 2015, the Compensation Committee retained the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of Cook &amp; Co., a qualified and independent compensation consultant, to aid the Compensation Committee in performing its duties. The Compensation Committee’s compensation consultant assists in collecting and evaluating external market data regarding executive compensation and performance, selecting peer group companies, reviewing the proxy statement, and advising the Compensation Committee on developing trends and best practices in executive compensation, director compensation, and equity and incentive plan design. Other than performing these consulting services, Cook &amp; Co. does not provide other services to us or our executive officers. We have affirmatively determined that no conflict of interest has arisen in connection with the work of Cook &amp; Co. as compensation consultant for the Compensation Committee.</w:t>
      </w:r>
    </w:p>
    <w:p>
      <w:pPr>
        <w:spacing w:after="0" w:line="174"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i w:val="1"/>
          <w:iCs w:val="1"/>
          <w:color w:val="auto"/>
        </w:rPr>
        <w:t>Components of Executive Compensation for 2015</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2015, the compensation of executive officers consisted of the following five primary components: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6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Compensation</w:t>
            </w:r>
          </w:p>
        </w:tc>
        <w:tc>
          <w:tcPr>
            <w:tcW w:w="4460" w:type="dxa"/>
            <w:vAlign w:val="bottom"/>
            <w:shd w:val="clear" w:color="auto" w:fill="5591C7"/>
          </w:tcPr>
          <w:p>
            <w:pPr>
              <w:spacing w:after="0"/>
              <w:rPr>
                <w:sz w:val="14"/>
                <w:szCs w:val="14"/>
                <w:color w:val="auto"/>
              </w:rPr>
            </w:pPr>
          </w:p>
        </w:tc>
        <w:tc>
          <w:tcPr>
            <w:tcW w:w="4600" w:type="dxa"/>
            <w:vAlign w:val="bottom"/>
            <w:shd w:val="clear" w:color="auto" w:fill="5591C7"/>
          </w:tcPr>
          <w:p>
            <w:pPr>
              <w:spacing w:after="0"/>
              <w:rPr>
                <w:sz w:val="14"/>
                <w:szCs w:val="14"/>
                <w:color w:val="auto"/>
              </w:rPr>
            </w:pPr>
          </w:p>
        </w:tc>
      </w:tr>
      <w:tr>
        <w:trPr>
          <w:trHeight w:val="175"/>
        </w:trPr>
        <w:tc>
          <w:tcPr>
            <w:tcW w:w="2360" w:type="dxa"/>
            <w:vAlign w:val="bottom"/>
            <w:tcBorders>
              <w:bottom w:val="single" w:sz="8" w:color="auto"/>
            </w:tcBorders>
            <w:shd w:val="clear" w:color="auto" w:fill="5591C7"/>
          </w:tcPr>
          <w:p>
            <w:pPr>
              <w:jc w:val="center"/>
              <w:ind w:left="37"/>
              <w:spacing w:after="0"/>
              <w:rPr>
                <w:sz w:val="20"/>
                <w:szCs w:val="20"/>
                <w:color w:val="auto"/>
              </w:rPr>
            </w:pPr>
            <w:r>
              <w:rPr>
                <w:rFonts w:ascii="Arial" w:cs="Arial" w:eastAsia="Arial" w:hAnsi="Arial"/>
                <w:sz w:val="14"/>
                <w:szCs w:val="14"/>
                <w:b w:val="1"/>
                <w:bCs w:val="1"/>
                <w:color w:val="auto"/>
              </w:rPr>
              <w:t>Component</w:t>
            </w:r>
          </w:p>
        </w:tc>
        <w:tc>
          <w:tcPr>
            <w:tcW w:w="4460" w:type="dxa"/>
            <w:vAlign w:val="bottom"/>
            <w:tcBorders>
              <w:bottom w:val="single" w:sz="8" w:color="auto"/>
            </w:tcBorders>
            <w:shd w:val="clear" w:color="auto" w:fill="5591C7"/>
          </w:tcPr>
          <w:p>
            <w:pPr>
              <w:ind w:left="1920"/>
              <w:spacing w:after="0"/>
              <w:rPr>
                <w:sz w:val="20"/>
                <w:szCs w:val="20"/>
                <w:color w:val="auto"/>
              </w:rPr>
            </w:pPr>
            <w:r>
              <w:rPr>
                <w:rFonts w:ascii="Arial" w:cs="Arial" w:eastAsia="Arial" w:hAnsi="Arial"/>
                <w:sz w:val="14"/>
                <w:szCs w:val="14"/>
                <w:b w:val="1"/>
                <w:bCs w:val="1"/>
                <w:color w:val="auto"/>
              </w:rPr>
              <w:t>Description</w:t>
            </w:r>
          </w:p>
        </w:tc>
        <w:tc>
          <w:tcPr>
            <w:tcW w:w="4600" w:type="dxa"/>
            <w:vAlign w:val="bottom"/>
            <w:tcBorders>
              <w:bottom w:val="single" w:sz="8" w:color="auto"/>
            </w:tcBorders>
            <w:shd w:val="clear" w:color="auto" w:fill="5591C7"/>
          </w:tcPr>
          <w:p>
            <w:pPr>
              <w:ind w:left="2040"/>
              <w:spacing w:after="0"/>
              <w:rPr>
                <w:sz w:val="20"/>
                <w:szCs w:val="20"/>
                <w:color w:val="auto"/>
              </w:rPr>
            </w:pPr>
            <w:r>
              <w:rPr>
                <w:rFonts w:ascii="Arial" w:cs="Arial" w:eastAsia="Arial" w:hAnsi="Arial"/>
                <w:sz w:val="14"/>
                <w:szCs w:val="14"/>
                <w:b w:val="1"/>
                <w:bCs w:val="1"/>
                <w:color w:val="auto"/>
              </w:rPr>
              <w:t>Objectives</w:t>
            </w:r>
          </w:p>
        </w:tc>
      </w:tr>
      <w:tr>
        <w:trPr>
          <w:trHeight w:val="209"/>
        </w:trPr>
        <w:tc>
          <w:tcPr>
            <w:tcW w:w="2360" w:type="dxa"/>
            <w:vAlign w:val="bottom"/>
            <w:shd w:val="clear" w:color="auto" w:fill="C6D9F1"/>
          </w:tcPr>
          <w:p>
            <w:pPr>
              <w:ind w:left="180"/>
              <w:spacing w:after="0"/>
              <w:rPr>
                <w:sz w:val="20"/>
                <w:szCs w:val="20"/>
                <w:color w:val="auto"/>
              </w:rPr>
            </w:pPr>
            <w:r>
              <w:rPr>
                <w:rFonts w:ascii="Arial" w:cs="Arial" w:eastAsia="Arial" w:hAnsi="Arial"/>
                <w:sz w:val="18"/>
                <w:szCs w:val="18"/>
                <w:b w:val="1"/>
                <w:bCs w:val="1"/>
                <w:color w:val="auto"/>
              </w:rPr>
              <w:t>Base Salary</w:t>
            </w:r>
          </w:p>
        </w:tc>
        <w:tc>
          <w:tcPr>
            <w:tcW w:w="4460" w:type="dxa"/>
            <w:vAlign w:val="bottom"/>
            <w:shd w:val="clear" w:color="auto" w:fill="C6D9F1"/>
          </w:tcPr>
          <w:p>
            <w:pPr>
              <w:ind w:left="340"/>
              <w:spacing w:after="0"/>
              <w:rPr>
                <w:sz w:val="20"/>
                <w:szCs w:val="20"/>
                <w:color w:val="auto"/>
              </w:rPr>
            </w:pPr>
            <w:r>
              <w:rPr>
                <w:rFonts w:ascii="Arial" w:cs="Arial" w:eastAsia="Arial" w:hAnsi="Arial"/>
                <w:sz w:val="18"/>
                <w:szCs w:val="18"/>
                <w:color w:val="auto"/>
              </w:rPr>
              <w:t>·   Fixed compensation that is reviewed annually</w:t>
            </w:r>
          </w:p>
        </w:tc>
        <w:tc>
          <w:tcPr>
            <w:tcW w:w="4600" w:type="dxa"/>
            <w:vAlign w:val="bottom"/>
            <w:shd w:val="clear" w:color="auto" w:fill="C6D9F1"/>
          </w:tcPr>
          <w:p>
            <w:pPr>
              <w:ind w:left="200"/>
              <w:spacing w:after="0"/>
              <w:rPr>
                <w:sz w:val="20"/>
                <w:szCs w:val="20"/>
                <w:color w:val="auto"/>
              </w:rPr>
            </w:pPr>
            <w:r>
              <w:rPr>
                <w:rFonts w:ascii="Arial" w:cs="Arial" w:eastAsia="Arial" w:hAnsi="Arial"/>
                <w:sz w:val="18"/>
                <w:szCs w:val="18"/>
                <w:color w:val="auto"/>
              </w:rPr>
              <w:t>·   Provide a base level of compensation that</w:t>
            </w:r>
          </w:p>
        </w:tc>
      </w:tr>
      <w:tr>
        <w:trPr>
          <w:trHeight w:val="189"/>
        </w:trPr>
        <w:tc>
          <w:tcPr>
            <w:tcW w:w="2360" w:type="dxa"/>
            <w:vAlign w:val="bottom"/>
            <w:shd w:val="clear" w:color="auto" w:fill="C6D9F1"/>
          </w:tcPr>
          <w:p>
            <w:pPr>
              <w:spacing w:after="0"/>
              <w:rPr>
                <w:sz w:val="16"/>
                <w:szCs w:val="16"/>
                <w:color w:val="auto"/>
              </w:rPr>
            </w:pPr>
          </w:p>
        </w:tc>
        <w:tc>
          <w:tcPr>
            <w:tcW w:w="4460" w:type="dxa"/>
            <w:vAlign w:val="bottom"/>
            <w:shd w:val="clear" w:color="auto" w:fill="C6D9F1"/>
          </w:tcPr>
          <w:p>
            <w:pPr>
              <w:ind w:left="660"/>
              <w:spacing w:after="0" w:line="189" w:lineRule="exact"/>
              <w:rPr>
                <w:sz w:val="20"/>
                <w:szCs w:val="20"/>
                <w:color w:val="auto"/>
              </w:rPr>
            </w:pPr>
            <w:r>
              <w:rPr>
                <w:rFonts w:ascii="Arial" w:cs="Arial" w:eastAsia="Arial" w:hAnsi="Arial"/>
                <w:sz w:val="18"/>
                <w:szCs w:val="18"/>
                <w:color w:val="auto"/>
              </w:rPr>
              <w:t>and is based on performance, experience,</w:t>
            </w:r>
          </w:p>
        </w:tc>
        <w:tc>
          <w:tcPr>
            <w:tcW w:w="4600" w:type="dxa"/>
            <w:vAlign w:val="bottom"/>
            <w:shd w:val="clear" w:color="auto" w:fill="C6D9F1"/>
          </w:tcPr>
          <w:p>
            <w:pPr>
              <w:ind w:left="520"/>
              <w:spacing w:after="0" w:line="189" w:lineRule="exact"/>
              <w:rPr>
                <w:sz w:val="20"/>
                <w:szCs w:val="20"/>
                <w:color w:val="auto"/>
              </w:rPr>
            </w:pPr>
            <w:r>
              <w:rPr>
                <w:rFonts w:ascii="Arial" w:cs="Arial" w:eastAsia="Arial" w:hAnsi="Arial"/>
                <w:sz w:val="18"/>
                <w:szCs w:val="18"/>
                <w:color w:val="auto"/>
              </w:rPr>
              <w:t>corresponds to the job function performed.</w:t>
            </w:r>
          </w:p>
        </w:tc>
      </w:tr>
      <w:tr>
        <w:trPr>
          <w:trHeight w:val="230"/>
        </w:trPr>
        <w:tc>
          <w:tcPr>
            <w:tcW w:w="2360" w:type="dxa"/>
            <w:vAlign w:val="bottom"/>
            <w:shd w:val="clear" w:color="auto" w:fill="C6D9F1"/>
          </w:tcPr>
          <w:p>
            <w:pPr>
              <w:spacing w:after="0"/>
              <w:rPr>
                <w:sz w:val="19"/>
                <w:szCs w:val="19"/>
                <w:color w:val="auto"/>
              </w:rPr>
            </w:pPr>
          </w:p>
        </w:tc>
        <w:tc>
          <w:tcPr>
            <w:tcW w:w="4460" w:type="dxa"/>
            <w:vAlign w:val="bottom"/>
            <w:shd w:val="clear" w:color="auto" w:fill="C6D9F1"/>
          </w:tcPr>
          <w:p>
            <w:pPr>
              <w:ind w:left="660"/>
              <w:spacing w:after="0"/>
              <w:rPr>
                <w:sz w:val="20"/>
                <w:szCs w:val="20"/>
                <w:color w:val="auto"/>
              </w:rPr>
            </w:pPr>
            <w:r>
              <w:rPr>
                <w:rFonts w:ascii="Arial" w:cs="Arial" w:eastAsia="Arial" w:hAnsi="Arial"/>
                <w:sz w:val="18"/>
                <w:szCs w:val="18"/>
                <w:color w:val="auto"/>
              </w:rPr>
              <w:t>responsibilities, skill set and market value.</w:t>
            </w:r>
          </w:p>
        </w:tc>
        <w:tc>
          <w:tcPr>
            <w:tcW w:w="4600" w:type="dxa"/>
            <w:vAlign w:val="bottom"/>
            <w:shd w:val="clear" w:color="auto" w:fill="C6D9F1"/>
          </w:tcPr>
          <w:p>
            <w:pPr>
              <w:ind w:left="200"/>
              <w:spacing w:after="0"/>
              <w:rPr>
                <w:sz w:val="20"/>
                <w:szCs w:val="20"/>
                <w:color w:val="auto"/>
              </w:rPr>
            </w:pPr>
            <w:r>
              <w:rPr>
                <w:rFonts w:ascii="Arial" w:cs="Arial" w:eastAsia="Arial" w:hAnsi="Arial"/>
                <w:sz w:val="18"/>
                <w:szCs w:val="18"/>
                <w:color w:val="auto"/>
              </w:rPr>
              <w:t>·   Attract, retain, reward and motivate qualified and</w:t>
            </w:r>
          </w:p>
        </w:tc>
      </w:tr>
      <w:tr>
        <w:trPr>
          <w:trHeight w:val="203"/>
        </w:trPr>
        <w:tc>
          <w:tcPr>
            <w:tcW w:w="2360" w:type="dxa"/>
            <w:vAlign w:val="bottom"/>
            <w:shd w:val="clear" w:color="auto" w:fill="C6D9F1"/>
          </w:tcPr>
          <w:p>
            <w:pPr>
              <w:spacing w:after="0"/>
              <w:rPr>
                <w:sz w:val="17"/>
                <w:szCs w:val="17"/>
                <w:color w:val="auto"/>
              </w:rPr>
            </w:pPr>
          </w:p>
        </w:tc>
        <w:tc>
          <w:tcPr>
            <w:tcW w:w="4460" w:type="dxa"/>
            <w:vAlign w:val="bottom"/>
            <w:shd w:val="clear" w:color="auto" w:fill="C6D9F1"/>
          </w:tcPr>
          <w:p>
            <w:pPr>
              <w:spacing w:after="0"/>
              <w:rPr>
                <w:sz w:val="17"/>
                <w:szCs w:val="17"/>
                <w:color w:val="auto"/>
              </w:rPr>
            </w:pPr>
          </w:p>
        </w:tc>
        <w:tc>
          <w:tcPr>
            <w:tcW w:w="4600" w:type="dxa"/>
            <w:vAlign w:val="bottom"/>
            <w:shd w:val="clear" w:color="auto" w:fill="C6D9F1"/>
          </w:tcPr>
          <w:p>
            <w:pPr>
              <w:ind w:left="520"/>
              <w:spacing w:after="0" w:line="203" w:lineRule="exact"/>
              <w:rPr>
                <w:sz w:val="20"/>
                <w:szCs w:val="20"/>
                <w:color w:val="auto"/>
              </w:rPr>
            </w:pPr>
            <w:r>
              <w:rPr>
                <w:rFonts w:ascii="Arial" w:cs="Arial" w:eastAsia="Arial" w:hAnsi="Arial"/>
                <w:sz w:val="18"/>
                <w:szCs w:val="18"/>
                <w:color w:val="auto"/>
              </w:rPr>
              <w:t>experienced executives.</w:t>
            </w:r>
          </w:p>
        </w:tc>
      </w:tr>
      <w:tr>
        <w:trPr>
          <w:trHeight w:val="215"/>
        </w:trPr>
        <w:tc>
          <w:tcPr>
            <w:tcW w:w="2360" w:type="dxa"/>
            <w:vAlign w:val="bottom"/>
          </w:tcPr>
          <w:p>
            <w:pPr>
              <w:ind w:left="180"/>
              <w:spacing w:after="0"/>
              <w:rPr>
                <w:sz w:val="20"/>
                <w:szCs w:val="20"/>
                <w:color w:val="auto"/>
              </w:rPr>
            </w:pPr>
            <w:r>
              <w:rPr>
                <w:rFonts w:ascii="Arial" w:cs="Arial" w:eastAsia="Arial" w:hAnsi="Arial"/>
                <w:sz w:val="18"/>
                <w:szCs w:val="18"/>
                <w:b w:val="1"/>
                <w:bCs w:val="1"/>
                <w:color w:val="auto"/>
              </w:rPr>
              <w:t>Annual Incentives</w:t>
            </w:r>
          </w:p>
        </w:tc>
        <w:tc>
          <w:tcPr>
            <w:tcW w:w="4460" w:type="dxa"/>
            <w:vAlign w:val="bottom"/>
          </w:tcPr>
          <w:p>
            <w:pPr>
              <w:ind w:left="340"/>
              <w:spacing w:after="0"/>
              <w:rPr>
                <w:sz w:val="20"/>
                <w:szCs w:val="20"/>
                <w:color w:val="auto"/>
              </w:rPr>
            </w:pPr>
            <w:r>
              <w:rPr>
                <w:rFonts w:ascii="Arial" w:cs="Arial" w:eastAsia="Arial" w:hAnsi="Arial"/>
                <w:sz w:val="18"/>
                <w:szCs w:val="18"/>
                <w:color w:val="auto"/>
              </w:rPr>
              <w:t>·   “At-risk” compensation earned based on</w:t>
            </w:r>
          </w:p>
        </w:tc>
        <w:tc>
          <w:tcPr>
            <w:tcW w:w="4600" w:type="dxa"/>
            <w:vAlign w:val="bottom"/>
          </w:tcPr>
          <w:p>
            <w:pPr>
              <w:ind w:left="200"/>
              <w:spacing w:after="0"/>
              <w:rPr>
                <w:sz w:val="20"/>
                <w:szCs w:val="20"/>
                <w:color w:val="auto"/>
              </w:rPr>
            </w:pPr>
            <w:r>
              <w:rPr>
                <w:rFonts w:ascii="Arial" w:cs="Arial" w:eastAsia="Arial" w:hAnsi="Arial"/>
                <w:sz w:val="18"/>
                <w:szCs w:val="18"/>
                <w:color w:val="auto"/>
              </w:rPr>
              <w:t>·   Incentivize executives to achieve annual goals that</w:t>
            </w:r>
          </w:p>
        </w:tc>
      </w:tr>
      <w:tr>
        <w:trPr>
          <w:trHeight w:val="203"/>
        </w:trPr>
        <w:tc>
          <w:tcPr>
            <w:tcW w:w="2360" w:type="dxa"/>
            <w:vAlign w:val="bottom"/>
          </w:tcPr>
          <w:p>
            <w:pPr>
              <w:spacing w:after="0"/>
              <w:rPr>
                <w:sz w:val="17"/>
                <w:szCs w:val="17"/>
                <w:color w:val="auto"/>
              </w:rPr>
            </w:pPr>
          </w:p>
        </w:tc>
        <w:tc>
          <w:tcPr>
            <w:tcW w:w="4460" w:type="dxa"/>
            <w:vAlign w:val="bottom"/>
          </w:tcPr>
          <w:p>
            <w:pPr>
              <w:ind w:left="660"/>
              <w:spacing w:after="0" w:line="202" w:lineRule="exact"/>
              <w:rPr>
                <w:sz w:val="20"/>
                <w:szCs w:val="20"/>
                <w:color w:val="auto"/>
              </w:rPr>
            </w:pPr>
            <w:r>
              <w:rPr>
                <w:rFonts w:ascii="Arial" w:cs="Arial" w:eastAsia="Arial" w:hAnsi="Arial"/>
                <w:sz w:val="18"/>
                <w:szCs w:val="18"/>
                <w:color w:val="auto"/>
              </w:rPr>
              <w:t>performance measured against pre-</w:t>
            </w:r>
          </w:p>
        </w:tc>
        <w:tc>
          <w:tcPr>
            <w:tcW w:w="4600" w:type="dxa"/>
            <w:vAlign w:val="bottom"/>
          </w:tcPr>
          <w:p>
            <w:pPr>
              <w:ind w:left="520"/>
              <w:spacing w:after="0" w:line="202" w:lineRule="exact"/>
              <w:rPr>
                <w:sz w:val="20"/>
                <w:szCs w:val="20"/>
                <w:color w:val="auto"/>
              </w:rPr>
            </w:pPr>
            <w:r>
              <w:rPr>
                <w:rFonts w:ascii="Arial" w:cs="Arial" w:eastAsia="Arial" w:hAnsi="Arial"/>
                <w:sz w:val="18"/>
                <w:szCs w:val="18"/>
                <w:color w:val="auto"/>
              </w:rPr>
              <w:t>ultimately contribute to long-term company growth</w:t>
            </w:r>
          </w:p>
        </w:tc>
      </w:tr>
      <w:tr>
        <w:trPr>
          <w:trHeight w:val="189"/>
        </w:trPr>
        <w:tc>
          <w:tcPr>
            <w:tcW w:w="2360" w:type="dxa"/>
            <w:vAlign w:val="bottom"/>
          </w:tcPr>
          <w:p>
            <w:pPr>
              <w:spacing w:after="0"/>
              <w:rPr>
                <w:sz w:val="16"/>
                <w:szCs w:val="16"/>
                <w:color w:val="auto"/>
              </w:rPr>
            </w:pPr>
          </w:p>
        </w:tc>
        <w:tc>
          <w:tcPr>
            <w:tcW w:w="4460" w:type="dxa"/>
            <w:vAlign w:val="bottom"/>
          </w:tcPr>
          <w:p>
            <w:pPr>
              <w:ind w:left="660"/>
              <w:spacing w:after="0" w:line="189" w:lineRule="exact"/>
              <w:rPr>
                <w:sz w:val="20"/>
                <w:szCs w:val="20"/>
                <w:color w:val="auto"/>
              </w:rPr>
            </w:pPr>
            <w:r>
              <w:rPr>
                <w:rFonts w:ascii="Arial" w:cs="Arial" w:eastAsia="Arial" w:hAnsi="Arial"/>
                <w:sz w:val="18"/>
                <w:szCs w:val="18"/>
                <w:color w:val="auto"/>
              </w:rPr>
              <w:t>established annual goals.</w:t>
            </w:r>
          </w:p>
        </w:tc>
        <w:tc>
          <w:tcPr>
            <w:tcW w:w="4600" w:type="dxa"/>
            <w:vAlign w:val="bottom"/>
          </w:tcPr>
          <w:p>
            <w:pPr>
              <w:ind w:left="520"/>
              <w:spacing w:after="0" w:line="189" w:lineRule="exact"/>
              <w:rPr>
                <w:sz w:val="20"/>
                <w:szCs w:val="20"/>
                <w:color w:val="auto"/>
              </w:rPr>
            </w:pPr>
            <w:r>
              <w:rPr>
                <w:rFonts w:ascii="Arial" w:cs="Arial" w:eastAsia="Arial" w:hAnsi="Arial"/>
                <w:sz w:val="18"/>
                <w:szCs w:val="18"/>
                <w:color w:val="auto"/>
              </w:rPr>
              <w:t>and stockholder return.</w:t>
            </w:r>
          </w:p>
        </w:tc>
      </w:tr>
      <w:tr>
        <w:trPr>
          <w:trHeight w:val="230"/>
        </w:trPr>
        <w:tc>
          <w:tcPr>
            <w:tcW w:w="2360" w:type="dxa"/>
            <w:vAlign w:val="bottom"/>
          </w:tcPr>
          <w:p>
            <w:pPr>
              <w:spacing w:after="0"/>
              <w:rPr>
                <w:sz w:val="19"/>
                <w:szCs w:val="19"/>
                <w:color w:val="auto"/>
              </w:rPr>
            </w:pPr>
          </w:p>
        </w:tc>
        <w:tc>
          <w:tcPr>
            <w:tcW w:w="4460" w:type="dxa"/>
            <w:vAlign w:val="bottom"/>
          </w:tcPr>
          <w:p>
            <w:pPr>
              <w:ind w:left="340"/>
              <w:spacing w:after="0"/>
              <w:rPr>
                <w:sz w:val="20"/>
                <w:szCs w:val="20"/>
                <w:color w:val="auto"/>
              </w:rPr>
            </w:pPr>
            <w:r>
              <w:rPr>
                <w:rFonts w:ascii="Arial" w:cs="Arial" w:eastAsia="Arial" w:hAnsi="Arial"/>
                <w:sz w:val="18"/>
                <w:szCs w:val="18"/>
                <w:color w:val="auto"/>
              </w:rPr>
              <w:t>·   Goals are tailored to each executive’s</w:t>
            </w:r>
          </w:p>
        </w:tc>
        <w:tc>
          <w:tcPr>
            <w:tcW w:w="4600" w:type="dxa"/>
            <w:vAlign w:val="bottom"/>
          </w:tcPr>
          <w:p>
            <w:pPr>
              <w:spacing w:after="0"/>
              <w:rPr>
                <w:sz w:val="19"/>
                <w:szCs w:val="19"/>
                <w:color w:val="auto"/>
              </w:rPr>
            </w:pPr>
          </w:p>
        </w:tc>
      </w:tr>
      <w:tr>
        <w:trPr>
          <w:trHeight w:val="203"/>
        </w:trPr>
        <w:tc>
          <w:tcPr>
            <w:tcW w:w="2360" w:type="dxa"/>
            <w:vAlign w:val="bottom"/>
          </w:tcPr>
          <w:p>
            <w:pPr>
              <w:spacing w:after="0"/>
              <w:rPr>
                <w:sz w:val="17"/>
                <w:szCs w:val="17"/>
                <w:color w:val="auto"/>
              </w:rPr>
            </w:pPr>
          </w:p>
        </w:tc>
        <w:tc>
          <w:tcPr>
            <w:tcW w:w="4460" w:type="dxa"/>
            <w:vAlign w:val="bottom"/>
          </w:tcPr>
          <w:p>
            <w:pPr>
              <w:ind w:left="660"/>
              <w:spacing w:after="0" w:line="203" w:lineRule="exact"/>
              <w:rPr>
                <w:sz w:val="20"/>
                <w:szCs w:val="20"/>
                <w:color w:val="auto"/>
              </w:rPr>
            </w:pPr>
            <w:r>
              <w:rPr>
                <w:rFonts w:ascii="Arial" w:cs="Arial" w:eastAsia="Arial" w:hAnsi="Arial"/>
                <w:sz w:val="18"/>
                <w:szCs w:val="18"/>
                <w:color w:val="auto"/>
              </w:rPr>
              <w:t>position.</w:t>
            </w:r>
          </w:p>
        </w:tc>
        <w:tc>
          <w:tcPr>
            <w:tcW w:w="4600" w:type="dxa"/>
            <w:vAlign w:val="bottom"/>
          </w:tcPr>
          <w:p>
            <w:pPr>
              <w:spacing w:after="0"/>
              <w:rPr>
                <w:sz w:val="17"/>
                <w:szCs w:val="17"/>
                <w:color w:val="auto"/>
              </w:rPr>
            </w:pPr>
          </w:p>
        </w:tc>
      </w:tr>
      <w:tr>
        <w:trPr>
          <w:trHeight w:val="202"/>
        </w:trPr>
        <w:tc>
          <w:tcPr>
            <w:tcW w:w="2360" w:type="dxa"/>
            <w:vAlign w:val="bottom"/>
            <w:shd w:val="clear" w:color="auto" w:fill="C6D9F1"/>
          </w:tcPr>
          <w:p>
            <w:pPr>
              <w:ind w:left="180"/>
              <w:spacing w:after="0" w:line="201" w:lineRule="exact"/>
              <w:rPr>
                <w:sz w:val="20"/>
                <w:szCs w:val="20"/>
                <w:color w:val="auto"/>
              </w:rPr>
            </w:pPr>
            <w:r>
              <w:rPr>
                <w:rFonts w:ascii="Arial" w:cs="Arial" w:eastAsia="Arial" w:hAnsi="Arial"/>
                <w:sz w:val="18"/>
                <w:szCs w:val="18"/>
                <w:b w:val="1"/>
                <w:bCs w:val="1"/>
                <w:color w:val="auto"/>
              </w:rPr>
              <w:t>Long-Term Incentives</w:t>
            </w:r>
          </w:p>
        </w:tc>
        <w:tc>
          <w:tcPr>
            <w:tcW w:w="4460" w:type="dxa"/>
            <w:vAlign w:val="bottom"/>
            <w:shd w:val="clear" w:color="auto" w:fill="C6D9F1"/>
          </w:tcPr>
          <w:p>
            <w:pPr>
              <w:ind w:left="340"/>
              <w:spacing w:after="0" w:line="201" w:lineRule="exact"/>
              <w:rPr>
                <w:sz w:val="20"/>
                <w:szCs w:val="20"/>
                <w:color w:val="auto"/>
              </w:rPr>
            </w:pPr>
            <w:r>
              <w:rPr>
                <w:rFonts w:ascii="Arial" w:cs="Arial" w:eastAsia="Arial" w:hAnsi="Arial"/>
                <w:sz w:val="18"/>
                <w:szCs w:val="18"/>
                <w:color w:val="auto"/>
              </w:rPr>
              <w:t>·   “At-risk” compensation in the form of</w:t>
            </w:r>
          </w:p>
        </w:tc>
        <w:tc>
          <w:tcPr>
            <w:tcW w:w="4600" w:type="dxa"/>
            <w:vAlign w:val="bottom"/>
            <w:shd w:val="clear" w:color="auto" w:fill="C6D9F1"/>
          </w:tcPr>
          <w:p>
            <w:pPr>
              <w:ind w:left="200"/>
              <w:spacing w:after="0" w:line="201" w:lineRule="exact"/>
              <w:rPr>
                <w:sz w:val="20"/>
                <w:szCs w:val="20"/>
                <w:color w:val="auto"/>
              </w:rPr>
            </w:pPr>
            <w:r>
              <w:rPr>
                <w:rFonts w:ascii="Arial" w:cs="Arial" w:eastAsia="Arial" w:hAnsi="Arial"/>
                <w:sz w:val="18"/>
                <w:szCs w:val="18"/>
                <w:color w:val="auto"/>
              </w:rPr>
              <w:t>·   Align executive interests with those of stockholders.</w:t>
            </w:r>
          </w:p>
        </w:tc>
      </w:tr>
      <w:tr>
        <w:trPr>
          <w:trHeight w:val="216"/>
        </w:trPr>
        <w:tc>
          <w:tcPr>
            <w:tcW w:w="2360" w:type="dxa"/>
            <w:vAlign w:val="bottom"/>
            <w:shd w:val="clear" w:color="auto" w:fill="C6D9F1"/>
          </w:tcPr>
          <w:p>
            <w:pPr>
              <w:spacing w:after="0"/>
              <w:rPr>
                <w:sz w:val="18"/>
                <w:szCs w:val="18"/>
                <w:color w:val="auto"/>
              </w:rPr>
            </w:pPr>
          </w:p>
        </w:tc>
        <w:tc>
          <w:tcPr>
            <w:tcW w:w="4460" w:type="dxa"/>
            <w:vAlign w:val="bottom"/>
            <w:shd w:val="clear" w:color="auto" w:fill="C6D9F1"/>
          </w:tcPr>
          <w:p>
            <w:pPr>
              <w:ind w:left="660"/>
              <w:spacing w:after="0"/>
              <w:rPr>
                <w:sz w:val="20"/>
                <w:szCs w:val="20"/>
                <w:color w:val="auto"/>
              </w:rPr>
            </w:pPr>
            <w:r>
              <w:rPr>
                <w:rFonts w:ascii="Arial" w:cs="Arial" w:eastAsia="Arial" w:hAnsi="Arial"/>
                <w:sz w:val="18"/>
                <w:szCs w:val="18"/>
                <w:color w:val="auto"/>
              </w:rPr>
              <w:t>restricted stock unit awards whose value</w:t>
            </w:r>
          </w:p>
        </w:tc>
        <w:tc>
          <w:tcPr>
            <w:tcW w:w="4600" w:type="dxa"/>
            <w:vAlign w:val="bottom"/>
            <w:shd w:val="clear" w:color="auto" w:fill="C6D9F1"/>
          </w:tcPr>
          <w:p>
            <w:pPr>
              <w:ind w:left="200"/>
              <w:spacing w:after="0"/>
              <w:rPr>
                <w:sz w:val="20"/>
                <w:szCs w:val="20"/>
                <w:color w:val="auto"/>
              </w:rPr>
            </w:pPr>
            <w:r>
              <w:rPr>
                <w:rFonts w:ascii="Arial" w:cs="Arial" w:eastAsia="Arial" w:hAnsi="Arial"/>
                <w:sz w:val="18"/>
                <w:szCs w:val="18"/>
                <w:color w:val="auto"/>
              </w:rPr>
              <w:t>·   Reward continuous service with the company.</w:t>
            </w:r>
          </w:p>
        </w:tc>
      </w:tr>
      <w:tr>
        <w:trPr>
          <w:trHeight w:val="189"/>
        </w:trPr>
        <w:tc>
          <w:tcPr>
            <w:tcW w:w="2360" w:type="dxa"/>
            <w:vAlign w:val="bottom"/>
            <w:shd w:val="clear" w:color="auto" w:fill="C6D9F1"/>
          </w:tcPr>
          <w:p>
            <w:pPr>
              <w:spacing w:after="0"/>
              <w:rPr>
                <w:sz w:val="16"/>
                <w:szCs w:val="16"/>
                <w:color w:val="auto"/>
              </w:rPr>
            </w:pPr>
          </w:p>
        </w:tc>
        <w:tc>
          <w:tcPr>
            <w:tcW w:w="4460" w:type="dxa"/>
            <w:vAlign w:val="bottom"/>
            <w:shd w:val="clear" w:color="auto" w:fill="C6D9F1"/>
          </w:tcPr>
          <w:p>
            <w:pPr>
              <w:ind w:left="660"/>
              <w:spacing w:after="0" w:line="189" w:lineRule="exact"/>
              <w:rPr>
                <w:sz w:val="20"/>
                <w:szCs w:val="20"/>
                <w:color w:val="auto"/>
              </w:rPr>
            </w:pPr>
            <w:r>
              <w:rPr>
                <w:rFonts w:ascii="Arial" w:cs="Arial" w:eastAsia="Arial" w:hAnsi="Arial"/>
                <w:sz w:val="18"/>
                <w:szCs w:val="18"/>
                <w:color w:val="auto"/>
              </w:rPr>
              <w:t>fluctuates according to stockholder value.</w:t>
            </w:r>
          </w:p>
        </w:tc>
        <w:tc>
          <w:tcPr>
            <w:tcW w:w="4600" w:type="dxa"/>
            <w:vAlign w:val="bottom"/>
            <w:shd w:val="clear" w:color="auto" w:fill="C6D9F1"/>
          </w:tcPr>
          <w:p>
            <w:pPr>
              <w:ind w:left="200"/>
              <w:spacing w:after="0" w:line="189" w:lineRule="exact"/>
              <w:rPr>
                <w:sz w:val="20"/>
                <w:szCs w:val="20"/>
                <w:color w:val="auto"/>
              </w:rPr>
            </w:pPr>
            <w:r>
              <w:rPr>
                <w:rFonts w:ascii="Arial" w:cs="Arial" w:eastAsia="Arial" w:hAnsi="Arial"/>
                <w:sz w:val="18"/>
                <w:szCs w:val="18"/>
                <w:color w:val="auto"/>
              </w:rPr>
              <w:t>·   Incentivize executives to achieve goals that drive</w:t>
            </w:r>
          </w:p>
        </w:tc>
      </w:tr>
      <w:tr>
        <w:trPr>
          <w:trHeight w:val="230"/>
        </w:trPr>
        <w:tc>
          <w:tcPr>
            <w:tcW w:w="2360" w:type="dxa"/>
            <w:vAlign w:val="bottom"/>
            <w:shd w:val="clear" w:color="auto" w:fill="C6D9F1"/>
          </w:tcPr>
          <w:p>
            <w:pPr>
              <w:spacing w:after="0"/>
              <w:rPr>
                <w:sz w:val="19"/>
                <w:szCs w:val="19"/>
                <w:color w:val="auto"/>
              </w:rPr>
            </w:pPr>
          </w:p>
        </w:tc>
        <w:tc>
          <w:tcPr>
            <w:tcW w:w="4460" w:type="dxa"/>
            <w:vAlign w:val="bottom"/>
            <w:shd w:val="clear" w:color="auto" w:fill="C6D9F1"/>
          </w:tcPr>
          <w:p>
            <w:pPr>
              <w:ind w:left="340"/>
              <w:spacing w:after="0"/>
              <w:rPr>
                <w:sz w:val="20"/>
                <w:szCs w:val="20"/>
                <w:color w:val="auto"/>
              </w:rPr>
            </w:pPr>
            <w:r>
              <w:rPr>
                <w:rFonts w:ascii="Arial" w:cs="Arial" w:eastAsia="Arial" w:hAnsi="Arial"/>
                <w:sz w:val="18"/>
                <w:szCs w:val="18"/>
                <w:color w:val="auto"/>
              </w:rPr>
              <w:t>·   50% of the award vests based on continued</w:t>
            </w:r>
          </w:p>
        </w:tc>
        <w:tc>
          <w:tcPr>
            <w:tcW w:w="4600" w:type="dxa"/>
            <w:vAlign w:val="bottom"/>
            <w:shd w:val="clear" w:color="auto" w:fill="C6D9F1"/>
          </w:tcPr>
          <w:p>
            <w:pPr>
              <w:ind w:left="520"/>
              <w:spacing w:after="0"/>
              <w:rPr>
                <w:sz w:val="20"/>
                <w:szCs w:val="20"/>
                <w:color w:val="auto"/>
              </w:rPr>
            </w:pPr>
            <w:r>
              <w:rPr>
                <w:rFonts w:ascii="Arial" w:cs="Arial" w:eastAsia="Arial" w:hAnsi="Arial"/>
                <w:sz w:val="18"/>
                <w:szCs w:val="18"/>
                <w:color w:val="auto"/>
              </w:rPr>
              <w:t>company performance over the long-term.</w:t>
            </w:r>
          </w:p>
        </w:tc>
      </w:tr>
      <w:tr>
        <w:trPr>
          <w:trHeight w:val="189"/>
        </w:trPr>
        <w:tc>
          <w:tcPr>
            <w:tcW w:w="2360" w:type="dxa"/>
            <w:vAlign w:val="bottom"/>
            <w:shd w:val="clear" w:color="auto" w:fill="C6D9F1"/>
          </w:tcPr>
          <w:p>
            <w:pPr>
              <w:spacing w:after="0"/>
              <w:rPr>
                <w:sz w:val="16"/>
                <w:szCs w:val="16"/>
                <w:color w:val="auto"/>
              </w:rPr>
            </w:pPr>
          </w:p>
        </w:tc>
        <w:tc>
          <w:tcPr>
            <w:tcW w:w="4460" w:type="dxa"/>
            <w:vAlign w:val="bottom"/>
            <w:shd w:val="clear" w:color="auto" w:fill="C6D9F1"/>
          </w:tcPr>
          <w:p>
            <w:pPr>
              <w:ind w:left="660"/>
              <w:spacing w:after="0" w:line="189" w:lineRule="exact"/>
              <w:rPr>
                <w:sz w:val="20"/>
                <w:szCs w:val="20"/>
                <w:color w:val="auto"/>
              </w:rPr>
            </w:pPr>
            <w:r>
              <w:rPr>
                <w:rFonts w:ascii="Arial" w:cs="Arial" w:eastAsia="Arial" w:hAnsi="Arial"/>
                <w:sz w:val="18"/>
                <w:szCs w:val="18"/>
                <w:color w:val="auto"/>
              </w:rPr>
              <w:t>service.</w:t>
            </w:r>
          </w:p>
        </w:tc>
        <w:tc>
          <w:tcPr>
            <w:tcW w:w="4600" w:type="dxa"/>
            <w:vAlign w:val="bottom"/>
            <w:shd w:val="clear" w:color="auto" w:fill="C6D9F1"/>
          </w:tcPr>
          <w:p>
            <w:pPr>
              <w:spacing w:after="0"/>
              <w:rPr>
                <w:sz w:val="16"/>
                <w:szCs w:val="16"/>
                <w:color w:val="auto"/>
              </w:rPr>
            </w:pPr>
          </w:p>
        </w:tc>
      </w:tr>
      <w:tr>
        <w:trPr>
          <w:trHeight w:val="230"/>
        </w:trPr>
        <w:tc>
          <w:tcPr>
            <w:tcW w:w="2360" w:type="dxa"/>
            <w:vAlign w:val="bottom"/>
            <w:shd w:val="clear" w:color="auto" w:fill="C6D9F1"/>
          </w:tcPr>
          <w:p>
            <w:pPr>
              <w:spacing w:after="0"/>
              <w:rPr>
                <w:sz w:val="19"/>
                <w:szCs w:val="19"/>
                <w:color w:val="auto"/>
              </w:rPr>
            </w:pPr>
          </w:p>
        </w:tc>
        <w:tc>
          <w:tcPr>
            <w:tcW w:w="4460" w:type="dxa"/>
            <w:vAlign w:val="bottom"/>
            <w:shd w:val="clear" w:color="auto" w:fill="C6D9F1"/>
          </w:tcPr>
          <w:p>
            <w:pPr>
              <w:ind w:left="340"/>
              <w:spacing w:after="0"/>
              <w:rPr>
                <w:sz w:val="20"/>
                <w:szCs w:val="20"/>
                <w:color w:val="auto"/>
              </w:rPr>
            </w:pPr>
            <w:r>
              <w:rPr>
                <w:rFonts w:ascii="Arial" w:cs="Arial" w:eastAsia="Arial" w:hAnsi="Arial"/>
                <w:sz w:val="18"/>
                <w:szCs w:val="18"/>
                <w:color w:val="auto"/>
              </w:rPr>
              <w:t>·   50% vests based on achievement of revenue</w:t>
            </w:r>
          </w:p>
        </w:tc>
        <w:tc>
          <w:tcPr>
            <w:tcW w:w="4600" w:type="dxa"/>
            <w:vAlign w:val="bottom"/>
            <w:shd w:val="clear" w:color="auto" w:fill="C6D9F1"/>
          </w:tcPr>
          <w:p>
            <w:pPr>
              <w:spacing w:after="0"/>
              <w:rPr>
                <w:sz w:val="19"/>
                <w:szCs w:val="19"/>
                <w:color w:val="auto"/>
              </w:rPr>
            </w:pPr>
          </w:p>
        </w:tc>
      </w:tr>
      <w:tr>
        <w:trPr>
          <w:trHeight w:val="203"/>
        </w:trPr>
        <w:tc>
          <w:tcPr>
            <w:tcW w:w="2360" w:type="dxa"/>
            <w:vAlign w:val="bottom"/>
            <w:shd w:val="clear" w:color="auto" w:fill="C6D9F1"/>
          </w:tcPr>
          <w:p>
            <w:pPr>
              <w:spacing w:after="0"/>
              <w:rPr>
                <w:sz w:val="17"/>
                <w:szCs w:val="17"/>
                <w:color w:val="auto"/>
              </w:rPr>
            </w:pPr>
          </w:p>
        </w:tc>
        <w:tc>
          <w:tcPr>
            <w:tcW w:w="4460" w:type="dxa"/>
            <w:vAlign w:val="bottom"/>
            <w:shd w:val="clear" w:color="auto" w:fill="C6D9F1"/>
          </w:tcPr>
          <w:p>
            <w:pPr>
              <w:ind w:left="660"/>
              <w:spacing w:after="0" w:line="203" w:lineRule="exact"/>
              <w:rPr>
                <w:sz w:val="20"/>
                <w:szCs w:val="20"/>
                <w:color w:val="auto"/>
              </w:rPr>
            </w:pPr>
            <w:r>
              <w:rPr>
                <w:rFonts w:ascii="Arial" w:cs="Arial" w:eastAsia="Arial" w:hAnsi="Arial"/>
                <w:sz w:val="18"/>
                <w:szCs w:val="18"/>
                <w:color w:val="auto"/>
              </w:rPr>
              <w:t>and total stockholder return goals.</w:t>
            </w:r>
          </w:p>
        </w:tc>
        <w:tc>
          <w:tcPr>
            <w:tcW w:w="4600" w:type="dxa"/>
            <w:vAlign w:val="bottom"/>
            <w:shd w:val="clear" w:color="auto" w:fill="C6D9F1"/>
          </w:tcPr>
          <w:p>
            <w:pPr>
              <w:spacing w:after="0"/>
              <w:rPr>
                <w:sz w:val="17"/>
                <w:szCs w:val="17"/>
                <w:color w:val="auto"/>
              </w:rPr>
            </w:pPr>
          </w:p>
        </w:tc>
      </w:tr>
      <w:tr>
        <w:trPr>
          <w:trHeight w:val="662"/>
        </w:trPr>
        <w:tc>
          <w:tcPr>
            <w:tcW w:w="23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ind w:left="3260"/>
              <w:spacing w:after="0"/>
              <w:rPr>
                <w:sz w:val="20"/>
                <w:szCs w:val="20"/>
                <w:color w:val="auto"/>
              </w:rPr>
            </w:pPr>
            <w:r>
              <w:rPr>
                <w:rFonts w:ascii="Arial" w:cs="Arial" w:eastAsia="Arial" w:hAnsi="Arial"/>
                <w:sz w:val="18"/>
                <w:szCs w:val="18"/>
                <w:color w:val="auto"/>
              </w:rPr>
              <w:t>30</w:t>
            </w:r>
          </w:p>
        </w:tc>
        <w:tc>
          <w:tcPr>
            <w:tcW w:w="46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34" w:right="239" w:bottom="144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20" w:type="dxa"/>
            <w:vAlign w:val="bottom"/>
            <w:tcBorders>
              <w:bottom w:val="single" w:sz="8" w:color="auto"/>
            </w:tcBorders>
            <w:shd w:val="clear" w:color="auto" w:fill="5591C7"/>
          </w:tcPr>
          <w:p>
            <w:pPr>
              <w:ind w:left="320"/>
              <w:spacing w:after="0"/>
              <w:rPr>
                <w:sz w:val="20"/>
                <w:szCs w:val="20"/>
                <w:color w:val="auto"/>
              </w:rPr>
            </w:pPr>
            <w:r>
              <w:rPr>
                <w:rFonts w:ascii="Arial" w:cs="Arial" w:eastAsia="Arial" w:hAnsi="Arial"/>
                <w:sz w:val="14"/>
                <w:szCs w:val="14"/>
                <w:b w:val="1"/>
                <w:bCs w:val="1"/>
                <w:color w:val="auto"/>
              </w:rPr>
              <w:t>Compensation Component</w:t>
            </w:r>
          </w:p>
        </w:tc>
        <w:tc>
          <w:tcPr>
            <w:tcW w:w="4300" w:type="dxa"/>
            <w:vAlign w:val="bottom"/>
            <w:tcBorders>
              <w:bottom w:val="single" w:sz="8" w:color="auto"/>
            </w:tcBorders>
            <w:shd w:val="clear" w:color="auto" w:fill="5591C7"/>
          </w:tcPr>
          <w:p>
            <w:pPr>
              <w:ind w:left="1860"/>
              <w:spacing w:after="0"/>
              <w:rPr>
                <w:sz w:val="20"/>
                <w:szCs w:val="20"/>
                <w:color w:val="auto"/>
              </w:rPr>
            </w:pPr>
            <w:r>
              <w:rPr>
                <w:rFonts w:ascii="Arial" w:cs="Arial" w:eastAsia="Arial" w:hAnsi="Arial"/>
                <w:sz w:val="14"/>
                <w:szCs w:val="14"/>
                <w:b w:val="1"/>
                <w:bCs w:val="1"/>
                <w:color w:val="auto"/>
              </w:rPr>
              <w:t>Description</w:t>
            </w:r>
          </w:p>
        </w:tc>
        <w:tc>
          <w:tcPr>
            <w:tcW w:w="4700" w:type="dxa"/>
            <w:vAlign w:val="bottom"/>
            <w:tcBorders>
              <w:bottom w:val="single" w:sz="8" w:color="auto"/>
            </w:tcBorders>
            <w:shd w:val="clear" w:color="auto" w:fill="5591C7"/>
          </w:tcPr>
          <w:p>
            <w:pPr>
              <w:ind w:left="2140"/>
              <w:spacing w:after="0"/>
              <w:rPr>
                <w:sz w:val="20"/>
                <w:szCs w:val="20"/>
                <w:color w:val="auto"/>
              </w:rPr>
            </w:pPr>
            <w:r>
              <w:rPr>
                <w:rFonts w:ascii="Arial" w:cs="Arial" w:eastAsia="Arial" w:hAnsi="Arial"/>
                <w:sz w:val="14"/>
                <w:szCs w:val="14"/>
                <w:b w:val="1"/>
                <w:bCs w:val="1"/>
                <w:color w:val="auto"/>
              </w:rPr>
              <w:t>Objectives</w:t>
            </w:r>
          </w:p>
        </w:tc>
      </w:tr>
      <w:tr>
        <w:trPr>
          <w:trHeight w:val="209"/>
        </w:trPr>
        <w:tc>
          <w:tcPr>
            <w:tcW w:w="2420" w:type="dxa"/>
            <w:vAlign w:val="bottom"/>
          </w:tcPr>
          <w:p>
            <w:pPr>
              <w:ind w:left="180"/>
              <w:spacing w:after="0"/>
              <w:rPr>
                <w:sz w:val="20"/>
                <w:szCs w:val="20"/>
                <w:color w:val="auto"/>
              </w:rPr>
            </w:pPr>
            <w:r>
              <w:rPr>
                <w:rFonts w:ascii="Arial" w:cs="Arial" w:eastAsia="Arial" w:hAnsi="Arial"/>
                <w:sz w:val="18"/>
                <w:szCs w:val="18"/>
                <w:b w:val="1"/>
                <w:bCs w:val="1"/>
                <w:color w:val="auto"/>
              </w:rPr>
              <w:t>Other Benefits</w:t>
            </w:r>
          </w:p>
        </w:tc>
        <w:tc>
          <w:tcPr>
            <w:tcW w:w="4300" w:type="dxa"/>
            <w:vAlign w:val="bottom"/>
          </w:tcPr>
          <w:p>
            <w:pPr>
              <w:ind w:left="280"/>
              <w:spacing w:after="0"/>
              <w:rPr>
                <w:sz w:val="20"/>
                <w:szCs w:val="20"/>
                <w:color w:val="auto"/>
              </w:rPr>
            </w:pPr>
            <w:r>
              <w:rPr>
                <w:rFonts w:ascii="Arial" w:cs="Arial" w:eastAsia="Arial" w:hAnsi="Arial"/>
                <w:sz w:val="18"/>
                <w:szCs w:val="18"/>
                <w:color w:val="auto"/>
              </w:rPr>
              <w:t>·   Broad-based benefits provided to company</w:t>
            </w:r>
          </w:p>
        </w:tc>
        <w:tc>
          <w:tcPr>
            <w:tcW w:w="4700" w:type="dxa"/>
            <w:vAlign w:val="bottom"/>
          </w:tcPr>
          <w:p>
            <w:pPr>
              <w:ind w:left="300"/>
              <w:spacing w:after="0"/>
              <w:rPr>
                <w:sz w:val="20"/>
                <w:szCs w:val="20"/>
                <w:color w:val="auto"/>
              </w:rPr>
            </w:pPr>
            <w:r>
              <w:rPr>
                <w:rFonts w:ascii="Arial" w:cs="Arial" w:eastAsia="Arial" w:hAnsi="Arial"/>
                <w:sz w:val="18"/>
                <w:szCs w:val="18"/>
                <w:color w:val="auto"/>
              </w:rPr>
              <w:t>·   Provide a total compensation package that is</w:t>
            </w:r>
          </w:p>
        </w:tc>
      </w:tr>
    </w:tbl>
    <w:p>
      <w:pPr>
        <w:spacing w:after="0" w:line="1" w:lineRule="exact"/>
        <w:rPr>
          <w:sz w:val="20"/>
          <w:szCs w:val="20"/>
          <w:color w:val="auto"/>
        </w:rPr>
      </w:pPr>
    </w:p>
    <w:p>
      <w:pPr>
        <w:sectPr>
          <w:pgSz w:w="11900" w:h="16838" w:orient="portrait"/>
          <w:cols w:equalWidth="0" w:num="1">
            <w:col w:w="11420"/>
          </w:cols>
          <w:pgMar w:left="240" w:top="693" w:right="239" w:bottom="1440" w:gutter="0" w:footer="0" w:header="0"/>
        </w:sectPr>
      </w:pPr>
    </w:p>
    <w:p>
      <w:pPr>
        <w:ind w:left="3020"/>
        <w:spacing w:after="0" w:line="234" w:lineRule="auto"/>
        <w:rPr>
          <w:sz w:val="20"/>
          <w:szCs w:val="20"/>
          <w:color w:val="auto"/>
        </w:rPr>
      </w:pPr>
      <w:r>
        <w:rPr>
          <w:rFonts w:ascii="Arial" w:cs="Arial" w:eastAsia="Arial" w:hAnsi="Arial"/>
          <w:sz w:val="18"/>
          <w:szCs w:val="18"/>
          <w:color w:val="auto"/>
        </w:rPr>
        <w:t>employees (e.g., health and group</w:t>
      </w:r>
    </w:p>
    <w:p>
      <w:pPr>
        <w:ind w:left="3020"/>
        <w:spacing w:after="0" w:line="235" w:lineRule="auto"/>
        <w:rPr>
          <w:sz w:val="20"/>
          <w:szCs w:val="20"/>
          <w:color w:val="auto"/>
        </w:rPr>
      </w:pPr>
      <w:r>
        <w:rPr>
          <w:rFonts w:ascii="Arial" w:cs="Arial" w:eastAsia="Arial" w:hAnsi="Arial"/>
          <w:sz w:val="18"/>
          <w:szCs w:val="18"/>
          <w:color w:val="auto"/>
        </w:rPr>
        <w:t>insurance), a retirement savings plan and</w:t>
      </w:r>
    </w:p>
    <w:p>
      <w:pPr>
        <w:spacing w:after="0" w:line="1" w:lineRule="exact"/>
        <w:rPr>
          <w:sz w:val="20"/>
          <w:szCs w:val="20"/>
          <w:color w:val="auto"/>
        </w:rPr>
      </w:pPr>
    </w:p>
    <w:p>
      <w:pPr>
        <w:ind w:left="3020"/>
        <w:spacing w:after="0"/>
        <w:rPr>
          <w:sz w:val="20"/>
          <w:szCs w:val="20"/>
          <w:color w:val="auto"/>
        </w:rPr>
      </w:pPr>
      <w:r>
        <w:rPr>
          <w:rFonts w:ascii="Arial" w:cs="Arial" w:eastAsia="Arial" w:hAnsi="Arial"/>
          <w:sz w:val="17"/>
          <w:szCs w:val="17"/>
          <w:color w:val="auto"/>
        </w:rPr>
        <w:t>other personal benefits where appropriate.</w:t>
      </w:r>
    </w:p>
    <w:p>
      <w:pPr>
        <w:spacing w:after="0" w:line="20" w:lineRule="exact"/>
        <w:rPr>
          <w:sz w:val="20"/>
          <w:szCs w:val="20"/>
          <w:color w:val="auto"/>
        </w:rPr>
      </w:pPr>
      <w:r>
        <w:rPr>
          <w:sz w:val="20"/>
          <w:szCs w:val="20"/>
          <w:color w:val="auto"/>
        </w:rPr>
        <w:br w:type="column"/>
      </w:r>
    </w:p>
    <w:p>
      <w:pPr>
        <w:ind w:right="120"/>
        <w:spacing w:after="0" w:line="275" w:lineRule="auto"/>
        <w:rPr>
          <w:sz w:val="20"/>
          <w:szCs w:val="20"/>
          <w:color w:val="auto"/>
        </w:rPr>
      </w:pPr>
      <w:r>
        <w:rPr>
          <w:rFonts w:ascii="Arial" w:cs="Arial" w:eastAsia="Arial" w:hAnsi="Arial"/>
          <w:sz w:val="17"/>
          <w:szCs w:val="17"/>
          <w:color w:val="auto"/>
        </w:rPr>
        <w:t>competitive with the marketplace and addresses unique needs, especially for overseas executives.</w:t>
      </w:r>
    </w:p>
    <w:p>
      <w:pPr>
        <w:spacing w:after="0" w:line="153" w:lineRule="exact"/>
        <w:rPr>
          <w:sz w:val="20"/>
          <w:szCs w:val="20"/>
          <w:color w:val="auto"/>
        </w:rPr>
      </w:pPr>
    </w:p>
    <w:p>
      <w:pPr>
        <w:sectPr>
          <w:pgSz w:w="11900" w:h="16838" w:orient="portrait"/>
          <w:cols w:equalWidth="0" w:num="2">
            <w:col w:w="6620" w:space="720"/>
            <w:col w:w="4080"/>
          </w:cols>
          <w:pgMar w:left="240" w:top="693" w:right="2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2420" w:type="dxa"/>
            <w:vAlign w:val="bottom"/>
            <w:shd w:val="clear" w:color="auto" w:fill="C6D9F1"/>
          </w:tcPr>
          <w:p>
            <w:pPr>
              <w:ind w:left="180"/>
              <w:spacing w:after="0" w:line="188" w:lineRule="exact"/>
              <w:rPr>
                <w:sz w:val="20"/>
                <w:szCs w:val="20"/>
                <w:color w:val="auto"/>
              </w:rPr>
            </w:pPr>
            <w:r>
              <w:rPr>
                <w:rFonts w:ascii="Arial" w:cs="Arial" w:eastAsia="Arial" w:hAnsi="Arial"/>
                <w:sz w:val="18"/>
                <w:szCs w:val="18"/>
                <w:b w:val="1"/>
                <w:bCs w:val="1"/>
                <w:color w:val="auto"/>
              </w:rPr>
              <w:t>Severance and Change</w:t>
            </w:r>
          </w:p>
        </w:tc>
        <w:tc>
          <w:tcPr>
            <w:tcW w:w="440" w:type="dxa"/>
            <w:vAlign w:val="bottom"/>
            <w:shd w:val="clear" w:color="auto" w:fill="C6D9F1"/>
          </w:tcPr>
          <w:p>
            <w:pPr>
              <w:jc w:val="right"/>
              <w:ind w:right="30"/>
              <w:spacing w:after="0" w:line="188" w:lineRule="exact"/>
              <w:rPr>
                <w:sz w:val="20"/>
                <w:szCs w:val="20"/>
                <w:color w:val="auto"/>
              </w:rPr>
            </w:pPr>
            <w:r>
              <w:rPr>
                <w:rFonts w:ascii="Arial" w:cs="Arial" w:eastAsia="Arial" w:hAnsi="Arial"/>
                <w:sz w:val="18"/>
                <w:szCs w:val="18"/>
                <w:color w:val="auto"/>
              </w:rPr>
              <w:t>·</w:t>
            </w:r>
          </w:p>
        </w:tc>
        <w:tc>
          <w:tcPr>
            <w:tcW w:w="3640" w:type="dxa"/>
            <w:vAlign w:val="bottom"/>
            <w:shd w:val="clear" w:color="auto" w:fill="C6D9F1"/>
          </w:tcPr>
          <w:p>
            <w:pPr>
              <w:ind w:left="140"/>
              <w:spacing w:after="0" w:line="188" w:lineRule="exact"/>
              <w:rPr>
                <w:sz w:val="20"/>
                <w:szCs w:val="20"/>
                <w:color w:val="auto"/>
              </w:rPr>
            </w:pPr>
            <w:r>
              <w:rPr>
                <w:rFonts w:ascii="Arial" w:cs="Arial" w:eastAsia="Arial" w:hAnsi="Arial"/>
                <w:sz w:val="18"/>
                <w:szCs w:val="18"/>
                <w:color w:val="auto"/>
              </w:rPr>
              <w:t>Protect executives during potentially</w:t>
            </w:r>
          </w:p>
        </w:tc>
        <w:tc>
          <w:tcPr>
            <w:tcW w:w="4920" w:type="dxa"/>
            <w:vAlign w:val="bottom"/>
            <w:shd w:val="clear" w:color="auto" w:fill="C6D9F1"/>
          </w:tcPr>
          <w:p>
            <w:pPr>
              <w:ind w:left="520"/>
              <w:spacing w:after="0" w:line="188" w:lineRule="exact"/>
              <w:rPr>
                <w:sz w:val="20"/>
                <w:szCs w:val="20"/>
                <w:color w:val="auto"/>
              </w:rPr>
            </w:pPr>
            <w:r>
              <w:rPr>
                <w:rFonts w:ascii="Arial" w:cs="Arial" w:eastAsia="Arial" w:hAnsi="Arial"/>
                <w:sz w:val="18"/>
                <w:szCs w:val="18"/>
                <w:color w:val="auto"/>
              </w:rPr>
              <w:t>·   Allow executives to focus on generating</w:t>
            </w:r>
          </w:p>
        </w:tc>
        <w:tc>
          <w:tcPr>
            <w:tcW w:w="0" w:type="dxa"/>
            <w:vAlign w:val="bottom"/>
          </w:tcPr>
          <w:p>
            <w:pPr>
              <w:spacing w:after="0"/>
              <w:rPr>
                <w:sz w:val="1"/>
                <w:szCs w:val="1"/>
                <w:color w:val="auto"/>
              </w:rPr>
            </w:pPr>
          </w:p>
        </w:tc>
      </w:tr>
      <w:tr>
        <w:trPr>
          <w:trHeight w:val="238"/>
        </w:trPr>
        <w:tc>
          <w:tcPr>
            <w:tcW w:w="2420" w:type="dxa"/>
            <w:vAlign w:val="bottom"/>
            <w:shd w:val="clear" w:color="auto" w:fill="C6D9F1"/>
          </w:tcPr>
          <w:p>
            <w:pPr>
              <w:ind w:left="180"/>
              <w:spacing w:after="0"/>
              <w:rPr>
                <w:sz w:val="20"/>
                <w:szCs w:val="20"/>
                <w:color w:val="auto"/>
              </w:rPr>
            </w:pPr>
            <w:r>
              <w:rPr>
                <w:rFonts w:ascii="Arial" w:cs="Arial" w:eastAsia="Arial" w:hAnsi="Arial"/>
                <w:sz w:val="18"/>
                <w:szCs w:val="18"/>
                <w:b w:val="1"/>
                <w:bCs w:val="1"/>
                <w:color w:val="auto"/>
              </w:rPr>
              <w:t>in Control Protections</w:t>
            </w:r>
          </w:p>
        </w:tc>
        <w:tc>
          <w:tcPr>
            <w:tcW w:w="440" w:type="dxa"/>
            <w:vAlign w:val="bottom"/>
            <w:vMerge w:val="restart"/>
            <w:shd w:val="clear" w:color="auto" w:fill="C6D9F1"/>
          </w:tcPr>
          <w:p>
            <w:pPr>
              <w:jc w:val="right"/>
              <w:ind w:right="30"/>
              <w:spacing w:after="0"/>
              <w:rPr>
                <w:sz w:val="20"/>
                <w:szCs w:val="20"/>
                <w:color w:val="auto"/>
              </w:rPr>
            </w:pPr>
            <w:r>
              <w:rPr>
                <w:rFonts w:ascii="Arial" w:cs="Arial" w:eastAsia="Arial" w:hAnsi="Arial"/>
                <w:sz w:val="18"/>
                <w:szCs w:val="18"/>
                <w:color w:val="auto"/>
              </w:rPr>
              <w:t>·</w:t>
            </w:r>
          </w:p>
        </w:tc>
        <w:tc>
          <w:tcPr>
            <w:tcW w:w="3640" w:type="dxa"/>
            <w:vAlign w:val="bottom"/>
            <w:shd w:val="clear" w:color="auto" w:fill="C6D9F1"/>
          </w:tcPr>
          <w:p>
            <w:pPr>
              <w:ind w:left="160"/>
              <w:spacing w:after="0"/>
              <w:rPr>
                <w:sz w:val="20"/>
                <w:szCs w:val="20"/>
                <w:color w:val="auto"/>
              </w:rPr>
            </w:pPr>
            <w:r>
              <w:rPr>
                <w:rFonts w:ascii="Arial" w:cs="Arial" w:eastAsia="Arial" w:hAnsi="Arial"/>
                <w:sz w:val="18"/>
                <w:szCs w:val="18"/>
                <w:color w:val="auto"/>
              </w:rPr>
              <w:t>tumultuous corporate transaction.</w:t>
            </w:r>
          </w:p>
        </w:tc>
        <w:tc>
          <w:tcPr>
            <w:tcW w:w="4920" w:type="dxa"/>
            <w:vAlign w:val="bottom"/>
            <w:shd w:val="clear" w:color="auto" w:fill="C6D9F1"/>
          </w:tcPr>
          <w:p>
            <w:pPr>
              <w:ind w:left="840"/>
              <w:spacing w:after="0"/>
              <w:rPr>
                <w:sz w:val="20"/>
                <w:szCs w:val="20"/>
                <w:color w:val="auto"/>
              </w:rPr>
            </w:pPr>
            <w:r>
              <w:rPr>
                <w:rFonts w:ascii="Arial" w:cs="Arial" w:eastAsia="Arial" w:hAnsi="Arial"/>
                <w:sz w:val="18"/>
                <w:szCs w:val="18"/>
                <w:color w:val="auto"/>
              </w:rPr>
              <w:t>stockholder value during a change in control</w:t>
            </w:r>
          </w:p>
        </w:tc>
        <w:tc>
          <w:tcPr>
            <w:tcW w:w="0" w:type="dxa"/>
            <w:vAlign w:val="bottom"/>
          </w:tcPr>
          <w:p>
            <w:pPr>
              <w:spacing w:after="0"/>
              <w:rPr>
                <w:sz w:val="1"/>
                <w:szCs w:val="1"/>
                <w:color w:val="auto"/>
              </w:rPr>
            </w:pPr>
          </w:p>
        </w:tc>
      </w:tr>
      <w:tr>
        <w:trPr>
          <w:trHeight w:val="189"/>
        </w:trPr>
        <w:tc>
          <w:tcPr>
            <w:tcW w:w="2420" w:type="dxa"/>
            <w:vAlign w:val="bottom"/>
            <w:shd w:val="clear" w:color="auto" w:fill="C6D9F1"/>
          </w:tcPr>
          <w:p>
            <w:pPr>
              <w:spacing w:after="0"/>
              <w:rPr>
                <w:sz w:val="16"/>
                <w:szCs w:val="16"/>
                <w:color w:val="auto"/>
              </w:rPr>
            </w:pPr>
          </w:p>
        </w:tc>
        <w:tc>
          <w:tcPr>
            <w:tcW w:w="440" w:type="dxa"/>
            <w:vAlign w:val="bottom"/>
            <w:vMerge w:val="continue"/>
            <w:shd w:val="clear" w:color="auto" w:fill="C6D9F1"/>
          </w:tcPr>
          <w:p>
            <w:pPr>
              <w:spacing w:after="0"/>
              <w:rPr>
                <w:sz w:val="16"/>
                <w:szCs w:val="16"/>
                <w:color w:val="auto"/>
              </w:rPr>
            </w:pPr>
          </w:p>
        </w:tc>
        <w:tc>
          <w:tcPr>
            <w:tcW w:w="3640" w:type="dxa"/>
            <w:vAlign w:val="bottom"/>
            <w:shd w:val="clear" w:color="auto" w:fill="C6D9F1"/>
          </w:tcPr>
          <w:p>
            <w:pPr>
              <w:ind w:left="140"/>
              <w:spacing w:after="0" w:line="189" w:lineRule="exact"/>
              <w:rPr>
                <w:sz w:val="20"/>
                <w:szCs w:val="20"/>
                <w:color w:val="auto"/>
              </w:rPr>
            </w:pPr>
            <w:r>
              <w:rPr>
                <w:rFonts w:ascii="Arial" w:cs="Arial" w:eastAsia="Arial" w:hAnsi="Arial"/>
                <w:sz w:val="18"/>
                <w:szCs w:val="18"/>
                <w:color w:val="auto"/>
              </w:rPr>
              <w:t>Provide reduced post-employment</w:t>
            </w:r>
          </w:p>
        </w:tc>
        <w:tc>
          <w:tcPr>
            <w:tcW w:w="4920" w:type="dxa"/>
            <w:vAlign w:val="bottom"/>
            <w:shd w:val="clear" w:color="auto" w:fill="C6D9F1"/>
          </w:tcPr>
          <w:p>
            <w:pPr>
              <w:ind w:left="840"/>
              <w:spacing w:after="0" w:line="189" w:lineRule="exact"/>
              <w:rPr>
                <w:sz w:val="20"/>
                <w:szCs w:val="20"/>
                <w:color w:val="auto"/>
              </w:rPr>
            </w:pPr>
            <w:r>
              <w:rPr>
                <w:rFonts w:ascii="Arial" w:cs="Arial" w:eastAsia="Arial" w:hAnsi="Arial"/>
                <w:sz w:val="18"/>
                <w:szCs w:val="18"/>
                <w:color w:val="auto"/>
              </w:rPr>
              <w:t>transaction.</w:t>
            </w:r>
          </w:p>
        </w:tc>
        <w:tc>
          <w:tcPr>
            <w:tcW w:w="0" w:type="dxa"/>
            <w:vAlign w:val="bottom"/>
          </w:tcPr>
          <w:p>
            <w:pPr>
              <w:spacing w:after="0"/>
              <w:rPr>
                <w:sz w:val="1"/>
                <w:szCs w:val="1"/>
                <w:color w:val="auto"/>
              </w:rPr>
            </w:pPr>
          </w:p>
        </w:tc>
      </w:tr>
      <w:tr>
        <w:trPr>
          <w:trHeight w:val="230"/>
        </w:trPr>
        <w:tc>
          <w:tcPr>
            <w:tcW w:w="2420" w:type="dxa"/>
            <w:vAlign w:val="bottom"/>
            <w:shd w:val="clear" w:color="auto" w:fill="C6D9F1"/>
          </w:tcPr>
          <w:p>
            <w:pPr>
              <w:spacing w:after="0"/>
              <w:rPr>
                <w:sz w:val="19"/>
                <w:szCs w:val="19"/>
                <w:color w:val="auto"/>
              </w:rPr>
            </w:pPr>
          </w:p>
        </w:tc>
        <w:tc>
          <w:tcPr>
            <w:tcW w:w="440" w:type="dxa"/>
            <w:vAlign w:val="bottom"/>
            <w:shd w:val="clear" w:color="auto" w:fill="C6D9F1"/>
          </w:tcPr>
          <w:p>
            <w:pPr>
              <w:spacing w:after="0"/>
              <w:rPr>
                <w:sz w:val="19"/>
                <w:szCs w:val="19"/>
                <w:color w:val="auto"/>
              </w:rPr>
            </w:pPr>
          </w:p>
        </w:tc>
        <w:tc>
          <w:tcPr>
            <w:tcW w:w="3640" w:type="dxa"/>
            <w:vAlign w:val="bottom"/>
            <w:shd w:val="clear" w:color="auto" w:fill="C6D9F1"/>
          </w:tcPr>
          <w:p>
            <w:pPr>
              <w:ind w:left="160"/>
              <w:spacing w:after="0"/>
              <w:rPr>
                <w:sz w:val="20"/>
                <w:szCs w:val="20"/>
                <w:color w:val="auto"/>
              </w:rPr>
            </w:pPr>
            <w:r>
              <w:rPr>
                <w:rFonts w:ascii="Arial" w:cs="Arial" w:eastAsia="Arial" w:hAnsi="Arial"/>
                <w:sz w:val="18"/>
                <w:szCs w:val="18"/>
                <w:color w:val="auto"/>
              </w:rPr>
              <w:t>compensation upon other involuntary</w:t>
            </w:r>
          </w:p>
        </w:tc>
        <w:tc>
          <w:tcPr>
            <w:tcW w:w="4920" w:type="dxa"/>
            <w:vAlign w:val="bottom"/>
            <w:shd w:val="clear" w:color="auto" w:fill="C6D9F1"/>
          </w:tcPr>
          <w:p>
            <w:pPr>
              <w:ind w:left="520"/>
              <w:spacing w:after="0"/>
              <w:rPr>
                <w:sz w:val="20"/>
                <w:szCs w:val="20"/>
                <w:color w:val="auto"/>
              </w:rPr>
            </w:pPr>
            <w:r>
              <w:rPr>
                <w:rFonts w:ascii="Arial" w:cs="Arial" w:eastAsia="Arial" w:hAnsi="Arial"/>
                <w:sz w:val="18"/>
                <w:szCs w:val="18"/>
                <w:color w:val="auto"/>
              </w:rPr>
              <w:t>·   Provide market-competitive post-employment</w:t>
            </w:r>
          </w:p>
        </w:tc>
        <w:tc>
          <w:tcPr>
            <w:tcW w:w="0" w:type="dxa"/>
            <w:vAlign w:val="bottom"/>
          </w:tcPr>
          <w:p>
            <w:pPr>
              <w:spacing w:after="0"/>
              <w:rPr>
                <w:sz w:val="1"/>
                <w:szCs w:val="1"/>
                <w:color w:val="auto"/>
              </w:rPr>
            </w:pPr>
          </w:p>
        </w:tc>
      </w:tr>
      <w:tr>
        <w:trPr>
          <w:trHeight w:val="203"/>
        </w:trPr>
        <w:tc>
          <w:tcPr>
            <w:tcW w:w="2420" w:type="dxa"/>
            <w:vAlign w:val="bottom"/>
            <w:shd w:val="clear" w:color="auto" w:fill="C6D9F1"/>
          </w:tcPr>
          <w:p>
            <w:pPr>
              <w:spacing w:after="0"/>
              <w:rPr>
                <w:sz w:val="17"/>
                <w:szCs w:val="17"/>
                <w:color w:val="auto"/>
              </w:rPr>
            </w:pPr>
          </w:p>
        </w:tc>
        <w:tc>
          <w:tcPr>
            <w:tcW w:w="440" w:type="dxa"/>
            <w:vAlign w:val="bottom"/>
            <w:shd w:val="clear" w:color="auto" w:fill="C6D9F1"/>
          </w:tcPr>
          <w:p>
            <w:pPr>
              <w:spacing w:after="0"/>
              <w:rPr>
                <w:sz w:val="17"/>
                <w:szCs w:val="17"/>
                <w:color w:val="auto"/>
              </w:rPr>
            </w:pPr>
          </w:p>
        </w:tc>
        <w:tc>
          <w:tcPr>
            <w:tcW w:w="3640" w:type="dxa"/>
            <w:vAlign w:val="bottom"/>
            <w:shd w:val="clear" w:color="auto" w:fill="C6D9F1"/>
          </w:tcPr>
          <w:p>
            <w:pPr>
              <w:ind w:left="160"/>
              <w:spacing w:after="0" w:line="202" w:lineRule="exact"/>
              <w:rPr>
                <w:sz w:val="20"/>
                <w:szCs w:val="20"/>
                <w:color w:val="auto"/>
              </w:rPr>
            </w:pPr>
            <w:r>
              <w:rPr>
                <w:rFonts w:ascii="Arial" w:cs="Arial" w:eastAsia="Arial" w:hAnsi="Arial"/>
                <w:sz w:val="18"/>
                <w:szCs w:val="18"/>
                <w:color w:val="auto"/>
              </w:rPr>
              <w:t>terminations.</w:t>
            </w:r>
          </w:p>
        </w:tc>
        <w:tc>
          <w:tcPr>
            <w:tcW w:w="4920" w:type="dxa"/>
            <w:vAlign w:val="bottom"/>
            <w:shd w:val="clear" w:color="auto" w:fill="C6D9F1"/>
          </w:tcPr>
          <w:p>
            <w:pPr>
              <w:ind w:left="840"/>
              <w:spacing w:after="0" w:line="202" w:lineRule="exact"/>
              <w:rPr>
                <w:sz w:val="20"/>
                <w:szCs w:val="20"/>
                <w:color w:val="auto"/>
              </w:rPr>
            </w:pPr>
            <w:r>
              <w:rPr>
                <w:rFonts w:ascii="Arial" w:cs="Arial" w:eastAsia="Arial" w:hAnsi="Arial"/>
                <w:sz w:val="18"/>
                <w:szCs w:val="18"/>
                <w:color w:val="auto"/>
              </w:rPr>
              <w:t>compensation recognizing executives likely require</w:t>
            </w:r>
          </w:p>
        </w:tc>
        <w:tc>
          <w:tcPr>
            <w:tcW w:w="0" w:type="dxa"/>
            <w:vAlign w:val="bottom"/>
          </w:tcPr>
          <w:p>
            <w:pPr>
              <w:spacing w:after="0"/>
              <w:rPr>
                <w:sz w:val="1"/>
                <w:szCs w:val="1"/>
                <w:color w:val="auto"/>
              </w:rPr>
            </w:pPr>
          </w:p>
        </w:tc>
      </w:tr>
      <w:tr>
        <w:trPr>
          <w:trHeight w:val="203"/>
        </w:trPr>
        <w:tc>
          <w:tcPr>
            <w:tcW w:w="2420" w:type="dxa"/>
            <w:vAlign w:val="bottom"/>
            <w:shd w:val="clear" w:color="auto" w:fill="C6D9F1"/>
          </w:tcPr>
          <w:p>
            <w:pPr>
              <w:spacing w:after="0"/>
              <w:rPr>
                <w:sz w:val="17"/>
                <w:szCs w:val="17"/>
                <w:color w:val="auto"/>
              </w:rPr>
            </w:pPr>
          </w:p>
        </w:tc>
        <w:tc>
          <w:tcPr>
            <w:tcW w:w="440" w:type="dxa"/>
            <w:vAlign w:val="bottom"/>
            <w:shd w:val="clear" w:color="auto" w:fill="C6D9F1"/>
          </w:tcPr>
          <w:p>
            <w:pPr>
              <w:spacing w:after="0"/>
              <w:rPr>
                <w:sz w:val="17"/>
                <w:szCs w:val="17"/>
                <w:color w:val="auto"/>
              </w:rPr>
            </w:pPr>
          </w:p>
        </w:tc>
        <w:tc>
          <w:tcPr>
            <w:tcW w:w="3640" w:type="dxa"/>
            <w:vAlign w:val="bottom"/>
            <w:shd w:val="clear" w:color="auto" w:fill="C6D9F1"/>
          </w:tcPr>
          <w:p>
            <w:pPr>
              <w:spacing w:after="0"/>
              <w:rPr>
                <w:sz w:val="17"/>
                <w:szCs w:val="17"/>
                <w:color w:val="auto"/>
              </w:rPr>
            </w:pPr>
          </w:p>
        </w:tc>
        <w:tc>
          <w:tcPr>
            <w:tcW w:w="4920" w:type="dxa"/>
            <w:vAlign w:val="bottom"/>
            <w:shd w:val="clear" w:color="auto" w:fill="C6D9F1"/>
          </w:tcPr>
          <w:p>
            <w:pPr>
              <w:ind w:left="840"/>
              <w:spacing w:after="0" w:line="203" w:lineRule="exact"/>
              <w:rPr>
                <w:sz w:val="20"/>
                <w:szCs w:val="20"/>
                <w:color w:val="auto"/>
              </w:rPr>
            </w:pPr>
            <w:r>
              <w:rPr>
                <w:rFonts w:ascii="Arial" w:cs="Arial" w:eastAsia="Arial" w:hAnsi="Arial"/>
                <w:sz w:val="18"/>
                <w:szCs w:val="18"/>
                <w:color w:val="auto"/>
              </w:rPr>
              <w:t>more time to find subsequent employment.</w:t>
            </w:r>
          </w:p>
        </w:tc>
        <w:tc>
          <w:tcPr>
            <w:tcW w:w="0" w:type="dxa"/>
            <w:vAlign w:val="bottom"/>
          </w:tcPr>
          <w:p>
            <w:pPr>
              <w:spacing w:after="0"/>
              <w:rPr>
                <w:sz w:val="1"/>
                <w:szCs w:val="1"/>
                <w:color w:val="auto"/>
              </w:rPr>
            </w:pPr>
          </w:p>
        </w:tc>
      </w:tr>
      <w:tr>
        <w:trPr>
          <w:trHeight w:val="419"/>
        </w:trPr>
        <w:tc>
          <w:tcPr>
            <w:tcW w:w="2420" w:type="dxa"/>
            <w:vAlign w:val="bottom"/>
          </w:tcPr>
          <w:p>
            <w:pPr>
              <w:spacing w:after="0"/>
              <w:rPr>
                <w:sz w:val="20"/>
                <w:szCs w:val="20"/>
                <w:color w:val="auto"/>
              </w:rPr>
            </w:pPr>
            <w:r>
              <w:rPr>
                <w:rFonts w:ascii="Arial" w:cs="Arial" w:eastAsia="Arial" w:hAnsi="Arial"/>
                <w:sz w:val="18"/>
                <w:szCs w:val="18"/>
                <w:i w:val="1"/>
                <w:iCs w:val="1"/>
                <w:color w:val="auto"/>
              </w:rPr>
              <w:t>Compensation Mix</w:t>
            </w:r>
          </w:p>
        </w:tc>
        <w:tc>
          <w:tcPr>
            <w:tcW w:w="4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color w:val="auto"/>
        </w:rPr>
        <w:t>Consistent with our compensation philosophy, our compensation program balances base salary, short-term incentive and long-term incentive opportunities provided to our executive officers. The following charts illustrate the mix of target compensation components for the Vice Chairman and CEO and the other named executive officers during the 2015 fiscal year. We have excluded the restricted stock units attributable to the 2014 fiscal year annual incentive program as those units do not relate to our fiscal year 2015 compensation program.</w:t>
      </w:r>
    </w:p>
    <w:p>
      <w:pPr>
        <w:spacing w:after="0" w:line="188" w:lineRule="exact"/>
        <w:rPr>
          <w:sz w:val="20"/>
          <w:szCs w:val="20"/>
          <w:color w:val="auto"/>
        </w:rPr>
      </w:pPr>
    </w:p>
    <w:p>
      <w:pPr>
        <w:ind w:right="540" w:firstLine="648"/>
        <w:spacing w:after="0"/>
        <w:rPr>
          <w:sz w:val="20"/>
          <w:szCs w:val="20"/>
          <w:color w:val="auto"/>
        </w:rPr>
      </w:pPr>
      <w:r>
        <w:rPr>
          <w:rFonts w:ascii="Arial" w:cs="Arial" w:eastAsia="Arial" w:hAnsi="Arial"/>
          <w:sz w:val="18"/>
          <w:szCs w:val="18"/>
          <w:color w:val="auto"/>
        </w:rPr>
        <w:t>As illustrated by the charts below, the majority of compensation that may be earned by our named executive officers is tied to the achievement of financial performance metrics (annual performance bonuses and PRSUs) or fluctuates with the underlying value of our common stock (RSUs).</w:t>
      </w:r>
    </w:p>
    <w:p>
      <w:pPr>
        <w:spacing w:after="0" w:line="48" w:lineRule="exact"/>
        <w:rPr>
          <w:sz w:val="20"/>
          <w:szCs w:val="20"/>
          <w:color w:val="auto"/>
        </w:rPr>
      </w:pPr>
    </w:p>
    <w:tbl>
      <w:tblPr>
        <w:tblLayout w:type="fixed"/>
        <w:tblInd w:w="1560" w:type="dxa"/>
        <w:tblCellMar>
          <w:top w:w="0" w:type="dxa"/>
          <w:left w:w="0" w:type="dxa"/>
          <w:bottom w:w="0" w:type="dxa"/>
          <w:right w:w="0" w:type="dxa"/>
        </w:tblCellMar>
      </w:tblPr>
      <w:tr>
        <w:trPr>
          <w:trHeight w:val="345"/>
        </w:trPr>
        <w:tc>
          <w:tcPr>
            <w:tcW w:w="5040" w:type="dxa"/>
            <w:vAlign w:val="bottom"/>
          </w:tcPr>
          <w:p>
            <w:pPr>
              <w:spacing w:after="0"/>
              <w:rPr>
                <w:sz w:val="20"/>
                <w:szCs w:val="20"/>
                <w:color w:val="auto"/>
              </w:rPr>
            </w:pPr>
            <w:r>
              <w:rPr>
                <w:rFonts w:ascii="Arial" w:cs="Arial" w:eastAsia="Arial" w:hAnsi="Arial"/>
                <w:sz w:val="18"/>
                <w:szCs w:val="18"/>
                <w:b w:val="1"/>
                <w:bCs w:val="1"/>
                <w:color w:val="auto"/>
              </w:rPr>
              <w:t xml:space="preserve">Vice Chairman &amp; CEO Compensation Mix </w:t>
            </w:r>
            <w:r>
              <w:rPr>
                <w:rFonts w:ascii="Arial" w:cs="Arial" w:eastAsia="Arial" w:hAnsi="Arial"/>
                <w:sz w:val="30"/>
                <w:szCs w:val="30"/>
                <w:b w:val="1"/>
                <w:bCs w:val="1"/>
                <w:color w:val="auto"/>
                <w:vertAlign w:val="superscript"/>
              </w:rPr>
              <w:t>(1)</w:t>
            </w:r>
          </w:p>
        </w:tc>
        <w:tc>
          <w:tcPr>
            <w:tcW w:w="3800" w:type="dxa"/>
            <w:vAlign w:val="bottom"/>
          </w:tcPr>
          <w:p>
            <w:pPr>
              <w:jc w:val="center"/>
              <w:ind w:left="1130"/>
              <w:spacing w:after="0"/>
              <w:rPr>
                <w:sz w:val="20"/>
                <w:szCs w:val="20"/>
                <w:color w:val="auto"/>
              </w:rPr>
            </w:pPr>
            <w:r>
              <w:rPr>
                <w:rFonts w:ascii="Arial" w:cs="Arial" w:eastAsia="Arial" w:hAnsi="Arial"/>
                <w:sz w:val="18"/>
                <w:szCs w:val="18"/>
                <w:b w:val="1"/>
                <w:bCs w:val="1"/>
                <w:color w:val="auto"/>
                <w:w w:val="99"/>
              </w:rPr>
              <w:t>NEOs’ Compensation Mix</w:t>
            </w:r>
          </w:p>
        </w:tc>
      </w:tr>
      <w:tr>
        <w:trPr>
          <w:trHeight w:val="239"/>
        </w:trPr>
        <w:tc>
          <w:tcPr>
            <w:tcW w:w="5040" w:type="dxa"/>
            <w:vAlign w:val="bottom"/>
          </w:tcPr>
          <w:p>
            <w:pPr>
              <w:spacing w:after="0"/>
              <w:rPr>
                <w:sz w:val="20"/>
                <w:szCs w:val="20"/>
                <w:color w:val="auto"/>
              </w:rPr>
            </w:pPr>
          </w:p>
        </w:tc>
        <w:tc>
          <w:tcPr>
            <w:tcW w:w="3800" w:type="dxa"/>
            <w:vAlign w:val="bottom"/>
          </w:tcPr>
          <w:p>
            <w:pPr>
              <w:jc w:val="center"/>
              <w:ind w:left="1190"/>
              <w:spacing w:after="0"/>
              <w:rPr>
                <w:sz w:val="20"/>
                <w:szCs w:val="20"/>
                <w:color w:val="auto"/>
              </w:rPr>
            </w:pPr>
            <w:r>
              <w:rPr>
                <w:rFonts w:ascii="Arial" w:cs="Arial" w:eastAsia="Arial" w:hAnsi="Arial"/>
                <w:sz w:val="18"/>
                <w:szCs w:val="18"/>
                <w:b w:val="1"/>
                <w:bCs w:val="1"/>
                <w:color w:val="auto"/>
                <w:w w:val="99"/>
              </w:rPr>
              <w:t>(Excluding Vice Chair &amp; CEO)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-13970</wp:posOffset>
            </wp:positionV>
            <wp:extent cx="6054725" cy="19297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54725" cy="192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4"/>
          <w:szCs w:val="14"/>
          <w:color w:val="auto"/>
        </w:rPr>
        <w:t>(1) Mr. Kapoor’s equity component includes his one-time Stock Price Performance Award.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3" w:right="239" w:bottom="1440" w:gutter="0" w:footer="0" w:header="0"/>
          <w:type w:val="continuous"/>
        </w:sectPr>
      </w:pPr>
    </w:p>
    <w:bookmarkStart w:id="35" w:name="page36"/>
    <w:bookmarkEnd w:id="35"/>
    <w:p>
      <w:pPr>
        <w:ind w:left="660"/>
        <w:spacing w:after="0"/>
        <w:rPr>
          <w:sz w:val="20"/>
          <w:szCs w:val="20"/>
          <w:color w:val="auto"/>
        </w:rPr>
      </w:pPr>
      <w:r>
        <w:rPr>
          <w:rFonts w:ascii="Arial" w:cs="Arial" w:eastAsia="Arial" w:hAnsi="Arial"/>
          <w:sz w:val="18"/>
          <w:szCs w:val="18"/>
          <w:i w:val="1"/>
          <w:iCs w:val="1"/>
          <w:color w:val="auto"/>
        </w:rPr>
        <w:t>Detailed Review of Compensation Components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w:t>
      </w:r>
    </w:p>
    <w:p>
      <w:pPr>
        <w:spacing w:after="0" w:line="216" w:lineRule="exact"/>
        <w:rPr>
          <w:sz w:val="20"/>
          <w:szCs w:val="20"/>
          <w:color w:val="auto"/>
        </w:rPr>
      </w:pPr>
    </w:p>
    <w:p>
      <w:pPr>
        <w:ind w:right="220" w:firstLine="648"/>
        <w:spacing w:after="0"/>
        <w:rPr>
          <w:sz w:val="20"/>
          <w:szCs w:val="20"/>
          <w:color w:val="auto"/>
        </w:rPr>
      </w:pPr>
      <w:r>
        <w:rPr>
          <w:rFonts w:ascii="Arial" w:cs="Arial" w:eastAsia="Arial" w:hAnsi="Arial"/>
          <w:sz w:val="18"/>
          <w:szCs w:val="18"/>
          <w:color w:val="auto"/>
        </w:rPr>
        <w:t>As discussed above, we provide our executive officers fixed compensation commensurate with their performance, experience, responsibilities, skill set and market value. This attracts and retains an appropriate caliber of talent for the position and provides a base wage that is not subject to our performance risk. In setting base salaries for 2015, our Compensation Committee considered:</w:t>
      </w:r>
    </w:p>
    <w:p>
      <w:pPr>
        <w:spacing w:after="0" w:line="176"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520" w:type="dxa"/>
            <w:vAlign w:val="bottom"/>
          </w:tcPr>
          <w:p>
            <w:pPr>
              <w:spacing w:after="0"/>
              <w:rPr>
                <w:sz w:val="20"/>
                <w:szCs w:val="20"/>
                <w:color w:val="auto"/>
              </w:rPr>
            </w:pPr>
            <w:r>
              <w:rPr>
                <w:rFonts w:ascii="Arial" w:cs="Arial" w:eastAsia="Arial" w:hAnsi="Arial"/>
                <w:sz w:val="18"/>
                <w:szCs w:val="18"/>
                <w:color w:val="auto"/>
              </w:rPr>
              <w:t>Individual Performance</w:t>
            </w:r>
          </w:p>
        </w:tc>
        <w:tc>
          <w:tcPr>
            <w:tcW w:w="7740" w:type="dxa"/>
            <w:vAlign w:val="bottom"/>
            <w:gridSpan w:val="2"/>
          </w:tcPr>
          <w:p>
            <w:pPr>
              <w:ind w:left="420"/>
              <w:spacing w:after="0"/>
              <w:rPr>
                <w:sz w:val="20"/>
                <w:szCs w:val="20"/>
                <w:color w:val="auto"/>
              </w:rPr>
            </w:pPr>
            <w:r>
              <w:rPr>
                <w:rFonts w:ascii="Arial" w:cs="Arial" w:eastAsia="Arial" w:hAnsi="Arial"/>
                <w:sz w:val="18"/>
                <w:szCs w:val="18"/>
                <w:color w:val="auto"/>
              </w:rPr>
              <w:t>Ø  The degree to which the executive met and exceeded expectations.</w:t>
            </w:r>
          </w:p>
        </w:tc>
      </w:tr>
      <w:tr>
        <w:trPr>
          <w:trHeight w:val="419"/>
        </w:trPr>
        <w:tc>
          <w:tcPr>
            <w:tcW w:w="2520" w:type="dxa"/>
            <w:vAlign w:val="bottom"/>
          </w:tcPr>
          <w:p>
            <w:pPr>
              <w:spacing w:after="0"/>
              <w:rPr>
                <w:sz w:val="20"/>
                <w:szCs w:val="20"/>
                <w:color w:val="auto"/>
              </w:rPr>
            </w:pPr>
            <w:r>
              <w:rPr>
                <w:rFonts w:ascii="Arial" w:cs="Arial" w:eastAsia="Arial" w:hAnsi="Arial"/>
                <w:sz w:val="18"/>
                <w:szCs w:val="18"/>
                <w:color w:val="auto"/>
              </w:rPr>
              <w:t>Market Data</w:t>
            </w:r>
          </w:p>
        </w:tc>
        <w:tc>
          <w:tcPr>
            <w:tcW w:w="640" w:type="dxa"/>
            <w:vAlign w:val="bottom"/>
          </w:tcPr>
          <w:p>
            <w:pPr>
              <w:ind w:left="420"/>
              <w:spacing w:after="0"/>
              <w:rPr>
                <w:sz w:val="20"/>
                <w:szCs w:val="20"/>
                <w:color w:val="auto"/>
              </w:rPr>
            </w:pPr>
            <w:r>
              <w:rPr>
                <w:rFonts w:ascii="Arial" w:cs="Arial" w:eastAsia="Arial" w:hAnsi="Arial"/>
                <w:sz w:val="18"/>
                <w:szCs w:val="18"/>
                <w:color w:val="auto"/>
              </w:rPr>
              <w:t>Ø</w:t>
            </w:r>
          </w:p>
        </w:tc>
        <w:tc>
          <w:tcPr>
            <w:tcW w:w="7100" w:type="dxa"/>
            <w:vAlign w:val="bottom"/>
          </w:tcPr>
          <w:p>
            <w:pPr>
              <w:ind w:left="80"/>
              <w:spacing w:after="0"/>
              <w:rPr>
                <w:sz w:val="20"/>
                <w:szCs w:val="20"/>
                <w:color w:val="auto"/>
              </w:rPr>
            </w:pPr>
            <w:r>
              <w:rPr>
                <w:rFonts w:ascii="Arial" w:cs="Arial" w:eastAsia="Arial" w:hAnsi="Arial"/>
                <w:sz w:val="18"/>
                <w:szCs w:val="18"/>
                <w:color w:val="auto"/>
              </w:rPr>
              <w:t>Geographical and market data to test reasonableness of compensation.</w:t>
            </w:r>
          </w:p>
        </w:tc>
      </w:tr>
      <w:tr>
        <w:trPr>
          <w:trHeight w:val="404"/>
        </w:trPr>
        <w:tc>
          <w:tcPr>
            <w:tcW w:w="2520" w:type="dxa"/>
            <w:vAlign w:val="bottom"/>
          </w:tcPr>
          <w:p>
            <w:pPr>
              <w:spacing w:after="0"/>
              <w:rPr>
                <w:sz w:val="20"/>
                <w:szCs w:val="20"/>
                <w:color w:val="auto"/>
              </w:rPr>
            </w:pPr>
            <w:r>
              <w:rPr>
                <w:rFonts w:ascii="Arial" w:cs="Arial" w:eastAsia="Arial" w:hAnsi="Arial"/>
                <w:sz w:val="18"/>
                <w:szCs w:val="18"/>
                <w:color w:val="auto"/>
              </w:rPr>
              <w:t>Overall Compensation Mix</w:t>
            </w:r>
          </w:p>
        </w:tc>
        <w:tc>
          <w:tcPr>
            <w:tcW w:w="640" w:type="dxa"/>
            <w:vAlign w:val="bottom"/>
          </w:tcPr>
          <w:p>
            <w:pPr>
              <w:ind w:left="420"/>
              <w:spacing w:after="0"/>
              <w:rPr>
                <w:sz w:val="20"/>
                <w:szCs w:val="20"/>
                <w:color w:val="auto"/>
              </w:rPr>
            </w:pPr>
            <w:r>
              <w:rPr>
                <w:rFonts w:ascii="Arial" w:cs="Arial" w:eastAsia="Arial" w:hAnsi="Arial"/>
                <w:sz w:val="18"/>
                <w:szCs w:val="18"/>
                <w:color w:val="auto"/>
              </w:rPr>
              <w:t>Ø</w:t>
            </w:r>
          </w:p>
        </w:tc>
        <w:tc>
          <w:tcPr>
            <w:tcW w:w="7100" w:type="dxa"/>
            <w:vAlign w:val="bottom"/>
          </w:tcPr>
          <w:p>
            <w:pPr>
              <w:ind w:left="80"/>
              <w:spacing w:after="0"/>
              <w:rPr>
                <w:sz w:val="20"/>
                <w:szCs w:val="20"/>
                <w:color w:val="auto"/>
              </w:rPr>
            </w:pPr>
            <w:r>
              <w:rPr>
                <w:rFonts w:ascii="Arial" w:cs="Arial" w:eastAsia="Arial" w:hAnsi="Arial"/>
                <w:sz w:val="18"/>
                <w:szCs w:val="18"/>
                <w:color w:val="auto"/>
                <w:w w:val="99"/>
              </w:rPr>
              <w:t>Senior employees should have a greater portion of their compensation tied to increasing</w:t>
            </w:r>
          </w:p>
        </w:tc>
      </w:tr>
      <w:tr>
        <w:trPr>
          <w:trHeight w:val="217"/>
        </w:trPr>
        <w:tc>
          <w:tcPr>
            <w:tcW w:w="2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100" w:type="dxa"/>
            <w:vAlign w:val="bottom"/>
          </w:tcPr>
          <w:p>
            <w:pPr>
              <w:ind w:left="80"/>
              <w:spacing w:after="0"/>
              <w:rPr>
                <w:sz w:val="20"/>
                <w:szCs w:val="20"/>
                <w:color w:val="auto"/>
              </w:rPr>
            </w:pPr>
            <w:r>
              <w:rPr>
                <w:rFonts w:ascii="Arial" w:cs="Arial" w:eastAsia="Arial" w:hAnsi="Arial"/>
                <w:sz w:val="18"/>
                <w:szCs w:val="18"/>
                <w:color w:val="auto"/>
              </w:rPr>
              <w:t>stockholder value.</w:t>
            </w:r>
          </w:p>
        </w:tc>
      </w:tr>
    </w:tbl>
    <w:p>
      <w:pPr>
        <w:spacing w:after="0" w:line="188" w:lineRule="exact"/>
        <w:rPr>
          <w:sz w:val="20"/>
          <w:szCs w:val="20"/>
          <w:color w:val="auto"/>
        </w:rPr>
      </w:pPr>
    </w:p>
    <w:p>
      <w:pPr>
        <w:ind w:right="40" w:firstLine="648"/>
        <w:spacing w:after="0" w:line="236" w:lineRule="auto"/>
        <w:rPr>
          <w:sz w:val="20"/>
          <w:szCs w:val="20"/>
          <w:color w:val="auto"/>
        </w:rPr>
      </w:pPr>
      <w:r>
        <w:rPr>
          <w:rFonts w:ascii="Arial" w:cs="Arial" w:eastAsia="Arial" w:hAnsi="Arial"/>
          <w:sz w:val="18"/>
          <w:szCs w:val="18"/>
          <w:color w:val="auto"/>
        </w:rPr>
        <w:t>Upon completing its review and as shown in the table below, the Compensation Committee determined that it was appropriate to change Mr. Kapoor’s base salary in recognition of his many individual accomplishments and the Company’s performance. In addition, the Compensation Committee determined to increase the base salaries of Messrs. Chhibbar and Bagai due to their individual contributions and the Company’s performance. Mr. Schweppe’s and Mr. Miglani’s salaries remained the same as their 2014 salary, which were set late that year. The fixed compensation paid to Messrs. Chhibbar and Bagai is paid in Indian Rupees and we have included the percentage increase with respect to their fixed compensation in their home currency (INR). Further, these amounts cover not only base salary for Messrs. Chhibbar and Bagai, but also amounts available as a travel allowance, an automobile allowance, a housing allowance, a medical allowance and a cash supplementary allowance, consistent with compensation practices in India.</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shd w:val="clear" w:color="auto" w:fill="5591C7"/>
          </w:tcPr>
          <w:p>
            <w:pPr>
              <w:spacing w:after="0"/>
              <w:rPr>
                <w:sz w:val="14"/>
                <w:szCs w:val="14"/>
                <w:color w:val="auto"/>
              </w:rPr>
            </w:pPr>
          </w:p>
        </w:tc>
        <w:tc>
          <w:tcPr>
            <w:tcW w:w="1220" w:type="dxa"/>
            <w:vAlign w:val="bottom"/>
            <w:shd w:val="clear" w:color="auto" w:fill="5591C7"/>
          </w:tcPr>
          <w:p>
            <w:pPr>
              <w:spacing w:after="0"/>
              <w:rPr>
                <w:sz w:val="14"/>
                <w:szCs w:val="14"/>
                <w:color w:val="auto"/>
              </w:rPr>
            </w:pPr>
          </w:p>
        </w:tc>
        <w:tc>
          <w:tcPr>
            <w:tcW w:w="2160" w:type="dxa"/>
            <w:vAlign w:val="bottom"/>
            <w:shd w:val="clear" w:color="auto" w:fill="5591C7"/>
          </w:tcPr>
          <w:p>
            <w:pPr>
              <w:spacing w:after="0"/>
              <w:rPr>
                <w:sz w:val="14"/>
                <w:szCs w:val="14"/>
                <w:color w:val="auto"/>
              </w:rPr>
            </w:pPr>
          </w:p>
        </w:tc>
        <w:tc>
          <w:tcPr>
            <w:tcW w:w="400" w:type="dxa"/>
            <w:vAlign w:val="bottom"/>
            <w:shd w:val="clear" w:color="auto" w:fill="5591C7"/>
          </w:tcPr>
          <w:p>
            <w:pPr>
              <w:spacing w:after="0"/>
              <w:rPr>
                <w:sz w:val="14"/>
                <w:szCs w:val="14"/>
                <w:color w:val="auto"/>
              </w:rPr>
            </w:pPr>
          </w:p>
        </w:tc>
        <w:tc>
          <w:tcPr>
            <w:tcW w:w="2640" w:type="dxa"/>
            <w:vAlign w:val="bottom"/>
            <w:shd w:val="clear" w:color="auto" w:fill="5591C7"/>
          </w:tcPr>
          <w:p>
            <w:pPr>
              <w:jc w:val="center"/>
              <w:ind w:right="778"/>
              <w:spacing w:after="0"/>
              <w:rPr>
                <w:sz w:val="20"/>
                <w:szCs w:val="20"/>
                <w:color w:val="auto"/>
              </w:rPr>
            </w:pPr>
            <w:r>
              <w:rPr>
                <w:rFonts w:ascii="Arial" w:cs="Arial" w:eastAsia="Arial" w:hAnsi="Arial"/>
                <w:sz w:val="14"/>
                <w:szCs w:val="14"/>
                <w:b w:val="1"/>
                <w:bCs w:val="1"/>
                <w:color w:val="auto"/>
              </w:rPr>
              <w:t>2015 Base Salary /</w:t>
            </w:r>
          </w:p>
        </w:tc>
        <w:tc>
          <w:tcPr>
            <w:tcW w:w="2020" w:type="dxa"/>
            <w:vAlign w:val="bottom"/>
            <w:shd w:val="clear" w:color="auto" w:fill="5591C7"/>
          </w:tcPr>
          <w:p>
            <w:pPr>
              <w:spacing w:after="0"/>
              <w:rPr>
                <w:sz w:val="14"/>
                <w:szCs w:val="14"/>
                <w:color w:val="auto"/>
              </w:rPr>
            </w:pPr>
          </w:p>
        </w:tc>
      </w:tr>
      <w:tr>
        <w:trPr>
          <w:trHeight w:val="162"/>
        </w:trPr>
        <w:tc>
          <w:tcPr>
            <w:tcW w:w="2980" w:type="dxa"/>
            <w:vAlign w:val="bottom"/>
            <w:shd w:val="clear" w:color="auto" w:fill="5591C7"/>
          </w:tcPr>
          <w:p>
            <w:pPr>
              <w:spacing w:after="0"/>
              <w:rPr>
                <w:sz w:val="14"/>
                <w:szCs w:val="14"/>
                <w:color w:val="auto"/>
              </w:rPr>
            </w:pPr>
          </w:p>
        </w:tc>
        <w:tc>
          <w:tcPr>
            <w:tcW w:w="1220" w:type="dxa"/>
            <w:vAlign w:val="bottom"/>
            <w:shd w:val="clear" w:color="auto" w:fill="5591C7"/>
          </w:tcPr>
          <w:p>
            <w:pPr>
              <w:spacing w:after="0"/>
              <w:rPr>
                <w:sz w:val="14"/>
                <w:szCs w:val="14"/>
                <w:color w:val="auto"/>
              </w:rPr>
            </w:pPr>
          </w:p>
        </w:tc>
        <w:tc>
          <w:tcPr>
            <w:tcW w:w="2160" w:type="dxa"/>
            <w:vAlign w:val="bottom"/>
            <w:shd w:val="clear" w:color="auto" w:fill="5591C7"/>
          </w:tcPr>
          <w:p>
            <w:pPr>
              <w:jc w:val="center"/>
              <w:ind w:right="417"/>
              <w:spacing w:after="0"/>
              <w:rPr>
                <w:sz w:val="20"/>
                <w:szCs w:val="20"/>
                <w:color w:val="auto"/>
              </w:rPr>
            </w:pPr>
            <w:r>
              <w:rPr>
                <w:rFonts w:ascii="Arial" w:cs="Arial" w:eastAsia="Arial" w:hAnsi="Arial"/>
                <w:sz w:val="14"/>
                <w:szCs w:val="14"/>
                <w:b w:val="1"/>
                <w:bCs w:val="1"/>
                <w:color w:val="auto"/>
              </w:rPr>
              <w:t>2014 Base Salary /</w:t>
            </w:r>
          </w:p>
        </w:tc>
        <w:tc>
          <w:tcPr>
            <w:tcW w:w="400" w:type="dxa"/>
            <w:vAlign w:val="bottom"/>
            <w:shd w:val="clear" w:color="auto" w:fill="5591C7"/>
          </w:tcPr>
          <w:p>
            <w:pPr>
              <w:spacing w:after="0"/>
              <w:rPr>
                <w:sz w:val="14"/>
                <w:szCs w:val="14"/>
                <w:color w:val="auto"/>
              </w:rPr>
            </w:pPr>
          </w:p>
        </w:tc>
        <w:tc>
          <w:tcPr>
            <w:tcW w:w="2640" w:type="dxa"/>
            <w:vAlign w:val="bottom"/>
            <w:shd w:val="clear" w:color="auto" w:fill="5591C7"/>
          </w:tcPr>
          <w:p>
            <w:pPr>
              <w:jc w:val="center"/>
              <w:ind w:right="738"/>
              <w:spacing w:after="0"/>
              <w:rPr>
                <w:sz w:val="20"/>
                <w:szCs w:val="20"/>
                <w:color w:val="auto"/>
              </w:rPr>
            </w:pPr>
            <w:r>
              <w:rPr>
                <w:rFonts w:ascii="Arial" w:cs="Arial" w:eastAsia="Arial" w:hAnsi="Arial"/>
                <w:sz w:val="14"/>
                <w:szCs w:val="14"/>
                <w:b w:val="1"/>
                <w:bCs w:val="1"/>
                <w:color w:val="auto"/>
              </w:rPr>
              <w:t>Annual Fixed</w:t>
            </w:r>
          </w:p>
        </w:tc>
        <w:tc>
          <w:tcPr>
            <w:tcW w:w="2020" w:type="dxa"/>
            <w:vAlign w:val="bottom"/>
            <w:shd w:val="clear" w:color="auto" w:fill="5591C7"/>
          </w:tcPr>
          <w:p>
            <w:pPr>
              <w:spacing w:after="0"/>
              <w:rPr>
                <w:sz w:val="14"/>
                <w:szCs w:val="14"/>
                <w:color w:val="auto"/>
              </w:rPr>
            </w:pPr>
          </w:p>
        </w:tc>
      </w:tr>
      <w:tr>
        <w:trPr>
          <w:trHeight w:val="162"/>
        </w:trPr>
        <w:tc>
          <w:tcPr>
            <w:tcW w:w="2980" w:type="dxa"/>
            <w:vAlign w:val="bottom"/>
            <w:shd w:val="clear" w:color="auto" w:fill="5591C7"/>
          </w:tcPr>
          <w:p>
            <w:pPr>
              <w:spacing w:after="0"/>
              <w:rPr>
                <w:sz w:val="14"/>
                <w:szCs w:val="14"/>
                <w:color w:val="auto"/>
              </w:rPr>
            </w:pPr>
          </w:p>
        </w:tc>
        <w:tc>
          <w:tcPr>
            <w:tcW w:w="1220" w:type="dxa"/>
            <w:vAlign w:val="bottom"/>
            <w:shd w:val="clear" w:color="auto" w:fill="5591C7"/>
          </w:tcPr>
          <w:p>
            <w:pPr>
              <w:spacing w:after="0"/>
              <w:rPr>
                <w:sz w:val="14"/>
                <w:szCs w:val="14"/>
                <w:color w:val="auto"/>
              </w:rPr>
            </w:pPr>
          </w:p>
        </w:tc>
        <w:tc>
          <w:tcPr>
            <w:tcW w:w="2160" w:type="dxa"/>
            <w:vAlign w:val="bottom"/>
            <w:shd w:val="clear" w:color="auto" w:fill="5591C7"/>
          </w:tcPr>
          <w:p>
            <w:pPr>
              <w:jc w:val="center"/>
              <w:ind w:right="377"/>
              <w:spacing w:after="0"/>
              <w:rPr>
                <w:sz w:val="20"/>
                <w:szCs w:val="20"/>
                <w:color w:val="auto"/>
              </w:rPr>
            </w:pPr>
            <w:r>
              <w:rPr>
                <w:rFonts w:ascii="Arial" w:cs="Arial" w:eastAsia="Arial" w:hAnsi="Arial"/>
                <w:sz w:val="14"/>
                <w:szCs w:val="14"/>
                <w:b w:val="1"/>
                <w:bCs w:val="1"/>
                <w:color w:val="auto"/>
              </w:rPr>
              <w:t>Annual Fixed</w:t>
            </w:r>
          </w:p>
        </w:tc>
        <w:tc>
          <w:tcPr>
            <w:tcW w:w="400" w:type="dxa"/>
            <w:vAlign w:val="bottom"/>
            <w:shd w:val="clear" w:color="auto" w:fill="5591C7"/>
          </w:tcPr>
          <w:p>
            <w:pPr>
              <w:spacing w:after="0"/>
              <w:rPr>
                <w:sz w:val="14"/>
                <w:szCs w:val="14"/>
                <w:color w:val="auto"/>
              </w:rPr>
            </w:pPr>
          </w:p>
        </w:tc>
        <w:tc>
          <w:tcPr>
            <w:tcW w:w="2640" w:type="dxa"/>
            <w:vAlign w:val="bottom"/>
            <w:shd w:val="clear" w:color="auto" w:fill="5591C7"/>
          </w:tcPr>
          <w:p>
            <w:pPr>
              <w:jc w:val="center"/>
              <w:ind w:right="758"/>
              <w:spacing w:after="0"/>
              <w:rPr>
                <w:sz w:val="20"/>
                <w:szCs w:val="20"/>
                <w:color w:val="auto"/>
              </w:rPr>
            </w:pPr>
            <w:r>
              <w:rPr>
                <w:rFonts w:ascii="Arial" w:cs="Arial" w:eastAsia="Arial" w:hAnsi="Arial"/>
                <w:sz w:val="14"/>
                <w:szCs w:val="14"/>
                <w:b w:val="1"/>
                <w:bCs w:val="1"/>
                <w:color w:val="auto"/>
              </w:rPr>
              <w:t>Compensation</w:t>
            </w:r>
          </w:p>
        </w:tc>
        <w:tc>
          <w:tcPr>
            <w:tcW w:w="2020" w:type="dxa"/>
            <w:vAlign w:val="bottom"/>
            <w:shd w:val="clear" w:color="auto" w:fill="5591C7"/>
          </w:tcPr>
          <w:p>
            <w:pPr>
              <w:jc w:val="center"/>
              <w:ind w:right="214"/>
              <w:spacing w:after="0"/>
              <w:rPr>
                <w:sz w:val="20"/>
                <w:szCs w:val="20"/>
                <w:color w:val="auto"/>
              </w:rPr>
            </w:pPr>
            <w:r>
              <w:rPr>
                <w:rFonts w:ascii="Arial" w:cs="Arial" w:eastAsia="Arial" w:hAnsi="Arial"/>
                <w:sz w:val="14"/>
                <w:szCs w:val="14"/>
                <w:b w:val="1"/>
                <w:bCs w:val="1"/>
                <w:color w:val="auto"/>
              </w:rPr>
              <w:t>% Increase /</w:t>
            </w:r>
          </w:p>
        </w:tc>
      </w:tr>
      <w:tr>
        <w:trPr>
          <w:trHeight w:val="175"/>
        </w:trPr>
        <w:tc>
          <w:tcPr>
            <w:tcW w:w="2980" w:type="dxa"/>
            <w:vAlign w:val="bottom"/>
            <w:tcBorders>
              <w:bottom w:val="single" w:sz="8" w:color="auto"/>
            </w:tcBorders>
            <w:shd w:val="clear" w:color="auto" w:fill="5591C7"/>
          </w:tcPr>
          <w:p>
            <w:pPr>
              <w:ind w:left="1660"/>
              <w:spacing w:after="0"/>
              <w:rPr>
                <w:sz w:val="20"/>
                <w:szCs w:val="20"/>
                <w:color w:val="auto"/>
              </w:rPr>
            </w:pPr>
            <w:r>
              <w:rPr>
                <w:rFonts w:ascii="Arial" w:cs="Arial" w:eastAsia="Arial" w:hAnsi="Arial"/>
                <w:sz w:val="14"/>
                <w:szCs w:val="14"/>
                <w:b w:val="1"/>
                <w:bCs w:val="1"/>
                <w:color w:val="auto"/>
              </w:rPr>
              <w:t>Name</w:t>
            </w:r>
          </w:p>
        </w:tc>
        <w:tc>
          <w:tcPr>
            <w:tcW w:w="1220" w:type="dxa"/>
            <w:vAlign w:val="bottom"/>
            <w:tcBorders>
              <w:bottom w:val="single" w:sz="8" w:color="auto"/>
            </w:tcBorders>
            <w:shd w:val="clear" w:color="auto" w:fill="5591C7"/>
          </w:tcPr>
          <w:p>
            <w:pPr>
              <w:spacing w:after="0"/>
              <w:rPr>
                <w:sz w:val="15"/>
                <w:szCs w:val="15"/>
                <w:color w:val="auto"/>
              </w:rPr>
            </w:pPr>
          </w:p>
        </w:tc>
        <w:tc>
          <w:tcPr>
            <w:tcW w:w="2160" w:type="dxa"/>
            <w:vAlign w:val="bottom"/>
            <w:tcBorders>
              <w:bottom w:val="single" w:sz="8" w:color="auto"/>
            </w:tcBorders>
            <w:shd w:val="clear" w:color="auto" w:fill="5591C7"/>
          </w:tcPr>
          <w:p>
            <w:pPr>
              <w:jc w:val="center"/>
              <w:ind w:right="397"/>
              <w:spacing w:after="0"/>
              <w:rPr>
                <w:sz w:val="20"/>
                <w:szCs w:val="20"/>
                <w:color w:val="auto"/>
              </w:rPr>
            </w:pPr>
            <w:r>
              <w:rPr>
                <w:rFonts w:ascii="Arial" w:cs="Arial" w:eastAsia="Arial" w:hAnsi="Arial"/>
                <w:sz w:val="14"/>
                <w:szCs w:val="14"/>
                <w:b w:val="1"/>
                <w:bCs w:val="1"/>
                <w:color w:val="auto"/>
              </w:rPr>
              <w:t>Compensation</w:t>
            </w:r>
          </w:p>
        </w:tc>
        <w:tc>
          <w:tcPr>
            <w:tcW w:w="400" w:type="dxa"/>
            <w:vAlign w:val="bottom"/>
            <w:tcBorders>
              <w:bottom w:val="single" w:sz="8" w:color="auto"/>
            </w:tcBorders>
            <w:shd w:val="clear" w:color="auto" w:fill="5591C7"/>
          </w:tcPr>
          <w:p>
            <w:pPr>
              <w:spacing w:after="0"/>
              <w:rPr>
                <w:sz w:val="15"/>
                <w:szCs w:val="15"/>
                <w:color w:val="auto"/>
              </w:rPr>
            </w:pPr>
          </w:p>
        </w:tc>
        <w:tc>
          <w:tcPr>
            <w:tcW w:w="2640" w:type="dxa"/>
            <w:vAlign w:val="bottom"/>
            <w:tcBorders>
              <w:bottom w:val="single" w:sz="8" w:color="auto"/>
            </w:tcBorders>
            <w:shd w:val="clear" w:color="auto" w:fill="5591C7"/>
          </w:tcPr>
          <w:p>
            <w:pPr>
              <w:jc w:val="center"/>
              <w:ind w:right="738"/>
              <w:spacing w:after="0"/>
              <w:rPr>
                <w:sz w:val="20"/>
                <w:szCs w:val="20"/>
                <w:color w:val="auto"/>
              </w:rPr>
            </w:pPr>
            <w:r>
              <w:rPr>
                <w:rFonts w:ascii="Arial" w:cs="Arial" w:eastAsia="Arial" w:hAnsi="Arial"/>
                <w:sz w:val="14"/>
                <w:szCs w:val="14"/>
                <w:b w:val="1"/>
                <w:bCs w:val="1"/>
                <w:color w:val="auto"/>
              </w:rPr>
              <w:t>(Effective April 1, 2015)</w:t>
            </w:r>
          </w:p>
        </w:tc>
        <w:tc>
          <w:tcPr>
            <w:tcW w:w="2020" w:type="dxa"/>
            <w:vAlign w:val="bottom"/>
            <w:tcBorders>
              <w:bottom w:val="single" w:sz="8" w:color="auto"/>
            </w:tcBorders>
            <w:shd w:val="clear" w:color="auto" w:fill="5591C7"/>
          </w:tcPr>
          <w:p>
            <w:pPr>
              <w:jc w:val="center"/>
              <w:ind w:right="174"/>
              <w:spacing w:after="0"/>
              <w:rPr>
                <w:sz w:val="20"/>
                <w:szCs w:val="20"/>
                <w:color w:val="auto"/>
              </w:rPr>
            </w:pPr>
            <w:r>
              <w:rPr>
                <w:rFonts w:ascii="Arial" w:cs="Arial" w:eastAsia="Arial" w:hAnsi="Arial"/>
                <w:sz w:val="14"/>
                <w:szCs w:val="14"/>
                <w:b w:val="1"/>
                <w:bCs w:val="1"/>
                <w:color w:val="auto"/>
              </w:rPr>
              <w:t>Decrease</w:t>
            </w:r>
          </w:p>
        </w:tc>
      </w:tr>
      <w:tr>
        <w:trPr>
          <w:trHeight w:val="210"/>
        </w:trPr>
        <w:tc>
          <w:tcPr>
            <w:tcW w:w="2980" w:type="dxa"/>
            <w:vAlign w:val="bottom"/>
            <w:shd w:val="clear" w:color="auto" w:fill="C6D9F1"/>
          </w:tcPr>
          <w:p>
            <w:pPr>
              <w:ind w:left="160"/>
              <w:spacing w:after="0"/>
              <w:rPr>
                <w:sz w:val="20"/>
                <w:szCs w:val="20"/>
                <w:color w:val="auto"/>
              </w:rPr>
            </w:pPr>
            <w:r>
              <w:rPr>
                <w:rFonts w:ascii="Arial" w:cs="Arial" w:eastAsia="Arial" w:hAnsi="Arial"/>
                <w:sz w:val="18"/>
                <w:szCs w:val="18"/>
                <w:color w:val="auto"/>
              </w:rPr>
              <w:t>Rohit Kapoor</w:t>
            </w:r>
          </w:p>
        </w:tc>
        <w:tc>
          <w:tcPr>
            <w:tcW w:w="1220" w:type="dxa"/>
            <w:vAlign w:val="bottom"/>
            <w:shd w:val="clear" w:color="auto" w:fill="C6D9F1"/>
          </w:tcPr>
          <w:p>
            <w:pPr>
              <w:jc w:val="right"/>
              <w:ind w:right="90"/>
              <w:spacing w:after="0"/>
              <w:rPr>
                <w:sz w:val="20"/>
                <w:szCs w:val="20"/>
                <w:color w:val="auto"/>
              </w:rPr>
            </w:pPr>
            <w:r>
              <w:rPr>
                <w:rFonts w:ascii="Arial" w:cs="Arial" w:eastAsia="Arial" w:hAnsi="Arial"/>
                <w:sz w:val="18"/>
                <w:szCs w:val="18"/>
                <w:color w:val="auto"/>
              </w:rPr>
              <w:t>$</w:t>
            </w:r>
          </w:p>
        </w:tc>
        <w:tc>
          <w:tcPr>
            <w:tcW w:w="2160" w:type="dxa"/>
            <w:vAlign w:val="bottom"/>
            <w:shd w:val="clear" w:color="auto" w:fill="C6D9F1"/>
          </w:tcPr>
          <w:p>
            <w:pPr>
              <w:jc w:val="right"/>
              <w:ind w:right="77"/>
              <w:spacing w:after="0"/>
              <w:rPr>
                <w:sz w:val="20"/>
                <w:szCs w:val="20"/>
                <w:color w:val="auto"/>
              </w:rPr>
            </w:pPr>
            <w:r>
              <w:rPr>
                <w:rFonts w:ascii="Arial" w:cs="Arial" w:eastAsia="Arial" w:hAnsi="Arial"/>
                <w:sz w:val="18"/>
                <w:szCs w:val="18"/>
                <w:color w:val="auto"/>
              </w:rPr>
              <w:t>565,000</w:t>
            </w:r>
          </w:p>
        </w:tc>
        <w:tc>
          <w:tcPr>
            <w:tcW w:w="400" w:type="dxa"/>
            <w:vAlign w:val="bottom"/>
            <w:shd w:val="clear" w:color="auto" w:fill="C6D9F1"/>
          </w:tcPr>
          <w:p>
            <w:pPr>
              <w:jc w:val="right"/>
              <w:ind w:right="30"/>
              <w:spacing w:after="0"/>
              <w:rPr>
                <w:sz w:val="20"/>
                <w:szCs w:val="20"/>
                <w:color w:val="auto"/>
              </w:rPr>
            </w:pPr>
            <w:r>
              <w:rPr>
                <w:rFonts w:ascii="Arial" w:cs="Arial" w:eastAsia="Arial" w:hAnsi="Arial"/>
                <w:sz w:val="18"/>
                <w:szCs w:val="18"/>
                <w:color w:val="auto"/>
              </w:rPr>
              <w:t>$</w:t>
            </w:r>
          </w:p>
        </w:tc>
        <w:tc>
          <w:tcPr>
            <w:tcW w:w="2640" w:type="dxa"/>
            <w:vAlign w:val="bottom"/>
            <w:shd w:val="clear" w:color="auto" w:fill="C6D9F1"/>
          </w:tcPr>
          <w:p>
            <w:pPr>
              <w:ind w:left="1380"/>
              <w:spacing w:after="0"/>
              <w:rPr>
                <w:sz w:val="20"/>
                <w:szCs w:val="20"/>
                <w:color w:val="auto"/>
              </w:rPr>
            </w:pPr>
            <w:r>
              <w:rPr>
                <w:rFonts w:ascii="Arial" w:cs="Arial" w:eastAsia="Arial" w:hAnsi="Arial"/>
                <w:sz w:val="18"/>
                <w:szCs w:val="18"/>
                <w:color w:val="auto"/>
              </w:rPr>
              <w:t>600,000</w:t>
            </w:r>
            <w:r>
              <w:rPr>
                <w:rFonts w:ascii="Arial" w:cs="Arial" w:eastAsia="Arial" w:hAnsi="Arial"/>
                <w:sz w:val="15"/>
                <w:szCs w:val="15"/>
                <w:color w:val="auto"/>
              </w:rPr>
              <w:t>(1)</w:t>
            </w:r>
          </w:p>
        </w:tc>
        <w:tc>
          <w:tcPr>
            <w:tcW w:w="2020" w:type="dxa"/>
            <w:vAlign w:val="bottom"/>
            <w:shd w:val="clear" w:color="auto" w:fill="C6D9F1"/>
          </w:tcPr>
          <w:p>
            <w:pPr>
              <w:jc w:val="center"/>
              <w:ind w:right="174"/>
              <w:spacing w:after="0"/>
              <w:rPr>
                <w:sz w:val="20"/>
                <w:szCs w:val="20"/>
                <w:color w:val="auto"/>
              </w:rPr>
            </w:pPr>
            <w:r>
              <w:rPr>
                <w:rFonts w:ascii="Arial" w:cs="Arial" w:eastAsia="Arial" w:hAnsi="Arial"/>
                <w:sz w:val="18"/>
                <w:szCs w:val="18"/>
                <w:color w:val="auto"/>
                <w:w w:val="97"/>
              </w:rPr>
              <w:t>6.2%</w:t>
            </w:r>
          </w:p>
        </w:tc>
      </w:tr>
      <w:tr>
        <w:trPr>
          <w:trHeight w:val="202"/>
        </w:trPr>
        <w:tc>
          <w:tcPr>
            <w:tcW w:w="2980" w:type="dxa"/>
            <w:vAlign w:val="bottom"/>
          </w:tcPr>
          <w:p>
            <w:pPr>
              <w:ind w:left="160"/>
              <w:spacing w:after="0" w:line="201" w:lineRule="exact"/>
              <w:rPr>
                <w:sz w:val="20"/>
                <w:szCs w:val="20"/>
                <w:color w:val="auto"/>
              </w:rPr>
            </w:pPr>
            <w:r>
              <w:rPr>
                <w:rFonts w:ascii="Arial" w:cs="Arial" w:eastAsia="Arial" w:hAnsi="Arial"/>
                <w:sz w:val="18"/>
                <w:szCs w:val="18"/>
                <w:color w:val="auto"/>
              </w:rPr>
              <w:t>Vishal Chhibbar</w:t>
            </w:r>
          </w:p>
        </w:tc>
        <w:tc>
          <w:tcPr>
            <w:tcW w:w="1220" w:type="dxa"/>
            <w:vAlign w:val="bottom"/>
          </w:tcPr>
          <w:p>
            <w:pPr>
              <w:jc w:val="right"/>
              <w:ind w:right="90"/>
              <w:spacing w:after="0" w:line="201" w:lineRule="exact"/>
              <w:rPr>
                <w:sz w:val="20"/>
                <w:szCs w:val="20"/>
                <w:color w:val="auto"/>
              </w:rPr>
            </w:pPr>
            <w:r>
              <w:rPr>
                <w:rFonts w:ascii="Arial" w:cs="Arial" w:eastAsia="Arial" w:hAnsi="Arial"/>
                <w:sz w:val="18"/>
                <w:szCs w:val="18"/>
                <w:color w:val="auto"/>
              </w:rPr>
              <w:t>$</w:t>
            </w:r>
          </w:p>
        </w:tc>
        <w:tc>
          <w:tcPr>
            <w:tcW w:w="2160" w:type="dxa"/>
            <w:vAlign w:val="bottom"/>
          </w:tcPr>
          <w:p>
            <w:pPr>
              <w:jc w:val="right"/>
              <w:ind w:right="77"/>
              <w:spacing w:after="0" w:line="201" w:lineRule="exact"/>
              <w:rPr>
                <w:sz w:val="20"/>
                <w:szCs w:val="20"/>
                <w:color w:val="auto"/>
              </w:rPr>
            </w:pPr>
            <w:r>
              <w:rPr>
                <w:rFonts w:ascii="Arial" w:cs="Arial" w:eastAsia="Arial" w:hAnsi="Arial"/>
                <w:sz w:val="18"/>
                <w:szCs w:val="18"/>
                <w:color w:val="auto"/>
              </w:rPr>
              <w:t>298,387</w:t>
            </w:r>
          </w:p>
        </w:tc>
        <w:tc>
          <w:tcPr>
            <w:tcW w:w="400" w:type="dxa"/>
            <w:vAlign w:val="bottom"/>
          </w:tcPr>
          <w:p>
            <w:pPr>
              <w:jc w:val="right"/>
              <w:ind w:right="30"/>
              <w:spacing w:after="0" w:line="201" w:lineRule="exact"/>
              <w:rPr>
                <w:sz w:val="20"/>
                <w:szCs w:val="20"/>
                <w:color w:val="auto"/>
              </w:rPr>
            </w:pPr>
            <w:r>
              <w:rPr>
                <w:rFonts w:ascii="Arial" w:cs="Arial" w:eastAsia="Arial" w:hAnsi="Arial"/>
                <w:sz w:val="18"/>
                <w:szCs w:val="18"/>
                <w:color w:val="auto"/>
              </w:rPr>
              <w:t>$</w:t>
            </w:r>
          </w:p>
        </w:tc>
        <w:tc>
          <w:tcPr>
            <w:tcW w:w="2640" w:type="dxa"/>
            <w:vAlign w:val="bottom"/>
          </w:tcPr>
          <w:p>
            <w:pPr>
              <w:ind w:left="1380"/>
              <w:spacing w:after="0" w:line="201" w:lineRule="exact"/>
              <w:rPr>
                <w:sz w:val="20"/>
                <w:szCs w:val="20"/>
                <w:color w:val="auto"/>
              </w:rPr>
            </w:pPr>
            <w:r>
              <w:rPr>
                <w:rFonts w:ascii="Arial" w:cs="Arial" w:eastAsia="Arial" w:hAnsi="Arial"/>
                <w:sz w:val="18"/>
                <w:szCs w:val="18"/>
                <w:color w:val="auto"/>
              </w:rPr>
              <w:t>309,376</w:t>
            </w:r>
          </w:p>
        </w:tc>
        <w:tc>
          <w:tcPr>
            <w:tcW w:w="2020" w:type="dxa"/>
            <w:vAlign w:val="bottom"/>
          </w:tcPr>
          <w:p>
            <w:pPr>
              <w:jc w:val="center"/>
              <w:ind w:right="174"/>
              <w:spacing w:after="0" w:line="201" w:lineRule="exact"/>
              <w:rPr>
                <w:sz w:val="20"/>
                <w:szCs w:val="20"/>
                <w:color w:val="auto"/>
              </w:rPr>
            </w:pPr>
            <w:r>
              <w:rPr>
                <w:rFonts w:ascii="Arial" w:cs="Arial" w:eastAsia="Arial" w:hAnsi="Arial"/>
                <w:sz w:val="18"/>
                <w:szCs w:val="18"/>
                <w:color w:val="auto"/>
                <w:w w:val="97"/>
              </w:rPr>
              <w:t>3.7%</w:t>
            </w:r>
          </w:p>
        </w:tc>
      </w:tr>
      <w:tr>
        <w:trPr>
          <w:trHeight w:val="203"/>
        </w:trPr>
        <w:tc>
          <w:tcPr>
            <w:tcW w:w="29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020" w:type="dxa"/>
            <w:vAlign w:val="bottom"/>
          </w:tcPr>
          <w:p>
            <w:pPr>
              <w:jc w:val="center"/>
              <w:ind w:right="174"/>
              <w:spacing w:after="0" w:line="203" w:lineRule="exact"/>
              <w:rPr>
                <w:sz w:val="20"/>
                <w:szCs w:val="20"/>
                <w:color w:val="auto"/>
              </w:rPr>
            </w:pPr>
            <w:r>
              <w:rPr>
                <w:rFonts w:ascii="Arial" w:cs="Arial" w:eastAsia="Arial" w:hAnsi="Arial"/>
                <w:sz w:val="18"/>
                <w:szCs w:val="18"/>
                <w:color w:val="auto"/>
                <w:w w:val="98"/>
              </w:rPr>
              <w:t>(5.4% INR)</w:t>
            </w:r>
          </w:p>
        </w:tc>
      </w:tr>
      <w:tr>
        <w:trPr>
          <w:trHeight w:val="202"/>
        </w:trPr>
        <w:tc>
          <w:tcPr>
            <w:tcW w:w="2980" w:type="dxa"/>
            <w:vAlign w:val="bottom"/>
            <w:shd w:val="clear" w:color="auto" w:fill="C6D9F1"/>
          </w:tcPr>
          <w:p>
            <w:pPr>
              <w:ind w:left="160"/>
              <w:spacing w:after="0" w:line="201" w:lineRule="exact"/>
              <w:rPr>
                <w:sz w:val="20"/>
                <w:szCs w:val="20"/>
                <w:color w:val="auto"/>
              </w:rPr>
            </w:pPr>
            <w:r>
              <w:rPr>
                <w:rFonts w:ascii="Arial" w:cs="Arial" w:eastAsia="Arial" w:hAnsi="Arial"/>
                <w:sz w:val="18"/>
                <w:szCs w:val="18"/>
                <w:color w:val="auto"/>
              </w:rPr>
              <w:t>Pavan Bagai</w:t>
            </w:r>
          </w:p>
        </w:tc>
        <w:tc>
          <w:tcPr>
            <w:tcW w:w="1220" w:type="dxa"/>
            <w:vAlign w:val="bottom"/>
            <w:shd w:val="clear" w:color="auto" w:fill="C6D9F1"/>
          </w:tcPr>
          <w:p>
            <w:pPr>
              <w:jc w:val="right"/>
              <w:ind w:right="90"/>
              <w:spacing w:after="0" w:line="201" w:lineRule="exact"/>
              <w:rPr>
                <w:sz w:val="20"/>
                <w:szCs w:val="20"/>
                <w:color w:val="auto"/>
              </w:rPr>
            </w:pPr>
            <w:r>
              <w:rPr>
                <w:rFonts w:ascii="Arial" w:cs="Arial" w:eastAsia="Arial" w:hAnsi="Arial"/>
                <w:sz w:val="18"/>
                <w:szCs w:val="18"/>
                <w:color w:val="auto"/>
              </w:rPr>
              <w:t>$</w:t>
            </w:r>
          </w:p>
        </w:tc>
        <w:tc>
          <w:tcPr>
            <w:tcW w:w="2160" w:type="dxa"/>
            <w:vAlign w:val="bottom"/>
            <w:shd w:val="clear" w:color="auto" w:fill="C6D9F1"/>
          </w:tcPr>
          <w:p>
            <w:pPr>
              <w:jc w:val="right"/>
              <w:ind w:right="77"/>
              <w:spacing w:after="0" w:line="201" w:lineRule="exact"/>
              <w:rPr>
                <w:sz w:val="20"/>
                <w:szCs w:val="20"/>
                <w:color w:val="auto"/>
              </w:rPr>
            </w:pPr>
            <w:r>
              <w:rPr>
                <w:rFonts w:ascii="Arial" w:cs="Arial" w:eastAsia="Arial" w:hAnsi="Arial"/>
                <w:sz w:val="18"/>
                <w:szCs w:val="18"/>
                <w:color w:val="auto"/>
              </w:rPr>
              <w:t>322,581</w:t>
            </w:r>
          </w:p>
        </w:tc>
        <w:tc>
          <w:tcPr>
            <w:tcW w:w="400" w:type="dxa"/>
            <w:vAlign w:val="bottom"/>
            <w:shd w:val="clear" w:color="auto" w:fill="C6D9F1"/>
          </w:tcPr>
          <w:p>
            <w:pPr>
              <w:jc w:val="right"/>
              <w:ind w:right="30"/>
              <w:spacing w:after="0" w:line="201" w:lineRule="exact"/>
              <w:rPr>
                <w:sz w:val="20"/>
                <w:szCs w:val="20"/>
                <w:color w:val="auto"/>
              </w:rPr>
            </w:pPr>
            <w:r>
              <w:rPr>
                <w:rFonts w:ascii="Arial" w:cs="Arial" w:eastAsia="Arial" w:hAnsi="Arial"/>
                <w:sz w:val="18"/>
                <w:szCs w:val="18"/>
                <w:color w:val="auto"/>
              </w:rPr>
              <w:t>$</w:t>
            </w:r>
          </w:p>
        </w:tc>
        <w:tc>
          <w:tcPr>
            <w:tcW w:w="2640" w:type="dxa"/>
            <w:vAlign w:val="bottom"/>
            <w:shd w:val="clear" w:color="auto" w:fill="C6D9F1"/>
          </w:tcPr>
          <w:p>
            <w:pPr>
              <w:ind w:left="1380"/>
              <w:spacing w:after="0" w:line="201" w:lineRule="exact"/>
              <w:rPr>
                <w:sz w:val="20"/>
                <w:szCs w:val="20"/>
                <w:color w:val="auto"/>
              </w:rPr>
            </w:pPr>
            <w:r>
              <w:rPr>
                <w:rFonts w:ascii="Arial" w:cs="Arial" w:eastAsia="Arial" w:hAnsi="Arial"/>
                <w:sz w:val="18"/>
                <w:szCs w:val="18"/>
                <w:color w:val="auto"/>
              </w:rPr>
              <w:t>337,934</w:t>
            </w:r>
          </w:p>
        </w:tc>
        <w:tc>
          <w:tcPr>
            <w:tcW w:w="2020" w:type="dxa"/>
            <w:vAlign w:val="bottom"/>
            <w:shd w:val="clear" w:color="auto" w:fill="C6D9F1"/>
          </w:tcPr>
          <w:p>
            <w:pPr>
              <w:jc w:val="center"/>
              <w:ind w:right="174"/>
              <w:spacing w:after="0" w:line="201" w:lineRule="exact"/>
              <w:rPr>
                <w:sz w:val="20"/>
                <w:szCs w:val="20"/>
                <w:color w:val="auto"/>
              </w:rPr>
            </w:pPr>
            <w:r>
              <w:rPr>
                <w:rFonts w:ascii="Arial" w:cs="Arial" w:eastAsia="Arial" w:hAnsi="Arial"/>
                <w:sz w:val="18"/>
                <w:szCs w:val="18"/>
                <w:color w:val="auto"/>
                <w:w w:val="97"/>
              </w:rPr>
              <w:t>4.8%</w:t>
            </w:r>
          </w:p>
        </w:tc>
      </w:tr>
      <w:tr>
        <w:trPr>
          <w:trHeight w:val="203"/>
        </w:trPr>
        <w:tc>
          <w:tcPr>
            <w:tcW w:w="2980" w:type="dxa"/>
            <w:vAlign w:val="bottom"/>
            <w:shd w:val="clear" w:color="auto" w:fill="C6D9F1"/>
          </w:tcPr>
          <w:p>
            <w:pPr>
              <w:spacing w:after="0"/>
              <w:rPr>
                <w:sz w:val="17"/>
                <w:szCs w:val="17"/>
                <w:color w:val="auto"/>
              </w:rPr>
            </w:pPr>
          </w:p>
        </w:tc>
        <w:tc>
          <w:tcPr>
            <w:tcW w:w="1220" w:type="dxa"/>
            <w:vAlign w:val="bottom"/>
            <w:shd w:val="clear" w:color="auto" w:fill="C6D9F1"/>
          </w:tcPr>
          <w:p>
            <w:pPr>
              <w:spacing w:after="0"/>
              <w:rPr>
                <w:sz w:val="17"/>
                <w:szCs w:val="17"/>
                <w:color w:val="auto"/>
              </w:rPr>
            </w:pPr>
          </w:p>
        </w:tc>
        <w:tc>
          <w:tcPr>
            <w:tcW w:w="2160" w:type="dxa"/>
            <w:vAlign w:val="bottom"/>
            <w:shd w:val="clear" w:color="auto" w:fill="C6D9F1"/>
          </w:tcPr>
          <w:p>
            <w:pPr>
              <w:spacing w:after="0"/>
              <w:rPr>
                <w:sz w:val="17"/>
                <w:szCs w:val="17"/>
                <w:color w:val="auto"/>
              </w:rPr>
            </w:pPr>
          </w:p>
        </w:tc>
        <w:tc>
          <w:tcPr>
            <w:tcW w:w="400" w:type="dxa"/>
            <w:vAlign w:val="bottom"/>
            <w:shd w:val="clear" w:color="auto" w:fill="C6D9F1"/>
          </w:tcPr>
          <w:p>
            <w:pPr>
              <w:spacing w:after="0"/>
              <w:rPr>
                <w:sz w:val="17"/>
                <w:szCs w:val="17"/>
                <w:color w:val="auto"/>
              </w:rPr>
            </w:pPr>
          </w:p>
        </w:tc>
        <w:tc>
          <w:tcPr>
            <w:tcW w:w="2640" w:type="dxa"/>
            <w:vAlign w:val="bottom"/>
            <w:shd w:val="clear" w:color="auto" w:fill="C6D9F1"/>
          </w:tcPr>
          <w:p>
            <w:pPr>
              <w:spacing w:after="0"/>
              <w:rPr>
                <w:sz w:val="17"/>
                <w:szCs w:val="17"/>
                <w:color w:val="auto"/>
              </w:rPr>
            </w:pPr>
          </w:p>
        </w:tc>
        <w:tc>
          <w:tcPr>
            <w:tcW w:w="2020" w:type="dxa"/>
            <w:vAlign w:val="bottom"/>
            <w:shd w:val="clear" w:color="auto" w:fill="C6D9F1"/>
          </w:tcPr>
          <w:p>
            <w:pPr>
              <w:jc w:val="center"/>
              <w:ind w:right="174"/>
              <w:spacing w:after="0" w:line="203" w:lineRule="exact"/>
              <w:rPr>
                <w:sz w:val="20"/>
                <w:szCs w:val="20"/>
                <w:color w:val="auto"/>
              </w:rPr>
            </w:pPr>
            <w:r>
              <w:rPr>
                <w:rFonts w:ascii="Arial" w:cs="Arial" w:eastAsia="Arial" w:hAnsi="Arial"/>
                <w:sz w:val="18"/>
                <w:szCs w:val="18"/>
                <w:color w:val="auto"/>
                <w:w w:val="98"/>
              </w:rPr>
              <w:t>(6.5% INR)</w:t>
            </w:r>
          </w:p>
        </w:tc>
      </w:tr>
      <w:tr>
        <w:trPr>
          <w:trHeight w:val="216"/>
        </w:trPr>
        <w:tc>
          <w:tcPr>
            <w:tcW w:w="2980" w:type="dxa"/>
            <w:vAlign w:val="bottom"/>
          </w:tcPr>
          <w:p>
            <w:pPr>
              <w:ind w:left="160"/>
              <w:spacing w:after="0"/>
              <w:rPr>
                <w:sz w:val="20"/>
                <w:szCs w:val="20"/>
                <w:color w:val="auto"/>
              </w:rPr>
            </w:pPr>
            <w:r>
              <w:rPr>
                <w:rFonts w:ascii="Arial" w:cs="Arial" w:eastAsia="Arial" w:hAnsi="Arial"/>
                <w:sz w:val="18"/>
                <w:szCs w:val="18"/>
                <w:color w:val="auto"/>
              </w:rPr>
              <w:t>Nalin Miglani</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160" w:type="dxa"/>
            <w:vAlign w:val="bottom"/>
          </w:tcPr>
          <w:p>
            <w:pPr>
              <w:jc w:val="right"/>
              <w:ind w:right="77"/>
              <w:spacing w:after="0"/>
              <w:rPr>
                <w:sz w:val="20"/>
                <w:szCs w:val="20"/>
                <w:color w:val="auto"/>
              </w:rPr>
            </w:pPr>
            <w:r>
              <w:rPr>
                <w:rFonts w:ascii="Arial" w:cs="Arial" w:eastAsia="Arial" w:hAnsi="Arial"/>
                <w:sz w:val="18"/>
                <w:szCs w:val="18"/>
                <w:color w:val="auto"/>
              </w:rPr>
              <w:t>400,000</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40" w:type="dxa"/>
            <w:vAlign w:val="bottom"/>
          </w:tcPr>
          <w:p>
            <w:pPr>
              <w:ind w:left="1380"/>
              <w:spacing w:after="0"/>
              <w:rPr>
                <w:sz w:val="20"/>
                <w:szCs w:val="20"/>
                <w:color w:val="auto"/>
              </w:rPr>
            </w:pPr>
            <w:r>
              <w:rPr>
                <w:rFonts w:ascii="Arial" w:cs="Arial" w:eastAsia="Arial" w:hAnsi="Arial"/>
                <w:sz w:val="18"/>
                <w:szCs w:val="18"/>
                <w:color w:val="auto"/>
              </w:rPr>
              <w:t>400,000</w:t>
            </w:r>
          </w:p>
        </w:tc>
        <w:tc>
          <w:tcPr>
            <w:tcW w:w="2020" w:type="dxa"/>
            <w:vAlign w:val="bottom"/>
          </w:tcPr>
          <w:p>
            <w:pPr>
              <w:jc w:val="center"/>
              <w:ind w:right="174"/>
              <w:spacing w:after="0"/>
              <w:rPr>
                <w:sz w:val="20"/>
                <w:szCs w:val="20"/>
                <w:color w:val="auto"/>
              </w:rPr>
            </w:pPr>
            <w:r>
              <w:rPr>
                <w:rFonts w:ascii="Arial" w:cs="Arial" w:eastAsia="Arial" w:hAnsi="Arial"/>
                <w:sz w:val="18"/>
                <w:szCs w:val="18"/>
                <w:color w:val="auto"/>
                <w:w w:val="97"/>
              </w:rPr>
              <w:t>0.0%</w:t>
            </w:r>
          </w:p>
        </w:tc>
      </w:tr>
      <w:tr>
        <w:trPr>
          <w:trHeight w:val="216"/>
        </w:trPr>
        <w:tc>
          <w:tcPr>
            <w:tcW w:w="2980" w:type="dxa"/>
            <w:vAlign w:val="bottom"/>
            <w:shd w:val="clear" w:color="auto" w:fill="C6D9F1"/>
          </w:tcPr>
          <w:p>
            <w:pPr>
              <w:ind w:left="160"/>
              <w:spacing w:after="0"/>
              <w:rPr>
                <w:sz w:val="20"/>
                <w:szCs w:val="20"/>
                <w:color w:val="auto"/>
              </w:rPr>
            </w:pPr>
            <w:r>
              <w:rPr>
                <w:rFonts w:ascii="Arial" w:cs="Arial" w:eastAsia="Arial" w:hAnsi="Arial"/>
                <w:sz w:val="18"/>
                <w:szCs w:val="18"/>
                <w:color w:val="auto"/>
              </w:rPr>
              <w:t>Henry Schweppe</w:t>
            </w:r>
          </w:p>
        </w:tc>
        <w:tc>
          <w:tcPr>
            <w:tcW w:w="1220" w:type="dxa"/>
            <w:vAlign w:val="bottom"/>
            <w:shd w:val="clear" w:color="auto" w:fill="C6D9F1"/>
          </w:tcPr>
          <w:p>
            <w:pPr>
              <w:jc w:val="right"/>
              <w:ind w:right="90"/>
              <w:spacing w:after="0"/>
              <w:rPr>
                <w:sz w:val="20"/>
                <w:szCs w:val="20"/>
                <w:color w:val="auto"/>
              </w:rPr>
            </w:pPr>
            <w:r>
              <w:rPr>
                <w:rFonts w:ascii="Arial" w:cs="Arial" w:eastAsia="Arial" w:hAnsi="Arial"/>
                <w:sz w:val="18"/>
                <w:szCs w:val="18"/>
                <w:color w:val="auto"/>
              </w:rPr>
              <w:t>$</w:t>
            </w:r>
          </w:p>
        </w:tc>
        <w:tc>
          <w:tcPr>
            <w:tcW w:w="2160" w:type="dxa"/>
            <w:vAlign w:val="bottom"/>
            <w:shd w:val="clear" w:color="auto" w:fill="C6D9F1"/>
          </w:tcPr>
          <w:p>
            <w:pPr>
              <w:jc w:val="right"/>
              <w:ind w:right="77"/>
              <w:spacing w:after="0"/>
              <w:rPr>
                <w:sz w:val="20"/>
                <w:szCs w:val="20"/>
                <w:color w:val="auto"/>
              </w:rPr>
            </w:pPr>
            <w:r>
              <w:rPr>
                <w:rFonts w:ascii="Arial" w:cs="Arial" w:eastAsia="Arial" w:hAnsi="Arial"/>
                <w:sz w:val="18"/>
                <w:szCs w:val="18"/>
                <w:color w:val="auto"/>
              </w:rPr>
              <w:t>450,000</w:t>
            </w:r>
          </w:p>
        </w:tc>
        <w:tc>
          <w:tcPr>
            <w:tcW w:w="400" w:type="dxa"/>
            <w:vAlign w:val="bottom"/>
            <w:shd w:val="clear" w:color="auto" w:fill="C6D9F1"/>
          </w:tcPr>
          <w:p>
            <w:pPr>
              <w:jc w:val="right"/>
              <w:ind w:right="30"/>
              <w:spacing w:after="0"/>
              <w:rPr>
                <w:sz w:val="20"/>
                <w:szCs w:val="20"/>
                <w:color w:val="auto"/>
              </w:rPr>
            </w:pPr>
            <w:r>
              <w:rPr>
                <w:rFonts w:ascii="Arial" w:cs="Arial" w:eastAsia="Arial" w:hAnsi="Arial"/>
                <w:sz w:val="18"/>
                <w:szCs w:val="18"/>
                <w:color w:val="auto"/>
              </w:rPr>
              <w:t>$</w:t>
            </w:r>
          </w:p>
        </w:tc>
        <w:tc>
          <w:tcPr>
            <w:tcW w:w="2640" w:type="dxa"/>
            <w:vAlign w:val="bottom"/>
            <w:shd w:val="clear" w:color="auto" w:fill="C6D9F1"/>
          </w:tcPr>
          <w:p>
            <w:pPr>
              <w:ind w:left="1380"/>
              <w:spacing w:after="0"/>
              <w:rPr>
                <w:sz w:val="20"/>
                <w:szCs w:val="20"/>
                <w:color w:val="auto"/>
              </w:rPr>
            </w:pPr>
            <w:r>
              <w:rPr>
                <w:rFonts w:ascii="Arial" w:cs="Arial" w:eastAsia="Arial" w:hAnsi="Arial"/>
                <w:sz w:val="18"/>
                <w:szCs w:val="18"/>
                <w:color w:val="auto"/>
              </w:rPr>
              <w:t>450,000</w:t>
            </w:r>
          </w:p>
        </w:tc>
        <w:tc>
          <w:tcPr>
            <w:tcW w:w="2020" w:type="dxa"/>
            <w:vAlign w:val="bottom"/>
            <w:shd w:val="clear" w:color="auto" w:fill="C6D9F1"/>
          </w:tcPr>
          <w:p>
            <w:pPr>
              <w:jc w:val="center"/>
              <w:ind w:right="174"/>
              <w:spacing w:after="0"/>
              <w:rPr>
                <w:sz w:val="20"/>
                <w:szCs w:val="20"/>
                <w:color w:val="auto"/>
              </w:rPr>
            </w:pPr>
            <w:r>
              <w:rPr>
                <w:rFonts w:ascii="Arial" w:cs="Arial" w:eastAsia="Arial" w:hAnsi="Arial"/>
                <w:sz w:val="18"/>
                <w:szCs w:val="18"/>
                <w:color w:val="auto"/>
                <w:w w:val="97"/>
              </w:rPr>
              <w:t>0.0%</w:t>
            </w:r>
          </w:p>
        </w:tc>
      </w:tr>
    </w:tbl>
    <w:p>
      <w:pPr>
        <w:spacing w:after="0" w:line="207" w:lineRule="exact"/>
        <w:rPr>
          <w:sz w:val="20"/>
          <w:szCs w:val="20"/>
          <w:color w:val="auto"/>
        </w:rPr>
      </w:pPr>
    </w:p>
    <w:p>
      <w:pPr>
        <w:ind w:left="340"/>
        <w:spacing w:after="0"/>
        <w:tabs>
          <w:tab w:leader="none" w:pos="600" w:val="left"/>
        </w:tabs>
        <w:rPr>
          <w:sz w:val="20"/>
          <w:szCs w:val="20"/>
          <w:color w:val="auto"/>
        </w:rPr>
      </w:pPr>
      <w:r>
        <w:rPr>
          <w:rFonts w:ascii="Arial" w:cs="Arial" w:eastAsia="Arial" w:hAnsi="Arial"/>
          <w:sz w:val="14"/>
          <w:szCs w:val="14"/>
          <w:color w:val="auto"/>
        </w:rPr>
        <w:t>(1)</w:t>
        <w:tab/>
        <w:t>Mr. Kapoor’s base salary, along with his employment agreement, became effective January 1, 2015.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Incentive Bonus</w:t>
      </w:r>
    </w:p>
    <w:p>
      <w:pPr>
        <w:spacing w:after="0" w:line="216"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We have established an annual incentive bonus program in order to align our executive officers’ goals with our performance targets for the current year and to encourage meaningful contributions to our future financial performance. Our Compensation Committee approved the framework of our incentive bonus program in December 2014 for the year 2015 for bonuses payable in respect of 2015 performance. Under the program, bonus target amounts, expressed as a percentage of base salary or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36" w:name="page37"/>
    <w:bookmarkEnd w:id="36"/>
    <w:p>
      <w:pPr>
        <w:spacing w:after="0" w:line="237" w:lineRule="auto"/>
        <w:rPr>
          <w:sz w:val="20"/>
          <w:szCs w:val="20"/>
          <w:color w:val="auto"/>
        </w:rPr>
      </w:pPr>
      <w:r>
        <w:rPr>
          <w:rFonts w:ascii="Arial" w:cs="Arial" w:eastAsia="Arial" w:hAnsi="Arial"/>
          <w:sz w:val="18"/>
          <w:szCs w:val="18"/>
          <w:color w:val="auto"/>
        </w:rPr>
        <w:t>annual fixed compensation, are established for participants at the beginning of each year unless their employment agreements contain different terms. Funding of potential bonus payouts for the year are determined by our financial results for the year relative to predetermined performance measures, and may be increased or decreased depending upon the executive’s individual performance against his performance goals. If our performance falls short of target, our aggregate funding of the annual cash bonus incentive pool declines. If we do not achieve a minimum threshold for the established financial performance objectives, then the bonus pool is not funded for that particular objective. At the end of the performance period, our Compensation Committee has discretion to adjust an award payout from the amount yielded by the formula.</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Compensation Committee considered the following when establishing the awards for 2015:</w:t>
      </w:r>
    </w:p>
    <w:p>
      <w:pPr>
        <w:spacing w:after="0" w:line="180" w:lineRule="exact"/>
        <w:rPr>
          <w:sz w:val="20"/>
          <w:szCs w:val="20"/>
          <w:color w:val="auto"/>
        </w:rPr>
      </w:pPr>
    </w:p>
    <w:p>
      <w:pPr>
        <w:ind w:left="340" w:right="80" w:hanging="332"/>
        <w:spacing w:after="0" w:line="241"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Bonus Targets</w:t>
      </w:r>
      <w:r>
        <w:rPr>
          <w:rFonts w:ascii="Arial" w:cs="Arial" w:eastAsia="Arial" w:hAnsi="Arial"/>
          <w:sz w:val="18"/>
          <w:szCs w:val="18"/>
          <w:color w:val="auto"/>
        </w:rPr>
        <w:t>. Bonus targets were established based on job responsibilities and comparable market data. Our objective was to set bonus</w:t>
      </w:r>
      <w:r>
        <w:rPr>
          <w:rFonts w:ascii="Arial" w:cs="Arial" w:eastAsia="Arial" w:hAnsi="Arial"/>
          <w:sz w:val="18"/>
          <w:szCs w:val="18"/>
          <w:i w:val="1"/>
          <w:iCs w:val="1"/>
          <w:color w:val="auto"/>
        </w:rPr>
        <w:t xml:space="preserve"> </w:t>
      </w:r>
      <w:r>
        <w:rPr>
          <w:rFonts w:ascii="Arial" w:cs="Arial" w:eastAsia="Arial" w:hAnsi="Arial"/>
          <w:sz w:val="18"/>
          <w:szCs w:val="18"/>
          <w:color w:val="auto"/>
        </w:rPr>
        <w:t>targets such that total annual cash compensation was within the broad middle range of market data and a substantial portion of that compensation was linked to our performance. Consistent with our executive compensation policy, individuals with greater job responsibilities had a greater proportion of their total compensation tied to our performance. During 2015, our Compensation Committee established the following bonus targets (expressed as a percentage of base salary or annual fixed compensation) as well as maximum bonus targets for each named executive officer.</w:t>
      </w:r>
    </w:p>
    <w:p>
      <w:pPr>
        <w:spacing w:after="0" w:line="190" w:lineRule="exact"/>
        <w:rPr>
          <w:sz w:val="20"/>
          <w:szCs w:val="20"/>
          <w:color w:val="auto"/>
        </w:rPr>
      </w:pPr>
    </w:p>
    <w:tbl>
      <w:tblPr>
        <w:tblLayout w:type="fixed"/>
        <w:tblInd w:w="340" w:type="dxa"/>
        <w:tblCellMar>
          <w:top w:w="0" w:type="dxa"/>
          <w:left w:w="0" w:type="dxa"/>
          <w:bottom w:w="0" w:type="dxa"/>
          <w:right w:w="0" w:type="dxa"/>
        </w:tblCellMar>
      </w:tblPr>
      <w:tr>
        <w:trPr>
          <w:trHeight w:val="162"/>
        </w:trPr>
        <w:tc>
          <w:tcPr>
            <w:tcW w:w="3700" w:type="dxa"/>
            <w:vAlign w:val="bottom"/>
            <w:gridSpan w:val="2"/>
            <w:shd w:val="clear" w:color="auto" w:fill="5591C7"/>
          </w:tcPr>
          <w:p>
            <w:pPr>
              <w:ind w:left="1500"/>
              <w:spacing w:after="0"/>
              <w:rPr>
                <w:sz w:val="20"/>
                <w:szCs w:val="20"/>
                <w:color w:val="auto"/>
              </w:rPr>
            </w:pPr>
            <w:r>
              <w:rPr>
                <w:rFonts w:ascii="Arial" w:cs="Arial" w:eastAsia="Arial" w:hAnsi="Arial"/>
                <w:sz w:val="14"/>
                <w:szCs w:val="14"/>
                <w:b w:val="1"/>
                <w:bCs w:val="1"/>
                <w:color w:val="auto"/>
              </w:rPr>
              <w:t>Name</w:t>
            </w:r>
          </w:p>
        </w:tc>
        <w:tc>
          <w:tcPr>
            <w:tcW w:w="3720" w:type="dxa"/>
            <w:vAlign w:val="bottom"/>
            <w:gridSpan w:val="2"/>
            <w:shd w:val="clear" w:color="auto" w:fill="5591C7"/>
          </w:tcPr>
          <w:p>
            <w:pPr>
              <w:ind w:left="1240"/>
              <w:spacing w:after="0"/>
              <w:rPr>
                <w:sz w:val="20"/>
                <w:szCs w:val="20"/>
                <w:color w:val="auto"/>
              </w:rPr>
            </w:pPr>
            <w:r>
              <w:rPr>
                <w:rFonts w:ascii="Arial" w:cs="Arial" w:eastAsia="Arial" w:hAnsi="Arial"/>
                <w:sz w:val="14"/>
                <w:szCs w:val="14"/>
                <w:b w:val="1"/>
                <w:bCs w:val="1"/>
                <w:color w:val="auto"/>
              </w:rPr>
              <w:t>Bonus Target</w:t>
            </w:r>
          </w:p>
        </w:tc>
        <w:tc>
          <w:tcPr>
            <w:tcW w:w="3400" w:type="dxa"/>
            <w:vAlign w:val="bottom"/>
            <w:shd w:val="clear" w:color="auto" w:fill="5591C7"/>
          </w:tcPr>
          <w:p>
            <w:pPr>
              <w:ind w:left="1120"/>
              <w:spacing w:after="0"/>
              <w:rPr>
                <w:sz w:val="20"/>
                <w:szCs w:val="20"/>
                <w:color w:val="auto"/>
              </w:rPr>
            </w:pPr>
            <w:r>
              <w:rPr>
                <w:rFonts w:ascii="Arial" w:cs="Arial" w:eastAsia="Arial" w:hAnsi="Arial"/>
                <w:sz w:val="14"/>
                <w:szCs w:val="14"/>
                <w:b w:val="1"/>
                <w:bCs w:val="1"/>
                <w:color w:val="auto"/>
              </w:rPr>
              <w:t>Bonus Maximum</w:t>
            </w:r>
          </w:p>
        </w:tc>
      </w:tr>
      <w:tr>
        <w:trPr>
          <w:trHeight w:val="196"/>
        </w:trPr>
        <w:tc>
          <w:tcPr>
            <w:tcW w:w="3380" w:type="dxa"/>
            <w:vAlign w:val="bottom"/>
            <w:tcBorders>
              <w:top w:val="single" w:sz="8" w:color="auto"/>
            </w:tcBorders>
            <w:shd w:val="clear" w:color="auto" w:fill="C6D9F1"/>
          </w:tcPr>
          <w:p>
            <w:pPr>
              <w:ind w:left="80"/>
              <w:spacing w:after="0" w:line="196" w:lineRule="exact"/>
              <w:rPr>
                <w:sz w:val="20"/>
                <w:szCs w:val="20"/>
                <w:color w:val="auto"/>
              </w:rPr>
            </w:pPr>
            <w:r>
              <w:rPr>
                <w:rFonts w:ascii="Arial" w:cs="Arial" w:eastAsia="Arial" w:hAnsi="Arial"/>
                <w:sz w:val="18"/>
                <w:szCs w:val="18"/>
                <w:color w:val="auto"/>
              </w:rPr>
              <w:t>Rohit Kapoor</w:t>
            </w:r>
          </w:p>
        </w:tc>
        <w:tc>
          <w:tcPr>
            <w:tcW w:w="320" w:type="dxa"/>
            <w:vAlign w:val="bottom"/>
            <w:tcBorders>
              <w:top w:val="single" w:sz="8" w:color="C6D9F1"/>
            </w:tcBorders>
            <w:shd w:val="clear" w:color="auto" w:fill="C6D9F1"/>
          </w:tcPr>
          <w:p>
            <w:pPr>
              <w:spacing w:after="0"/>
              <w:rPr>
                <w:sz w:val="17"/>
                <w:szCs w:val="17"/>
                <w:color w:val="auto"/>
              </w:rPr>
            </w:pPr>
          </w:p>
        </w:tc>
        <w:tc>
          <w:tcPr>
            <w:tcW w:w="3400" w:type="dxa"/>
            <w:vAlign w:val="bottom"/>
            <w:tcBorders>
              <w:top w:val="single" w:sz="8" w:color="auto"/>
            </w:tcBorders>
            <w:shd w:val="clear" w:color="auto" w:fill="C6D9F1"/>
          </w:tcPr>
          <w:p>
            <w:pPr>
              <w:ind w:left="100"/>
              <w:spacing w:after="0" w:line="196" w:lineRule="exact"/>
              <w:rPr>
                <w:sz w:val="20"/>
                <w:szCs w:val="20"/>
                <w:color w:val="auto"/>
              </w:rPr>
            </w:pPr>
            <w:r>
              <w:rPr>
                <w:rFonts w:ascii="Arial" w:cs="Arial" w:eastAsia="Arial" w:hAnsi="Arial"/>
                <w:sz w:val="18"/>
                <w:szCs w:val="18"/>
                <w:color w:val="auto"/>
              </w:rPr>
              <w:t>100% of base salary</w:t>
            </w:r>
          </w:p>
        </w:tc>
        <w:tc>
          <w:tcPr>
            <w:tcW w:w="320" w:type="dxa"/>
            <w:vAlign w:val="bottom"/>
            <w:tcBorders>
              <w:top w:val="single" w:sz="8" w:color="C6D9F1"/>
            </w:tcBorders>
            <w:shd w:val="clear" w:color="auto" w:fill="C6D9F1"/>
          </w:tcPr>
          <w:p>
            <w:pPr>
              <w:spacing w:after="0"/>
              <w:rPr>
                <w:sz w:val="17"/>
                <w:szCs w:val="17"/>
                <w:color w:val="auto"/>
              </w:rPr>
            </w:pPr>
          </w:p>
        </w:tc>
        <w:tc>
          <w:tcPr>
            <w:tcW w:w="3400" w:type="dxa"/>
            <w:vAlign w:val="bottom"/>
            <w:tcBorders>
              <w:top w:val="single" w:sz="8" w:color="auto"/>
            </w:tcBorders>
            <w:shd w:val="clear" w:color="auto" w:fill="C6D9F1"/>
          </w:tcPr>
          <w:p>
            <w:pPr>
              <w:ind w:left="100"/>
              <w:spacing w:after="0" w:line="196" w:lineRule="exact"/>
              <w:rPr>
                <w:sz w:val="20"/>
                <w:szCs w:val="20"/>
                <w:color w:val="auto"/>
              </w:rPr>
            </w:pPr>
            <w:r>
              <w:rPr>
                <w:rFonts w:ascii="Arial" w:cs="Arial" w:eastAsia="Arial" w:hAnsi="Arial"/>
                <w:sz w:val="18"/>
                <w:szCs w:val="18"/>
                <w:color w:val="auto"/>
              </w:rPr>
              <w:t>200% of base salary</w:t>
            </w:r>
          </w:p>
        </w:tc>
      </w:tr>
      <w:tr>
        <w:trPr>
          <w:trHeight w:val="203"/>
        </w:trPr>
        <w:tc>
          <w:tcPr>
            <w:tcW w:w="370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Vishal Chhibbar</w:t>
            </w:r>
          </w:p>
        </w:tc>
        <w:tc>
          <w:tcPr>
            <w:tcW w:w="37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50% of annual fixed compensation</w:t>
            </w:r>
          </w:p>
        </w:tc>
        <w:tc>
          <w:tcPr>
            <w:tcW w:w="3400" w:type="dxa"/>
            <w:vAlign w:val="bottom"/>
          </w:tcPr>
          <w:p>
            <w:pPr>
              <w:ind w:left="100"/>
              <w:spacing w:after="0" w:line="202" w:lineRule="exact"/>
              <w:rPr>
                <w:sz w:val="20"/>
                <w:szCs w:val="20"/>
                <w:color w:val="auto"/>
              </w:rPr>
            </w:pPr>
            <w:r>
              <w:rPr>
                <w:rFonts w:ascii="Arial" w:cs="Arial" w:eastAsia="Arial" w:hAnsi="Arial"/>
                <w:sz w:val="18"/>
                <w:szCs w:val="18"/>
                <w:color w:val="auto"/>
              </w:rPr>
              <w:t>100% of annual fixed compensation</w:t>
            </w:r>
          </w:p>
        </w:tc>
      </w:tr>
      <w:tr>
        <w:trPr>
          <w:trHeight w:val="203"/>
        </w:trPr>
        <w:tc>
          <w:tcPr>
            <w:tcW w:w="3700" w:type="dxa"/>
            <w:vAlign w:val="bottom"/>
            <w:gridSpan w:val="2"/>
            <w:shd w:val="clear" w:color="auto" w:fill="C6D9F1"/>
          </w:tcPr>
          <w:p>
            <w:pPr>
              <w:ind w:left="80"/>
              <w:spacing w:after="0" w:line="202" w:lineRule="exact"/>
              <w:rPr>
                <w:sz w:val="20"/>
                <w:szCs w:val="20"/>
                <w:color w:val="auto"/>
              </w:rPr>
            </w:pPr>
            <w:r>
              <w:rPr>
                <w:rFonts w:ascii="Arial" w:cs="Arial" w:eastAsia="Arial" w:hAnsi="Arial"/>
                <w:sz w:val="18"/>
                <w:szCs w:val="18"/>
                <w:color w:val="auto"/>
              </w:rPr>
              <w:t>Pavan Bagai</w:t>
            </w:r>
          </w:p>
        </w:tc>
        <w:tc>
          <w:tcPr>
            <w:tcW w:w="3720" w:type="dxa"/>
            <w:vAlign w:val="bottom"/>
            <w:gridSpan w:val="2"/>
            <w:shd w:val="clear" w:color="auto" w:fill="C6D9F1"/>
          </w:tcPr>
          <w:p>
            <w:pPr>
              <w:ind w:left="100"/>
              <w:spacing w:after="0" w:line="202" w:lineRule="exact"/>
              <w:rPr>
                <w:sz w:val="20"/>
                <w:szCs w:val="20"/>
                <w:color w:val="auto"/>
              </w:rPr>
            </w:pPr>
            <w:r>
              <w:rPr>
                <w:rFonts w:ascii="Arial" w:cs="Arial" w:eastAsia="Arial" w:hAnsi="Arial"/>
                <w:sz w:val="18"/>
                <w:szCs w:val="18"/>
                <w:color w:val="auto"/>
              </w:rPr>
              <w:t>75% of annual fixed compensation</w:t>
            </w:r>
          </w:p>
        </w:tc>
        <w:tc>
          <w:tcPr>
            <w:tcW w:w="3400" w:type="dxa"/>
            <w:vAlign w:val="bottom"/>
            <w:shd w:val="clear" w:color="auto" w:fill="C6D9F1"/>
          </w:tcPr>
          <w:p>
            <w:pPr>
              <w:ind w:left="100"/>
              <w:spacing w:after="0" w:line="202" w:lineRule="exact"/>
              <w:rPr>
                <w:sz w:val="20"/>
                <w:szCs w:val="20"/>
                <w:color w:val="auto"/>
              </w:rPr>
            </w:pPr>
            <w:r>
              <w:rPr>
                <w:rFonts w:ascii="Arial" w:cs="Arial" w:eastAsia="Arial" w:hAnsi="Arial"/>
                <w:sz w:val="18"/>
                <w:szCs w:val="18"/>
                <w:color w:val="auto"/>
              </w:rPr>
              <w:t>150% of annual fixed compensation</w:t>
            </w:r>
          </w:p>
        </w:tc>
      </w:tr>
      <w:tr>
        <w:trPr>
          <w:trHeight w:val="203"/>
        </w:trPr>
        <w:tc>
          <w:tcPr>
            <w:tcW w:w="370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Nalin Miglani</w:t>
            </w:r>
          </w:p>
        </w:tc>
        <w:tc>
          <w:tcPr>
            <w:tcW w:w="37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60% of base salary</w:t>
            </w:r>
          </w:p>
        </w:tc>
        <w:tc>
          <w:tcPr>
            <w:tcW w:w="3400" w:type="dxa"/>
            <w:vAlign w:val="bottom"/>
          </w:tcPr>
          <w:p>
            <w:pPr>
              <w:ind w:left="100"/>
              <w:spacing w:after="0" w:line="202" w:lineRule="exact"/>
              <w:rPr>
                <w:sz w:val="20"/>
                <w:szCs w:val="20"/>
                <w:color w:val="auto"/>
              </w:rPr>
            </w:pPr>
            <w:r>
              <w:rPr>
                <w:rFonts w:ascii="Arial" w:cs="Arial" w:eastAsia="Arial" w:hAnsi="Arial"/>
                <w:sz w:val="18"/>
                <w:szCs w:val="18"/>
                <w:color w:val="auto"/>
              </w:rPr>
              <w:t>120% of base salary</w:t>
            </w:r>
          </w:p>
        </w:tc>
      </w:tr>
      <w:tr>
        <w:trPr>
          <w:trHeight w:val="203"/>
        </w:trPr>
        <w:tc>
          <w:tcPr>
            <w:tcW w:w="3700" w:type="dxa"/>
            <w:vAlign w:val="bottom"/>
            <w:gridSpan w:val="2"/>
            <w:shd w:val="clear" w:color="auto" w:fill="C6D9F1"/>
          </w:tcPr>
          <w:p>
            <w:pPr>
              <w:ind w:left="80"/>
              <w:spacing w:after="0" w:line="202" w:lineRule="exact"/>
              <w:rPr>
                <w:sz w:val="20"/>
                <w:szCs w:val="20"/>
                <w:color w:val="auto"/>
              </w:rPr>
            </w:pPr>
            <w:r>
              <w:rPr>
                <w:rFonts w:ascii="Arial" w:cs="Arial" w:eastAsia="Arial" w:hAnsi="Arial"/>
                <w:sz w:val="18"/>
                <w:szCs w:val="18"/>
                <w:color w:val="auto"/>
              </w:rPr>
              <w:t>Henry Schweppe</w:t>
            </w:r>
          </w:p>
        </w:tc>
        <w:tc>
          <w:tcPr>
            <w:tcW w:w="3720" w:type="dxa"/>
            <w:vAlign w:val="bottom"/>
            <w:gridSpan w:val="2"/>
            <w:shd w:val="clear" w:color="auto" w:fill="C6D9F1"/>
          </w:tcPr>
          <w:p>
            <w:pPr>
              <w:ind w:left="100"/>
              <w:spacing w:after="0" w:line="202" w:lineRule="exact"/>
              <w:rPr>
                <w:sz w:val="20"/>
                <w:szCs w:val="20"/>
                <w:color w:val="auto"/>
              </w:rPr>
            </w:pPr>
            <w:r>
              <w:rPr>
                <w:rFonts w:ascii="Arial" w:cs="Arial" w:eastAsia="Arial" w:hAnsi="Arial"/>
                <w:sz w:val="18"/>
                <w:szCs w:val="18"/>
                <w:color w:val="auto"/>
              </w:rPr>
              <w:t>75% of base salary</w:t>
            </w:r>
          </w:p>
        </w:tc>
        <w:tc>
          <w:tcPr>
            <w:tcW w:w="3400" w:type="dxa"/>
            <w:vAlign w:val="bottom"/>
            <w:shd w:val="clear" w:color="auto" w:fill="C6D9F1"/>
          </w:tcPr>
          <w:p>
            <w:pPr>
              <w:ind w:left="100"/>
              <w:spacing w:after="0" w:line="202" w:lineRule="exact"/>
              <w:rPr>
                <w:sz w:val="20"/>
                <w:szCs w:val="20"/>
                <w:color w:val="auto"/>
              </w:rPr>
            </w:pPr>
            <w:r>
              <w:rPr>
                <w:rFonts w:ascii="Arial" w:cs="Arial" w:eastAsia="Arial" w:hAnsi="Arial"/>
                <w:sz w:val="18"/>
                <w:szCs w:val="18"/>
                <w:color w:val="auto"/>
              </w:rPr>
              <w:t>150% of base salary</w:t>
            </w:r>
          </w:p>
        </w:tc>
      </w:tr>
    </w:tbl>
    <w:p>
      <w:pPr>
        <w:spacing w:after="0" w:line="224" w:lineRule="exact"/>
        <w:rPr>
          <w:sz w:val="20"/>
          <w:szCs w:val="20"/>
          <w:color w:val="auto"/>
        </w:rPr>
      </w:pPr>
    </w:p>
    <w:p>
      <w:pPr>
        <w:ind w:left="340" w:right="280" w:hanging="332"/>
        <w:spacing w:after="0" w:line="251"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Annual Bonuses Exclusively Denominated in Cash. </w:t>
      </w:r>
      <w:r>
        <w:rPr>
          <w:rFonts w:ascii="Arial" w:cs="Arial" w:eastAsia="Arial" w:hAnsi="Arial"/>
          <w:sz w:val="18"/>
          <w:szCs w:val="18"/>
          <w:color w:val="auto"/>
        </w:rPr>
        <w:t>The Committee believes cash bonuses clearly align with market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practices and make the Company’s overall compensation program more competitive. The long-term retention and performance features associated with equity grants continue to be an important part of the Company’s compensation mix, as described below.</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52" w:right="259" w:bottom="1440" w:gutter="0" w:footer="0" w:header="0"/>
        </w:sectPr>
      </w:pPr>
    </w:p>
    <w:bookmarkStart w:id="37" w:name="page38"/>
    <w:bookmarkEnd w:id="37"/>
    <w:p>
      <w:pPr>
        <w:jc w:val="both"/>
        <w:ind w:left="340" w:right="20" w:hanging="332"/>
        <w:spacing w:after="0" w:line="297" w:lineRule="auto"/>
        <w:tabs>
          <w:tab w:leader="none" w:pos="340" w:val="left"/>
        </w:tabs>
        <w:numPr>
          <w:ilvl w:val="0"/>
          <w:numId w:val="37"/>
        </w:numPr>
        <w:rPr>
          <w:rFonts w:ascii="Arial" w:cs="Arial" w:eastAsia="Arial" w:hAnsi="Arial"/>
          <w:sz w:val="17"/>
          <w:szCs w:val="17"/>
          <w:color w:val="auto"/>
        </w:rPr>
      </w:pPr>
      <w:r>
        <w:rPr>
          <w:rFonts w:ascii="Arial" w:cs="Arial" w:eastAsia="Arial" w:hAnsi="Arial"/>
          <w:sz w:val="17"/>
          <w:szCs w:val="17"/>
          <w:i w:val="1"/>
          <w:iCs w:val="1"/>
          <w:color w:val="auto"/>
        </w:rPr>
        <w:t>Performance Measures</w:t>
      </w:r>
      <w:r>
        <w:rPr>
          <w:rFonts w:ascii="Arial" w:cs="Arial" w:eastAsia="Arial" w:hAnsi="Arial"/>
          <w:sz w:val="17"/>
          <w:szCs w:val="17"/>
          <w:color w:val="auto"/>
        </w:rPr>
        <w:t>. Our executives were eligible to earn annual bonuses based on their achievement of company-wide performance</w:t>
      </w:r>
      <w:r>
        <w:rPr>
          <w:rFonts w:ascii="Arial" w:cs="Arial" w:eastAsia="Arial" w:hAnsi="Arial"/>
          <w:sz w:val="17"/>
          <w:szCs w:val="17"/>
          <w:i w:val="1"/>
          <w:iCs w:val="1"/>
          <w:color w:val="auto"/>
        </w:rPr>
        <w:t xml:space="preserve"> </w:t>
      </w:r>
      <w:r>
        <w:rPr>
          <w:rFonts w:ascii="Arial" w:cs="Arial" w:eastAsia="Arial" w:hAnsi="Arial"/>
          <w:sz w:val="17"/>
          <w:szCs w:val="17"/>
          <w:color w:val="auto"/>
        </w:rPr>
        <w:t>metrics, business line or other company performance metrics and, in some cases, individual performance, as described in the tables below.</w:t>
      </w:r>
    </w:p>
    <w:p>
      <w:pPr>
        <w:spacing w:after="0" w:line="143"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3040" w:type="dxa"/>
            <w:vAlign w:val="bottom"/>
            <w:shd w:val="clear" w:color="auto" w:fill="5591C7"/>
          </w:tcPr>
          <w:p>
            <w:pPr>
              <w:spacing w:after="0"/>
              <w:rPr>
                <w:sz w:val="14"/>
                <w:szCs w:val="14"/>
                <w:color w:val="auto"/>
              </w:rPr>
            </w:pPr>
          </w:p>
        </w:tc>
        <w:tc>
          <w:tcPr>
            <w:tcW w:w="260" w:type="dxa"/>
            <w:vAlign w:val="bottom"/>
            <w:shd w:val="clear" w:color="auto" w:fill="5591C7"/>
          </w:tcPr>
          <w:p>
            <w:pPr>
              <w:spacing w:after="0"/>
              <w:rPr>
                <w:sz w:val="14"/>
                <w:szCs w:val="14"/>
                <w:color w:val="auto"/>
              </w:rPr>
            </w:pPr>
          </w:p>
        </w:tc>
        <w:tc>
          <w:tcPr>
            <w:tcW w:w="2640" w:type="dxa"/>
            <w:vAlign w:val="bottom"/>
            <w:gridSpan w:val="2"/>
            <w:vMerge w:val="restart"/>
            <w:shd w:val="clear" w:color="auto" w:fill="5591C7"/>
          </w:tcPr>
          <w:p>
            <w:pPr>
              <w:jc w:val="center"/>
              <w:ind w:right="320"/>
              <w:spacing w:after="0"/>
              <w:rPr>
                <w:sz w:val="20"/>
                <w:szCs w:val="20"/>
                <w:color w:val="auto"/>
              </w:rPr>
            </w:pPr>
            <w:r>
              <w:rPr>
                <w:rFonts w:ascii="Arial" w:cs="Arial" w:eastAsia="Arial" w:hAnsi="Arial"/>
                <w:sz w:val="14"/>
                <w:szCs w:val="14"/>
                <w:b w:val="1"/>
                <w:bCs w:val="1"/>
                <w:color w:val="auto"/>
              </w:rPr>
              <w:t>Company-Wide</w:t>
            </w:r>
          </w:p>
        </w:tc>
        <w:tc>
          <w:tcPr>
            <w:tcW w:w="2240" w:type="dxa"/>
            <w:vAlign w:val="bottom"/>
            <w:shd w:val="clear" w:color="auto" w:fill="5591C7"/>
          </w:tcPr>
          <w:p>
            <w:pPr>
              <w:spacing w:after="0"/>
              <w:rPr>
                <w:sz w:val="14"/>
                <w:szCs w:val="14"/>
                <w:color w:val="auto"/>
              </w:rPr>
            </w:pPr>
          </w:p>
        </w:tc>
        <w:tc>
          <w:tcPr>
            <w:tcW w:w="260" w:type="dxa"/>
            <w:vAlign w:val="bottom"/>
            <w:shd w:val="clear" w:color="auto" w:fill="5591C7"/>
          </w:tcPr>
          <w:p>
            <w:pPr>
              <w:spacing w:after="0"/>
              <w:rPr>
                <w:sz w:val="14"/>
                <w:szCs w:val="14"/>
                <w:color w:val="auto"/>
              </w:rPr>
            </w:pPr>
          </w:p>
        </w:tc>
        <w:tc>
          <w:tcPr>
            <w:tcW w:w="240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Business Line or</w:t>
            </w:r>
          </w:p>
        </w:tc>
        <w:tc>
          <w:tcPr>
            <w:tcW w:w="0" w:type="dxa"/>
            <w:vAlign w:val="bottom"/>
          </w:tcPr>
          <w:p>
            <w:pPr>
              <w:spacing w:after="0"/>
              <w:rPr>
                <w:sz w:val="1"/>
                <w:szCs w:val="1"/>
                <w:color w:val="auto"/>
              </w:rPr>
            </w:pPr>
          </w:p>
        </w:tc>
      </w:tr>
      <w:tr>
        <w:trPr>
          <w:trHeight w:val="148"/>
        </w:trPr>
        <w:tc>
          <w:tcPr>
            <w:tcW w:w="3040" w:type="dxa"/>
            <w:vAlign w:val="bottom"/>
            <w:shd w:val="clear" w:color="auto" w:fill="5591C7"/>
          </w:tcPr>
          <w:p>
            <w:pPr>
              <w:spacing w:after="0"/>
              <w:rPr>
                <w:sz w:val="12"/>
                <w:szCs w:val="12"/>
                <w:color w:val="auto"/>
              </w:rPr>
            </w:pPr>
          </w:p>
        </w:tc>
        <w:tc>
          <w:tcPr>
            <w:tcW w:w="260" w:type="dxa"/>
            <w:vAlign w:val="bottom"/>
            <w:shd w:val="clear" w:color="auto" w:fill="5591C7"/>
          </w:tcPr>
          <w:p>
            <w:pPr>
              <w:spacing w:after="0"/>
              <w:rPr>
                <w:sz w:val="12"/>
                <w:szCs w:val="12"/>
                <w:color w:val="auto"/>
              </w:rPr>
            </w:pPr>
          </w:p>
        </w:tc>
        <w:tc>
          <w:tcPr>
            <w:tcW w:w="2640" w:type="dxa"/>
            <w:vAlign w:val="bottom"/>
            <w:gridSpan w:val="2"/>
            <w:vMerge w:val="continue"/>
            <w:shd w:val="clear" w:color="auto" w:fill="5591C7"/>
          </w:tcPr>
          <w:p>
            <w:pPr>
              <w:spacing w:after="0"/>
              <w:rPr>
                <w:sz w:val="12"/>
                <w:szCs w:val="12"/>
                <w:color w:val="auto"/>
              </w:rPr>
            </w:pPr>
          </w:p>
        </w:tc>
        <w:tc>
          <w:tcPr>
            <w:tcW w:w="2500" w:type="dxa"/>
            <w:vAlign w:val="bottom"/>
            <w:gridSpan w:val="2"/>
            <w:shd w:val="clear" w:color="auto" w:fill="5591C7"/>
          </w:tcPr>
          <w:p>
            <w:pPr>
              <w:jc w:val="center"/>
              <w:ind w:right="280"/>
              <w:spacing w:after="0" w:line="149" w:lineRule="exact"/>
              <w:rPr>
                <w:sz w:val="20"/>
                <w:szCs w:val="20"/>
                <w:color w:val="auto"/>
              </w:rPr>
            </w:pPr>
            <w:r>
              <w:rPr>
                <w:rFonts w:ascii="Arial" w:cs="Arial" w:eastAsia="Arial" w:hAnsi="Arial"/>
                <w:sz w:val="14"/>
                <w:szCs w:val="14"/>
                <w:b w:val="1"/>
                <w:bCs w:val="1"/>
                <w:color w:val="auto"/>
              </w:rPr>
              <w:t>Individual</w:t>
            </w:r>
          </w:p>
        </w:tc>
        <w:tc>
          <w:tcPr>
            <w:tcW w:w="2400" w:type="dxa"/>
            <w:vAlign w:val="bottom"/>
            <w:shd w:val="clear" w:color="auto" w:fill="5591C7"/>
          </w:tcPr>
          <w:p>
            <w:pPr>
              <w:jc w:val="center"/>
              <w:spacing w:after="0" w:line="149" w:lineRule="exact"/>
              <w:rPr>
                <w:sz w:val="20"/>
                <w:szCs w:val="20"/>
                <w:color w:val="auto"/>
              </w:rPr>
            </w:pPr>
            <w:r>
              <w:rPr>
                <w:rFonts w:ascii="Arial" w:cs="Arial" w:eastAsia="Arial" w:hAnsi="Arial"/>
                <w:sz w:val="14"/>
                <w:szCs w:val="14"/>
                <w:b w:val="1"/>
                <w:bCs w:val="1"/>
                <w:color w:val="auto"/>
              </w:rPr>
              <w:t>Other Company</w:t>
            </w:r>
          </w:p>
        </w:tc>
        <w:tc>
          <w:tcPr>
            <w:tcW w:w="0" w:type="dxa"/>
            <w:vAlign w:val="bottom"/>
          </w:tcPr>
          <w:p>
            <w:pPr>
              <w:spacing w:after="0"/>
              <w:rPr>
                <w:sz w:val="1"/>
                <w:szCs w:val="1"/>
                <w:color w:val="auto"/>
              </w:rPr>
            </w:pPr>
          </w:p>
        </w:tc>
      </w:tr>
      <w:tr>
        <w:trPr>
          <w:trHeight w:val="203"/>
        </w:trPr>
        <w:tc>
          <w:tcPr>
            <w:tcW w:w="3040" w:type="dxa"/>
            <w:vAlign w:val="bottom"/>
            <w:tcBorders>
              <w:bottom w:val="single" w:sz="8" w:color="auto"/>
            </w:tcBorders>
            <w:shd w:val="clear" w:color="auto" w:fill="5591C7"/>
          </w:tcPr>
          <w:p>
            <w:pPr>
              <w:ind w:left="1320"/>
              <w:spacing w:after="0"/>
              <w:rPr>
                <w:sz w:val="20"/>
                <w:szCs w:val="20"/>
                <w:color w:val="auto"/>
              </w:rPr>
            </w:pPr>
            <w:r>
              <w:rPr>
                <w:rFonts w:ascii="Arial" w:cs="Arial" w:eastAsia="Arial" w:hAnsi="Arial"/>
                <w:sz w:val="14"/>
                <w:szCs w:val="14"/>
                <w:b w:val="1"/>
                <w:bCs w:val="1"/>
                <w:color w:val="auto"/>
              </w:rPr>
              <w:t>Name</w:t>
            </w:r>
          </w:p>
        </w:tc>
        <w:tc>
          <w:tcPr>
            <w:tcW w:w="260" w:type="dxa"/>
            <w:vAlign w:val="bottom"/>
            <w:tcBorders>
              <w:bottom w:val="single" w:sz="8" w:color="C6D9F1"/>
            </w:tcBorders>
            <w:shd w:val="clear" w:color="auto" w:fill="5591C7"/>
          </w:tcPr>
          <w:p>
            <w:pPr>
              <w:spacing w:after="0"/>
              <w:rPr>
                <w:sz w:val="17"/>
                <w:szCs w:val="17"/>
                <w:color w:val="auto"/>
              </w:rPr>
            </w:pPr>
          </w:p>
        </w:tc>
        <w:tc>
          <w:tcPr>
            <w:tcW w:w="2360" w:type="dxa"/>
            <w:vAlign w:val="bottom"/>
            <w:tcBorders>
              <w:bottom w:val="single" w:sz="8" w:color="auto"/>
            </w:tcBorders>
            <w:shd w:val="clear" w:color="auto" w:fill="5591C7"/>
          </w:tcPr>
          <w:p>
            <w:pPr>
              <w:jc w:val="center"/>
              <w:spacing w:after="0" w:line="202" w:lineRule="exact"/>
              <w:rPr>
                <w:sz w:val="20"/>
                <w:szCs w:val="20"/>
                <w:color w:val="auto"/>
              </w:rPr>
            </w:pPr>
            <w:r>
              <w:rPr>
                <w:rFonts w:ascii="Arial" w:cs="Arial" w:eastAsia="Arial" w:hAnsi="Arial"/>
                <w:sz w:val="14"/>
                <w:szCs w:val="14"/>
                <w:b w:val="1"/>
                <w:bCs w:val="1"/>
                <w:color w:val="auto"/>
                <w:w w:val="97"/>
              </w:rPr>
              <w:t>Performance</w:t>
            </w:r>
            <w:r>
              <w:rPr>
                <w:rFonts w:ascii="Arial" w:cs="Arial" w:eastAsia="Arial" w:hAnsi="Arial"/>
                <w:sz w:val="23"/>
                <w:szCs w:val="23"/>
                <w:b w:val="1"/>
                <w:bCs w:val="1"/>
                <w:color w:val="auto"/>
                <w:w w:val="97"/>
                <w:vertAlign w:val="superscript"/>
              </w:rPr>
              <w:t>(1)</w:t>
            </w:r>
          </w:p>
        </w:tc>
        <w:tc>
          <w:tcPr>
            <w:tcW w:w="280" w:type="dxa"/>
            <w:vAlign w:val="bottom"/>
            <w:tcBorders>
              <w:bottom w:val="single" w:sz="8" w:color="C6D9F1"/>
            </w:tcBorders>
            <w:shd w:val="clear" w:color="auto" w:fill="5591C7"/>
          </w:tcPr>
          <w:p>
            <w:pPr>
              <w:spacing w:after="0"/>
              <w:rPr>
                <w:sz w:val="17"/>
                <w:szCs w:val="17"/>
                <w:color w:val="auto"/>
              </w:rPr>
            </w:pPr>
          </w:p>
        </w:tc>
        <w:tc>
          <w:tcPr>
            <w:tcW w:w="224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Performance</w:t>
            </w:r>
          </w:p>
        </w:tc>
        <w:tc>
          <w:tcPr>
            <w:tcW w:w="260" w:type="dxa"/>
            <w:vAlign w:val="bottom"/>
            <w:tcBorders>
              <w:bottom w:val="single" w:sz="8" w:color="C6D9F1"/>
            </w:tcBorders>
            <w:shd w:val="clear" w:color="auto" w:fill="5591C7"/>
          </w:tcPr>
          <w:p>
            <w:pPr>
              <w:spacing w:after="0"/>
              <w:rPr>
                <w:sz w:val="17"/>
                <w:szCs w:val="17"/>
                <w:color w:val="auto"/>
              </w:rPr>
            </w:pPr>
          </w:p>
        </w:tc>
        <w:tc>
          <w:tcPr>
            <w:tcW w:w="240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Performance</w:t>
            </w:r>
          </w:p>
        </w:tc>
        <w:tc>
          <w:tcPr>
            <w:tcW w:w="0" w:type="dxa"/>
            <w:vAlign w:val="bottom"/>
          </w:tcPr>
          <w:p>
            <w:pPr>
              <w:spacing w:after="0"/>
              <w:rPr>
                <w:sz w:val="1"/>
                <w:szCs w:val="1"/>
                <w:color w:val="auto"/>
              </w:rPr>
            </w:pPr>
          </w:p>
        </w:tc>
      </w:tr>
      <w:tr>
        <w:trPr>
          <w:trHeight w:val="223"/>
        </w:trPr>
        <w:tc>
          <w:tcPr>
            <w:tcW w:w="3040" w:type="dxa"/>
            <w:vAlign w:val="bottom"/>
            <w:shd w:val="clear" w:color="auto" w:fill="C6D9F1"/>
          </w:tcPr>
          <w:p>
            <w:pPr>
              <w:ind w:left="100"/>
              <w:spacing w:after="0"/>
              <w:rPr>
                <w:sz w:val="20"/>
                <w:szCs w:val="20"/>
                <w:color w:val="auto"/>
              </w:rPr>
            </w:pPr>
            <w:r>
              <w:rPr>
                <w:rFonts w:ascii="Arial" w:cs="Arial" w:eastAsia="Arial" w:hAnsi="Arial"/>
                <w:sz w:val="18"/>
                <w:szCs w:val="18"/>
                <w:color w:val="auto"/>
              </w:rPr>
              <w:t>Rohit Kapoor</w:t>
            </w:r>
          </w:p>
        </w:tc>
        <w:tc>
          <w:tcPr>
            <w:tcW w:w="260" w:type="dxa"/>
            <w:vAlign w:val="bottom"/>
            <w:shd w:val="clear" w:color="auto" w:fill="C6D9F1"/>
          </w:tcPr>
          <w:p>
            <w:pPr>
              <w:spacing w:after="0"/>
              <w:rPr>
                <w:sz w:val="19"/>
                <w:szCs w:val="19"/>
                <w:color w:val="auto"/>
              </w:rPr>
            </w:pPr>
          </w:p>
        </w:tc>
        <w:tc>
          <w:tcPr>
            <w:tcW w:w="2360" w:type="dxa"/>
            <w:vAlign w:val="bottom"/>
            <w:shd w:val="clear" w:color="auto" w:fill="C6D9F1"/>
          </w:tcPr>
          <w:p>
            <w:pPr>
              <w:jc w:val="center"/>
              <w:spacing w:after="0"/>
              <w:rPr>
                <w:sz w:val="20"/>
                <w:szCs w:val="20"/>
                <w:color w:val="auto"/>
              </w:rPr>
            </w:pPr>
            <w:r>
              <w:rPr>
                <w:rFonts w:ascii="Arial" w:cs="Arial" w:eastAsia="Arial" w:hAnsi="Arial"/>
                <w:sz w:val="18"/>
                <w:szCs w:val="18"/>
                <w:color w:val="auto"/>
                <w:w w:val="99"/>
              </w:rPr>
              <w:t>80%</w:t>
            </w:r>
          </w:p>
        </w:tc>
        <w:tc>
          <w:tcPr>
            <w:tcW w:w="280" w:type="dxa"/>
            <w:vAlign w:val="bottom"/>
            <w:shd w:val="clear" w:color="auto" w:fill="C6D9F1"/>
          </w:tcPr>
          <w:p>
            <w:pPr>
              <w:spacing w:after="0"/>
              <w:rPr>
                <w:sz w:val="19"/>
                <w:szCs w:val="19"/>
                <w:color w:val="auto"/>
              </w:rPr>
            </w:pPr>
          </w:p>
        </w:tc>
        <w:tc>
          <w:tcPr>
            <w:tcW w:w="2500" w:type="dxa"/>
            <w:vAlign w:val="bottom"/>
            <w:gridSpan w:val="2"/>
            <w:shd w:val="clear" w:color="auto" w:fill="C6D9F1"/>
          </w:tcPr>
          <w:p>
            <w:pPr>
              <w:jc w:val="center"/>
              <w:ind w:right="280"/>
              <w:spacing w:after="0"/>
              <w:rPr>
                <w:sz w:val="20"/>
                <w:szCs w:val="20"/>
                <w:color w:val="auto"/>
              </w:rPr>
            </w:pPr>
            <w:r>
              <w:rPr>
                <w:rFonts w:ascii="Arial" w:cs="Arial" w:eastAsia="Arial" w:hAnsi="Arial"/>
                <w:sz w:val="18"/>
                <w:szCs w:val="18"/>
                <w:color w:val="auto"/>
                <w:w w:val="99"/>
              </w:rPr>
              <w:t>—</w:t>
            </w:r>
          </w:p>
        </w:tc>
        <w:tc>
          <w:tcPr>
            <w:tcW w:w="2400" w:type="dxa"/>
            <w:vAlign w:val="bottom"/>
            <w:shd w:val="clear" w:color="auto" w:fill="C6D9F1"/>
          </w:tcPr>
          <w:p>
            <w:pPr>
              <w:jc w:val="center"/>
              <w:spacing w:after="0"/>
              <w:rPr>
                <w:sz w:val="20"/>
                <w:szCs w:val="20"/>
                <w:color w:val="auto"/>
              </w:rPr>
            </w:pPr>
            <w:r>
              <w:rPr>
                <w:rFonts w:ascii="Arial" w:cs="Arial" w:eastAsia="Arial" w:hAnsi="Arial"/>
                <w:sz w:val="18"/>
                <w:szCs w:val="18"/>
                <w:color w:val="auto"/>
                <w:w w:val="99"/>
              </w:rPr>
              <w:t>20%</w:t>
            </w:r>
          </w:p>
        </w:tc>
        <w:tc>
          <w:tcPr>
            <w:tcW w:w="0" w:type="dxa"/>
            <w:vAlign w:val="bottom"/>
          </w:tcPr>
          <w:p>
            <w:pPr>
              <w:spacing w:after="0"/>
              <w:rPr>
                <w:sz w:val="1"/>
                <w:szCs w:val="1"/>
                <w:color w:val="auto"/>
              </w:rPr>
            </w:pPr>
          </w:p>
        </w:tc>
      </w:tr>
      <w:tr>
        <w:trPr>
          <w:trHeight w:val="230"/>
        </w:trPr>
        <w:tc>
          <w:tcPr>
            <w:tcW w:w="3300" w:type="dxa"/>
            <w:vAlign w:val="bottom"/>
            <w:gridSpan w:val="2"/>
          </w:tcPr>
          <w:p>
            <w:pPr>
              <w:ind w:left="100"/>
              <w:spacing w:after="0"/>
              <w:rPr>
                <w:sz w:val="20"/>
                <w:szCs w:val="20"/>
                <w:color w:val="auto"/>
              </w:rPr>
            </w:pPr>
            <w:r>
              <w:rPr>
                <w:rFonts w:ascii="Arial" w:cs="Arial" w:eastAsia="Arial" w:hAnsi="Arial"/>
                <w:sz w:val="18"/>
                <w:szCs w:val="18"/>
                <w:color w:val="auto"/>
              </w:rPr>
              <w:t>Vishal Chhibbar</w:t>
            </w:r>
          </w:p>
        </w:tc>
        <w:tc>
          <w:tcPr>
            <w:tcW w:w="2360" w:type="dxa"/>
            <w:vAlign w:val="bottom"/>
          </w:tcPr>
          <w:p>
            <w:pPr>
              <w:jc w:val="center"/>
              <w:spacing w:after="0"/>
              <w:rPr>
                <w:sz w:val="20"/>
                <w:szCs w:val="20"/>
                <w:color w:val="auto"/>
              </w:rPr>
            </w:pPr>
            <w:r>
              <w:rPr>
                <w:rFonts w:ascii="Arial" w:cs="Arial" w:eastAsia="Arial" w:hAnsi="Arial"/>
                <w:sz w:val="18"/>
                <w:szCs w:val="18"/>
                <w:color w:val="auto"/>
                <w:w w:val="99"/>
              </w:rPr>
              <w:t>60%</w:t>
            </w:r>
          </w:p>
        </w:tc>
        <w:tc>
          <w:tcPr>
            <w:tcW w:w="28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9"/>
              </w:rPr>
              <w:t>20%</w:t>
            </w:r>
          </w:p>
        </w:tc>
        <w:tc>
          <w:tcPr>
            <w:tcW w:w="260" w:type="dxa"/>
            <w:vAlign w:val="bottom"/>
          </w:tcPr>
          <w:p>
            <w:pPr>
              <w:spacing w:after="0"/>
              <w:rPr>
                <w:sz w:val="19"/>
                <w:szCs w:val="19"/>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99"/>
              </w:rPr>
              <w:t>20%</w:t>
            </w:r>
          </w:p>
        </w:tc>
        <w:tc>
          <w:tcPr>
            <w:tcW w:w="0" w:type="dxa"/>
            <w:vAlign w:val="bottom"/>
          </w:tcPr>
          <w:p>
            <w:pPr>
              <w:spacing w:after="0"/>
              <w:rPr>
                <w:sz w:val="1"/>
                <w:szCs w:val="1"/>
                <w:color w:val="auto"/>
              </w:rPr>
            </w:pPr>
          </w:p>
        </w:tc>
      </w:tr>
      <w:tr>
        <w:trPr>
          <w:trHeight w:val="230"/>
        </w:trPr>
        <w:tc>
          <w:tcPr>
            <w:tcW w:w="3300" w:type="dxa"/>
            <w:vAlign w:val="bottom"/>
            <w:gridSpan w:val="2"/>
            <w:shd w:val="clear" w:color="auto" w:fill="C6D9F1"/>
          </w:tcPr>
          <w:p>
            <w:pPr>
              <w:ind w:left="100"/>
              <w:spacing w:after="0"/>
              <w:rPr>
                <w:sz w:val="20"/>
                <w:szCs w:val="20"/>
                <w:color w:val="auto"/>
              </w:rPr>
            </w:pPr>
            <w:r>
              <w:rPr>
                <w:rFonts w:ascii="Arial" w:cs="Arial" w:eastAsia="Arial" w:hAnsi="Arial"/>
                <w:sz w:val="18"/>
                <w:szCs w:val="18"/>
                <w:color w:val="auto"/>
              </w:rPr>
              <w:t>Pavan Bagai</w:t>
            </w:r>
          </w:p>
        </w:tc>
        <w:tc>
          <w:tcPr>
            <w:tcW w:w="2360" w:type="dxa"/>
            <w:vAlign w:val="bottom"/>
            <w:shd w:val="clear" w:color="auto" w:fill="C6D9F1"/>
          </w:tcPr>
          <w:p>
            <w:pPr>
              <w:jc w:val="center"/>
              <w:spacing w:after="0"/>
              <w:rPr>
                <w:sz w:val="20"/>
                <w:szCs w:val="20"/>
                <w:color w:val="auto"/>
              </w:rPr>
            </w:pPr>
            <w:r>
              <w:rPr>
                <w:rFonts w:ascii="Arial" w:cs="Arial" w:eastAsia="Arial" w:hAnsi="Arial"/>
                <w:sz w:val="18"/>
                <w:szCs w:val="18"/>
                <w:color w:val="auto"/>
                <w:w w:val="99"/>
              </w:rPr>
              <w:t>80%</w:t>
            </w:r>
          </w:p>
        </w:tc>
        <w:tc>
          <w:tcPr>
            <w:tcW w:w="280" w:type="dxa"/>
            <w:vAlign w:val="bottom"/>
            <w:shd w:val="clear" w:color="auto" w:fill="C6D9F1"/>
          </w:tcPr>
          <w:p>
            <w:pPr>
              <w:spacing w:after="0"/>
              <w:rPr>
                <w:sz w:val="19"/>
                <w:szCs w:val="19"/>
                <w:color w:val="auto"/>
              </w:rPr>
            </w:pPr>
          </w:p>
        </w:tc>
        <w:tc>
          <w:tcPr>
            <w:tcW w:w="2500" w:type="dxa"/>
            <w:vAlign w:val="bottom"/>
            <w:gridSpan w:val="2"/>
            <w:shd w:val="clear" w:color="auto" w:fill="C6D9F1"/>
          </w:tcPr>
          <w:p>
            <w:pPr>
              <w:jc w:val="center"/>
              <w:ind w:right="280"/>
              <w:spacing w:after="0"/>
              <w:rPr>
                <w:sz w:val="20"/>
                <w:szCs w:val="20"/>
                <w:color w:val="auto"/>
              </w:rPr>
            </w:pPr>
            <w:r>
              <w:rPr>
                <w:rFonts w:ascii="Arial" w:cs="Arial" w:eastAsia="Arial" w:hAnsi="Arial"/>
                <w:sz w:val="18"/>
                <w:szCs w:val="18"/>
                <w:color w:val="auto"/>
                <w:w w:val="99"/>
              </w:rPr>
              <w:t>—</w:t>
            </w:r>
          </w:p>
        </w:tc>
        <w:tc>
          <w:tcPr>
            <w:tcW w:w="2400" w:type="dxa"/>
            <w:vAlign w:val="bottom"/>
            <w:shd w:val="clear" w:color="auto" w:fill="C6D9F1"/>
          </w:tcPr>
          <w:p>
            <w:pPr>
              <w:jc w:val="center"/>
              <w:spacing w:after="0"/>
              <w:rPr>
                <w:sz w:val="20"/>
                <w:szCs w:val="20"/>
                <w:color w:val="auto"/>
              </w:rPr>
            </w:pPr>
            <w:r>
              <w:rPr>
                <w:rFonts w:ascii="Arial" w:cs="Arial" w:eastAsia="Arial" w:hAnsi="Arial"/>
                <w:sz w:val="18"/>
                <w:szCs w:val="18"/>
                <w:color w:val="auto"/>
                <w:w w:val="99"/>
              </w:rPr>
              <w:t>20%</w:t>
            </w:r>
          </w:p>
        </w:tc>
        <w:tc>
          <w:tcPr>
            <w:tcW w:w="0" w:type="dxa"/>
            <w:vAlign w:val="bottom"/>
          </w:tcPr>
          <w:p>
            <w:pPr>
              <w:spacing w:after="0"/>
              <w:rPr>
                <w:sz w:val="1"/>
                <w:szCs w:val="1"/>
                <w:color w:val="auto"/>
              </w:rPr>
            </w:pPr>
          </w:p>
        </w:tc>
      </w:tr>
      <w:tr>
        <w:trPr>
          <w:trHeight w:val="230"/>
        </w:trPr>
        <w:tc>
          <w:tcPr>
            <w:tcW w:w="3300" w:type="dxa"/>
            <w:vAlign w:val="bottom"/>
            <w:gridSpan w:val="2"/>
          </w:tcPr>
          <w:p>
            <w:pPr>
              <w:ind w:left="100"/>
              <w:spacing w:after="0"/>
              <w:rPr>
                <w:sz w:val="20"/>
                <w:szCs w:val="20"/>
                <w:color w:val="auto"/>
              </w:rPr>
            </w:pPr>
            <w:r>
              <w:rPr>
                <w:rFonts w:ascii="Arial" w:cs="Arial" w:eastAsia="Arial" w:hAnsi="Arial"/>
                <w:sz w:val="18"/>
                <w:szCs w:val="18"/>
                <w:color w:val="auto"/>
              </w:rPr>
              <w:t>Nalin Miglani</w:t>
            </w:r>
          </w:p>
        </w:tc>
        <w:tc>
          <w:tcPr>
            <w:tcW w:w="2360" w:type="dxa"/>
            <w:vAlign w:val="bottom"/>
          </w:tcPr>
          <w:p>
            <w:pPr>
              <w:jc w:val="center"/>
              <w:spacing w:after="0"/>
              <w:rPr>
                <w:sz w:val="20"/>
                <w:szCs w:val="20"/>
                <w:color w:val="auto"/>
              </w:rPr>
            </w:pPr>
            <w:r>
              <w:rPr>
                <w:rFonts w:ascii="Arial" w:cs="Arial" w:eastAsia="Arial" w:hAnsi="Arial"/>
                <w:sz w:val="18"/>
                <w:szCs w:val="18"/>
                <w:color w:val="auto"/>
                <w:w w:val="99"/>
              </w:rPr>
              <w:t>60%</w:t>
            </w:r>
          </w:p>
        </w:tc>
        <w:tc>
          <w:tcPr>
            <w:tcW w:w="28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9"/>
              </w:rPr>
              <w:t>20%</w:t>
            </w:r>
          </w:p>
        </w:tc>
        <w:tc>
          <w:tcPr>
            <w:tcW w:w="260" w:type="dxa"/>
            <w:vAlign w:val="bottom"/>
          </w:tcPr>
          <w:p>
            <w:pPr>
              <w:spacing w:after="0"/>
              <w:rPr>
                <w:sz w:val="19"/>
                <w:szCs w:val="19"/>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99"/>
              </w:rPr>
              <w:t>20%</w:t>
            </w:r>
          </w:p>
        </w:tc>
        <w:tc>
          <w:tcPr>
            <w:tcW w:w="0" w:type="dxa"/>
            <w:vAlign w:val="bottom"/>
          </w:tcPr>
          <w:p>
            <w:pPr>
              <w:spacing w:after="0"/>
              <w:rPr>
                <w:sz w:val="1"/>
                <w:szCs w:val="1"/>
                <w:color w:val="auto"/>
              </w:rPr>
            </w:pPr>
          </w:p>
        </w:tc>
      </w:tr>
      <w:tr>
        <w:trPr>
          <w:trHeight w:val="230"/>
        </w:trPr>
        <w:tc>
          <w:tcPr>
            <w:tcW w:w="3300" w:type="dxa"/>
            <w:vAlign w:val="bottom"/>
            <w:gridSpan w:val="2"/>
            <w:shd w:val="clear" w:color="auto" w:fill="C6D9F1"/>
          </w:tcPr>
          <w:p>
            <w:pPr>
              <w:ind w:left="100"/>
              <w:spacing w:after="0"/>
              <w:rPr>
                <w:sz w:val="20"/>
                <w:szCs w:val="20"/>
                <w:color w:val="auto"/>
              </w:rPr>
            </w:pPr>
            <w:r>
              <w:rPr>
                <w:rFonts w:ascii="Arial" w:cs="Arial" w:eastAsia="Arial" w:hAnsi="Arial"/>
                <w:sz w:val="18"/>
                <w:szCs w:val="18"/>
                <w:color w:val="auto"/>
              </w:rPr>
              <w:t>Henry Schweppe</w:t>
            </w:r>
          </w:p>
        </w:tc>
        <w:tc>
          <w:tcPr>
            <w:tcW w:w="2360" w:type="dxa"/>
            <w:vAlign w:val="bottom"/>
            <w:shd w:val="clear" w:color="auto" w:fill="C6D9F1"/>
          </w:tcPr>
          <w:p>
            <w:pPr>
              <w:jc w:val="center"/>
              <w:spacing w:after="0"/>
              <w:rPr>
                <w:sz w:val="20"/>
                <w:szCs w:val="20"/>
                <w:color w:val="auto"/>
              </w:rPr>
            </w:pPr>
            <w:r>
              <w:rPr>
                <w:rFonts w:ascii="Arial" w:cs="Arial" w:eastAsia="Arial" w:hAnsi="Arial"/>
                <w:sz w:val="18"/>
                <w:szCs w:val="18"/>
                <w:color w:val="auto"/>
                <w:w w:val="99"/>
              </w:rPr>
              <w:t>80%</w:t>
            </w:r>
          </w:p>
        </w:tc>
        <w:tc>
          <w:tcPr>
            <w:tcW w:w="280" w:type="dxa"/>
            <w:vAlign w:val="bottom"/>
            <w:shd w:val="clear" w:color="auto" w:fill="C6D9F1"/>
          </w:tcPr>
          <w:p>
            <w:pPr>
              <w:spacing w:after="0"/>
              <w:rPr>
                <w:sz w:val="19"/>
                <w:szCs w:val="19"/>
                <w:color w:val="auto"/>
              </w:rPr>
            </w:pPr>
          </w:p>
        </w:tc>
        <w:tc>
          <w:tcPr>
            <w:tcW w:w="2500" w:type="dxa"/>
            <w:vAlign w:val="bottom"/>
            <w:gridSpan w:val="2"/>
            <w:shd w:val="clear" w:color="auto" w:fill="C6D9F1"/>
          </w:tcPr>
          <w:p>
            <w:pPr>
              <w:jc w:val="center"/>
              <w:ind w:right="280"/>
              <w:spacing w:after="0"/>
              <w:rPr>
                <w:sz w:val="20"/>
                <w:szCs w:val="20"/>
                <w:color w:val="auto"/>
              </w:rPr>
            </w:pPr>
            <w:r>
              <w:rPr>
                <w:rFonts w:ascii="Arial" w:cs="Arial" w:eastAsia="Arial" w:hAnsi="Arial"/>
                <w:sz w:val="18"/>
                <w:szCs w:val="18"/>
                <w:color w:val="auto"/>
                <w:w w:val="99"/>
              </w:rPr>
              <w:t>—</w:t>
            </w:r>
          </w:p>
        </w:tc>
        <w:tc>
          <w:tcPr>
            <w:tcW w:w="2400" w:type="dxa"/>
            <w:vAlign w:val="bottom"/>
            <w:shd w:val="clear" w:color="auto" w:fill="C6D9F1"/>
          </w:tcPr>
          <w:p>
            <w:pPr>
              <w:jc w:val="center"/>
              <w:spacing w:after="0"/>
              <w:rPr>
                <w:sz w:val="20"/>
                <w:szCs w:val="20"/>
                <w:color w:val="auto"/>
              </w:rPr>
            </w:pPr>
            <w:r>
              <w:rPr>
                <w:rFonts w:ascii="Arial" w:cs="Arial" w:eastAsia="Arial" w:hAnsi="Arial"/>
                <w:sz w:val="18"/>
                <w:szCs w:val="18"/>
                <w:color w:val="auto"/>
                <w:w w:val="99"/>
              </w:rPr>
              <w:t>20%</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820" w:right="220" w:hanging="326"/>
        <w:spacing w:after="0" w:line="250" w:lineRule="auto"/>
        <w:tabs>
          <w:tab w:leader="none" w:pos="8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Based 50% on the Company’s Adjusted EPS goal and 50% on the Company’s revenues goal, for all employees whose incentive bonus is linked to Company-wide financial performance, including our named executive officers. The Company-wide performance component for Messrs. Kapoor, Bagai and Schweppe was reduced from 100% to 80% for 2015.</w:t>
      </w:r>
    </w:p>
    <w:p>
      <w:pPr>
        <w:spacing w:after="0" w:line="180" w:lineRule="exact"/>
        <w:rPr>
          <w:sz w:val="20"/>
          <w:szCs w:val="20"/>
          <w:color w:val="auto"/>
        </w:rPr>
      </w:pPr>
    </w:p>
    <w:p>
      <w:pPr>
        <w:ind w:left="340" w:right="20" w:firstLine="486"/>
        <w:spacing w:after="0" w:line="236" w:lineRule="auto"/>
        <w:rPr>
          <w:sz w:val="20"/>
          <w:szCs w:val="20"/>
          <w:color w:val="auto"/>
        </w:rPr>
      </w:pPr>
      <w:r>
        <w:rPr>
          <w:rFonts w:ascii="Arial" w:cs="Arial" w:eastAsia="Arial" w:hAnsi="Arial"/>
          <w:sz w:val="18"/>
          <w:szCs w:val="18"/>
          <w:color w:val="auto"/>
        </w:rPr>
        <w:t>For 2015, the Compensation Committee believed Messrs. Kapoor’s, Bagai’s and Schweppe’s annual bonus should be 80% based on the Company’s Adjusted EPS and revenues goals and 20% based on the aggregated performance of all Business Units Revenue and Adjusted EPS due to the nature of their positions as Vice Chairman and CEO, President and Chief Operating Officer, and President, Global Business and Marketing respectively. The Committee believed it was important to set the business line and other Company performance goals as well as the individual performance goals described above for Messrs. Chhibbar and Miglani to ensure the executives were properly focused on both the Company’s Adjusted EPS and revenue goals, aggregate of business units performance on revenue and Adjusted EPS goals and other areas of performance that are unique to their positions within the organization. The Compensation Committee believes achievement of these performance metrics will drive our business and, in turn, lead to increased stockholder value.</w:t>
      </w:r>
    </w:p>
    <w:p>
      <w:pPr>
        <w:spacing w:after="0" w:line="177" w:lineRule="exact"/>
        <w:rPr>
          <w:sz w:val="20"/>
          <w:szCs w:val="20"/>
          <w:color w:val="auto"/>
        </w:rPr>
      </w:pPr>
    </w:p>
    <w:p>
      <w:pPr>
        <w:ind w:left="340" w:right="280" w:hanging="332"/>
        <w:spacing w:after="0" w:line="297" w:lineRule="auto"/>
        <w:tabs>
          <w:tab w:leader="none" w:pos="340" w:val="left"/>
        </w:tabs>
        <w:numPr>
          <w:ilvl w:val="0"/>
          <w:numId w:val="39"/>
        </w:numPr>
        <w:rPr>
          <w:rFonts w:ascii="Arial" w:cs="Arial" w:eastAsia="Arial" w:hAnsi="Arial"/>
          <w:sz w:val="17"/>
          <w:szCs w:val="17"/>
          <w:color w:val="auto"/>
        </w:rPr>
      </w:pPr>
      <w:r>
        <w:rPr>
          <w:rFonts w:ascii="Arial" w:cs="Arial" w:eastAsia="Arial" w:hAnsi="Arial"/>
          <w:sz w:val="17"/>
          <w:szCs w:val="17"/>
          <w:i w:val="1"/>
          <w:iCs w:val="1"/>
          <w:color w:val="auto"/>
        </w:rPr>
        <w:t>Determination of Financial Performance Achievement</w:t>
      </w:r>
      <w:r>
        <w:rPr>
          <w:rFonts w:ascii="Arial" w:cs="Arial" w:eastAsia="Arial" w:hAnsi="Arial"/>
          <w:sz w:val="17"/>
          <w:szCs w:val="17"/>
          <w:color w:val="auto"/>
        </w:rPr>
        <w:t>. In 2015, the portion of incentive bonus payments that were subject to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measures could have ranged from zero to 200% of target depending on the achievement of performance goals,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840" w:type="dxa"/>
            <w:vAlign w:val="bottom"/>
            <w:tcBorders>
              <w:bottom w:val="single" w:sz="8" w:color="auto"/>
            </w:tcBorders>
            <w:gridSpan w:val="2"/>
            <w:shd w:val="clear" w:color="auto" w:fill="5591C7"/>
          </w:tcPr>
          <w:p>
            <w:pPr>
              <w:jc w:val="right"/>
              <w:ind w:right="2133"/>
              <w:spacing w:after="0"/>
              <w:rPr>
                <w:sz w:val="20"/>
                <w:szCs w:val="20"/>
                <w:color w:val="auto"/>
              </w:rPr>
            </w:pPr>
            <w:r>
              <w:rPr>
                <w:rFonts w:ascii="Arial" w:cs="Arial" w:eastAsia="Arial" w:hAnsi="Arial"/>
                <w:sz w:val="14"/>
                <w:szCs w:val="14"/>
                <w:b w:val="1"/>
                <w:bCs w:val="1"/>
                <w:color w:val="auto"/>
              </w:rPr>
              <w:t>Adjusted EPS Goals</w:t>
            </w:r>
          </w:p>
        </w:tc>
        <w:tc>
          <w:tcPr>
            <w:tcW w:w="240" w:type="dxa"/>
            <w:vAlign w:val="bottom"/>
          </w:tcPr>
          <w:p>
            <w:pPr>
              <w:spacing w:after="0"/>
              <w:rPr>
                <w:sz w:val="15"/>
                <w:szCs w:val="15"/>
                <w:color w:val="auto"/>
              </w:rPr>
            </w:pPr>
          </w:p>
        </w:tc>
        <w:tc>
          <w:tcPr>
            <w:tcW w:w="2140" w:type="dxa"/>
            <w:vAlign w:val="bottom"/>
            <w:tcBorders>
              <w:bottom w:val="single" w:sz="8" w:color="auto"/>
            </w:tcBorders>
            <w:shd w:val="clear" w:color="auto" w:fill="5591C7"/>
          </w:tcPr>
          <w:p>
            <w:pPr>
              <w:spacing w:after="0"/>
              <w:rPr>
                <w:sz w:val="15"/>
                <w:szCs w:val="15"/>
                <w:color w:val="auto"/>
              </w:rPr>
            </w:pPr>
          </w:p>
        </w:tc>
        <w:tc>
          <w:tcPr>
            <w:tcW w:w="3200" w:type="dxa"/>
            <w:vAlign w:val="bottom"/>
            <w:tcBorders>
              <w:bottom w:val="single" w:sz="8" w:color="auto"/>
            </w:tcBorders>
            <w:gridSpan w:val="2"/>
            <w:shd w:val="clear" w:color="auto" w:fill="5591C7"/>
          </w:tcPr>
          <w:p>
            <w:pPr>
              <w:spacing w:after="0"/>
              <w:rPr>
                <w:sz w:val="20"/>
                <w:szCs w:val="20"/>
                <w:color w:val="auto"/>
              </w:rPr>
            </w:pPr>
            <w:r>
              <w:rPr>
                <w:rFonts w:ascii="Arial" w:cs="Arial" w:eastAsia="Arial" w:hAnsi="Arial"/>
                <w:sz w:val="14"/>
                <w:szCs w:val="14"/>
                <w:b w:val="1"/>
                <w:bCs w:val="1"/>
                <w:color w:val="auto"/>
              </w:rPr>
              <w:t>Revenue Goals</w:t>
            </w:r>
          </w:p>
        </w:tc>
        <w:tc>
          <w:tcPr>
            <w:tcW w:w="0" w:type="dxa"/>
            <w:vAlign w:val="bottom"/>
          </w:tcPr>
          <w:p>
            <w:pPr>
              <w:spacing w:after="0"/>
              <w:rPr>
                <w:sz w:val="1"/>
                <w:szCs w:val="1"/>
                <w:color w:val="auto"/>
              </w:rPr>
            </w:pPr>
          </w:p>
        </w:tc>
      </w:tr>
      <w:tr>
        <w:trPr>
          <w:trHeight w:val="169"/>
        </w:trPr>
        <w:tc>
          <w:tcPr>
            <w:tcW w:w="2760" w:type="dxa"/>
            <w:vAlign w:val="bottom"/>
            <w:shd w:val="clear" w:color="auto" w:fill="5591C7"/>
          </w:tcPr>
          <w:p>
            <w:pPr>
              <w:jc w:val="center"/>
              <w:ind w:left="237"/>
              <w:spacing w:after="0"/>
              <w:rPr>
                <w:sz w:val="20"/>
                <w:szCs w:val="20"/>
                <w:color w:val="auto"/>
              </w:rPr>
            </w:pPr>
            <w:r>
              <w:rPr>
                <w:rFonts w:ascii="Arial" w:cs="Arial" w:eastAsia="Arial" w:hAnsi="Arial"/>
                <w:sz w:val="14"/>
                <w:szCs w:val="14"/>
                <w:b w:val="1"/>
                <w:bCs w:val="1"/>
                <w:color w:val="auto"/>
              </w:rPr>
              <w:t>% of Adjusted EPS</w:t>
            </w:r>
          </w:p>
        </w:tc>
        <w:tc>
          <w:tcPr>
            <w:tcW w:w="3080" w:type="dxa"/>
            <w:vAlign w:val="bottom"/>
            <w:shd w:val="clear" w:color="auto" w:fill="5591C7"/>
          </w:tcPr>
          <w:p>
            <w:pPr>
              <w:spacing w:after="0"/>
              <w:rPr>
                <w:sz w:val="14"/>
                <w:szCs w:val="14"/>
                <w:color w:val="auto"/>
              </w:rPr>
            </w:pPr>
          </w:p>
        </w:tc>
        <w:tc>
          <w:tcPr>
            <w:tcW w:w="240" w:type="dxa"/>
            <w:vAlign w:val="bottom"/>
          </w:tcPr>
          <w:p>
            <w:pPr>
              <w:spacing w:after="0"/>
              <w:rPr>
                <w:sz w:val="14"/>
                <w:szCs w:val="14"/>
                <w:color w:val="auto"/>
              </w:rPr>
            </w:pPr>
          </w:p>
        </w:tc>
        <w:tc>
          <w:tcPr>
            <w:tcW w:w="2140" w:type="dxa"/>
            <w:vAlign w:val="bottom"/>
            <w:shd w:val="clear" w:color="auto" w:fill="5591C7"/>
          </w:tcPr>
          <w:p>
            <w:pPr>
              <w:jc w:val="center"/>
              <w:ind w:left="476"/>
              <w:spacing w:after="0"/>
              <w:rPr>
                <w:sz w:val="20"/>
                <w:szCs w:val="20"/>
                <w:color w:val="auto"/>
              </w:rPr>
            </w:pPr>
            <w:r>
              <w:rPr>
                <w:rFonts w:ascii="Arial" w:cs="Arial" w:eastAsia="Arial" w:hAnsi="Arial"/>
                <w:sz w:val="14"/>
                <w:szCs w:val="14"/>
                <w:b w:val="1"/>
                <w:bCs w:val="1"/>
                <w:color w:val="auto"/>
              </w:rPr>
              <w:t>% of Revenues</w:t>
            </w:r>
          </w:p>
        </w:tc>
        <w:tc>
          <w:tcPr>
            <w:tcW w:w="320" w:type="dxa"/>
            <w:vAlign w:val="bottom"/>
            <w:shd w:val="clear" w:color="auto" w:fill="5591C7"/>
          </w:tcPr>
          <w:p>
            <w:pPr>
              <w:spacing w:after="0"/>
              <w:rPr>
                <w:sz w:val="14"/>
                <w:szCs w:val="14"/>
                <w:color w:val="auto"/>
              </w:rPr>
            </w:pPr>
          </w:p>
        </w:tc>
        <w:tc>
          <w:tcPr>
            <w:tcW w:w="2880" w:type="dxa"/>
            <w:vAlign w:val="bottom"/>
            <w:shd w:val="clear" w:color="auto" w:fill="5591C7"/>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60" w:type="dxa"/>
            <w:vAlign w:val="bottom"/>
            <w:shd w:val="clear" w:color="auto" w:fill="5591C7"/>
          </w:tcPr>
          <w:p>
            <w:pPr>
              <w:jc w:val="center"/>
              <w:ind w:left="237"/>
              <w:spacing w:after="0"/>
              <w:rPr>
                <w:sz w:val="20"/>
                <w:szCs w:val="20"/>
                <w:color w:val="auto"/>
              </w:rPr>
            </w:pPr>
            <w:r>
              <w:rPr>
                <w:rFonts w:ascii="Arial" w:cs="Arial" w:eastAsia="Arial" w:hAnsi="Arial"/>
                <w:sz w:val="14"/>
                <w:szCs w:val="14"/>
                <w:b w:val="1"/>
                <w:bCs w:val="1"/>
                <w:color w:val="auto"/>
              </w:rPr>
              <w:t>Achieved Compared to</w:t>
            </w:r>
          </w:p>
        </w:tc>
        <w:tc>
          <w:tcPr>
            <w:tcW w:w="3080" w:type="dxa"/>
            <w:vAlign w:val="bottom"/>
            <w:shd w:val="clear" w:color="auto" w:fill="5591C7"/>
          </w:tcPr>
          <w:p>
            <w:pPr>
              <w:jc w:val="center"/>
              <w:ind w:left="253"/>
              <w:spacing w:after="0"/>
              <w:rPr>
                <w:sz w:val="20"/>
                <w:szCs w:val="20"/>
                <w:color w:val="auto"/>
              </w:rPr>
            </w:pPr>
            <w:r>
              <w:rPr>
                <w:rFonts w:ascii="Arial" w:cs="Arial" w:eastAsia="Arial" w:hAnsi="Arial"/>
                <w:sz w:val="14"/>
                <w:szCs w:val="14"/>
                <w:b w:val="1"/>
                <w:bCs w:val="1"/>
                <w:color w:val="auto"/>
              </w:rPr>
              <w:t>% of Target Portion</w:t>
            </w:r>
          </w:p>
        </w:tc>
        <w:tc>
          <w:tcPr>
            <w:tcW w:w="240" w:type="dxa"/>
            <w:vAlign w:val="bottom"/>
          </w:tcPr>
          <w:p>
            <w:pPr>
              <w:spacing w:after="0"/>
              <w:rPr>
                <w:sz w:val="14"/>
                <w:szCs w:val="14"/>
                <w:color w:val="auto"/>
              </w:rPr>
            </w:pPr>
          </w:p>
        </w:tc>
        <w:tc>
          <w:tcPr>
            <w:tcW w:w="2140" w:type="dxa"/>
            <w:vAlign w:val="bottom"/>
            <w:shd w:val="clear" w:color="auto" w:fill="5591C7"/>
          </w:tcPr>
          <w:p>
            <w:pPr>
              <w:jc w:val="center"/>
              <w:ind w:left="456"/>
              <w:spacing w:after="0"/>
              <w:rPr>
                <w:sz w:val="20"/>
                <w:szCs w:val="20"/>
                <w:color w:val="auto"/>
              </w:rPr>
            </w:pPr>
            <w:r>
              <w:rPr>
                <w:rFonts w:ascii="Arial" w:cs="Arial" w:eastAsia="Arial" w:hAnsi="Arial"/>
                <w:sz w:val="14"/>
                <w:szCs w:val="14"/>
                <w:b w:val="1"/>
                <w:bCs w:val="1"/>
                <w:color w:val="auto"/>
              </w:rPr>
              <w:t>Achieved Compared to</w:t>
            </w:r>
          </w:p>
        </w:tc>
        <w:tc>
          <w:tcPr>
            <w:tcW w:w="320" w:type="dxa"/>
            <w:vAlign w:val="bottom"/>
            <w:shd w:val="clear" w:color="auto" w:fill="5591C7"/>
          </w:tcPr>
          <w:p>
            <w:pPr>
              <w:spacing w:after="0"/>
              <w:rPr>
                <w:sz w:val="14"/>
                <w:szCs w:val="14"/>
                <w:color w:val="auto"/>
              </w:rPr>
            </w:pPr>
          </w:p>
        </w:tc>
        <w:tc>
          <w:tcPr>
            <w:tcW w:w="2880" w:type="dxa"/>
            <w:vAlign w:val="bottom"/>
            <w:shd w:val="clear" w:color="auto" w:fill="5591C7"/>
          </w:tcPr>
          <w:p>
            <w:pPr>
              <w:jc w:val="center"/>
              <w:ind w:left="174"/>
              <w:spacing w:after="0"/>
              <w:rPr>
                <w:sz w:val="20"/>
                <w:szCs w:val="20"/>
                <w:color w:val="auto"/>
              </w:rPr>
            </w:pPr>
            <w:r>
              <w:rPr>
                <w:rFonts w:ascii="Arial" w:cs="Arial" w:eastAsia="Arial" w:hAnsi="Arial"/>
                <w:sz w:val="14"/>
                <w:szCs w:val="14"/>
                <w:b w:val="1"/>
                <w:bCs w:val="1"/>
                <w:color w:val="auto"/>
              </w:rPr>
              <w:t>% of Target Portion</w:t>
            </w:r>
          </w:p>
        </w:tc>
        <w:tc>
          <w:tcPr>
            <w:tcW w:w="0" w:type="dxa"/>
            <w:vAlign w:val="bottom"/>
          </w:tcPr>
          <w:p>
            <w:pPr>
              <w:spacing w:after="0"/>
              <w:rPr>
                <w:sz w:val="1"/>
                <w:szCs w:val="1"/>
                <w:color w:val="auto"/>
              </w:rPr>
            </w:pPr>
          </w:p>
        </w:tc>
      </w:tr>
      <w:tr>
        <w:trPr>
          <w:trHeight w:val="189"/>
        </w:trPr>
        <w:tc>
          <w:tcPr>
            <w:tcW w:w="2760" w:type="dxa"/>
            <w:vAlign w:val="bottom"/>
            <w:shd w:val="clear" w:color="auto" w:fill="5591C7"/>
          </w:tcPr>
          <w:p>
            <w:pPr>
              <w:jc w:val="center"/>
              <w:ind w:left="257"/>
              <w:spacing w:after="0"/>
              <w:rPr>
                <w:sz w:val="20"/>
                <w:szCs w:val="20"/>
                <w:color w:val="auto"/>
              </w:rPr>
            </w:pPr>
            <w:r>
              <w:rPr>
                <w:rFonts w:ascii="Arial" w:cs="Arial" w:eastAsia="Arial" w:hAnsi="Arial"/>
                <w:sz w:val="14"/>
                <w:szCs w:val="14"/>
                <w:b w:val="1"/>
                <w:bCs w:val="1"/>
                <w:color w:val="auto"/>
              </w:rPr>
              <w:t>Target Goal</w:t>
            </w:r>
          </w:p>
        </w:tc>
        <w:tc>
          <w:tcPr>
            <w:tcW w:w="3080" w:type="dxa"/>
            <w:vAlign w:val="bottom"/>
            <w:shd w:val="clear" w:color="auto" w:fill="5591C7"/>
          </w:tcPr>
          <w:p>
            <w:pPr>
              <w:jc w:val="center"/>
              <w:ind w:left="273"/>
              <w:spacing w:after="0"/>
              <w:rPr>
                <w:sz w:val="20"/>
                <w:szCs w:val="20"/>
                <w:color w:val="auto"/>
              </w:rPr>
            </w:pPr>
            <w:r>
              <w:rPr>
                <w:rFonts w:ascii="Arial" w:cs="Arial" w:eastAsia="Arial" w:hAnsi="Arial"/>
                <w:sz w:val="14"/>
                <w:szCs w:val="14"/>
                <w:b w:val="1"/>
                <w:bCs w:val="1"/>
                <w:color w:val="auto"/>
              </w:rPr>
              <w:t>Funded</w:t>
            </w:r>
          </w:p>
        </w:tc>
        <w:tc>
          <w:tcPr>
            <w:tcW w:w="240" w:type="dxa"/>
            <w:vAlign w:val="bottom"/>
          </w:tcPr>
          <w:p>
            <w:pPr>
              <w:spacing w:after="0"/>
              <w:rPr>
                <w:sz w:val="16"/>
                <w:szCs w:val="16"/>
                <w:color w:val="auto"/>
              </w:rPr>
            </w:pPr>
          </w:p>
        </w:tc>
        <w:tc>
          <w:tcPr>
            <w:tcW w:w="2140" w:type="dxa"/>
            <w:vAlign w:val="bottom"/>
            <w:shd w:val="clear" w:color="auto" w:fill="5591C7"/>
          </w:tcPr>
          <w:p>
            <w:pPr>
              <w:jc w:val="center"/>
              <w:ind w:left="496"/>
              <w:spacing w:after="0"/>
              <w:rPr>
                <w:sz w:val="20"/>
                <w:szCs w:val="20"/>
                <w:color w:val="auto"/>
              </w:rPr>
            </w:pPr>
            <w:r>
              <w:rPr>
                <w:rFonts w:ascii="Arial" w:cs="Arial" w:eastAsia="Arial" w:hAnsi="Arial"/>
                <w:sz w:val="14"/>
                <w:szCs w:val="14"/>
                <w:b w:val="1"/>
                <w:bCs w:val="1"/>
                <w:color w:val="auto"/>
              </w:rPr>
              <w:t>Target Goal</w:t>
            </w:r>
          </w:p>
        </w:tc>
        <w:tc>
          <w:tcPr>
            <w:tcW w:w="320" w:type="dxa"/>
            <w:vAlign w:val="bottom"/>
            <w:shd w:val="clear" w:color="auto" w:fill="5591C7"/>
          </w:tcPr>
          <w:p>
            <w:pPr>
              <w:spacing w:after="0"/>
              <w:rPr>
                <w:sz w:val="16"/>
                <w:szCs w:val="16"/>
                <w:color w:val="auto"/>
              </w:rPr>
            </w:pPr>
          </w:p>
        </w:tc>
        <w:tc>
          <w:tcPr>
            <w:tcW w:w="2880" w:type="dxa"/>
            <w:vAlign w:val="bottom"/>
            <w:shd w:val="clear" w:color="auto" w:fill="5591C7"/>
          </w:tcPr>
          <w:p>
            <w:pPr>
              <w:jc w:val="center"/>
              <w:ind w:left="174"/>
              <w:spacing w:after="0"/>
              <w:rPr>
                <w:sz w:val="20"/>
                <w:szCs w:val="20"/>
                <w:color w:val="auto"/>
              </w:rPr>
            </w:pPr>
            <w:r>
              <w:rPr>
                <w:rFonts w:ascii="Arial" w:cs="Arial" w:eastAsia="Arial" w:hAnsi="Arial"/>
                <w:sz w:val="14"/>
                <w:szCs w:val="14"/>
                <w:b w:val="1"/>
                <w:bCs w:val="1"/>
                <w:color w:val="auto"/>
                <w:w w:val="98"/>
              </w:rPr>
              <w:t>Funded</w:t>
            </w:r>
          </w:p>
        </w:tc>
        <w:tc>
          <w:tcPr>
            <w:tcW w:w="0" w:type="dxa"/>
            <w:vAlign w:val="bottom"/>
          </w:tcPr>
          <w:p>
            <w:pPr>
              <w:spacing w:after="0"/>
              <w:rPr>
                <w:sz w:val="1"/>
                <w:szCs w:val="1"/>
                <w:color w:val="auto"/>
              </w:rPr>
            </w:pPr>
          </w:p>
        </w:tc>
      </w:tr>
      <w:tr>
        <w:trPr>
          <w:trHeight w:val="230"/>
        </w:trPr>
        <w:tc>
          <w:tcPr>
            <w:tcW w:w="2760" w:type="dxa"/>
            <w:vAlign w:val="bottom"/>
            <w:shd w:val="clear" w:color="auto" w:fill="C6D9F1"/>
          </w:tcPr>
          <w:p>
            <w:pPr>
              <w:jc w:val="center"/>
              <w:ind w:left="257"/>
              <w:spacing w:after="0"/>
              <w:rPr>
                <w:sz w:val="20"/>
                <w:szCs w:val="20"/>
                <w:color w:val="auto"/>
              </w:rPr>
            </w:pPr>
            <w:r>
              <w:rPr>
                <w:rFonts w:ascii="Arial" w:cs="Arial" w:eastAsia="Arial" w:hAnsi="Arial"/>
                <w:sz w:val="18"/>
                <w:szCs w:val="18"/>
                <w:color w:val="auto"/>
                <w:w w:val="99"/>
              </w:rPr>
              <w:t>Less than 90%</w:t>
            </w:r>
          </w:p>
        </w:tc>
        <w:tc>
          <w:tcPr>
            <w:tcW w:w="3080" w:type="dxa"/>
            <w:vAlign w:val="bottom"/>
            <w:shd w:val="clear" w:color="auto" w:fill="C6D9F1"/>
          </w:tcPr>
          <w:p>
            <w:pPr>
              <w:jc w:val="center"/>
              <w:ind w:left="253"/>
              <w:spacing w:after="0"/>
              <w:rPr>
                <w:sz w:val="20"/>
                <w:szCs w:val="20"/>
                <w:color w:val="auto"/>
              </w:rPr>
            </w:pPr>
            <w:r>
              <w:rPr>
                <w:rFonts w:ascii="Arial" w:cs="Arial" w:eastAsia="Arial" w:hAnsi="Arial"/>
                <w:sz w:val="18"/>
                <w:szCs w:val="18"/>
                <w:color w:val="auto"/>
                <w:w w:val="99"/>
              </w:rPr>
              <w:t>0%</w:t>
            </w:r>
          </w:p>
        </w:tc>
        <w:tc>
          <w:tcPr>
            <w:tcW w:w="240" w:type="dxa"/>
            <w:vAlign w:val="bottom"/>
          </w:tcPr>
          <w:p>
            <w:pPr>
              <w:spacing w:after="0"/>
              <w:rPr>
                <w:sz w:val="19"/>
                <w:szCs w:val="19"/>
                <w:color w:val="auto"/>
              </w:rPr>
            </w:pPr>
          </w:p>
        </w:tc>
        <w:tc>
          <w:tcPr>
            <w:tcW w:w="2140" w:type="dxa"/>
            <w:vAlign w:val="bottom"/>
            <w:shd w:val="clear" w:color="auto" w:fill="C6D9F1"/>
          </w:tcPr>
          <w:p>
            <w:pPr>
              <w:jc w:val="center"/>
              <w:ind w:left="496"/>
              <w:spacing w:after="0"/>
              <w:rPr>
                <w:sz w:val="20"/>
                <w:szCs w:val="20"/>
                <w:color w:val="auto"/>
              </w:rPr>
            </w:pPr>
            <w:r>
              <w:rPr>
                <w:rFonts w:ascii="Arial" w:cs="Arial" w:eastAsia="Arial" w:hAnsi="Arial"/>
                <w:sz w:val="18"/>
                <w:szCs w:val="18"/>
                <w:color w:val="auto"/>
              </w:rPr>
              <w:t>Less than 90%</w:t>
            </w:r>
          </w:p>
        </w:tc>
        <w:tc>
          <w:tcPr>
            <w:tcW w:w="320" w:type="dxa"/>
            <w:vAlign w:val="bottom"/>
            <w:shd w:val="clear" w:color="auto" w:fill="C6D9F1"/>
          </w:tcPr>
          <w:p>
            <w:pPr>
              <w:spacing w:after="0"/>
              <w:rPr>
                <w:sz w:val="19"/>
                <w:szCs w:val="19"/>
                <w:color w:val="auto"/>
              </w:rPr>
            </w:pPr>
          </w:p>
        </w:tc>
        <w:tc>
          <w:tcPr>
            <w:tcW w:w="2880" w:type="dxa"/>
            <w:vAlign w:val="bottom"/>
            <w:shd w:val="clear" w:color="auto" w:fill="C6D9F1"/>
          </w:tcPr>
          <w:p>
            <w:pPr>
              <w:jc w:val="center"/>
              <w:ind w:left="174"/>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230"/>
        </w:trPr>
        <w:tc>
          <w:tcPr>
            <w:tcW w:w="2760" w:type="dxa"/>
            <w:vAlign w:val="bottom"/>
          </w:tcPr>
          <w:p>
            <w:pPr>
              <w:jc w:val="center"/>
              <w:ind w:left="257"/>
              <w:spacing w:after="0"/>
              <w:rPr>
                <w:sz w:val="20"/>
                <w:szCs w:val="20"/>
                <w:color w:val="auto"/>
              </w:rPr>
            </w:pPr>
            <w:r>
              <w:rPr>
                <w:rFonts w:ascii="Arial" w:cs="Arial" w:eastAsia="Arial" w:hAnsi="Arial"/>
                <w:sz w:val="18"/>
                <w:szCs w:val="18"/>
                <w:color w:val="auto"/>
                <w:w w:val="99"/>
              </w:rPr>
              <w:t>At 90%</w:t>
            </w:r>
          </w:p>
        </w:tc>
        <w:tc>
          <w:tcPr>
            <w:tcW w:w="3080" w:type="dxa"/>
            <w:vAlign w:val="bottom"/>
          </w:tcPr>
          <w:p>
            <w:pPr>
              <w:jc w:val="center"/>
              <w:ind w:left="273"/>
              <w:spacing w:after="0"/>
              <w:rPr>
                <w:sz w:val="20"/>
                <w:szCs w:val="20"/>
                <w:color w:val="auto"/>
              </w:rPr>
            </w:pPr>
            <w:r>
              <w:rPr>
                <w:rFonts w:ascii="Arial" w:cs="Arial" w:eastAsia="Arial" w:hAnsi="Arial"/>
                <w:sz w:val="18"/>
                <w:szCs w:val="18"/>
                <w:color w:val="auto"/>
                <w:w w:val="99"/>
              </w:rPr>
              <w:t>25%</w:t>
            </w:r>
          </w:p>
        </w:tc>
        <w:tc>
          <w:tcPr>
            <w:tcW w:w="240" w:type="dxa"/>
            <w:vAlign w:val="bottom"/>
          </w:tcPr>
          <w:p>
            <w:pPr>
              <w:spacing w:after="0"/>
              <w:rPr>
                <w:sz w:val="19"/>
                <w:szCs w:val="19"/>
                <w:color w:val="auto"/>
              </w:rPr>
            </w:pPr>
          </w:p>
        </w:tc>
        <w:tc>
          <w:tcPr>
            <w:tcW w:w="2140" w:type="dxa"/>
            <w:vAlign w:val="bottom"/>
          </w:tcPr>
          <w:p>
            <w:pPr>
              <w:jc w:val="center"/>
              <w:ind w:left="476"/>
              <w:spacing w:after="0"/>
              <w:rPr>
                <w:sz w:val="20"/>
                <w:szCs w:val="20"/>
                <w:color w:val="auto"/>
              </w:rPr>
            </w:pPr>
            <w:r>
              <w:rPr>
                <w:rFonts w:ascii="Arial" w:cs="Arial" w:eastAsia="Arial" w:hAnsi="Arial"/>
                <w:sz w:val="18"/>
                <w:szCs w:val="18"/>
                <w:color w:val="auto"/>
                <w:w w:val="99"/>
              </w:rPr>
              <w:t>At 90%</w:t>
            </w:r>
          </w:p>
        </w:tc>
        <w:tc>
          <w:tcPr>
            <w:tcW w:w="320" w:type="dxa"/>
            <w:vAlign w:val="bottom"/>
          </w:tcPr>
          <w:p>
            <w:pPr>
              <w:spacing w:after="0"/>
              <w:rPr>
                <w:sz w:val="19"/>
                <w:szCs w:val="19"/>
                <w:color w:val="auto"/>
              </w:rPr>
            </w:pPr>
          </w:p>
        </w:tc>
        <w:tc>
          <w:tcPr>
            <w:tcW w:w="2880" w:type="dxa"/>
            <w:vAlign w:val="bottom"/>
          </w:tcPr>
          <w:p>
            <w:pPr>
              <w:jc w:val="center"/>
              <w:ind w:left="174"/>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5"/>
        </w:trPr>
        <w:tc>
          <w:tcPr>
            <w:tcW w:w="2760" w:type="dxa"/>
            <w:vAlign w:val="bottom"/>
            <w:vMerge w:val="restart"/>
            <w:shd w:val="clear" w:color="auto" w:fill="C6D9F1"/>
          </w:tcPr>
          <w:p>
            <w:pPr>
              <w:jc w:val="center"/>
              <w:ind w:left="257"/>
              <w:spacing w:after="0"/>
              <w:rPr>
                <w:sz w:val="20"/>
                <w:szCs w:val="20"/>
                <w:color w:val="auto"/>
              </w:rPr>
            </w:pPr>
            <w:r>
              <w:rPr>
                <w:rFonts w:ascii="Arial" w:cs="Arial" w:eastAsia="Arial" w:hAnsi="Arial"/>
                <w:sz w:val="18"/>
                <w:szCs w:val="18"/>
                <w:color w:val="auto"/>
                <w:w w:val="99"/>
              </w:rPr>
              <w:t>From 90% to 100%</w:t>
            </w:r>
          </w:p>
        </w:tc>
        <w:tc>
          <w:tcPr>
            <w:tcW w:w="3080" w:type="dxa"/>
            <w:vAlign w:val="bottom"/>
            <w:shd w:val="clear" w:color="auto" w:fill="C6D9F1"/>
          </w:tcPr>
          <w:p>
            <w:pPr>
              <w:jc w:val="center"/>
              <w:ind w:left="253"/>
              <w:spacing w:after="0"/>
              <w:rPr>
                <w:sz w:val="20"/>
                <w:szCs w:val="20"/>
                <w:color w:val="auto"/>
              </w:rPr>
            </w:pPr>
            <w:r>
              <w:rPr>
                <w:rFonts w:ascii="Arial" w:cs="Arial" w:eastAsia="Arial" w:hAnsi="Arial"/>
                <w:sz w:val="18"/>
                <w:szCs w:val="18"/>
                <w:color w:val="auto"/>
                <w:w w:val="99"/>
              </w:rPr>
              <w:t>Linear interpolation from 25% to</w:t>
            </w:r>
          </w:p>
        </w:tc>
        <w:tc>
          <w:tcPr>
            <w:tcW w:w="240" w:type="dxa"/>
            <w:vAlign w:val="bottom"/>
          </w:tcPr>
          <w:p>
            <w:pPr>
              <w:spacing w:after="0"/>
              <w:rPr>
                <w:sz w:val="18"/>
                <w:szCs w:val="18"/>
                <w:color w:val="auto"/>
              </w:rPr>
            </w:pPr>
          </w:p>
        </w:tc>
        <w:tc>
          <w:tcPr>
            <w:tcW w:w="2140" w:type="dxa"/>
            <w:vAlign w:val="bottom"/>
            <w:vMerge w:val="restart"/>
            <w:shd w:val="clear" w:color="auto" w:fill="C6D9F1"/>
          </w:tcPr>
          <w:p>
            <w:pPr>
              <w:jc w:val="center"/>
              <w:ind w:left="476"/>
              <w:spacing w:after="0"/>
              <w:rPr>
                <w:sz w:val="20"/>
                <w:szCs w:val="20"/>
                <w:color w:val="auto"/>
              </w:rPr>
            </w:pPr>
            <w:r>
              <w:rPr>
                <w:rFonts w:ascii="Arial" w:cs="Arial" w:eastAsia="Arial" w:hAnsi="Arial"/>
                <w:sz w:val="18"/>
                <w:szCs w:val="18"/>
                <w:color w:val="auto"/>
                <w:w w:val="99"/>
              </w:rPr>
              <w:t>From 90% to 100%</w:t>
            </w:r>
          </w:p>
        </w:tc>
        <w:tc>
          <w:tcPr>
            <w:tcW w:w="320" w:type="dxa"/>
            <w:vAlign w:val="bottom"/>
            <w:shd w:val="clear" w:color="auto" w:fill="C6D9F1"/>
          </w:tcPr>
          <w:p>
            <w:pPr>
              <w:spacing w:after="0"/>
              <w:rPr>
                <w:sz w:val="18"/>
                <w:szCs w:val="18"/>
                <w:color w:val="auto"/>
              </w:rPr>
            </w:pPr>
          </w:p>
        </w:tc>
        <w:tc>
          <w:tcPr>
            <w:tcW w:w="2880" w:type="dxa"/>
            <w:vAlign w:val="bottom"/>
            <w:shd w:val="clear" w:color="auto" w:fill="C6D9F1"/>
          </w:tcPr>
          <w:p>
            <w:pPr>
              <w:jc w:val="center"/>
              <w:ind w:left="174"/>
              <w:spacing w:after="0"/>
              <w:rPr>
                <w:sz w:val="20"/>
                <w:szCs w:val="20"/>
                <w:color w:val="auto"/>
              </w:rPr>
            </w:pPr>
            <w:r>
              <w:rPr>
                <w:rFonts w:ascii="Arial" w:cs="Arial" w:eastAsia="Arial" w:hAnsi="Arial"/>
                <w:sz w:val="18"/>
                <w:szCs w:val="18"/>
                <w:color w:val="auto"/>
                <w:w w:val="99"/>
              </w:rPr>
              <w:t>Linear interpolation from 25% to</w:t>
            </w:r>
          </w:p>
        </w:tc>
        <w:tc>
          <w:tcPr>
            <w:tcW w:w="0" w:type="dxa"/>
            <w:vAlign w:val="bottom"/>
          </w:tcPr>
          <w:p>
            <w:pPr>
              <w:spacing w:after="0"/>
              <w:rPr>
                <w:sz w:val="1"/>
                <w:szCs w:val="1"/>
                <w:color w:val="auto"/>
              </w:rPr>
            </w:pPr>
          </w:p>
        </w:tc>
      </w:tr>
      <w:tr>
        <w:trPr>
          <w:trHeight w:val="109"/>
        </w:trPr>
        <w:tc>
          <w:tcPr>
            <w:tcW w:w="2760" w:type="dxa"/>
            <w:vAlign w:val="bottom"/>
            <w:vMerge w:val="continue"/>
            <w:shd w:val="clear" w:color="auto" w:fill="C6D9F1"/>
          </w:tcPr>
          <w:p>
            <w:pPr>
              <w:spacing w:after="0"/>
              <w:rPr>
                <w:sz w:val="9"/>
                <w:szCs w:val="9"/>
                <w:color w:val="auto"/>
              </w:rPr>
            </w:pPr>
          </w:p>
        </w:tc>
        <w:tc>
          <w:tcPr>
            <w:tcW w:w="3080" w:type="dxa"/>
            <w:vAlign w:val="bottom"/>
            <w:vMerge w:val="restart"/>
            <w:shd w:val="clear" w:color="auto" w:fill="C6D9F1"/>
          </w:tcPr>
          <w:p>
            <w:pPr>
              <w:jc w:val="center"/>
              <w:ind w:left="253"/>
              <w:spacing w:after="0"/>
              <w:rPr>
                <w:sz w:val="20"/>
                <w:szCs w:val="20"/>
                <w:color w:val="auto"/>
              </w:rPr>
            </w:pPr>
            <w:r>
              <w:rPr>
                <w:rFonts w:ascii="Arial" w:cs="Arial" w:eastAsia="Arial" w:hAnsi="Arial"/>
                <w:sz w:val="18"/>
                <w:szCs w:val="18"/>
                <w:color w:val="auto"/>
                <w:w w:val="99"/>
              </w:rPr>
              <w:t>100%</w:t>
            </w:r>
          </w:p>
        </w:tc>
        <w:tc>
          <w:tcPr>
            <w:tcW w:w="240" w:type="dxa"/>
            <w:vAlign w:val="bottom"/>
          </w:tcPr>
          <w:p>
            <w:pPr>
              <w:spacing w:after="0"/>
              <w:rPr>
                <w:sz w:val="9"/>
                <w:szCs w:val="9"/>
                <w:color w:val="auto"/>
              </w:rPr>
            </w:pPr>
          </w:p>
        </w:tc>
        <w:tc>
          <w:tcPr>
            <w:tcW w:w="2140" w:type="dxa"/>
            <w:vAlign w:val="bottom"/>
            <w:vMerge w:val="continue"/>
            <w:shd w:val="clear" w:color="auto" w:fill="C6D9F1"/>
          </w:tcPr>
          <w:p>
            <w:pPr>
              <w:spacing w:after="0"/>
              <w:rPr>
                <w:sz w:val="9"/>
                <w:szCs w:val="9"/>
                <w:color w:val="auto"/>
              </w:rPr>
            </w:pPr>
          </w:p>
        </w:tc>
        <w:tc>
          <w:tcPr>
            <w:tcW w:w="320" w:type="dxa"/>
            <w:vAlign w:val="bottom"/>
            <w:shd w:val="clear" w:color="auto" w:fill="C6D9F1"/>
          </w:tcPr>
          <w:p>
            <w:pPr>
              <w:spacing w:after="0"/>
              <w:rPr>
                <w:sz w:val="9"/>
                <w:szCs w:val="9"/>
                <w:color w:val="auto"/>
              </w:rPr>
            </w:pPr>
          </w:p>
        </w:tc>
        <w:tc>
          <w:tcPr>
            <w:tcW w:w="2880" w:type="dxa"/>
            <w:vAlign w:val="bottom"/>
            <w:vMerge w:val="restart"/>
            <w:shd w:val="clear" w:color="auto" w:fill="C6D9F1"/>
          </w:tcPr>
          <w:p>
            <w:pPr>
              <w:jc w:val="center"/>
              <w:ind w:left="174"/>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108"/>
        </w:trPr>
        <w:tc>
          <w:tcPr>
            <w:tcW w:w="2760" w:type="dxa"/>
            <w:vAlign w:val="bottom"/>
            <w:shd w:val="clear" w:color="auto" w:fill="C6D9F1"/>
          </w:tcPr>
          <w:p>
            <w:pPr>
              <w:spacing w:after="0"/>
              <w:rPr>
                <w:sz w:val="9"/>
                <w:szCs w:val="9"/>
                <w:color w:val="auto"/>
              </w:rPr>
            </w:pPr>
          </w:p>
        </w:tc>
        <w:tc>
          <w:tcPr>
            <w:tcW w:w="3080" w:type="dxa"/>
            <w:vAlign w:val="bottom"/>
            <w:vMerge w:val="continue"/>
            <w:shd w:val="clear" w:color="auto" w:fill="C6D9F1"/>
          </w:tcPr>
          <w:p>
            <w:pPr>
              <w:spacing w:after="0"/>
              <w:rPr>
                <w:sz w:val="9"/>
                <w:szCs w:val="9"/>
                <w:color w:val="auto"/>
              </w:rPr>
            </w:pPr>
          </w:p>
        </w:tc>
        <w:tc>
          <w:tcPr>
            <w:tcW w:w="240" w:type="dxa"/>
            <w:vAlign w:val="bottom"/>
          </w:tcPr>
          <w:p>
            <w:pPr>
              <w:spacing w:after="0"/>
              <w:rPr>
                <w:sz w:val="9"/>
                <w:szCs w:val="9"/>
                <w:color w:val="auto"/>
              </w:rPr>
            </w:pPr>
          </w:p>
        </w:tc>
        <w:tc>
          <w:tcPr>
            <w:tcW w:w="2140" w:type="dxa"/>
            <w:vAlign w:val="bottom"/>
            <w:shd w:val="clear" w:color="auto" w:fill="C6D9F1"/>
          </w:tcPr>
          <w:p>
            <w:pPr>
              <w:spacing w:after="0"/>
              <w:rPr>
                <w:sz w:val="9"/>
                <w:szCs w:val="9"/>
                <w:color w:val="auto"/>
              </w:rPr>
            </w:pPr>
          </w:p>
        </w:tc>
        <w:tc>
          <w:tcPr>
            <w:tcW w:w="320" w:type="dxa"/>
            <w:vAlign w:val="bottom"/>
            <w:shd w:val="clear" w:color="auto" w:fill="C6D9F1"/>
          </w:tcPr>
          <w:p>
            <w:pPr>
              <w:spacing w:after="0"/>
              <w:rPr>
                <w:sz w:val="9"/>
                <w:szCs w:val="9"/>
                <w:color w:val="auto"/>
              </w:rPr>
            </w:pPr>
          </w:p>
        </w:tc>
        <w:tc>
          <w:tcPr>
            <w:tcW w:w="2880" w:type="dxa"/>
            <w:vAlign w:val="bottom"/>
            <w:vMerge w:val="continue"/>
            <w:shd w:val="clear" w:color="auto" w:fill="C6D9F1"/>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760" w:type="dxa"/>
            <w:vAlign w:val="bottom"/>
          </w:tcPr>
          <w:p>
            <w:pPr>
              <w:jc w:val="center"/>
              <w:ind w:left="277"/>
              <w:spacing w:after="0"/>
              <w:rPr>
                <w:sz w:val="20"/>
                <w:szCs w:val="20"/>
                <w:color w:val="auto"/>
              </w:rPr>
            </w:pPr>
            <w:r>
              <w:rPr>
                <w:rFonts w:ascii="Arial" w:cs="Arial" w:eastAsia="Arial" w:hAnsi="Arial"/>
                <w:sz w:val="18"/>
                <w:szCs w:val="18"/>
                <w:color w:val="auto"/>
                <w:w w:val="99"/>
              </w:rPr>
              <w:t>At 100%</w:t>
            </w:r>
          </w:p>
        </w:tc>
        <w:tc>
          <w:tcPr>
            <w:tcW w:w="3080" w:type="dxa"/>
            <w:vAlign w:val="bottom"/>
          </w:tcPr>
          <w:p>
            <w:pPr>
              <w:jc w:val="center"/>
              <w:ind w:left="253"/>
              <w:spacing w:after="0"/>
              <w:rPr>
                <w:sz w:val="20"/>
                <w:szCs w:val="20"/>
                <w:color w:val="auto"/>
              </w:rPr>
            </w:pPr>
            <w:r>
              <w:rPr>
                <w:rFonts w:ascii="Arial" w:cs="Arial" w:eastAsia="Arial" w:hAnsi="Arial"/>
                <w:sz w:val="18"/>
                <w:szCs w:val="18"/>
                <w:color w:val="auto"/>
                <w:w w:val="99"/>
              </w:rPr>
              <w:t>100%</w:t>
            </w:r>
          </w:p>
        </w:tc>
        <w:tc>
          <w:tcPr>
            <w:tcW w:w="240" w:type="dxa"/>
            <w:vAlign w:val="bottom"/>
          </w:tcPr>
          <w:p>
            <w:pPr>
              <w:spacing w:after="0"/>
              <w:rPr>
                <w:sz w:val="19"/>
                <w:szCs w:val="19"/>
                <w:color w:val="auto"/>
              </w:rPr>
            </w:pPr>
          </w:p>
        </w:tc>
        <w:tc>
          <w:tcPr>
            <w:tcW w:w="2140" w:type="dxa"/>
            <w:vAlign w:val="bottom"/>
          </w:tcPr>
          <w:p>
            <w:pPr>
              <w:jc w:val="center"/>
              <w:ind w:left="496"/>
              <w:spacing w:after="0"/>
              <w:rPr>
                <w:sz w:val="20"/>
                <w:szCs w:val="20"/>
                <w:color w:val="auto"/>
              </w:rPr>
            </w:pPr>
            <w:r>
              <w:rPr>
                <w:rFonts w:ascii="Arial" w:cs="Arial" w:eastAsia="Arial" w:hAnsi="Arial"/>
                <w:sz w:val="18"/>
                <w:szCs w:val="18"/>
                <w:color w:val="auto"/>
                <w:w w:val="99"/>
              </w:rPr>
              <w:t>At 100%</w:t>
            </w:r>
          </w:p>
        </w:tc>
        <w:tc>
          <w:tcPr>
            <w:tcW w:w="320" w:type="dxa"/>
            <w:vAlign w:val="bottom"/>
          </w:tcPr>
          <w:p>
            <w:pPr>
              <w:spacing w:after="0"/>
              <w:rPr>
                <w:sz w:val="19"/>
                <w:szCs w:val="19"/>
                <w:color w:val="auto"/>
              </w:rPr>
            </w:pPr>
          </w:p>
        </w:tc>
        <w:tc>
          <w:tcPr>
            <w:tcW w:w="2880" w:type="dxa"/>
            <w:vAlign w:val="bottom"/>
          </w:tcPr>
          <w:p>
            <w:pPr>
              <w:jc w:val="center"/>
              <w:ind w:left="174"/>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5"/>
        </w:trPr>
        <w:tc>
          <w:tcPr>
            <w:tcW w:w="2760" w:type="dxa"/>
            <w:vAlign w:val="bottom"/>
            <w:vMerge w:val="restart"/>
            <w:shd w:val="clear" w:color="auto" w:fill="C6D9F1"/>
          </w:tcPr>
          <w:p>
            <w:pPr>
              <w:jc w:val="center"/>
              <w:ind w:left="277"/>
              <w:spacing w:after="0"/>
              <w:rPr>
                <w:sz w:val="20"/>
                <w:szCs w:val="20"/>
                <w:color w:val="auto"/>
              </w:rPr>
            </w:pPr>
            <w:r>
              <w:rPr>
                <w:rFonts w:ascii="Arial" w:cs="Arial" w:eastAsia="Arial" w:hAnsi="Arial"/>
                <w:sz w:val="18"/>
                <w:szCs w:val="18"/>
                <w:color w:val="auto"/>
                <w:w w:val="99"/>
              </w:rPr>
              <w:t>From 100% to 110%</w:t>
            </w:r>
          </w:p>
        </w:tc>
        <w:tc>
          <w:tcPr>
            <w:tcW w:w="3080" w:type="dxa"/>
            <w:vAlign w:val="bottom"/>
            <w:shd w:val="clear" w:color="auto" w:fill="C6D9F1"/>
          </w:tcPr>
          <w:p>
            <w:pPr>
              <w:jc w:val="center"/>
              <w:ind w:left="253"/>
              <w:spacing w:after="0"/>
              <w:rPr>
                <w:sz w:val="20"/>
                <w:szCs w:val="20"/>
                <w:color w:val="auto"/>
              </w:rPr>
            </w:pPr>
            <w:r>
              <w:rPr>
                <w:rFonts w:ascii="Arial" w:cs="Arial" w:eastAsia="Arial" w:hAnsi="Arial"/>
                <w:sz w:val="18"/>
                <w:szCs w:val="18"/>
                <w:color w:val="auto"/>
              </w:rPr>
              <w:t>Linear interpolation from 100% to</w:t>
            </w:r>
          </w:p>
        </w:tc>
        <w:tc>
          <w:tcPr>
            <w:tcW w:w="240" w:type="dxa"/>
            <w:vAlign w:val="bottom"/>
          </w:tcPr>
          <w:p>
            <w:pPr>
              <w:spacing w:after="0"/>
              <w:rPr>
                <w:sz w:val="18"/>
                <w:szCs w:val="18"/>
                <w:color w:val="auto"/>
              </w:rPr>
            </w:pPr>
          </w:p>
        </w:tc>
        <w:tc>
          <w:tcPr>
            <w:tcW w:w="2460" w:type="dxa"/>
            <w:vAlign w:val="bottom"/>
            <w:gridSpan w:val="2"/>
            <w:vMerge w:val="restart"/>
            <w:shd w:val="clear" w:color="auto" w:fill="C6D9F1"/>
          </w:tcPr>
          <w:p>
            <w:pPr>
              <w:jc w:val="center"/>
              <w:ind w:left="176"/>
              <w:spacing w:after="0"/>
              <w:rPr>
                <w:sz w:val="20"/>
                <w:szCs w:val="20"/>
                <w:color w:val="auto"/>
              </w:rPr>
            </w:pPr>
            <w:r>
              <w:rPr>
                <w:rFonts w:ascii="Arial" w:cs="Arial" w:eastAsia="Arial" w:hAnsi="Arial"/>
                <w:sz w:val="18"/>
                <w:szCs w:val="18"/>
                <w:color w:val="auto"/>
                <w:w w:val="99"/>
              </w:rPr>
              <w:t>From 100% to 110%</w:t>
            </w:r>
          </w:p>
        </w:tc>
        <w:tc>
          <w:tcPr>
            <w:tcW w:w="2880" w:type="dxa"/>
            <w:vAlign w:val="bottom"/>
            <w:shd w:val="clear" w:color="auto" w:fill="C6D9F1"/>
          </w:tcPr>
          <w:p>
            <w:pPr>
              <w:jc w:val="center"/>
              <w:ind w:left="174"/>
              <w:spacing w:after="0"/>
              <w:rPr>
                <w:sz w:val="20"/>
                <w:szCs w:val="20"/>
                <w:color w:val="auto"/>
              </w:rPr>
            </w:pPr>
            <w:r>
              <w:rPr>
                <w:rFonts w:ascii="Arial" w:cs="Arial" w:eastAsia="Arial" w:hAnsi="Arial"/>
                <w:sz w:val="18"/>
                <w:szCs w:val="18"/>
                <w:color w:val="auto"/>
              </w:rPr>
              <w:t>Linear interpolation from 100%</w:t>
            </w:r>
          </w:p>
        </w:tc>
        <w:tc>
          <w:tcPr>
            <w:tcW w:w="0" w:type="dxa"/>
            <w:vAlign w:val="bottom"/>
          </w:tcPr>
          <w:p>
            <w:pPr>
              <w:spacing w:after="0"/>
              <w:rPr>
                <w:sz w:val="1"/>
                <w:szCs w:val="1"/>
                <w:color w:val="auto"/>
              </w:rPr>
            </w:pPr>
          </w:p>
        </w:tc>
      </w:tr>
      <w:tr>
        <w:trPr>
          <w:trHeight w:val="109"/>
        </w:trPr>
        <w:tc>
          <w:tcPr>
            <w:tcW w:w="2760" w:type="dxa"/>
            <w:vAlign w:val="bottom"/>
            <w:vMerge w:val="continue"/>
            <w:shd w:val="clear" w:color="auto" w:fill="C6D9F1"/>
          </w:tcPr>
          <w:p>
            <w:pPr>
              <w:spacing w:after="0"/>
              <w:rPr>
                <w:sz w:val="9"/>
                <w:szCs w:val="9"/>
                <w:color w:val="auto"/>
              </w:rPr>
            </w:pPr>
          </w:p>
        </w:tc>
        <w:tc>
          <w:tcPr>
            <w:tcW w:w="3080" w:type="dxa"/>
            <w:vAlign w:val="bottom"/>
            <w:vMerge w:val="restart"/>
            <w:shd w:val="clear" w:color="auto" w:fill="C6D9F1"/>
          </w:tcPr>
          <w:p>
            <w:pPr>
              <w:jc w:val="center"/>
              <w:ind w:left="253"/>
              <w:spacing w:after="0"/>
              <w:rPr>
                <w:sz w:val="20"/>
                <w:szCs w:val="20"/>
                <w:color w:val="auto"/>
              </w:rPr>
            </w:pPr>
            <w:r>
              <w:rPr>
                <w:rFonts w:ascii="Arial" w:cs="Arial" w:eastAsia="Arial" w:hAnsi="Arial"/>
                <w:sz w:val="18"/>
                <w:szCs w:val="18"/>
                <w:color w:val="auto"/>
                <w:w w:val="99"/>
              </w:rPr>
              <w:t>200%</w:t>
            </w:r>
          </w:p>
        </w:tc>
        <w:tc>
          <w:tcPr>
            <w:tcW w:w="240" w:type="dxa"/>
            <w:vAlign w:val="bottom"/>
          </w:tcPr>
          <w:p>
            <w:pPr>
              <w:spacing w:after="0"/>
              <w:rPr>
                <w:sz w:val="9"/>
                <w:szCs w:val="9"/>
                <w:color w:val="auto"/>
              </w:rPr>
            </w:pPr>
          </w:p>
        </w:tc>
        <w:tc>
          <w:tcPr>
            <w:tcW w:w="2460" w:type="dxa"/>
            <w:vAlign w:val="bottom"/>
            <w:gridSpan w:val="2"/>
            <w:vMerge w:val="continue"/>
            <w:shd w:val="clear" w:color="auto" w:fill="C6D9F1"/>
          </w:tcPr>
          <w:p>
            <w:pPr>
              <w:spacing w:after="0"/>
              <w:rPr>
                <w:sz w:val="9"/>
                <w:szCs w:val="9"/>
                <w:color w:val="auto"/>
              </w:rPr>
            </w:pPr>
          </w:p>
        </w:tc>
        <w:tc>
          <w:tcPr>
            <w:tcW w:w="2880" w:type="dxa"/>
            <w:vAlign w:val="bottom"/>
            <w:vMerge w:val="restart"/>
            <w:shd w:val="clear" w:color="auto" w:fill="C6D9F1"/>
          </w:tcPr>
          <w:p>
            <w:pPr>
              <w:jc w:val="center"/>
              <w:ind w:left="174"/>
              <w:spacing w:after="0"/>
              <w:rPr>
                <w:sz w:val="20"/>
                <w:szCs w:val="20"/>
                <w:color w:val="auto"/>
              </w:rPr>
            </w:pPr>
            <w:r>
              <w:rPr>
                <w:rFonts w:ascii="Arial" w:cs="Arial" w:eastAsia="Arial" w:hAnsi="Arial"/>
                <w:sz w:val="18"/>
                <w:szCs w:val="18"/>
                <w:color w:val="auto"/>
                <w:w w:val="99"/>
              </w:rPr>
              <w:t>to 200%</w:t>
            </w:r>
          </w:p>
        </w:tc>
        <w:tc>
          <w:tcPr>
            <w:tcW w:w="0" w:type="dxa"/>
            <w:vAlign w:val="bottom"/>
          </w:tcPr>
          <w:p>
            <w:pPr>
              <w:spacing w:after="0"/>
              <w:rPr>
                <w:sz w:val="1"/>
                <w:szCs w:val="1"/>
                <w:color w:val="auto"/>
              </w:rPr>
            </w:pPr>
          </w:p>
        </w:tc>
      </w:tr>
      <w:tr>
        <w:trPr>
          <w:trHeight w:val="108"/>
        </w:trPr>
        <w:tc>
          <w:tcPr>
            <w:tcW w:w="2760" w:type="dxa"/>
            <w:vAlign w:val="bottom"/>
            <w:shd w:val="clear" w:color="auto" w:fill="C6D9F1"/>
          </w:tcPr>
          <w:p>
            <w:pPr>
              <w:spacing w:after="0"/>
              <w:rPr>
                <w:sz w:val="9"/>
                <w:szCs w:val="9"/>
                <w:color w:val="auto"/>
              </w:rPr>
            </w:pPr>
          </w:p>
        </w:tc>
        <w:tc>
          <w:tcPr>
            <w:tcW w:w="3080" w:type="dxa"/>
            <w:vAlign w:val="bottom"/>
            <w:vMerge w:val="continue"/>
            <w:shd w:val="clear" w:color="auto" w:fill="C6D9F1"/>
          </w:tcPr>
          <w:p>
            <w:pPr>
              <w:spacing w:after="0"/>
              <w:rPr>
                <w:sz w:val="9"/>
                <w:szCs w:val="9"/>
                <w:color w:val="auto"/>
              </w:rPr>
            </w:pPr>
          </w:p>
        </w:tc>
        <w:tc>
          <w:tcPr>
            <w:tcW w:w="240" w:type="dxa"/>
            <w:vAlign w:val="bottom"/>
          </w:tcPr>
          <w:p>
            <w:pPr>
              <w:spacing w:after="0"/>
              <w:rPr>
                <w:sz w:val="9"/>
                <w:szCs w:val="9"/>
                <w:color w:val="auto"/>
              </w:rPr>
            </w:pPr>
          </w:p>
        </w:tc>
        <w:tc>
          <w:tcPr>
            <w:tcW w:w="2140" w:type="dxa"/>
            <w:vAlign w:val="bottom"/>
            <w:shd w:val="clear" w:color="auto" w:fill="C6D9F1"/>
          </w:tcPr>
          <w:p>
            <w:pPr>
              <w:spacing w:after="0"/>
              <w:rPr>
                <w:sz w:val="9"/>
                <w:szCs w:val="9"/>
                <w:color w:val="auto"/>
              </w:rPr>
            </w:pPr>
          </w:p>
        </w:tc>
        <w:tc>
          <w:tcPr>
            <w:tcW w:w="320" w:type="dxa"/>
            <w:vAlign w:val="bottom"/>
            <w:shd w:val="clear" w:color="auto" w:fill="C6D9F1"/>
          </w:tcPr>
          <w:p>
            <w:pPr>
              <w:spacing w:after="0"/>
              <w:rPr>
                <w:sz w:val="9"/>
                <w:szCs w:val="9"/>
                <w:color w:val="auto"/>
              </w:rPr>
            </w:pPr>
          </w:p>
        </w:tc>
        <w:tc>
          <w:tcPr>
            <w:tcW w:w="2880" w:type="dxa"/>
            <w:vAlign w:val="bottom"/>
            <w:vMerge w:val="continue"/>
            <w:shd w:val="clear" w:color="auto" w:fill="C6D9F1"/>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760" w:type="dxa"/>
            <w:vAlign w:val="bottom"/>
          </w:tcPr>
          <w:p>
            <w:pPr>
              <w:jc w:val="center"/>
              <w:ind w:left="257"/>
              <w:spacing w:after="0"/>
              <w:rPr>
                <w:sz w:val="20"/>
                <w:szCs w:val="20"/>
                <w:color w:val="auto"/>
              </w:rPr>
            </w:pPr>
            <w:r>
              <w:rPr>
                <w:rFonts w:ascii="Arial" w:cs="Arial" w:eastAsia="Arial" w:hAnsi="Arial"/>
                <w:sz w:val="18"/>
                <w:szCs w:val="18"/>
                <w:color w:val="auto"/>
                <w:w w:val="99"/>
              </w:rPr>
              <w:t>Above 110%</w:t>
            </w:r>
          </w:p>
        </w:tc>
        <w:tc>
          <w:tcPr>
            <w:tcW w:w="3080" w:type="dxa"/>
            <w:vAlign w:val="bottom"/>
          </w:tcPr>
          <w:p>
            <w:pPr>
              <w:jc w:val="center"/>
              <w:ind w:left="253"/>
              <w:spacing w:after="0"/>
              <w:rPr>
                <w:sz w:val="20"/>
                <w:szCs w:val="20"/>
                <w:color w:val="auto"/>
              </w:rPr>
            </w:pPr>
            <w:r>
              <w:rPr>
                <w:rFonts w:ascii="Arial" w:cs="Arial" w:eastAsia="Arial" w:hAnsi="Arial"/>
                <w:sz w:val="18"/>
                <w:szCs w:val="18"/>
                <w:color w:val="auto"/>
                <w:w w:val="99"/>
              </w:rPr>
              <w:t>200%</w:t>
            </w:r>
          </w:p>
        </w:tc>
        <w:tc>
          <w:tcPr>
            <w:tcW w:w="240" w:type="dxa"/>
            <w:vAlign w:val="bottom"/>
          </w:tcPr>
          <w:p>
            <w:pPr>
              <w:spacing w:after="0"/>
              <w:rPr>
                <w:sz w:val="19"/>
                <w:szCs w:val="19"/>
                <w:color w:val="auto"/>
              </w:rPr>
            </w:pPr>
          </w:p>
        </w:tc>
        <w:tc>
          <w:tcPr>
            <w:tcW w:w="2140" w:type="dxa"/>
            <w:vAlign w:val="bottom"/>
          </w:tcPr>
          <w:p>
            <w:pPr>
              <w:jc w:val="center"/>
              <w:ind w:left="476"/>
              <w:spacing w:after="0"/>
              <w:rPr>
                <w:sz w:val="20"/>
                <w:szCs w:val="20"/>
                <w:color w:val="auto"/>
              </w:rPr>
            </w:pPr>
            <w:r>
              <w:rPr>
                <w:rFonts w:ascii="Arial" w:cs="Arial" w:eastAsia="Arial" w:hAnsi="Arial"/>
                <w:sz w:val="18"/>
                <w:szCs w:val="18"/>
                <w:color w:val="auto"/>
                <w:w w:val="99"/>
              </w:rPr>
              <w:t>Above 110%</w:t>
            </w:r>
          </w:p>
        </w:tc>
        <w:tc>
          <w:tcPr>
            <w:tcW w:w="320" w:type="dxa"/>
            <w:vAlign w:val="bottom"/>
          </w:tcPr>
          <w:p>
            <w:pPr>
              <w:spacing w:after="0"/>
              <w:rPr>
                <w:sz w:val="19"/>
                <w:szCs w:val="19"/>
                <w:color w:val="auto"/>
              </w:rPr>
            </w:pPr>
          </w:p>
        </w:tc>
        <w:tc>
          <w:tcPr>
            <w:tcW w:w="2880" w:type="dxa"/>
            <w:vAlign w:val="bottom"/>
          </w:tcPr>
          <w:p>
            <w:pPr>
              <w:jc w:val="center"/>
              <w:ind w:left="174"/>
              <w:spacing w:after="0"/>
              <w:rPr>
                <w:sz w:val="20"/>
                <w:szCs w:val="20"/>
                <w:color w:val="auto"/>
              </w:rPr>
            </w:pPr>
            <w:r>
              <w:rPr>
                <w:rFonts w:ascii="Arial" w:cs="Arial" w:eastAsia="Arial" w:hAnsi="Arial"/>
                <w:sz w:val="18"/>
                <w:szCs w:val="18"/>
                <w:color w:val="auto"/>
                <w:w w:val="99"/>
              </w:rPr>
              <w:t>200%</w:t>
            </w:r>
          </w:p>
        </w:tc>
        <w:tc>
          <w:tcPr>
            <w:tcW w:w="0" w:type="dxa"/>
            <w:vAlign w:val="bottom"/>
          </w:tcPr>
          <w:p>
            <w:pPr>
              <w:spacing w:after="0"/>
              <w:rPr>
                <w:sz w:val="1"/>
                <w:szCs w:val="1"/>
                <w:color w:val="auto"/>
              </w:rPr>
            </w:pPr>
          </w:p>
        </w:tc>
      </w:tr>
      <w:tr>
        <w:trPr>
          <w:trHeight w:val="621"/>
        </w:trPr>
        <w:tc>
          <w:tcPr>
            <w:tcW w:w="276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74" w:right="239" w:bottom="1440" w:gutter="0" w:footer="0" w:header="0"/>
        </w:sectPr>
      </w:pPr>
    </w:p>
    <w:bookmarkStart w:id="38" w:name="page39"/>
    <w:bookmarkEnd w:id="38"/>
    <w:p>
      <w:pPr>
        <w:ind w:left="340" w:right="140" w:firstLine="492"/>
        <w:spacing w:after="0" w:line="246" w:lineRule="auto"/>
        <w:rPr>
          <w:sz w:val="20"/>
          <w:szCs w:val="20"/>
          <w:color w:val="auto"/>
        </w:rPr>
      </w:pPr>
      <w:r>
        <w:rPr>
          <w:rFonts w:ascii="Arial" w:cs="Arial" w:eastAsia="Arial" w:hAnsi="Arial"/>
          <w:sz w:val="18"/>
          <w:szCs w:val="18"/>
          <w:color w:val="auto"/>
        </w:rPr>
        <w:t>In 2015, our Compensation Committee established an Adjusted EPS target of $1.96 and a revenue target of $592 million. Based on our performance during the 2015 fiscal year, we achieved 100% of our Adjusted EPS target, and 102.2% of our revenue target.</w:t>
      </w:r>
    </w:p>
    <w:p>
      <w:pPr>
        <w:spacing w:after="0" w:line="183" w:lineRule="exact"/>
        <w:rPr>
          <w:sz w:val="20"/>
          <w:szCs w:val="20"/>
          <w:color w:val="auto"/>
        </w:rPr>
      </w:pPr>
    </w:p>
    <w:p>
      <w:pPr>
        <w:ind w:left="340" w:right="20" w:firstLine="486"/>
        <w:spacing w:after="0" w:line="246" w:lineRule="auto"/>
        <w:rPr>
          <w:sz w:val="20"/>
          <w:szCs w:val="20"/>
          <w:color w:val="auto"/>
        </w:rPr>
      </w:pPr>
      <w:r>
        <w:rPr>
          <w:rFonts w:ascii="Arial" w:cs="Arial" w:eastAsia="Arial" w:hAnsi="Arial"/>
          <w:sz w:val="18"/>
          <w:szCs w:val="18"/>
          <w:color w:val="auto"/>
        </w:rPr>
        <w:t>The bonus pool funding for employees whose bonuses are tied to the performance of specific business lines is determined by targets established for such businesses by our Compensation Committee.</w:t>
      </w:r>
    </w:p>
    <w:p>
      <w:pPr>
        <w:spacing w:after="0" w:line="165" w:lineRule="exact"/>
        <w:rPr>
          <w:sz w:val="20"/>
          <w:szCs w:val="20"/>
          <w:color w:val="auto"/>
        </w:rPr>
      </w:pPr>
    </w:p>
    <w:p>
      <w:pPr>
        <w:ind w:left="340" w:right="40" w:hanging="332"/>
        <w:spacing w:after="0" w:line="242"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Individual Performance Measures</w:t>
      </w:r>
      <w:r>
        <w:rPr>
          <w:rFonts w:ascii="Arial" w:cs="Arial" w:eastAsia="Arial" w:hAnsi="Arial"/>
          <w:sz w:val="18"/>
          <w:szCs w:val="18"/>
          <w:color w:val="auto"/>
        </w:rPr>
        <w:t>. As discussed above, Messrs. Chhibbar and Miglani earn a portion of their respective annual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bonuses based on the achievement of individual performance measures. These goals are designed to balance the attention of our named executive officers between the achievement of near-term objectives that improve specific processes or performance metrics and long-term objectives for us. While some of the goals are subjective, certain other goals, such as client and employee satisfaction metrics, are capable of objective measurement. The individual performance measures were generally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60" w:type="dxa"/>
            <w:vAlign w:val="bottom"/>
            <w:gridSpan w:val="2"/>
            <w:shd w:val="clear" w:color="auto" w:fill="5591C7"/>
          </w:tcPr>
          <w:p>
            <w:pPr>
              <w:ind w:left="1060"/>
              <w:spacing w:after="0"/>
              <w:rPr>
                <w:sz w:val="20"/>
                <w:szCs w:val="20"/>
                <w:color w:val="auto"/>
              </w:rPr>
            </w:pPr>
            <w:r>
              <w:rPr>
                <w:rFonts w:ascii="Arial" w:cs="Arial" w:eastAsia="Arial" w:hAnsi="Arial"/>
                <w:sz w:val="14"/>
                <w:szCs w:val="14"/>
                <w:b w:val="1"/>
                <w:bCs w:val="1"/>
                <w:color w:val="auto"/>
              </w:rPr>
              <w:t>Name</w:t>
            </w:r>
          </w:p>
        </w:tc>
        <w:tc>
          <w:tcPr>
            <w:tcW w:w="600" w:type="dxa"/>
            <w:vAlign w:val="bottom"/>
            <w:shd w:val="clear" w:color="auto" w:fill="5591C7"/>
          </w:tcPr>
          <w:p>
            <w:pPr>
              <w:spacing w:after="0"/>
              <w:rPr>
                <w:sz w:val="19"/>
                <w:szCs w:val="19"/>
                <w:color w:val="auto"/>
              </w:rPr>
            </w:pPr>
          </w:p>
        </w:tc>
        <w:tc>
          <w:tcPr>
            <w:tcW w:w="7560" w:type="dxa"/>
            <w:vAlign w:val="bottom"/>
            <w:shd w:val="clear" w:color="auto" w:fill="5591C7"/>
          </w:tcPr>
          <w:p>
            <w:pPr>
              <w:ind w:left="2460"/>
              <w:spacing w:after="0"/>
              <w:rPr>
                <w:sz w:val="20"/>
                <w:szCs w:val="20"/>
                <w:color w:val="auto"/>
              </w:rPr>
            </w:pPr>
            <w:r>
              <w:rPr>
                <w:rFonts w:ascii="Arial" w:cs="Arial" w:eastAsia="Arial" w:hAnsi="Arial"/>
                <w:sz w:val="14"/>
                <w:szCs w:val="14"/>
                <w:b w:val="1"/>
                <w:bCs w:val="1"/>
                <w:color w:val="auto"/>
              </w:rPr>
              <w:t>Individual Performance Goals</w:t>
            </w:r>
          </w:p>
        </w:tc>
      </w:tr>
      <w:tr>
        <w:trPr>
          <w:trHeight w:val="209"/>
        </w:trPr>
        <w:tc>
          <w:tcPr>
            <w:tcW w:w="2500" w:type="dxa"/>
            <w:vAlign w:val="bottom"/>
            <w:tcBorders>
              <w:top w:val="single" w:sz="8" w:color="auto"/>
            </w:tcBorders>
            <w:shd w:val="clear" w:color="auto" w:fill="C6D9F1"/>
          </w:tcPr>
          <w:p>
            <w:pPr>
              <w:ind w:left="100"/>
              <w:spacing w:after="0"/>
              <w:rPr>
                <w:sz w:val="20"/>
                <w:szCs w:val="20"/>
                <w:color w:val="auto"/>
              </w:rPr>
            </w:pPr>
            <w:r>
              <w:rPr>
                <w:rFonts w:ascii="Arial" w:cs="Arial" w:eastAsia="Arial" w:hAnsi="Arial"/>
                <w:sz w:val="18"/>
                <w:szCs w:val="18"/>
                <w:color w:val="auto"/>
              </w:rPr>
              <w:t>Vishal Chhibbar</w:t>
            </w:r>
          </w:p>
        </w:tc>
        <w:tc>
          <w:tcPr>
            <w:tcW w:w="760" w:type="dxa"/>
            <w:vAlign w:val="bottom"/>
            <w:tcBorders>
              <w:top w:val="single" w:sz="8" w:color="C6D9F1"/>
            </w:tcBorders>
            <w:shd w:val="clear" w:color="auto" w:fill="C6D9F1"/>
          </w:tcPr>
          <w:p>
            <w:pPr>
              <w:spacing w:after="0"/>
              <w:rPr>
                <w:sz w:val="18"/>
                <w:szCs w:val="18"/>
                <w:color w:val="auto"/>
              </w:rPr>
            </w:pPr>
          </w:p>
        </w:tc>
        <w:tc>
          <w:tcPr>
            <w:tcW w:w="8160" w:type="dxa"/>
            <w:vAlign w:val="bottom"/>
            <w:tcBorders>
              <w:top w:val="single" w:sz="8" w:color="auto"/>
            </w:tcBorders>
            <w:gridSpan w:val="2"/>
            <w:shd w:val="clear" w:color="auto" w:fill="C6D9F1"/>
          </w:tcPr>
          <w:p>
            <w:pPr>
              <w:ind w:left="440"/>
              <w:spacing w:after="0"/>
              <w:rPr>
                <w:sz w:val="20"/>
                <w:szCs w:val="20"/>
                <w:color w:val="auto"/>
              </w:rPr>
            </w:pPr>
            <w:r>
              <w:rPr>
                <w:rFonts w:ascii="Arial" w:cs="Arial" w:eastAsia="Arial" w:hAnsi="Arial"/>
                <w:sz w:val="18"/>
                <w:szCs w:val="18"/>
                <w:color w:val="auto"/>
              </w:rPr>
              <w:t>·   Achievement of corporate financial targets</w:t>
            </w:r>
          </w:p>
        </w:tc>
      </w:tr>
      <w:tr>
        <w:trPr>
          <w:trHeight w:val="216"/>
        </w:trPr>
        <w:tc>
          <w:tcPr>
            <w:tcW w:w="2500" w:type="dxa"/>
            <w:vAlign w:val="bottom"/>
            <w:shd w:val="clear" w:color="auto" w:fill="C6D9F1"/>
          </w:tcPr>
          <w:p>
            <w:pPr>
              <w:spacing w:after="0"/>
              <w:rPr>
                <w:sz w:val="18"/>
                <w:szCs w:val="18"/>
                <w:color w:val="auto"/>
              </w:rPr>
            </w:pPr>
          </w:p>
        </w:tc>
        <w:tc>
          <w:tcPr>
            <w:tcW w:w="760" w:type="dxa"/>
            <w:vAlign w:val="bottom"/>
            <w:shd w:val="clear" w:color="auto" w:fill="C6D9F1"/>
          </w:tcPr>
          <w:p>
            <w:pPr>
              <w:spacing w:after="0"/>
              <w:rPr>
                <w:sz w:val="18"/>
                <w:szCs w:val="18"/>
                <w:color w:val="auto"/>
              </w:rPr>
            </w:pPr>
          </w:p>
        </w:tc>
        <w:tc>
          <w:tcPr>
            <w:tcW w:w="8160" w:type="dxa"/>
            <w:vAlign w:val="bottom"/>
            <w:gridSpan w:val="2"/>
            <w:shd w:val="clear" w:color="auto" w:fill="C6D9F1"/>
          </w:tcPr>
          <w:p>
            <w:pPr>
              <w:ind w:left="440"/>
              <w:spacing w:after="0"/>
              <w:rPr>
                <w:sz w:val="20"/>
                <w:szCs w:val="20"/>
                <w:color w:val="auto"/>
              </w:rPr>
            </w:pPr>
            <w:r>
              <w:rPr>
                <w:rFonts w:ascii="Arial" w:cs="Arial" w:eastAsia="Arial" w:hAnsi="Arial"/>
                <w:sz w:val="18"/>
                <w:szCs w:val="18"/>
                <w:color w:val="auto"/>
              </w:rPr>
              <w:t>·   Business growth through strategic acquisitions</w:t>
            </w:r>
          </w:p>
        </w:tc>
      </w:tr>
      <w:tr>
        <w:trPr>
          <w:trHeight w:val="216"/>
        </w:trPr>
        <w:tc>
          <w:tcPr>
            <w:tcW w:w="2500" w:type="dxa"/>
            <w:vAlign w:val="bottom"/>
            <w:shd w:val="clear" w:color="auto" w:fill="C6D9F1"/>
          </w:tcPr>
          <w:p>
            <w:pPr>
              <w:spacing w:after="0"/>
              <w:rPr>
                <w:sz w:val="18"/>
                <w:szCs w:val="18"/>
                <w:color w:val="auto"/>
              </w:rPr>
            </w:pPr>
          </w:p>
        </w:tc>
        <w:tc>
          <w:tcPr>
            <w:tcW w:w="760" w:type="dxa"/>
            <w:vAlign w:val="bottom"/>
            <w:shd w:val="clear" w:color="auto" w:fill="C6D9F1"/>
          </w:tcPr>
          <w:p>
            <w:pPr>
              <w:spacing w:after="0"/>
              <w:rPr>
                <w:sz w:val="18"/>
                <w:szCs w:val="18"/>
                <w:color w:val="auto"/>
              </w:rPr>
            </w:pPr>
          </w:p>
        </w:tc>
        <w:tc>
          <w:tcPr>
            <w:tcW w:w="600" w:type="dxa"/>
            <w:vAlign w:val="bottom"/>
            <w:shd w:val="clear" w:color="auto" w:fill="C6D9F1"/>
          </w:tcPr>
          <w:p>
            <w:pPr>
              <w:ind w:left="440"/>
              <w:spacing w:after="0"/>
              <w:rPr>
                <w:sz w:val="20"/>
                <w:szCs w:val="20"/>
                <w:color w:val="auto"/>
              </w:rPr>
            </w:pPr>
            <w:r>
              <w:rPr>
                <w:rFonts w:ascii="Arial" w:cs="Arial" w:eastAsia="Arial" w:hAnsi="Arial"/>
                <w:sz w:val="18"/>
                <w:szCs w:val="18"/>
                <w:color w:val="auto"/>
              </w:rPr>
              <w:t>·</w:t>
            </w:r>
          </w:p>
        </w:tc>
        <w:tc>
          <w:tcPr>
            <w:tcW w:w="7560" w:type="dxa"/>
            <w:vAlign w:val="bottom"/>
            <w:shd w:val="clear" w:color="auto" w:fill="C6D9F1"/>
          </w:tcPr>
          <w:p>
            <w:pPr>
              <w:ind w:left="120"/>
              <w:spacing w:after="0"/>
              <w:rPr>
                <w:sz w:val="20"/>
                <w:szCs w:val="20"/>
                <w:color w:val="auto"/>
              </w:rPr>
            </w:pPr>
            <w:r>
              <w:rPr>
                <w:rFonts w:ascii="Arial" w:cs="Arial" w:eastAsia="Arial" w:hAnsi="Arial"/>
                <w:sz w:val="18"/>
                <w:szCs w:val="18"/>
                <w:color w:val="auto"/>
              </w:rPr>
              <w:t>Capabilities and strategic initiatives with special focus on profitability</w:t>
            </w:r>
          </w:p>
        </w:tc>
      </w:tr>
      <w:tr>
        <w:trPr>
          <w:trHeight w:val="244"/>
        </w:trPr>
        <w:tc>
          <w:tcPr>
            <w:tcW w:w="2500" w:type="dxa"/>
            <w:vAlign w:val="bottom"/>
            <w:shd w:val="clear" w:color="auto" w:fill="C6D9F1"/>
          </w:tcPr>
          <w:p>
            <w:pPr>
              <w:spacing w:after="0"/>
              <w:rPr>
                <w:sz w:val="21"/>
                <w:szCs w:val="21"/>
                <w:color w:val="auto"/>
              </w:rPr>
            </w:pPr>
          </w:p>
        </w:tc>
        <w:tc>
          <w:tcPr>
            <w:tcW w:w="760" w:type="dxa"/>
            <w:vAlign w:val="bottom"/>
            <w:shd w:val="clear" w:color="auto" w:fill="C6D9F1"/>
          </w:tcPr>
          <w:p>
            <w:pPr>
              <w:spacing w:after="0"/>
              <w:rPr>
                <w:sz w:val="21"/>
                <w:szCs w:val="21"/>
                <w:color w:val="auto"/>
              </w:rPr>
            </w:pPr>
          </w:p>
        </w:tc>
        <w:tc>
          <w:tcPr>
            <w:tcW w:w="600" w:type="dxa"/>
            <w:vAlign w:val="bottom"/>
            <w:shd w:val="clear" w:color="auto" w:fill="C6D9F1"/>
          </w:tcPr>
          <w:p>
            <w:pPr>
              <w:ind w:left="440"/>
              <w:spacing w:after="0"/>
              <w:rPr>
                <w:sz w:val="20"/>
                <w:szCs w:val="20"/>
                <w:color w:val="auto"/>
              </w:rPr>
            </w:pPr>
            <w:r>
              <w:rPr>
                <w:rFonts w:ascii="Arial" w:cs="Arial" w:eastAsia="Arial" w:hAnsi="Arial"/>
                <w:sz w:val="18"/>
                <w:szCs w:val="18"/>
                <w:color w:val="auto"/>
              </w:rPr>
              <w:t>·</w:t>
            </w:r>
          </w:p>
        </w:tc>
        <w:tc>
          <w:tcPr>
            <w:tcW w:w="7560" w:type="dxa"/>
            <w:vAlign w:val="bottom"/>
            <w:shd w:val="clear" w:color="auto" w:fill="C6D9F1"/>
          </w:tcPr>
          <w:p>
            <w:pPr>
              <w:ind w:left="120"/>
              <w:spacing w:after="0"/>
              <w:rPr>
                <w:sz w:val="20"/>
                <w:szCs w:val="20"/>
                <w:color w:val="auto"/>
              </w:rPr>
            </w:pPr>
            <w:r>
              <w:rPr>
                <w:rFonts w:ascii="Arial" w:cs="Arial" w:eastAsia="Arial" w:hAnsi="Arial"/>
                <w:sz w:val="18"/>
                <w:szCs w:val="18"/>
                <w:color w:val="auto"/>
              </w:rPr>
              <w:t>Strengthening finance department leadership, organization and operations</w:t>
            </w:r>
          </w:p>
        </w:tc>
      </w:tr>
    </w:tbl>
    <w:p>
      <w:pPr>
        <w:ind w:left="100"/>
        <w:spacing w:after="0"/>
        <w:tabs>
          <w:tab w:leader="none" w:pos="3680" w:val="left"/>
          <w:tab w:leader="none" w:pos="3960" w:val="left"/>
        </w:tabs>
        <w:rPr>
          <w:sz w:val="20"/>
          <w:szCs w:val="20"/>
          <w:color w:val="auto"/>
        </w:rPr>
      </w:pPr>
      <w:r>
        <w:rPr>
          <w:rFonts w:ascii="Arial" w:cs="Arial" w:eastAsia="Arial" w:hAnsi="Arial"/>
          <w:sz w:val="18"/>
          <w:szCs w:val="18"/>
          <w:color w:val="auto"/>
        </w:rPr>
        <w:t>Nalin Miglani</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Build a high performance organization</w:t>
      </w:r>
    </w:p>
    <w:p>
      <w:pPr>
        <w:spacing w:after="0" w:line="22" w:lineRule="exact"/>
        <w:rPr>
          <w:sz w:val="20"/>
          <w:szCs w:val="20"/>
          <w:color w:val="auto"/>
        </w:rPr>
      </w:pPr>
    </w:p>
    <w:p>
      <w:pPr>
        <w:ind w:left="3980" w:hanging="290"/>
        <w:spacing w:after="0"/>
        <w:tabs>
          <w:tab w:leader="none" w:pos="39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Develop and implement client-based HR program</w:t>
      </w:r>
    </w:p>
    <w:p>
      <w:pPr>
        <w:spacing w:after="0" w:line="9" w:lineRule="exact"/>
        <w:rPr>
          <w:rFonts w:ascii="Arial" w:cs="Arial" w:eastAsia="Arial" w:hAnsi="Arial"/>
          <w:sz w:val="18"/>
          <w:szCs w:val="18"/>
          <w:color w:val="auto"/>
        </w:rPr>
      </w:pPr>
    </w:p>
    <w:p>
      <w:pPr>
        <w:ind w:left="3980" w:hanging="290"/>
        <w:spacing w:after="0"/>
        <w:tabs>
          <w:tab w:leader="none" w:pos="39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Develop and launch purpose and values program</w:t>
      </w:r>
    </w:p>
    <w:p>
      <w:pPr>
        <w:spacing w:after="0" w:line="9" w:lineRule="exact"/>
        <w:rPr>
          <w:rFonts w:ascii="Arial" w:cs="Arial" w:eastAsia="Arial" w:hAnsi="Arial"/>
          <w:sz w:val="18"/>
          <w:szCs w:val="18"/>
          <w:color w:val="auto"/>
        </w:rPr>
      </w:pPr>
    </w:p>
    <w:p>
      <w:pPr>
        <w:ind w:left="3980" w:hanging="290"/>
        <w:spacing w:after="0"/>
        <w:tabs>
          <w:tab w:leader="none" w:pos="39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Build and implement a program to significantly improve sales capabilities</w:t>
      </w:r>
    </w:p>
    <w:p>
      <w:pPr>
        <w:spacing w:after="0" w:line="9" w:lineRule="exact"/>
        <w:rPr>
          <w:rFonts w:ascii="Arial" w:cs="Arial" w:eastAsia="Arial" w:hAnsi="Arial"/>
          <w:sz w:val="18"/>
          <w:szCs w:val="18"/>
          <w:color w:val="auto"/>
        </w:rPr>
      </w:pPr>
    </w:p>
    <w:p>
      <w:pPr>
        <w:ind w:left="3980" w:hanging="290"/>
        <w:spacing w:after="0"/>
        <w:tabs>
          <w:tab w:leader="none" w:pos="39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Build leadership teams of key business units</w:t>
      </w:r>
    </w:p>
    <w:p>
      <w:pPr>
        <w:spacing w:after="0" w:line="9" w:lineRule="exact"/>
        <w:rPr>
          <w:rFonts w:ascii="Arial" w:cs="Arial" w:eastAsia="Arial" w:hAnsi="Arial"/>
          <w:sz w:val="18"/>
          <w:szCs w:val="18"/>
          <w:color w:val="auto"/>
        </w:rPr>
      </w:pPr>
    </w:p>
    <w:p>
      <w:pPr>
        <w:ind w:left="3980" w:hanging="290"/>
        <w:spacing w:after="0"/>
        <w:tabs>
          <w:tab w:leader="none" w:pos="39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Build global HR team</w:t>
      </w:r>
    </w:p>
    <w:p>
      <w:pPr>
        <w:spacing w:after="0" w:line="207"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Determination of Individual Performance Achievement.</w:t>
      </w:r>
    </w:p>
    <w:p>
      <w:pPr>
        <w:spacing w:after="0" w:line="230" w:lineRule="exact"/>
        <w:rPr>
          <w:sz w:val="20"/>
          <w:szCs w:val="20"/>
          <w:color w:val="auto"/>
        </w:rPr>
      </w:pPr>
    </w:p>
    <w:p>
      <w:pPr>
        <w:ind w:right="140" w:firstLine="648"/>
        <w:spacing w:after="0" w:line="237" w:lineRule="auto"/>
        <w:rPr>
          <w:sz w:val="20"/>
          <w:szCs w:val="20"/>
          <w:color w:val="auto"/>
        </w:rPr>
      </w:pPr>
      <w:r>
        <w:rPr>
          <w:rFonts w:ascii="Arial" w:cs="Arial" w:eastAsia="Arial" w:hAnsi="Arial"/>
          <w:sz w:val="18"/>
          <w:szCs w:val="18"/>
          <w:color w:val="auto"/>
        </w:rPr>
        <w:t>Mr. Kapoor made performance assessments and compensation recommendations for Messrs. Chhibbar and Miglani, and our Compensation Committee approved the recommendations after reviewing similar considerations for such named executive officers. For Mr. Chhibbar, our Compensation Committee noted his role in enabling the Company to keep track of all relevant financial metrics, playing a key role in acquisitions, strengthening the finance department’s personnel and procedures and effectively engaging with investors and the broader investment community. For Mr. Miglani, our Compensation Committee noted his role in managing and executing strategic assignments, creating a strong sense of purpose and values, improving employment engagement, enhancing sales effectiveness and executing various initiatives/programs.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39" w:name="page40"/>
    <w:bookmarkEnd w:id="39"/>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Actual Bonus Payments.</w:t>
      </w:r>
    </w:p>
    <w:p>
      <w:pPr>
        <w:spacing w:after="0" w:line="2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sets out the 2015 incentive bonuses paid to our named executive officers in March 2016.</w:t>
      </w:r>
    </w:p>
    <w:p>
      <w:pPr>
        <w:spacing w:after="0" w:line="199" w:lineRule="exact"/>
        <w:rPr>
          <w:sz w:val="20"/>
          <w:szCs w:val="20"/>
          <w:color w:val="auto"/>
        </w:rPr>
      </w:pPr>
    </w:p>
    <w:tbl>
      <w:tblPr>
        <w:tblLayout w:type="fixed"/>
        <w:tblInd w:w="2300" w:type="dxa"/>
        <w:tblCellMar>
          <w:top w:w="0" w:type="dxa"/>
          <w:left w:w="0" w:type="dxa"/>
          <w:bottom w:w="0" w:type="dxa"/>
          <w:right w:w="0" w:type="dxa"/>
        </w:tblCellMar>
      </w:tblPr>
      <w:tr>
        <w:trPr>
          <w:trHeight w:val="162"/>
        </w:trPr>
        <w:tc>
          <w:tcPr>
            <w:tcW w:w="2900" w:type="dxa"/>
            <w:vAlign w:val="bottom"/>
            <w:shd w:val="clear" w:color="auto" w:fill="5591C7"/>
          </w:tcPr>
          <w:p>
            <w:pPr>
              <w:spacing w:after="0"/>
              <w:rPr>
                <w:sz w:val="14"/>
                <w:szCs w:val="14"/>
                <w:color w:val="auto"/>
              </w:rPr>
            </w:pPr>
          </w:p>
        </w:tc>
        <w:tc>
          <w:tcPr>
            <w:tcW w:w="340" w:type="dxa"/>
            <w:vAlign w:val="bottom"/>
            <w:shd w:val="clear" w:color="auto" w:fill="5591C7"/>
          </w:tcPr>
          <w:p>
            <w:pPr>
              <w:spacing w:after="0"/>
              <w:rPr>
                <w:sz w:val="14"/>
                <w:szCs w:val="14"/>
                <w:color w:val="auto"/>
              </w:rPr>
            </w:pPr>
          </w:p>
        </w:tc>
        <w:tc>
          <w:tcPr>
            <w:tcW w:w="360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Earned 2015</w:t>
            </w:r>
          </w:p>
        </w:tc>
      </w:tr>
      <w:tr>
        <w:trPr>
          <w:trHeight w:val="162"/>
        </w:trPr>
        <w:tc>
          <w:tcPr>
            <w:tcW w:w="2900" w:type="dxa"/>
            <w:vAlign w:val="bottom"/>
            <w:shd w:val="clear" w:color="auto" w:fill="5591C7"/>
          </w:tcPr>
          <w:p>
            <w:pPr>
              <w:spacing w:after="0"/>
              <w:rPr>
                <w:sz w:val="14"/>
                <w:szCs w:val="14"/>
                <w:color w:val="auto"/>
              </w:rPr>
            </w:pPr>
          </w:p>
        </w:tc>
        <w:tc>
          <w:tcPr>
            <w:tcW w:w="340" w:type="dxa"/>
            <w:vAlign w:val="bottom"/>
            <w:shd w:val="clear" w:color="auto" w:fill="5591C7"/>
          </w:tcPr>
          <w:p>
            <w:pPr>
              <w:spacing w:after="0"/>
              <w:rPr>
                <w:sz w:val="14"/>
                <w:szCs w:val="14"/>
                <w:color w:val="auto"/>
              </w:rPr>
            </w:pPr>
          </w:p>
        </w:tc>
        <w:tc>
          <w:tcPr>
            <w:tcW w:w="360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Incentive Bonus</w:t>
            </w:r>
          </w:p>
        </w:tc>
      </w:tr>
      <w:tr>
        <w:trPr>
          <w:trHeight w:val="189"/>
        </w:trPr>
        <w:tc>
          <w:tcPr>
            <w:tcW w:w="2900" w:type="dxa"/>
            <w:vAlign w:val="bottom"/>
            <w:tcBorders>
              <w:bottom w:val="single" w:sz="8" w:color="auto"/>
            </w:tcBorders>
            <w:shd w:val="clear" w:color="auto" w:fill="5591C7"/>
          </w:tcPr>
          <w:p>
            <w:pPr>
              <w:ind w:left="1240"/>
              <w:spacing w:after="0"/>
              <w:rPr>
                <w:sz w:val="20"/>
                <w:szCs w:val="20"/>
                <w:color w:val="auto"/>
              </w:rPr>
            </w:pPr>
            <w:r>
              <w:rPr>
                <w:rFonts w:ascii="Arial" w:cs="Arial" w:eastAsia="Arial" w:hAnsi="Arial"/>
                <w:sz w:val="14"/>
                <w:szCs w:val="14"/>
                <w:b w:val="1"/>
                <w:bCs w:val="1"/>
                <w:color w:val="auto"/>
              </w:rPr>
              <w:t>Name</w:t>
            </w:r>
          </w:p>
        </w:tc>
        <w:tc>
          <w:tcPr>
            <w:tcW w:w="340" w:type="dxa"/>
            <w:vAlign w:val="bottom"/>
            <w:tcBorders>
              <w:bottom w:val="single" w:sz="8" w:color="C6D9F1"/>
            </w:tcBorders>
            <w:shd w:val="clear" w:color="auto" w:fill="5591C7"/>
          </w:tcPr>
          <w:p>
            <w:pPr>
              <w:spacing w:after="0"/>
              <w:rPr>
                <w:sz w:val="16"/>
                <w:szCs w:val="16"/>
                <w:color w:val="auto"/>
              </w:rPr>
            </w:pPr>
          </w:p>
        </w:tc>
        <w:tc>
          <w:tcPr>
            <w:tcW w:w="360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w:t>
            </w:r>
          </w:p>
        </w:tc>
      </w:tr>
      <w:tr>
        <w:trPr>
          <w:trHeight w:val="223"/>
        </w:trPr>
        <w:tc>
          <w:tcPr>
            <w:tcW w:w="3240" w:type="dxa"/>
            <w:vAlign w:val="bottom"/>
            <w:gridSpan w:val="2"/>
            <w:shd w:val="clear" w:color="auto" w:fill="C6D9F1"/>
          </w:tcPr>
          <w:p>
            <w:pPr>
              <w:ind w:left="100"/>
              <w:spacing w:after="0"/>
              <w:rPr>
                <w:sz w:val="20"/>
                <w:szCs w:val="20"/>
                <w:color w:val="auto"/>
              </w:rPr>
            </w:pPr>
            <w:r>
              <w:rPr>
                <w:rFonts w:ascii="Arial" w:cs="Arial" w:eastAsia="Arial" w:hAnsi="Arial"/>
                <w:sz w:val="18"/>
                <w:szCs w:val="18"/>
                <w:color w:val="auto"/>
              </w:rPr>
              <w:t>Rohit Kapoor</w:t>
            </w:r>
          </w:p>
        </w:tc>
        <w:tc>
          <w:tcPr>
            <w:tcW w:w="3600" w:type="dxa"/>
            <w:vAlign w:val="bottom"/>
            <w:shd w:val="clear" w:color="auto" w:fill="C6D9F1"/>
          </w:tcPr>
          <w:p>
            <w:pPr>
              <w:ind w:left="2800"/>
              <w:spacing w:after="0"/>
              <w:rPr>
                <w:sz w:val="20"/>
                <w:szCs w:val="20"/>
                <w:color w:val="auto"/>
              </w:rPr>
            </w:pPr>
            <w:r>
              <w:rPr>
                <w:rFonts w:ascii="Arial" w:cs="Arial" w:eastAsia="Arial" w:hAnsi="Arial"/>
                <w:sz w:val="18"/>
                <w:szCs w:val="18"/>
                <w:color w:val="auto"/>
              </w:rPr>
              <w:t>621,129</w:t>
            </w:r>
          </w:p>
        </w:tc>
      </w:tr>
      <w:tr>
        <w:trPr>
          <w:trHeight w:val="243"/>
        </w:trPr>
        <w:tc>
          <w:tcPr>
            <w:tcW w:w="3240" w:type="dxa"/>
            <w:vAlign w:val="bottom"/>
            <w:gridSpan w:val="2"/>
          </w:tcPr>
          <w:p>
            <w:pPr>
              <w:ind w:left="100"/>
              <w:spacing w:after="0"/>
              <w:rPr>
                <w:sz w:val="20"/>
                <w:szCs w:val="20"/>
                <w:color w:val="auto"/>
              </w:rPr>
            </w:pPr>
            <w:r>
              <w:rPr>
                <w:rFonts w:ascii="Arial" w:cs="Arial" w:eastAsia="Arial" w:hAnsi="Arial"/>
                <w:sz w:val="18"/>
                <w:szCs w:val="18"/>
                <w:color w:val="auto"/>
              </w:rPr>
              <w:t>Vishal Chhibbar</w:t>
            </w:r>
          </w:p>
        </w:tc>
        <w:tc>
          <w:tcPr>
            <w:tcW w:w="3600" w:type="dxa"/>
            <w:vAlign w:val="bottom"/>
          </w:tcPr>
          <w:p>
            <w:pPr>
              <w:ind w:left="2760"/>
              <w:spacing w:after="0" w:line="243" w:lineRule="exact"/>
              <w:rPr>
                <w:sz w:val="20"/>
                <w:szCs w:val="20"/>
                <w:color w:val="auto"/>
              </w:rPr>
            </w:pPr>
            <w:r>
              <w:rPr>
                <w:rFonts w:ascii="Arial" w:cs="Arial" w:eastAsia="Arial" w:hAnsi="Arial"/>
                <w:sz w:val="17"/>
                <w:szCs w:val="17"/>
                <w:color w:val="auto"/>
                <w:w w:val="97"/>
              </w:rPr>
              <w:t>157,049</w:t>
            </w:r>
            <w:r>
              <w:rPr>
                <w:rFonts w:ascii="Arial" w:cs="Arial" w:eastAsia="Arial" w:hAnsi="Arial"/>
                <w:sz w:val="28"/>
                <w:szCs w:val="28"/>
                <w:color w:val="auto"/>
                <w:w w:val="97"/>
                <w:vertAlign w:val="superscript"/>
              </w:rPr>
              <w:t>(1)</w:t>
            </w:r>
          </w:p>
        </w:tc>
      </w:tr>
      <w:tr>
        <w:trPr>
          <w:trHeight w:val="243"/>
        </w:trPr>
        <w:tc>
          <w:tcPr>
            <w:tcW w:w="3240" w:type="dxa"/>
            <w:vAlign w:val="bottom"/>
            <w:gridSpan w:val="2"/>
            <w:shd w:val="clear" w:color="auto" w:fill="C6D9F1"/>
          </w:tcPr>
          <w:p>
            <w:pPr>
              <w:ind w:left="100"/>
              <w:spacing w:after="0"/>
              <w:rPr>
                <w:sz w:val="20"/>
                <w:szCs w:val="20"/>
                <w:color w:val="auto"/>
              </w:rPr>
            </w:pPr>
            <w:r>
              <w:rPr>
                <w:rFonts w:ascii="Arial" w:cs="Arial" w:eastAsia="Arial" w:hAnsi="Arial"/>
                <w:sz w:val="18"/>
                <w:szCs w:val="18"/>
                <w:color w:val="auto"/>
              </w:rPr>
              <w:t>Pavan Bagai</w:t>
            </w:r>
          </w:p>
        </w:tc>
        <w:tc>
          <w:tcPr>
            <w:tcW w:w="3600" w:type="dxa"/>
            <w:vAlign w:val="bottom"/>
            <w:shd w:val="clear" w:color="auto" w:fill="C6D9F1"/>
          </w:tcPr>
          <w:p>
            <w:pPr>
              <w:ind w:left="2760"/>
              <w:spacing w:after="0" w:line="243" w:lineRule="exact"/>
              <w:rPr>
                <w:sz w:val="20"/>
                <w:szCs w:val="20"/>
                <w:color w:val="auto"/>
              </w:rPr>
            </w:pPr>
            <w:r>
              <w:rPr>
                <w:rFonts w:ascii="Arial" w:cs="Arial" w:eastAsia="Arial" w:hAnsi="Arial"/>
                <w:sz w:val="17"/>
                <w:szCs w:val="17"/>
                <w:color w:val="auto"/>
                <w:w w:val="97"/>
              </w:rPr>
              <w:t>246,239</w:t>
            </w:r>
            <w:r>
              <w:rPr>
                <w:rFonts w:ascii="Arial" w:cs="Arial" w:eastAsia="Arial" w:hAnsi="Arial"/>
                <w:sz w:val="28"/>
                <w:szCs w:val="28"/>
                <w:color w:val="auto"/>
                <w:w w:val="97"/>
                <w:vertAlign w:val="superscript"/>
              </w:rPr>
              <w:t>(1)</w:t>
            </w:r>
          </w:p>
        </w:tc>
      </w:tr>
      <w:tr>
        <w:trPr>
          <w:trHeight w:val="230"/>
        </w:trPr>
        <w:tc>
          <w:tcPr>
            <w:tcW w:w="3240" w:type="dxa"/>
            <w:vAlign w:val="bottom"/>
            <w:gridSpan w:val="2"/>
          </w:tcPr>
          <w:p>
            <w:pPr>
              <w:ind w:left="100"/>
              <w:spacing w:after="0"/>
              <w:rPr>
                <w:sz w:val="20"/>
                <w:szCs w:val="20"/>
                <w:color w:val="auto"/>
              </w:rPr>
            </w:pPr>
            <w:r>
              <w:rPr>
                <w:rFonts w:ascii="Arial" w:cs="Arial" w:eastAsia="Arial" w:hAnsi="Arial"/>
                <w:sz w:val="18"/>
                <w:szCs w:val="18"/>
                <w:color w:val="auto"/>
              </w:rPr>
              <w:t>Nalin Miglani</w:t>
            </w:r>
          </w:p>
        </w:tc>
        <w:tc>
          <w:tcPr>
            <w:tcW w:w="3600" w:type="dxa"/>
            <w:vAlign w:val="bottom"/>
          </w:tcPr>
          <w:p>
            <w:pPr>
              <w:ind w:left="2780"/>
              <w:spacing w:after="0"/>
              <w:rPr>
                <w:sz w:val="20"/>
                <w:szCs w:val="20"/>
                <w:color w:val="auto"/>
              </w:rPr>
            </w:pPr>
            <w:r>
              <w:rPr>
                <w:rFonts w:ascii="Arial" w:cs="Arial" w:eastAsia="Arial" w:hAnsi="Arial"/>
                <w:sz w:val="18"/>
                <w:szCs w:val="18"/>
                <w:color w:val="auto"/>
              </w:rPr>
              <w:t>274,840</w:t>
            </w:r>
          </w:p>
        </w:tc>
      </w:tr>
      <w:tr>
        <w:trPr>
          <w:trHeight w:val="230"/>
        </w:trPr>
        <w:tc>
          <w:tcPr>
            <w:tcW w:w="3240" w:type="dxa"/>
            <w:vAlign w:val="bottom"/>
            <w:gridSpan w:val="2"/>
            <w:shd w:val="clear" w:color="auto" w:fill="C6D9F1"/>
          </w:tcPr>
          <w:p>
            <w:pPr>
              <w:ind w:left="100"/>
              <w:spacing w:after="0"/>
              <w:rPr>
                <w:sz w:val="20"/>
                <w:szCs w:val="20"/>
                <w:color w:val="auto"/>
              </w:rPr>
            </w:pPr>
            <w:r>
              <w:rPr>
                <w:rFonts w:ascii="Arial" w:cs="Arial" w:eastAsia="Arial" w:hAnsi="Arial"/>
                <w:sz w:val="18"/>
                <w:szCs w:val="18"/>
                <w:color w:val="auto"/>
              </w:rPr>
              <w:t>Henry Schweppe</w:t>
            </w:r>
          </w:p>
        </w:tc>
        <w:tc>
          <w:tcPr>
            <w:tcW w:w="3600" w:type="dxa"/>
            <w:vAlign w:val="bottom"/>
            <w:shd w:val="clear" w:color="auto" w:fill="C6D9F1"/>
          </w:tcPr>
          <w:p>
            <w:pPr>
              <w:ind w:left="2780"/>
              <w:spacing w:after="0"/>
              <w:rPr>
                <w:sz w:val="20"/>
                <w:szCs w:val="20"/>
                <w:color w:val="auto"/>
              </w:rPr>
            </w:pPr>
            <w:r>
              <w:rPr>
                <w:rFonts w:ascii="Arial" w:cs="Arial" w:eastAsia="Arial" w:hAnsi="Arial"/>
                <w:sz w:val="18"/>
                <w:szCs w:val="18"/>
                <w:color w:val="auto"/>
              </w:rPr>
              <w:t>349,385</w:t>
            </w:r>
          </w:p>
        </w:tc>
      </w:tr>
    </w:tbl>
    <w:p>
      <w:pPr>
        <w:spacing w:after="0" w:line="207" w:lineRule="exact"/>
        <w:rPr>
          <w:sz w:val="20"/>
          <w:szCs w:val="20"/>
          <w:color w:val="auto"/>
        </w:rPr>
      </w:pPr>
    </w:p>
    <w:p>
      <w:pPr>
        <w:ind w:left="660" w:right="500" w:hanging="328"/>
        <w:spacing w:after="0" w:line="258" w:lineRule="auto"/>
        <w:tabs>
          <w:tab w:leader="none" w:pos="6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exchange rate used for the bonus conversion from Indian rupees to U.S. dollars for Messrs. Chhibbar and Bagai was 66.15, which was the exchange rate on December 31, 2015.</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Equity Incentives</w:t>
      </w:r>
    </w:p>
    <w:p>
      <w:pPr>
        <w:spacing w:after="0" w:line="216"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Under our equity compensation program, our executive officers received restricted stock units under the 2015 Amendment and Restatement of the 2006 Omnibus Award Plan (the “2015 Plan”). We awarded restricted stock units to all of our named executive officers in the portions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120650</wp:posOffset>
            </wp:positionV>
            <wp:extent cx="5574030" cy="5918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57403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40" w:right="220" w:hanging="332"/>
        <w:spacing w:after="0" w:line="239"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Time-Vested RSUs are subject to Standard Graded vesting – 10% after first year, an additional 20% after second year, an additional 30% after third year and an additional 40% after fourth year (except for Mr. Kapoor, whose restricted stock units will vest in increments of 25% on each of the first four anniversaries of the grant date), subject to continuous service with the Company through the applicable vesting date.</w:t>
      </w:r>
    </w:p>
    <w:p>
      <w:pPr>
        <w:spacing w:after="0" w:line="188" w:lineRule="exact"/>
        <w:rPr>
          <w:rFonts w:ascii="Arial" w:cs="Arial" w:eastAsia="Arial" w:hAnsi="Arial"/>
          <w:sz w:val="18"/>
          <w:szCs w:val="18"/>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Committee believes these Time-Vested RSUs provide an important role in promoting retention of our executive officers.</w:t>
      </w:r>
    </w:p>
    <w:p>
      <w:pPr>
        <w:spacing w:after="0" w:line="211" w:lineRule="exact"/>
        <w:rPr>
          <w:rFonts w:ascii="Arial" w:cs="Arial" w:eastAsia="Arial" w:hAnsi="Arial"/>
          <w:sz w:val="18"/>
          <w:szCs w:val="18"/>
          <w:color w:val="auto"/>
        </w:rPr>
      </w:pPr>
    </w:p>
    <w:p>
      <w:pPr>
        <w:ind w:left="340" w:right="400" w:hanging="332"/>
        <w:spacing w:after="0" w:line="246"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“Performance-Vested” portion of the 2015 RSUs (“PRSUs”) are split into two types that each vest based on separate performance measures as follows:</w:t>
      </w:r>
    </w:p>
    <w:p>
      <w:pPr>
        <w:spacing w:after="0" w:line="165" w:lineRule="exact"/>
        <w:rPr>
          <w:rFonts w:ascii="Arial" w:cs="Arial" w:eastAsia="Arial" w:hAnsi="Arial"/>
          <w:sz w:val="18"/>
          <w:szCs w:val="18"/>
          <w:color w:val="auto"/>
        </w:rPr>
      </w:pPr>
    </w:p>
    <w:p>
      <w:pPr>
        <w:ind w:left="720" w:hanging="334"/>
        <w:spacing w:after="0" w:line="251" w:lineRule="auto"/>
        <w:tabs>
          <w:tab w:leader="none" w:pos="720" w:val="left"/>
        </w:tabs>
        <w:numPr>
          <w:ilvl w:val="1"/>
          <w:numId w:val="44"/>
        </w:numPr>
        <w:rPr>
          <w:rFonts w:ascii="Arial" w:cs="Arial" w:eastAsia="Arial" w:hAnsi="Arial"/>
          <w:sz w:val="18"/>
          <w:szCs w:val="18"/>
          <w:color w:val="auto"/>
        </w:rPr>
      </w:pPr>
      <w:r>
        <w:rPr>
          <w:rFonts w:ascii="Arial" w:cs="Arial" w:eastAsia="Arial" w:hAnsi="Arial"/>
          <w:sz w:val="18"/>
          <w:szCs w:val="18"/>
          <w:i w:val="1"/>
          <w:iCs w:val="1"/>
          <w:color w:val="auto"/>
        </w:rPr>
        <w:t>Revenue-Linked PRSUs</w:t>
      </w:r>
      <w:r>
        <w:rPr>
          <w:rFonts w:ascii="Arial" w:cs="Arial" w:eastAsia="Arial" w:hAnsi="Arial"/>
          <w:sz w:val="18"/>
          <w:szCs w:val="18"/>
          <w:color w:val="auto"/>
        </w:rPr>
        <w:t>: 50% of these performance-based restricted stock unit awards will cliff-vest on December 31 of the third fiscal</w:t>
      </w:r>
      <w:r>
        <w:rPr>
          <w:rFonts w:ascii="Arial" w:cs="Arial" w:eastAsia="Arial" w:hAnsi="Arial"/>
          <w:sz w:val="18"/>
          <w:szCs w:val="18"/>
          <w:i w:val="1"/>
          <w:iCs w:val="1"/>
          <w:color w:val="auto"/>
        </w:rPr>
        <w:t xml:space="preserve"> </w:t>
      </w:r>
      <w:r>
        <w:rPr>
          <w:rFonts w:ascii="Arial" w:cs="Arial" w:eastAsia="Arial" w:hAnsi="Arial"/>
          <w:sz w:val="18"/>
          <w:szCs w:val="18"/>
          <w:color w:val="auto"/>
        </w:rPr>
        <w:t>year in the performance period, subject to achievement of threshold Company revenues against an annual revenue target for such third fiscal year and continuous employment through December 31, 2017 — we call these awards “Revenue-Linked PRSUs.”</w:t>
      </w:r>
    </w:p>
    <w:p>
      <w:pPr>
        <w:spacing w:after="0" w:line="178" w:lineRule="exact"/>
        <w:rPr>
          <w:rFonts w:ascii="Arial" w:cs="Arial" w:eastAsia="Arial" w:hAnsi="Arial"/>
          <w:sz w:val="18"/>
          <w:szCs w:val="18"/>
          <w:color w:val="auto"/>
        </w:rPr>
      </w:pPr>
    </w:p>
    <w:p>
      <w:pPr>
        <w:ind w:left="1300" w:hanging="320"/>
        <w:spacing w:after="0" w:line="238" w:lineRule="auto"/>
        <w:tabs>
          <w:tab w:leader="none" w:pos="1300" w:val="left"/>
        </w:tabs>
        <w:numPr>
          <w:ilvl w:val="2"/>
          <w:numId w:val="44"/>
        </w:numPr>
        <w:rPr>
          <w:rFonts w:ascii="Arial" w:cs="Arial" w:eastAsia="Arial" w:hAnsi="Arial"/>
          <w:sz w:val="18"/>
          <w:szCs w:val="18"/>
          <w:color w:val="auto"/>
        </w:rPr>
      </w:pPr>
      <w:r>
        <w:rPr>
          <w:rFonts w:ascii="Arial" w:cs="Arial" w:eastAsia="Arial" w:hAnsi="Arial"/>
          <w:sz w:val="18"/>
          <w:szCs w:val="18"/>
          <w:color w:val="auto"/>
        </w:rPr>
        <w:t>For example, the awards granted in February 2015 would cliff-vest on December 31, 2017, subject to achievement of Company revenues against the threshold target for 2017, but up to one-third of the units may be banked based on actual revenue performance for each of 2015 and 2016. The ultimate amount of Revenue-Linked PRSUs that a recipient earns, which may be up to 200% of the target award of Revenue-Linked RSUs, will equal the greater of (x) the Revenue-Linked PRSUs earned based on achievement of the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50" w:right="259" w:bottom="1440" w:gutter="0" w:footer="0" w:header="0"/>
        </w:sectPr>
      </w:pPr>
    </w:p>
    <w:bookmarkStart w:id="40" w:name="page41"/>
    <w:bookmarkEnd w:id="40"/>
    <w:p>
      <w:pPr>
        <w:ind w:left="1292" w:right="520"/>
        <w:spacing w:after="0" w:line="246" w:lineRule="auto"/>
        <w:rPr>
          <w:sz w:val="20"/>
          <w:szCs w:val="20"/>
          <w:color w:val="auto"/>
        </w:rPr>
      </w:pPr>
      <w:r>
        <w:rPr>
          <w:rFonts w:ascii="Arial" w:cs="Arial" w:eastAsia="Arial" w:hAnsi="Arial"/>
          <w:sz w:val="18"/>
          <w:szCs w:val="18"/>
          <w:color w:val="auto"/>
        </w:rPr>
        <w:t>annual revenue target for the third fiscal year of the performance period, and (y) the sum of the banked Revenue-Linked PRSUs earned and banked in the first and second year of the grant.</w:t>
      </w:r>
    </w:p>
    <w:p>
      <w:pPr>
        <w:spacing w:after="0" w:line="183" w:lineRule="exact"/>
        <w:rPr>
          <w:sz w:val="20"/>
          <w:szCs w:val="20"/>
          <w:color w:val="auto"/>
        </w:rPr>
      </w:pPr>
    </w:p>
    <w:p>
      <w:pPr>
        <w:ind w:left="1292" w:right="460" w:hanging="333"/>
        <w:spacing w:after="0" w:line="275" w:lineRule="auto"/>
        <w:tabs>
          <w:tab w:leader="none" w:pos="1292" w:val="left"/>
        </w:tabs>
        <w:numPr>
          <w:ilvl w:val="1"/>
          <w:numId w:val="45"/>
        </w:numPr>
        <w:rPr>
          <w:rFonts w:ascii="Arial" w:cs="Arial" w:eastAsia="Arial" w:hAnsi="Arial"/>
          <w:sz w:val="17"/>
          <w:szCs w:val="17"/>
          <w:color w:val="auto"/>
        </w:rPr>
      </w:pPr>
      <w:r>
        <w:rPr>
          <w:rFonts w:ascii="Arial" w:cs="Arial" w:eastAsia="Arial" w:hAnsi="Arial"/>
          <w:sz w:val="17"/>
          <w:szCs w:val="17"/>
          <w:color w:val="auto"/>
        </w:rPr>
        <w:t>Based on the Company’s performance during fiscal 2015, our executives banked one-third of their 2015 Revenue-Linked PRSUs and one-third of their 2014 Revenue-Linked PRSUs based on exceeding the applicable annual revenue targets.</w:t>
      </w:r>
    </w:p>
    <w:p>
      <w:pPr>
        <w:spacing w:after="0" w:line="159" w:lineRule="exact"/>
        <w:rPr>
          <w:rFonts w:ascii="Arial" w:cs="Arial" w:eastAsia="Arial" w:hAnsi="Arial"/>
          <w:sz w:val="17"/>
          <w:szCs w:val="17"/>
          <w:color w:val="auto"/>
        </w:rPr>
      </w:pPr>
    </w:p>
    <w:p>
      <w:pPr>
        <w:ind w:left="1292" w:right="180" w:hanging="333"/>
        <w:spacing w:after="0" w:line="246" w:lineRule="auto"/>
        <w:tabs>
          <w:tab w:leader="none" w:pos="1292" w:val="left"/>
        </w:tabs>
        <w:numPr>
          <w:ilvl w:val="1"/>
          <w:numId w:val="45"/>
        </w:numPr>
        <w:rPr>
          <w:rFonts w:ascii="Arial" w:cs="Arial" w:eastAsia="Arial" w:hAnsi="Arial"/>
          <w:sz w:val="18"/>
          <w:szCs w:val="18"/>
          <w:color w:val="auto"/>
        </w:rPr>
      </w:pPr>
      <w:r>
        <w:rPr>
          <w:rFonts w:ascii="Arial" w:cs="Arial" w:eastAsia="Arial" w:hAnsi="Arial"/>
          <w:sz w:val="18"/>
          <w:szCs w:val="18"/>
          <w:color w:val="auto"/>
        </w:rPr>
        <w:t>For the Revenue-Linked PRSUs granted in fiscal year 2016, we have removed this banking feature and the Revenue-Linked PRSUs cliff vest on December 31, 2018 if the revenue target is achieved.</w:t>
      </w:r>
    </w:p>
    <w:p>
      <w:pPr>
        <w:spacing w:after="0" w:line="165" w:lineRule="exact"/>
        <w:rPr>
          <w:rFonts w:ascii="Arial" w:cs="Arial" w:eastAsia="Arial" w:hAnsi="Arial"/>
          <w:sz w:val="18"/>
          <w:szCs w:val="18"/>
          <w:color w:val="auto"/>
        </w:rPr>
      </w:pPr>
    </w:p>
    <w:p>
      <w:pPr>
        <w:ind w:left="712" w:hanging="320"/>
        <w:spacing w:after="0" w:line="238" w:lineRule="auto"/>
        <w:tabs>
          <w:tab w:leader="none" w:pos="712"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Relative TSR-Linked PRSUs</w:t>
      </w:r>
      <w:r>
        <w:rPr>
          <w:rFonts w:ascii="Arial" w:cs="Arial" w:eastAsia="Arial" w:hAnsi="Arial"/>
          <w:sz w:val="18"/>
          <w:szCs w:val="18"/>
          <w:color w:val="auto"/>
        </w:rPr>
        <w:t>: The remaining 50% of the performance-based restricted stock unit awards cliff-vest on December 31 of</w:t>
      </w:r>
      <w:r>
        <w:rPr>
          <w:rFonts w:ascii="Arial" w:cs="Arial" w:eastAsia="Arial" w:hAnsi="Arial"/>
          <w:sz w:val="18"/>
          <w:szCs w:val="18"/>
          <w:i w:val="1"/>
          <w:iCs w:val="1"/>
          <w:color w:val="auto"/>
        </w:rPr>
        <w:t xml:space="preserve"> </w:t>
      </w:r>
      <w:r>
        <w:rPr>
          <w:rFonts w:ascii="Arial" w:cs="Arial" w:eastAsia="Arial" w:hAnsi="Arial"/>
          <w:sz w:val="18"/>
          <w:szCs w:val="18"/>
          <w:color w:val="auto"/>
        </w:rPr>
        <w:t>the third fiscal year in the performance period, based on the achievement of relative total stockholder return performance of the Company against a peer group over the grant’s three-year performance period of January 1, 2015 to December 31, 2017 and continuous employment through December 31, 2017 — we call these awards “Relative TSR-Linked PRSUs.” The Company’s TSR for the TSR performance period will be computed and then compared to the TSR of the companies in the TSR peer group, which is comprised of the public companies in our 8-digit Global Industry Classification Standard sub-industry group. A participant shall earn 200%, 100% or 0% of the Relative TSR-Linked PRSUs, as applicable, if the Company’s TSR for the performance period equals or exceeds the 80th, 50th or 20th percentile, respectively, of the TSR peer group, when ranked by TSR for the TSR performance period. For the Relative TSR-Linked PRSUs granted in 2015, the Company included a negative TSR cap. Under the negative TSR cap, if the total stockholder return is negative over the course of the three year performance period, no named executive officer may receive greater than 100% funding of the TSR-Linked PRSUs.</w:t>
      </w:r>
    </w:p>
    <w:p>
      <w:pPr>
        <w:spacing w:after="0" w:line="191" w:lineRule="exact"/>
        <w:rPr>
          <w:rFonts w:ascii="Arial" w:cs="Arial" w:eastAsia="Arial" w:hAnsi="Arial"/>
          <w:sz w:val="18"/>
          <w:szCs w:val="18"/>
          <w:color w:val="auto"/>
        </w:rPr>
      </w:pPr>
    </w:p>
    <w:p>
      <w:pPr>
        <w:ind w:left="732" w:right="580"/>
        <w:spacing w:after="0" w:line="246" w:lineRule="auto"/>
        <w:rPr>
          <w:rFonts w:ascii="Arial" w:cs="Arial" w:eastAsia="Arial" w:hAnsi="Arial"/>
          <w:sz w:val="18"/>
          <w:szCs w:val="18"/>
          <w:color w:val="auto"/>
        </w:rPr>
      </w:pPr>
      <w:r>
        <w:rPr>
          <w:rFonts w:ascii="Arial" w:cs="Arial" w:eastAsia="Arial" w:hAnsi="Arial"/>
          <w:sz w:val="18"/>
          <w:szCs w:val="18"/>
          <w:color w:val="auto"/>
        </w:rPr>
        <w:t>The percentage of Relative TSR-Linked PRSUs earned will be determined based on straight-line interpolation to the extent the Company’s TSR falls in between the 20th and 80th percentiles, as per the chart below:</w:t>
      </w:r>
    </w:p>
    <w:p>
      <w:pPr>
        <w:spacing w:after="0" w:line="184" w:lineRule="exact"/>
        <w:rPr>
          <w:sz w:val="20"/>
          <w:szCs w:val="20"/>
          <w:color w:val="auto"/>
        </w:rPr>
      </w:pPr>
    </w:p>
    <w:tbl>
      <w:tblPr>
        <w:tblLayout w:type="fixed"/>
        <w:tblInd w:w="1152" w:type="dxa"/>
        <w:tblCellMar>
          <w:top w:w="0" w:type="dxa"/>
          <w:left w:w="0" w:type="dxa"/>
          <w:bottom w:w="0" w:type="dxa"/>
          <w:right w:w="0" w:type="dxa"/>
        </w:tblCellMar>
      </w:tblPr>
      <w:tr>
        <w:trPr>
          <w:trHeight w:val="189"/>
        </w:trPr>
        <w:tc>
          <w:tcPr>
            <w:tcW w:w="3640" w:type="dxa"/>
            <w:vAlign w:val="bottom"/>
            <w:gridSpan w:val="2"/>
            <w:shd w:val="clear" w:color="auto" w:fill="5591C7"/>
          </w:tcPr>
          <w:p>
            <w:pPr>
              <w:jc w:val="center"/>
              <w:ind w:right="240"/>
              <w:spacing w:after="0"/>
              <w:rPr>
                <w:sz w:val="20"/>
                <w:szCs w:val="20"/>
                <w:color w:val="auto"/>
              </w:rPr>
            </w:pPr>
            <w:r>
              <w:rPr>
                <w:rFonts w:ascii="Arial" w:cs="Arial" w:eastAsia="Arial" w:hAnsi="Arial"/>
                <w:sz w:val="14"/>
                <w:szCs w:val="14"/>
                <w:b w:val="1"/>
                <w:bCs w:val="1"/>
                <w:color w:val="auto"/>
              </w:rPr>
              <w:t>TSR Peer Group Percentile</w:t>
            </w:r>
          </w:p>
        </w:tc>
        <w:tc>
          <w:tcPr>
            <w:tcW w:w="5480" w:type="dxa"/>
            <w:vAlign w:val="bottom"/>
            <w:shd w:val="clear" w:color="auto" w:fill="5591C7"/>
          </w:tcPr>
          <w:p>
            <w:pPr>
              <w:ind w:left="1020"/>
              <w:spacing w:after="0"/>
              <w:rPr>
                <w:sz w:val="20"/>
                <w:szCs w:val="20"/>
                <w:color w:val="auto"/>
              </w:rPr>
            </w:pPr>
            <w:r>
              <w:rPr>
                <w:rFonts w:ascii="Arial" w:cs="Arial" w:eastAsia="Arial" w:hAnsi="Arial"/>
                <w:sz w:val="14"/>
                <w:szCs w:val="14"/>
                <w:b w:val="1"/>
                <w:bCs w:val="1"/>
                <w:color w:val="auto"/>
              </w:rPr>
              <w:t>Percentage of Relative TSR-Linked PRSUs Earned</w:t>
            </w:r>
          </w:p>
        </w:tc>
      </w:tr>
      <w:tr>
        <w:trPr>
          <w:trHeight w:val="223"/>
        </w:trPr>
        <w:tc>
          <w:tcPr>
            <w:tcW w:w="3400" w:type="dxa"/>
            <w:vAlign w:val="bottom"/>
            <w:tcBorders>
              <w:top w:val="single" w:sz="8" w:color="auto"/>
            </w:tcBorders>
            <w:shd w:val="clear" w:color="auto" w:fill="C6D9F1"/>
          </w:tcPr>
          <w:p>
            <w:pPr>
              <w:jc w:val="center"/>
              <w:spacing w:after="0"/>
              <w:rPr>
                <w:sz w:val="20"/>
                <w:szCs w:val="20"/>
                <w:color w:val="auto"/>
              </w:rPr>
            </w:pPr>
            <w:r>
              <w:rPr>
                <w:rFonts w:ascii="Arial" w:cs="Arial" w:eastAsia="Arial" w:hAnsi="Arial"/>
                <w:sz w:val="18"/>
                <w:szCs w:val="18"/>
                <w:color w:val="auto"/>
                <w:w w:val="96"/>
              </w:rPr>
              <w:t>80.0</w:t>
            </w:r>
          </w:p>
        </w:tc>
        <w:tc>
          <w:tcPr>
            <w:tcW w:w="240" w:type="dxa"/>
            <w:vAlign w:val="bottom"/>
            <w:tcBorders>
              <w:top w:val="single" w:sz="8" w:color="C6D9F1"/>
            </w:tcBorders>
            <w:shd w:val="clear" w:color="auto" w:fill="C6D9F1"/>
          </w:tcPr>
          <w:p>
            <w:pPr>
              <w:spacing w:after="0"/>
              <w:rPr>
                <w:sz w:val="19"/>
                <w:szCs w:val="19"/>
                <w:color w:val="auto"/>
              </w:rPr>
            </w:pPr>
          </w:p>
        </w:tc>
        <w:tc>
          <w:tcPr>
            <w:tcW w:w="5480" w:type="dxa"/>
            <w:vAlign w:val="bottom"/>
            <w:tcBorders>
              <w:top w:val="single" w:sz="8" w:color="auto"/>
            </w:tcBorders>
            <w:shd w:val="clear" w:color="auto" w:fill="C6D9F1"/>
          </w:tcPr>
          <w:p>
            <w:pPr>
              <w:jc w:val="center"/>
              <w:spacing w:after="0"/>
              <w:rPr>
                <w:sz w:val="20"/>
                <w:szCs w:val="20"/>
                <w:color w:val="auto"/>
              </w:rPr>
            </w:pPr>
            <w:r>
              <w:rPr>
                <w:rFonts w:ascii="Arial" w:cs="Arial" w:eastAsia="Arial" w:hAnsi="Arial"/>
                <w:sz w:val="18"/>
                <w:szCs w:val="18"/>
                <w:color w:val="auto"/>
                <w:w w:val="99"/>
              </w:rPr>
              <w:t>200%</w:t>
            </w:r>
          </w:p>
        </w:tc>
      </w:tr>
      <w:tr>
        <w:trPr>
          <w:trHeight w:val="230"/>
        </w:trPr>
        <w:tc>
          <w:tcPr>
            <w:tcW w:w="3400" w:type="dxa"/>
            <w:vAlign w:val="bottom"/>
          </w:tcPr>
          <w:p>
            <w:pPr>
              <w:jc w:val="center"/>
              <w:spacing w:after="0"/>
              <w:rPr>
                <w:sz w:val="20"/>
                <w:szCs w:val="20"/>
                <w:color w:val="auto"/>
              </w:rPr>
            </w:pPr>
            <w:r>
              <w:rPr>
                <w:rFonts w:ascii="Arial" w:cs="Arial" w:eastAsia="Arial" w:hAnsi="Arial"/>
                <w:sz w:val="18"/>
                <w:szCs w:val="18"/>
                <w:color w:val="auto"/>
                <w:w w:val="96"/>
              </w:rPr>
              <w:t>50.0</w:t>
            </w:r>
          </w:p>
        </w:tc>
        <w:tc>
          <w:tcPr>
            <w:tcW w:w="240" w:type="dxa"/>
            <w:vAlign w:val="bottom"/>
          </w:tcPr>
          <w:p>
            <w:pPr>
              <w:spacing w:after="0"/>
              <w:rPr>
                <w:sz w:val="19"/>
                <w:szCs w:val="19"/>
                <w:color w:val="auto"/>
              </w:rPr>
            </w:pPr>
          </w:p>
        </w:tc>
        <w:tc>
          <w:tcPr>
            <w:tcW w:w="5480" w:type="dxa"/>
            <w:vAlign w:val="bottom"/>
          </w:tcPr>
          <w:p>
            <w:pPr>
              <w:jc w:val="center"/>
              <w:spacing w:after="0"/>
              <w:rPr>
                <w:sz w:val="20"/>
                <w:szCs w:val="20"/>
                <w:color w:val="auto"/>
              </w:rPr>
            </w:pPr>
            <w:r>
              <w:rPr>
                <w:rFonts w:ascii="Arial" w:cs="Arial" w:eastAsia="Arial" w:hAnsi="Arial"/>
                <w:sz w:val="18"/>
                <w:szCs w:val="18"/>
                <w:color w:val="auto"/>
                <w:w w:val="99"/>
              </w:rPr>
              <w:t>100%</w:t>
            </w:r>
          </w:p>
        </w:tc>
      </w:tr>
      <w:tr>
        <w:trPr>
          <w:trHeight w:val="230"/>
        </w:trPr>
        <w:tc>
          <w:tcPr>
            <w:tcW w:w="3400" w:type="dxa"/>
            <w:vAlign w:val="bottom"/>
            <w:shd w:val="clear" w:color="auto" w:fill="C6D9F1"/>
          </w:tcPr>
          <w:p>
            <w:pPr>
              <w:jc w:val="center"/>
              <w:spacing w:after="0"/>
              <w:rPr>
                <w:sz w:val="20"/>
                <w:szCs w:val="20"/>
                <w:color w:val="auto"/>
              </w:rPr>
            </w:pPr>
            <w:r>
              <w:rPr>
                <w:rFonts w:ascii="Arial" w:cs="Arial" w:eastAsia="Arial" w:hAnsi="Arial"/>
                <w:sz w:val="18"/>
                <w:szCs w:val="18"/>
                <w:color w:val="auto"/>
                <w:w w:val="96"/>
              </w:rPr>
              <w:t>20.0</w:t>
            </w:r>
          </w:p>
        </w:tc>
        <w:tc>
          <w:tcPr>
            <w:tcW w:w="240" w:type="dxa"/>
            <w:vAlign w:val="bottom"/>
            <w:shd w:val="clear" w:color="auto" w:fill="C6D9F1"/>
          </w:tcPr>
          <w:p>
            <w:pPr>
              <w:spacing w:after="0"/>
              <w:rPr>
                <w:sz w:val="19"/>
                <w:szCs w:val="19"/>
                <w:color w:val="auto"/>
              </w:rPr>
            </w:pPr>
          </w:p>
        </w:tc>
        <w:tc>
          <w:tcPr>
            <w:tcW w:w="5480" w:type="dxa"/>
            <w:vAlign w:val="bottom"/>
            <w:shd w:val="clear" w:color="auto" w:fill="C6D9F1"/>
          </w:tcPr>
          <w:p>
            <w:pPr>
              <w:jc w:val="center"/>
              <w:spacing w:after="0"/>
              <w:rPr>
                <w:sz w:val="20"/>
                <w:szCs w:val="20"/>
                <w:color w:val="auto"/>
              </w:rPr>
            </w:pPr>
            <w:r>
              <w:rPr>
                <w:rFonts w:ascii="Arial" w:cs="Arial" w:eastAsia="Arial" w:hAnsi="Arial"/>
                <w:sz w:val="18"/>
                <w:szCs w:val="18"/>
                <w:color w:val="auto"/>
                <w:w w:val="99"/>
              </w:rPr>
              <w:t>0%</w:t>
            </w:r>
          </w:p>
        </w:tc>
      </w:tr>
    </w:tbl>
    <w:p>
      <w:pPr>
        <w:spacing w:after="0" w:line="202" w:lineRule="exact"/>
        <w:rPr>
          <w:sz w:val="20"/>
          <w:szCs w:val="20"/>
          <w:color w:val="auto"/>
        </w:rPr>
      </w:pPr>
    </w:p>
    <w:p>
      <w:pPr>
        <w:ind w:left="332" w:right="120" w:hanging="332"/>
        <w:spacing w:after="0" w:line="246" w:lineRule="auto"/>
        <w:tabs>
          <w:tab w:leader="none" w:pos="332"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Committee believes the PRSUs focus our executives on key drivers of our Company’s business that will ultimately lead to creation of additional stockholder value.</w:t>
      </w:r>
    </w:p>
    <w:p>
      <w:pPr>
        <w:spacing w:after="0" w:line="400"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52"/>
          </w:cols>
          <w:pgMar w:left="248" w:top="868" w:right="299" w:bottom="1440" w:gutter="0" w:footer="0" w:header="0"/>
        </w:sectPr>
      </w:pPr>
    </w:p>
    <w:bookmarkStart w:id="41" w:name="page42"/>
    <w:bookmarkEnd w:id="41"/>
    <w:p>
      <w:pPr>
        <w:ind w:right="80" w:firstLine="648"/>
        <w:spacing w:after="0"/>
        <w:rPr>
          <w:sz w:val="20"/>
          <w:szCs w:val="20"/>
          <w:color w:val="auto"/>
        </w:rPr>
      </w:pPr>
      <w:r>
        <w:rPr>
          <w:rFonts w:ascii="Arial" w:cs="Arial" w:eastAsia="Arial" w:hAnsi="Arial"/>
          <w:sz w:val="18"/>
          <w:szCs w:val="18"/>
          <w:color w:val="auto"/>
        </w:rPr>
        <w:t>The table below shows the amount of Time-Vested and Performance-Vested RSUs our Compensation Committee awarded our named executive officers in 2015. In general, the Compensation Committee believes that the size of the award granted to an executive officer should increase based on the executive officer’s level of responsibility within the Company.</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shd w:val="clear" w:color="auto" w:fill="5591C7"/>
          </w:tcPr>
          <w:p>
            <w:pPr>
              <w:spacing w:after="0"/>
              <w:rPr>
                <w:sz w:val="14"/>
                <w:szCs w:val="14"/>
                <w:color w:val="auto"/>
              </w:rPr>
            </w:pPr>
          </w:p>
        </w:tc>
        <w:tc>
          <w:tcPr>
            <w:tcW w:w="480" w:type="dxa"/>
            <w:vAlign w:val="bottom"/>
            <w:shd w:val="clear" w:color="auto" w:fill="5591C7"/>
          </w:tcPr>
          <w:p>
            <w:pPr>
              <w:spacing w:after="0"/>
              <w:rPr>
                <w:sz w:val="14"/>
                <w:szCs w:val="14"/>
                <w:color w:val="auto"/>
              </w:rPr>
            </w:pPr>
          </w:p>
        </w:tc>
        <w:tc>
          <w:tcPr>
            <w:tcW w:w="1800" w:type="dxa"/>
            <w:vAlign w:val="bottom"/>
            <w:shd w:val="clear" w:color="auto" w:fill="5591C7"/>
          </w:tcPr>
          <w:p>
            <w:pPr>
              <w:spacing w:after="0"/>
              <w:rPr>
                <w:sz w:val="14"/>
                <w:szCs w:val="14"/>
                <w:color w:val="auto"/>
              </w:rPr>
            </w:pPr>
          </w:p>
        </w:tc>
        <w:tc>
          <w:tcPr>
            <w:tcW w:w="440" w:type="dxa"/>
            <w:vAlign w:val="bottom"/>
            <w:shd w:val="clear" w:color="auto" w:fill="5591C7"/>
          </w:tcPr>
          <w:p>
            <w:pPr>
              <w:spacing w:after="0"/>
              <w:rPr>
                <w:sz w:val="14"/>
                <w:szCs w:val="14"/>
                <w:color w:val="auto"/>
              </w:rPr>
            </w:pPr>
          </w:p>
        </w:tc>
        <w:tc>
          <w:tcPr>
            <w:tcW w:w="1920" w:type="dxa"/>
            <w:vAlign w:val="bottom"/>
            <w:shd w:val="clear" w:color="auto" w:fill="5591C7"/>
          </w:tcPr>
          <w:p>
            <w:pPr>
              <w:spacing w:after="0"/>
              <w:rPr>
                <w:sz w:val="14"/>
                <w:szCs w:val="14"/>
                <w:color w:val="auto"/>
              </w:rPr>
            </w:pPr>
          </w:p>
        </w:tc>
        <w:tc>
          <w:tcPr>
            <w:tcW w:w="480" w:type="dxa"/>
            <w:vAlign w:val="bottom"/>
            <w:shd w:val="clear" w:color="auto" w:fill="5591C7"/>
          </w:tcPr>
          <w:p>
            <w:pPr>
              <w:spacing w:after="0"/>
              <w:rPr>
                <w:sz w:val="14"/>
                <w:szCs w:val="14"/>
                <w:color w:val="auto"/>
              </w:rPr>
            </w:pPr>
          </w:p>
        </w:tc>
        <w:tc>
          <w:tcPr>
            <w:tcW w:w="1820" w:type="dxa"/>
            <w:vAlign w:val="bottom"/>
            <w:shd w:val="clear" w:color="auto" w:fill="5591C7"/>
          </w:tcPr>
          <w:p>
            <w:pPr>
              <w:spacing w:after="0"/>
              <w:rPr>
                <w:sz w:val="14"/>
                <w:szCs w:val="14"/>
                <w:color w:val="auto"/>
              </w:rPr>
            </w:pPr>
          </w:p>
        </w:tc>
        <w:tc>
          <w:tcPr>
            <w:tcW w:w="460" w:type="dxa"/>
            <w:vAlign w:val="bottom"/>
            <w:shd w:val="clear" w:color="auto" w:fill="5591C7"/>
          </w:tcPr>
          <w:p>
            <w:pPr>
              <w:spacing w:after="0"/>
              <w:rPr>
                <w:sz w:val="14"/>
                <w:szCs w:val="14"/>
                <w:color w:val="auto"/>
              </w:rPr>
            </w:pPr>
          </w:p>
        </w:tc>
        <w:tc>
          <w:tcPr>
            <w:tcW w:w="152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Stock Price</w:t>
            </w:r>
          </w:p>
        </w:tc>
      </w:tr>
      <w:tr>
        <w:trPr>
          <w:trHeight w:val="175"/>
        </w:trPr>
        <w:tc>
          <w:tcPr>
            <w:tcW w:w="2500" w:type="dxa"/>
            <w:vAlign w:val="bottom"/>
            <w:shd w:val="clear" w:color="auto" w:fill="5591C7"/>
          </w:tcPr>
          <w:p>
            <w:pPr>
              <w:spacing w:after="0"/>
              <w:rPr>
                <w:sz w:val="15"/>
                <w:szCs w:val="15"/>
                <w:color w:val="auto"/>
              </w:rPr>
            </w:pPr>
          </w:p>
        </w:tc>
        <w:tc>
          <w:tcPr>
            <w:tcW w:w="480" w:type="dxa"/>
            <w:vAlign w:val="bottom"/>
            <w:shd w:val="clear" w:color="auto" w:fill="5591C7"/>
          </w:tcPr>
          <w:p>
            <w:pPr>
              <w:spacing w:after="0"/>
              <w:rPr>
                <w:sz w:val="15"/>
                <w:szCs w:val="15"/>
                <w:color w:val="auto"/>
              </w:rPr>
            </w:pPr>
          </w:p>
        </w:tc>
        <w:tc>
          <w:tcPr>
            <w:tcW w:w="1800" w:type="dxa"/>
            <w:vAlign w:val="bottom"/>
            <w:shd w:val="clear" w:color="auto" w:fill="5591C7"/>
          </w:tcPr>
          <w:p>
            <w:pPr>
              <w:spacing w:after="0"/>
              <w:rPr>
                <w:sz w:val="15"/>
                <w:szCs w:val="15"/>
                <w:color w:val="auto"/>
              </w:rPr>
            </w:pPr>
          </w:p>
        </w:tc>
        <w:tc>
          <w:tcPr>
            <w:tcW w:w="440" w:type="dxa"/>
            <w:vAlign w:val="bottom"/>
            <w:shd w:val="clear" w:color="auto" w:fill="5591C7"/>
          </w:tcPr>
          <w:p>
            <w:pPr>
              <w:spacing w:after="0"/>
              <w:rPr>
                <w:sz w:val="15"/>
                <w:szCs w:val="15"/>
                <w:color w:val="auto"/>
              </w:rPr>
            </w:pPr>
          </w:p>
        </w:tc>
        <w:tc>
          <w:tcPr>
            <w:tcW w:w="2400" w:type="dxa"/>
            <w:vAlign w:val="bottom"/>
            <w:gridSpan w:val="2"/>
            <w:shd w:val="clear" w:color="auto" w:fill="5591C7"/>
          </w:tcPr>
          <w:p>
            <w:pPr>
              <w:ind w:left="400"/>
              <w:spacing w:after="0"/>
              <w:rPr>
                <w:sz w:val="20"/>
                <w:szCs w:val="20"/>
                <w:color w:val="auto"/>
              </w:rPr>
            </w:pPr>
            <w:r>
              <w:rPr>
                <w:rFonts w:ascii="Arial" w:cs="Arial" w:eastAsia="Arial" w:hAnsi="Arial"/>
                <w:sz w:val="14"/>
                <w:szCs w:val="14"/>
                <w:b w:val="1"/>
                <w:bCs w:val="1"/>
                <w:color w:val="auto"/>
              </w:rPr>
              <w:t>Revenue-Linked</w:t>
            </w:r>
          </w:p>
        </w:tc>
        <w:tc>
          <w:tcPr>
            <w:tcW w:w="2280" w:type="dxa"/>
            <w:vAlign w:val="bottom"/>
            <w:gridSpan w:val="2"/>
            <w:shd w:val="clear" w:color="auto" w:fill="5591C7"/>
          </w:tcPr>
          <w:p>
            <w:pPr>
              <w:ind w:left="440"/>
              <w:spacing w:after="0"/>
              <w:rPr>
                <w:sz w:val="20"/>
                <w:szCs w:val="20"/>
                <w:color w:val="auto"/>
              </w:rPr>
            </w:pPr>
            <w:r>
              <w:rPr>
                <w:rFonts w:ascii="Arial" w:cs="Arial" w:eastAsia="Arial" w:hAnsi="Arial"/>
                <w:sz w:val="14"/>
                <w:szCs w:val="14"/>
                <w:b w:val="1"/>
                <w:bCs w:val="1"/>
                <w:color w:val="auto"/>
              </w:rPr>
              <w:t>Relative TSR-</w:t>
            </w:r>
          </w:p>
        </w:tc>
        <w:tc>
          <w:tcPr>
            <w:tcW w:w="152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Performance</w:t>
            </w:r>
          </w:p>
        </w:tc>
      </w:tr>
      <w:tr>
        <w:trPr>
          <w:trHeight w:val="203"/>
        </w:trPr>
        <w:tc>
          <w:tcPr>
            <w:tcW w:w="2500" w:type="dxa"/>
            <w:vAlign w:val="bottom"/>
            <w:tcBorders>
              <w:bottom w:val="single" w:sz="8" w:color="auto"/>
            </w:tcBorders>
            <w:shd w:val="clear" w:color="auto" w:fill="5591C7"/>
          </w:tcPr>
          <w:p>
            <w:pPr>
              <w:ind w:left="1060"/>
              <w:spacing w:after="0"/>
              <w:rPr>
                <w:sz w:val="20"/>
                <w:szCs w:val="20"/>
                <w:color w:val="auto"/>
              </w:rPr>
            </w:pPr>
            <w:r>
              <w:rPr>
                <w:rFonts w:ascii="Arial" w:cs="Arial" w:eastAsia="Arial" w:hAnsi="Arial"/>
                <w:sz w:val="14"/>
                <w:szCs w:val="14"/>
                <w:b w:val="1"/>
                <w:bCs w:val="1"/>
                <w:color w:val="auto"/>
              </w:rPr>
              <w:t>Name</w:t>
            </w:r>
          </w:p>
        </w:tc>
        <w:tc>
          <w:tcPr>
            <w:tcW w:w="480" w:type="dxa"/>
            <w:vAlign w:val="bottom"/>
            <w:tcBorders>
              <w:bottom w:val="single" w:sz="8" w:color="C6D9F1"/>
            </w:tcBorders>
            <w:shd w:val="clear" w:color="auto" w:fill="5591C7"/>
          </w:tcPr>
          <w:p>
            <w:pPr>
              <w:spacing w:after="0"/>
              <w:rPr>
                <w:sz w:val="17"/>
                <w:szCs w:val="17"/>
                <w:color w:val="auto"/>
              </w:rPr>
            </w:pPr>
          </w:p>
        </w:tc>
        <w:tc>
          <w:tcPr>
            <w:tcW w:w="1800" w:type="dxa"/>
            <w:vAlign w:val="bottom"/>
            <w:tcBorders>
              <w:bottom w:val="single" w:sz="8" w:color="auto"/>
            </w:tcBorders>
            <w:shd w:val="clear" w:color="auto" w:fill="5591C7"/>
          </w:tcPr>
          <w:p>
            <w:pPr>
              <w:jc w:val="right"/>
              <w:ind w:right="173"/>
              <w:spacing w:after="0"/>
              <w:rPr>
                <w:sz w:val="20"/>
                <w:szCs w:val="20"/>
                <w:color w:val="auto"/>
              </w:rPr>
            </w:pPr>
            <w:r>
              <w:rPr>
                <w:rFonts w:ascii="Arial" w:cs="Arial" w:eastAsia="Arial" w:hAnsi="Arial"/>
                <w:sz w:val="14"/>
                <w:szCs w:val="14"/>
                <w:b w:val="1"/>
                <w:bCs w:val="1"/>
                <w:color w:val="auto"/>
              </w:rPr>
              <w:t>Time Vested RSUs</w:t>
            </w:r>
          </w:p>
        </w:tc>
        <w:tc>
          <w:tcPr>
            <w:tcW w:w="440" w:type="dxa"/>
            <w:vAlign w:val="bottom"/>
            <w:tcBorders>
              <w:bottom w:val="single" w:sz="8" w:color="C6D9F1"/>
            </w:tcBorders>
            <w:shd w:val="clear" w:color="auto" w:fill="5591C7"/>
          </w:tcPr>
          <w:p>
            <w:pPr>
              <w:spacing w:after="0"/>
              <w:rPr>
                <w:sz w:val="17"/>
                <w:szCs w:val="17"/>
                <w:color w:val="auto"/>
              </w:rPr>
            </w:pPr>
          </w:p>
        </w:tc>
        <w:tc>
          <w:tcPr>
            <w:tcW w:w="1920" w:type="dxa"/>
            <w:vAlign w:val="bottom"/>
            <w:tcBorders>
              <w:bottom w:val="single" w:sz="8" w:color="auto"/>
            </w:tcBorders>
            <w:shd w:val="clear" w:color="auto" w:fill="5591C7"/>
          </w:tcPr>
          <w:p>
            <w:pPr>
              <w:jc w:val="right"/>
              <w:ind w:right="635"/>
              <w:spacing w:after="0"/>
              <w:rPr>
                <w:sz w:val="20"/>
                <w:szCs w:val="20"/>
                <w:color w:val="auto"/>
              </w:rPr>
            </w:pPr>
            <w:r>
              <w:rPr>
                <w:rFonts w:ascii="Arial" w:cs="Arial" w:eastAsia="Arial" w:hAnsi="Arial"/>
                <w:sz w:val="14"/>
                <w:szCs w:val="14"/>
                <w:b w:val="1"/>
                <w:bCs w:val="1"/>
                <w:color w:val="auto"/>
              </w:rPr>
              <w:t>PRSUs</w:t>
            </w:r>
          </w:p>
        </w:tc>
        <w:tc>
          <w:tcPr>
            <w:tcW w:w="480" w:type="dxa"/>
            <w:vAlign w:val="bottom"/>
            <w:tcBorders>
              <w:bottom w:val="single" w:sz="8" w:color="C6D9F1"/>
            </w:tcBorders>
            <w:shd w:val="clear" w:color="auto" w:fill="5591C7"/>
          </w:tcPr>
          <w:p>
            <w:pPr>
              <w:spacing w:after="0"/>
              <w:rPr>
                <w:sz w:val="17"/>
                <w:szCs w:val="17"/>
                <w:color w:val="auto"/>
              </w:rPr>
            </w:pPr>
          </w:p>
        </w:tc>
        <w:tc>
          <w:tcPr>
            <w:tcW w:w="1820" w:type="dxa"/>
            <w:vAlign w:val="bottom"/>
            <w:tcBorders>
              <w:bottom w:val="single" w:sz="8" w:color="auto"/>
            </w:tcBorders>
            <w:shd w:val="clear" w:color="auto" w:fill="5591C7"/>
          </w:tcPr>
          <w:p>
            <w:pPr>
              <w:jc w:val="right"/>
              <w:ind w:right="335"/>
              <w:spacing w:after="0"/>
              <w:rPr>
                <w:sz w:val="20"/>
                <w:szCs w:val="20"/>
                <w:color w:val="auto"/>
              </w:rPr>
            </w:pPr>
            <w:r>
              <w:rPr>
                <w:rFonts w:ascii="Arial" w:cs="Arial" w:eastAsia="Arial" w:hAnsi="Arial"/>
                <w:sz w:val="14"/>
                <w:szCs w:val="14"/>
                <w:b w:val="1"/>
                <w:bCs w:val="1"/>
                <w:color w:val="auto"/>
              </w:rPr>
              <w:t>Linked PRSUs</w:t>
            </w:r>
          </w:p>
        </w:tc>
        <w:tc>
          <w:tcPr>
            <w:tcW w:w="460" w:type="dxa"/>
            <w:vAlign w:val="bottom"/>
            <w:tcBorders>
              <w:bottom w:val="single" w:sz="8" w:color="C6D9F1"/>
            </w:tcBorders>
            <w:shd w:val="clear" w:color="auto" w:fill="5591C7"/>
          </w:tcPr>
          <w:p>
            <w:pPr>
              <w:spacing w:after="0"/>
              <w:rPr>
                <w:sz w:val="17"/>
                <w:szCs w:val="17"/>
                <w:color w:val="auto"/>
              </w:rPr>
            </w:pPr>
          </w:p>
        </w:tc>
        <w:tc>
          <w:tcPr>
            <w:tcW w:w="1520" w:type="dxa"/>
            <w:vAlign w:val="bottom"/>
            <w:tcBorders>
              <w:bottom w:val="single" w:sz="8" w:color="auto"/>
            </w:tcBorders>
            <w:shd w:val="clear" w:color="auto" w:fill="5591C7"/>
          </w:tcPr>
          <w:p>
            <w:pPr>
              <w:jc w:val="center"/>
              <w:spacing w:after="0" w:line="202" w:lineRule="exact"/>
              <w:rPr>
                <w:sz w:val="20"/>
                <w:szCs w:val="20"/>
                <w:color w:val="auto"/>
              </w:rPr>
            </w:pPr>
            <w:r>
              <w:rPr>
                <w:rFonts w:ascii="Arial" w:cs="Arial" w:eastAsia="Arial" w:hAnsi="Arial"/>
                <w:sz w:val="14"/>
                <w:szCs w:val="14"/>
                <w:b w:val="1"/>
                <w:bCs w:val="1"/>
                <w:color w:val="auto"/>
                <w:w w:val="94"/>
              </w:rPr>
              <w:t>Award</w:t>
            </w:r>
            <w:r>
              <w:rPr>
                <w:rFonts w:ascii="Arial" w:cs="Arial" w:eastAsia="Arial" w:hAnsi="Arial"/>
                <w:sz w:val="23"/>
                <w:szCs w:val="23"/>
                <w:b w:val="1"/>
                <w:bCs w:val="1"/>
                <w:color w:val="auto"/>
                <w:w w:val="94"/>
                <w:vertAlign w:val="superscript"/>
              </w:rPr>
              <w:t>(1)</w:t>
            </w:r>
          </w:p>
        </w:tc>
      </w:tr>
      <w:tr>
        <w:trPr>
          <w:trHeight w:val="223"/>
        </w:trPr>
        <w:tc>
          <w:tcPr>
            <w:tcW w:w="2980" w:type="dxa"/>
            <w:vAlign w:val="bottom"/>
            <w:gridSpan w:val="2"/>
            <w:shd w:val="clear" w:color="auto" w:fill="C6D9F1"/>
          </w:tcPr>
          <w:p>
            <w:pPr>
              <w:ind w:left="180"/>
              <w:spacing w:after="0"/>
              <w:rPr>
                <w:sz w:val="20"/>
                <w:szCs w:val="20"/>
                <w:color w:val="auto"/>
              </w:rPr>
            </w:pPr>
            <w:r>
              <w:rPr>
                <w:rFonts w:ascii="Arial" w:cs="Arial" w:eastAsia="Arial" w:hAnsi="Arial"/>
                <w:sz w:val="18"/>
                <w:szCs w:val="18"/>
                <w:color w:val="auto"/>
              </w:rPr>
              <w:t>Rohit Kapoor</w:t>
            </w:r>
          </w:p>
        </w:tc>
        <w:tc>
          <w:tcPr>
            <w:tcW w:w="1800" w:type="dxa"/>
            <w:vAlign w:val="bottom"/>
            <w:shd w:val="clear" w:color="auto" w:fill="C6D9F1"/>
          </w:tcPr>
          <w:p>
            <w:pPr>
              <w:jc w:val="right"/>
              <w:ind w:right="453"/>
              <w:spacing w:after="0"/>
              <w:rPr>
                <w:sz w:val="20"/>
                <w:szCs w:val="20"/>
                <w:color w:val="auto"/>
              </w:rPr>
            </w:pPr>
            <w:r>
              <w:rPr>
                <w:rFonts w:ascii="Arial" w:cs="Arial" w:eastAsia="Arial" w:hAnsi="Arial"/>
                <w:sz w:val="18"/>
                <w:szCs w:val="18"/>
                <w:color w:val="auto"/>
              </w:rPr>
              <w:t>37,500</w:t>
            </w:r>
          </w:p>
        </w:tc>
        <w:tc>
          <w:tcPr>
            <w:tcW w:w="440" w:type="dxa"/>
            <w:vAlign w:val="bottom"/>
            <w:shd w:val="clear" w:color="auto" w:fill="C6D9F1"/>
          </w:tcPr>
          <w:p>
            <w:pPr>
              <w:spacing w:after="0"/>
              <w:rPr>
                <w:sz w:val="19"/>
                <w:szCs w:val="19"/>
                <w:color w:val="auto"/>
              </w:rPr>
            </w:pPr>
          </w:p>
        </w:tc>
        <w:tc>
          <w:tcPr>
            <w:tcW w:w="1920" w:type="dxa"/>
            <w:vAlign w:val="bottom"/>
            <w:shd w:val="clear" w:color="auto" w:fill="C6D9F1"/>
          </w:tcPr>
          <w:p>
            <w:pPr>
              <w:jc w:val="right"/>
              <w:ind w:right="455"/>
              <w:spacing w:after="0"/>
              <w:rPr>
                <w:sz w:val="20"/>
                <w:szCs w:val="20"/>
                <w:color w:val="auto"/>
              </w:rPr>
            </w:pPr>
            <w:r>
              <w:rPr>
                <w:rFonts w:ascii="Arial" w:cs="Arial" w:eastAsia="Arial" w:hAnsi="Arial"/>
                <w:sz w:val="18"/>
                <w:szCs w:val="18"/>
                <w:color w:val="auto"/>
              </w:rPr>
              <w:t>18,750</w:t>
            </w:r>
          </w:p>
        </w:tc>
        <w:tc>
          <w:tcPr>
            <w:tcW w:w="480" w:type="dxa"/>
            <w:vAlign w:val="bottom"/>
            <w:shd w:val="clear" w:color="auto" w:fill="C6D9F1"/>
          </w:tcPr>
          <w:p>
            <w:pPr>
              <w:spacing w:after="0"/>
              <w:rPr>
                <w:sz w:val="19"/>
                <w:szCs w:val="19"/>
                <w:color w:val="auto"/>
              </w:rPr>
            </w:pPr>
          </w:p>
        </w:tc>
        <w:tc>
          <w:tcPr>
            <w:tcW w:w="1820" w:type="dxa"/>
            <w:vAlign w:val="bottom"/>
            <w:shd w:val="clear" w:color="auto" w:fill="C6D9F1"/>
          </w:tcPr>
          <w:p>
            <w:pPr>
              <w:jc w:val="right"/>
              <w:ind w:right="455"/>
              <w:spacing w:after="0"/>
              <w:rPr>
                <w:sz w:val="20"/>
                <w:szCs w:val="20"/>
                <w:color w:val="auto"/>
              </w:rPr>
            </w:pPr>
            <w:r>
              <w:rPr>
                <w:rFonts w:ascii="Arial" w:cs="Arial" w:eastAsia="Arial" w:hAnsi="Arial"/>
                <w:sz w:val="18"/>
                <w:szCs w:val="18"/>
                <w:color w:val="auto"/>
              </w:rPr>
              <w:t>18,750</w:t>
            </w:r>
          </w:p>
        </w:tc>
        <w:tc>
          <w:tcPr>
            <w:tcW w:w="460" w:type="dxa"/>
            <w:vAlign w:val="bottom"/>
            <w:shd w:val="clear" w:color="auto" w:fill="C6D9F1"/>
          </w:tcPr>
          <w:p>
            <w:pPr>
              <w:spacing w:after="0"/>
              <w:rPr>
                <w:sz w:val="19"/>
                <w:szCs w:val="19"/>
                <w:color w:val="auto"/>
              </w:rPr>
            </w:pPr>
          </w:p>
        </w:tc>
        <w:tc>
          <w:tcPr>
            <w:tcW w:w="1520" w:type="dxa"/>
            <w:vAlign w:val="bottom"/>
            <w:shd w:val="clear" w:color="auto" w:fill="C6D9F1"/>
          </w:tcPr>
          <w:p>
            <w:pPr>
              <w:jc w:val="right"/>
              <w:ind w:right="237"/>
              <w:spacing w:after="0"/>
              <w:rPr>
                <w:sz w:val="20"/>
                <w:szCs w:val="20"/>
                <w:color w:val="auto"/>
              </w:rPr>
            </w:pPr>
            <w:r>
              <w:rPr>
                <w:rFonts w:ascii="Arial" w:cs="Arial" w:eastAsia="Arial" w:hAnsi="Arial"/>
                <w:sz w:val="18"/>
                <w:szCs w:val="18"/>
                <w:color w:val="auto"/>
              </w:rPr>
              <w:t>100,000</w:t>
            </w:r>
          </w:p>
        </w:tc>
      </w:tr>
      <w:tr>
        <w:trPr>
          <w:trHeight w:val="236"/>
        </w:trPr>
        <w:tc>
          <w:tcPr>
            <w:tcW w:w="2980" w:type="dxa"/>
            <w:vAlign w:val="bottom"/>
            <w:gridSpan w:val="2"/>
          </w:tcPr>
          <w:p>
            <w:pPr>
              <w:ind w:left="180"/>
              <w:spacing w:after="0"/>
              <w:rPr>
                <w:sz w:val="20"/>
                <w:szCs w:val="20"/>
                <w:color w:val="auto"/>
              </w:rPr>
            </w:pPr>
            <w:r>
              <w:rPr>
                <w:rFonts w:ascii="Arial" w:cs="Arial" w:eastAsia="Arial" w:hAnsi="Arial"/>
                <w:sz w:val="18"/>
                <w:szCs w:val="18"/>
                <w:color w:val="auto"/>
              </w:rPr>
              <w:t>Vishal Chhibbar</w:t>
            </w:r>
          </w:p>
        </w:tc>
        <w:tc>
          <w:tcPr>
            <w:tcW w:w="1800" w:type="dxa"/>
            <w:vAlign w:val="bottom"/>
          </w:tcPr>
          <w:p>
            <w:pPr>
              <w:jc w:val="right"/>
              <w:ind w:right="453"/>
              <w:spacing w:after="0"/>
              <w:rPr>
                <w:sz w:val="20"/>
                <w:szCs w:val="20"/>
                <w:color w:val="auto"/>
              </w:rPr>
            </w:pPr>
            <w:r>
              <w:rPr>
                <w:rFonts w:ascii="Arial" w:cs="Arial" w:eastAsia="Arial" w:hAnsi="Arial"/>
                <w:sz w:val="18"/>
                <w:szCs w:val="18"/>
                <w:color w:val="auto"/>
              </w:rPr>
              <w:t>7,500</w:t>
            </w:r>
          </w:p>
        </w:tc>
        <w:tc>
          <w:tcPr>
            <w:tcW w:w="440" w:type="dxa"/>
            <w:vAlign w:val="bottom"/>
          </w:tcPr>
          <w:p>
            <w:pPr>
              <w:spacing w:after="0"/>
              <w:rPr>
                <w:sz w:val="20"/>
                <w:szCs w:val="20"/>
                <w:color w:val="auto"/>
              </w:rPr>
            </w:pPr>
          </w:p>
        </w:tc>
        <w:tc>
          <w:tcPr>
            <w:tcW w:w="1920" w:type="dxa"/>
            <w:vAlign w:val="bottom"/>
          </w:tcPr>
          <w:p>
            <w:pPr>
              <w:jc w:val="right"/>
              <w:ind w:right="455"/>
              <w:spacing w:after="0"/>
              <w:rPr>
                <w:sz w:val="20"/>
                <w:szCs w:val="20"/>
                <w:color w:val="auto"/>
              </w:rPr>
            </w:pPr>
            <w:r>
              <w:rPr>
                <w:rFonts w:ascii="Arial" w:cs="Arial" w:eastAsia="Arial" w:hAnsi="Arial"/>
                <w:sz w:val="18"/>
                <w:szCs w:val="18"/>
                <w:color w:val="auto"/>
              </w:rPr>
              <w:t>3,750</w:t>
            </w:r>
          </w:p>
        </w:tc>
        <w:tc>
          <w:tcPr>
            <w:tcW w:w="480" w:type="dxa"/>
            <w:vAlign w:val="bottom"/>
          </w:tcPr>
          <w:p>
            <w:pPr>
              <w:spacing w:after="0"/>
              <w:rPr>
                <w:sz w:val="20"/>
                <w:szCs w:val="20"/>
                <w:color w:val="auto"/>
              </w:rPr>
            </w:pPr>
          </w:p>
        </w:tc>
        <w:tc>
          <w:tcPr>
            <w:tcW w:w="1820" w:type="dxa"/>
            <w:vAlign w:val="bottom"/>
          </w:tcPr>
          <w:p>
            <w:pPr>
              <w:jc w:val="right"/>
              <w:ind w:right="455"/>
              <w:spacing w:after="0"/>
              <w:rPr>
                <w:sz w:val="20"/>
                <w:szCs w:val="20"/>
                <w:color w:val="auto"/>
              </w:rPr>
            </w:pPr>
            <w:r>
              <w:rPr>
                <w:rFonts w:ascii="Arial" w:cs="Arial" w:eastAsia="Arial" w:hAnsi="Arial"/>
                <w:sz w:val="18"/>
                <w:szCs w:val="18"/>
                <w:color w:val="auto"/>
              </w:rPr>
              <w:t>3,750</w:t>
            </w:r>
          </w:p>
        </w:tc>
        <w:tc>
          <w:tcPr>
            <w:tcW w:w="460" w:type="dxa"/>
            <w:vAlign w:val="bottom"/>
          </w:tcPr>
          <w:p>
            <w:pPr>
              <w:spacing w:after="0"/>
              <w:rPr>
                <w:sz w:val="20"/>
                <w:szCs w:val="20"/>
                <w:color w:val="auto"/>
              </w:rPr>
            </w:pPr>
          </w:p>
        </w:tc>
        <w:tc>
          <w:tcPr>
            <w:tcW w:w="1520" w:type="dxa"/>
            <w:vAlign w:val="bottom"/>
          </w:tcPr>
          <w:p>
            <w:pPr>
              <w:jc w:val="right"/>
              <w:ind w:right="237"/>
              <w:spacing w:after="0"/>
              <w:rPr>
                <w:sz w:val="20"/>
                <w:szCs w:val="20"/>
                <w:color w:val="auto"/>
              </w:rPr>
            </w:pPr>
            <w:r>
              <w:rPr>
                <w:rFonts w:ascii="Arial" w:cs="Arial" w:eastAsia="Arial" w:hAnsi="Arial"/>
                <w:sz w:val="18"/>
                <w:szCs w:val="18"/>
                <w:color w:val="auto"/>
              </w:rPr>
              <w:t>—</w:t>
            </w:r>
          </w:p>
        </w:tc>
      </w:tr>
      <w:tr>
        <w:trPr>
          <w:trHeight w:val="250"/>
        </w:trPr>
        <w:tc>
          <w:tcPr>
            <w:tcW w:w="2980" w:type="dxa"/>
            <w:vAlign w:val="bottom"/>
            <w:gridSpan w:val="2"/>
            <w:shd w:val="clear" w:color="auto" w:fill="C6D9F1"/>
          </w:tcPr>
          <w:p>
            <w:pPr>
              <w:ind w:left="180"/>
              <w:spacing w:after="0"/>
              <w:rPr>
                <w:sz w:val="20"/>
                <w:szCs w:val="20"/>
                <w:color w:val="auto"/>
              </w:rPr>
            </w:pPr>
            <w:r>
              <w:rPr>
                <w:rFonts w:ascii="Arial" w:cs="Arial" w:eastAsia="Arial" w:hAnsi="Arial"/>
                <w:sz w:val="18"/>
                <w:szCs w:val="18"/>
                <w:color w:val="auto"/>
              </w:rPr>
              <w:t>Pavan Bagai</w:t>
            </w:r>
          </w:p>
        </w:tc>
        <w:tc>
          <w:tcPr>
            <w:tcW w:w="1800" w:type="dxa"/>
            <w:vAlign w:val="bottom"/>
            <w:shd w:val="clear" w:color="auto" w:fill="C6D9F1"/>
          </w:tcPr>
          <w:p>
            <w:pPr>
              <w:jc w:val="right"/>
              <w:ind w:right="453"/>
              <w:spacing w:after="0"/>
              <w:rPr>
                <w:sz w:val="20"/>
                <w:szCs w:val="20"/>
                <w:color w:val="auto"/>
              </w:rPr>
            </w:pPr>
            <w:r>
              <w:rPr>
                <w:rFonts w:ascii="Arial" w:cs="Arial" w:eastAsia="Arial" w:hAnsi="Arial"/>
                <w:sz w:val="18"/>
                <w:szCs w:val="18"/>
                <w:color w:val="auto"/>
              </w:rPr>
              <w:t>12,500</w:t>
            </w:r>
          </w:p>
        </w:tc>
        <w:tc>
          <w:tcPr>
            <w:tcW w:w="440" w:type="dxa"/>
            <w:vAlign w:val="bottom"/>
            <w:shd w:val="clear" w:color="auto" w:fill="C6D9F1"/>
          </w:tcPr>
          <w:p>
            <w:pPr>
              <w:spacing w:after="0"/>
              <w:rPr>
                <w:sz w:val="21"/>
                <w:szCs w:val="21"/>
                <w:color w:val="auto"/>
              </w:rPr>
            </w:pPr>
          </w:p>
        </w:tc>
        <w:tc>
          <w:tcPr>
            <w:tcW w:w="1920" w:type="dxa"/>
            <w:vAlign w:val="bottom"/>
            <w:shd w:val="clear" w:color="auto" w:fill="C6D9F1"/>
          </w:tcPr>
          <w:p>
            <w:pPr>
              <w:jc w:val="right"/>
              <w:ind w:right="455"/>
              <w:spacing w:after="0"/>
              <w:rPr>
                <w:sz w:val="20"/>
                <w:szCs w:val="20"/>
                <w:color w:val="auto"/>
              </w:rPr>
            </w:pPr>
            <w:r>
              <w:rPr>
                <w:rFonts w:ascii="Arial" w:cs="Arial" w:eastAsia="Arial" w:hAnsi="Arial"/>
                <w:sz w:val="18"/>
                <w:szCs w:val="18"/>
                <w:color w:val="auto"/>
              </w:rPr>
              <w:t>6,250</w:t>
            </w:r>
          </w:p>
        </w:tc>
        <w:tc>
          <w:tcPr>
            <w:tcW w:w="480" w:type="dxa"/>
            <w:vAlign w:val="bottom"/>
            <w:shd w:val="clear" w:color="auto" w:fill="C6D9F1"/>
          </w:tcPr>
          <w:p>
            <w:pPr>
              <w:spacing w:after="0"/>
              <w:rPr>
                <w:sz w:val="21"/>
                <w:szCs w:val="21"/>
                <w:color w:val="auto"/>
              </w:rPr>
            </w:pPr>
          </w:p>
        </w:tc>
        <w:tc>
          <w:tcPr>
            <w:tcW w:w="1820" w:type="dxa"/>
            <w:vAlign w:val="bottom"/>
            <w:shd w:val="clear" w:color="auto" w:fill="C6D9F1"/>
          </w:tcPr>
          <w:p>
            <w:pPr>
              <w:jc w:val="right"/>
              <w:ind w:right="455"/>
              <w:spacing w:after="0"/>
              <w:rPr>
                <w:sz w:val="20"/>
                <w:szCs w:val="20"/>
                <w:color w:val="auto"/>
              </w:rPr>
            </w:pPr>
            <w:r>
              <w:rPr>
                <w:rFonts w:ascii="Arial" w:cs="Arial" w:eastAsia="Arial" w:hAnsi="Arial"/>
                <w:sz w:val="18"/>
                <w:szCs w:val="18"/>
                <w:color w:val="auto"/>
              </w:rPr>
              <w:t>6,250</w:t>
            </w:r>
          </w:p>
        </w:tc>
        <w:tc>
          <w:tcPr>
            <w:tcW w:w="460" w:type="dxa"/>
            <w:vAlign w:val="bottom"/>
            <w:shd w:val="clear" w:color="auto" w:fill="C6D9F1"/>
          </w:tcPr>
          <w:p>
            <w:pPr>
              <w:spacing w:after="0"/>
              <w:rPr>
                <w:sz w:val="21"/>
                <w:szCs w:val="21"/>
                <w:color w:val="auto"/>
              </w:rPr>
            </w:pPr>
          </w:p>
        </w:tc>
        <w:tc>
          <w:tcPr>
            <w:tcW w:w="1520" w:type="dxa"/>
            <w:vAlign w:val="bottom"/>
            <w:shd w:val="clear" w:color="auto" w:fill="C6D9F1"/>
          </w:tcPr>
          <w:p>
            <w:pPr>
              <w:jc w:val="right"/>
              <w:ind w:right="237"/>
              <w:spacing w:after="0"/>
              <w:rPr>
                <w:sz w:val="20"/>
                <w:szCs w:val="20"/>
                <w:color w:val="auto"/>
              </w:rPr>
            </w:pPr>
            <w:r>
              <w:rPr>
                <w:rFonts w:ascii="Arial" w:cs="Arial" w:eastAsia="Arial" w:hAnsi="Arial"/>
                <w:sz w:val="18"/>
                <w:szCs w:val="18"/>
                <w:color w:val="auto"/>
              </w:rPr>
              <w:t>—</w:t>
            </w:r>
          </w:p>
        </w:tc>
      </w:tr>
      <w:tr>
        <w:trPr>
          <w:trHeight w:val="236"/>
        </w:trPr>
        <w:tc>
          <w:tcPr>
            <w:tcW w:w="2980" w:type="dxa"/>
            <w:vAlign w:val="bottom"/>
            <w:gridSpan w:val="2"/>
          </w:tcPr>
          <w:p>
            <w:pPr>
              <w:ind w:left="180"/>
              <w:spacing w:after="0"/>
              <w:rPr>
                <w:sz w:val="20"/>
                <w:szCs w:val="20"/>
                <w:color w:val="auto"/>
              </w:rPr>
            </w:pPr>
            <w:r>
              <w:rPr>
                <w:rFonts w:ascii="Arial" w:cs="Arial" w:eastAsia="Arial" w:hAnsi="Arial"/>
                <w:sz w:val="18"/>
                <w:szCs w:val="18"/>
                <w:color w:val="auto"/>
              </w:rPr>
              <w:t>Nalin Miglani</w:t>
            </w:r>
          </w:p>
        </w:tc>
        <w:tc>
          <w:tcPr>
            <w:tcW w:w="1800" w:type="dxa"/>
            <w:vAlign w:val="bottom"/>
          </w:tcPr>
          <w:p>
            <w:pPr>
              <w:jc w:val="right"/>
              <w:ind w:right="453"/>
              <w:spacing w:after="0"/>
              <w:rPr>
                <w:sz w:val="20"/>
                <w:szCs w:val="20"/>
                <w:color w:val="auto"/>
              </w:rPr>
            </w:pPr>
            <w:r>
              <w:rPr>
                <w:rFonts w:ascii="Arial" w:cs="Arial" w:eastAsia="Arial" w:hAnsi="Arial"/>
                <w:sz w:val="18"/>
                <w:szCs w:val="18"/>
                <w:color w:val="auto"/>
              </w:rPr>
              <w:t>6,000</w:t>
            </w:r>
          </w:p>
        </w:tc>
        <w:tc>
          <w:tcPr>
            <w:tcW w:w="440" w:type="dxa"/>
            <w:vAlign w:val="bottom"/>
          </w:tcPr>
          <w:p>
            <w:pPr>
              <w:spacing w:after="0"/>
              <w:rPr>
                <w:sz w:val="20"/>
                <w:szCs w:val="20"/>
                <w:color w:val="auto"/>
              </w:rPr>
            </w:pPr>
          </w:p>
        </w:tc>
        <w:tc>
          <w:tcPr>
            <w:tcW w:w="1920" w:type="dxa"/>
            <w:vAlign w:val="bottom"/>
          </w:tcPr>
          <w:p>
            <w:pPr>
              <w:jc w:val="right"/>
              <w:ind w:right="455"/>
              <w:spacing w:after="0"/>
              <w:rPr>
                <w:sz w:val="20"/>
                <w:szCs w:val="20"/>
                <w:color w:val="auto"/>
              </w:rPr>
            </w:pPr>
            <w:r>
              <w:rPr>
                <w:rFonts w:ascii="Arial" w:cs="Arial" w:eastAsia="Arial" w:hAnsi="Arial"/>
                <w:sz w:val="18"/>
                <w:szCs w:val="18"/>
                <w:color w:val="auto"/>
              </w:rPr>
              <w:t>3,000</w:t>
            </w:r>
          </w:p>
        </w:tc>
        <w:tc>
          <w:tcPr>
            <w:tcW w:w="480" w:type="dxa"/>
            <w:vAlign w:val="bottom"/>
          </w:tcPr>
          <w:p>
            <w:pPr>
              <w:spacing w:after="0"/>
              <w:rPr>
                <w:sz w:val="20"/>
                <w:szCs w:val="20"/>
                <w:color w:val="auto"/>
              </w:rPr>
            </w:pPr>
          </w:p>
        </w:tc>
        <w:tc>
          <w:tcPr>
            <w:tcW w:w="1820" w:type="dxa"/>
            <w:vAlign w:val="bottom"/>
          </w:tcPr>
          <w:p>
            <w:pPr>
              <w:jc w:val="right"/>
              <w:ind w:right="455"/>
              <w:spacing w:after="0"/>
              <w:rPr>
                <w:sz w:val="20"/>
                <w:szCs w:val="20"/>
                <w:color w:val="auto"/>
              </w:rPr>
            </w:pPr>
            <w:r>
              <w:rPr>
                <w:rFonts w:ascii="Arial" w:cs="Arial" w:eastAsia="Arial" w:hAnsi="Arial"/>
                <w:sz w:val="18"/>
                <w:szCs w:val="18"/>
                <w:color w:val="auto"/>
              </w:rPr>
              <w:t>3,000</w:t>
            </w:r>
          </w:p>
        </w:tc>
        <w:tc>
          <w:tcPr>
            <w:tcW w:w="460" w:type="dxa"/>
            <w:vAlign w:val="bottom"/>
          </w:tcPr>
          <w:p>
            <w:pPr>
              <w:spacing w:after="0"/>
              <w:rPr>
                <w:sz w:val="20"/>
                <w:szCs w:val="20"/>
                <w:color w:val="auto"/>
              </w:rPr>
            </w:pPr>
          </w:p>
        </w:tc>
        <w:tc>
          <w:tcPr>
            <w:tcW w:w="1520" w:type="dxa"/>
            <w:vAlign w:val="bottom"/>
          </w:tcPr>
          <w:p>
            <w:pPr>
              <w:jc w:val="right"/>
              <w:ind w:right="237"/>
              <w:spacing w:after="0"/>
              <w:rPr>
                <w:sz w:val="20"/>
                <w:szCs w:val="20"/>
                <w:color w:val="auto"/>
              </w:rPr>
            </w:pPr>
            <w:r>
              <w:rPr>
                <w:rFonts w:ascii="Arial" w:cs="Arial" w:eastAsia="Arial" w:hAnsi="Arial"/>
                <w:sz w:val="18"/>
                <w:szCs w:val="18"/>
                <w:color w:val="auto"/>
              </w:rPr>
              <w:t>—</w:t>
            </w:r>
          </w:p>
        </w:tc>
      </w:tr>
      <w:tr>
        <w:trPr>
          <w:trHeight w:val="250"/>
        </w:trPr>
        <w:tc>
          <w:tcPr>
            <w:tcW w:w="2980" w:type="dxa"/>
            <w:vAlign w:val="bottom"/>
            <w:gridSpan w:val="2"/>
            <w:shd w:val="clear" w:color="auto" w:fill="C6D9F1"/>
          </w:tcPr>
          <w:p>
            <w:pPr>
              <w:ind w:left="180"/>
              <w:spacing w:after="0"/>
              <w:rPr>
                <w:sz w:val="20"/>
                <w:szCs w:val="20"/>
                <w:color w:val="auto"/>
              </w:rPr>
            </w:pPr>
            <w:r>
              <w:rPr>
                <w:rFonts w:ascii="Arial" w:cs="Arial" w:eastAsia="Arial" w:hAnsi="Arial"/>
                <w:sz w:val="18"/>
                <w:szCs w:val="18"/>
                <w:color w:val="auto"/>
              </w:rPr>
              <w:t>Henry Schweppe</w:t>
            </w:r>
          </w:p>
        </w:tc>
        <w:tc>
          <w:tcPr>
            <w:tcW w:w="1800" w:type="dxa"/>
            <w:vAlign w:val="bottom"/>
            <w:shd w:val="clear" w:color="auto" w:fill="C6D9F1"/>
          </w:tcPr>
          <w:p>
            <w:pPr>
              <w:jc w:val="right"/>
              <w:ind w:right="453"/>
              <w:spacing w:after="0"/>
              <w:rPr>
                <w:sz w:val="20"/>
                <w:szCs w:val="20"/>
                <w:color w:val="auto"/>
              </w:rPr>
            </w:pPr>
            <w:r>
              <w:rPr>
                <w:rFonts w:ascii="Arial" w:cs="Arial" w:eastAsia="Arial" w:hAnsi="Arial"/>
                <w:sz w:val="18"/>
                <w:szCs w:val="18"/>
                <w:color w:val="auto"/>
              </w:rPr>
              <w:t>7,500</w:t>
            </w:r>
          </w:p>
        </w:tc>
        <w:tc>
          <w:tcPr>
            <w:tcW w:w="440" w:type="dxa"/>
            <w:vAlign w:val="bottom"/>
            <w:shd w:val="clear" w:color="auto" w:fill="C6D9F1"/>
          </w:tcPr>
          <w:p>
            <w:pPr>
              <w:spacing w:after="0"/>
              <w:rPr>
                <w:sz w:val="21"/>
                <w:szCs w:val="21"/>
                <w:color w:val="auto"/>
              </w:rPr>
            </w:pPr>
          </w:p>
        </w:tc>
        <w:tc>
          <w:tcPr>
            <w:tcW w:w="1920" w:type="dxa"/>
            <w:vAlign w:val="bottom"/>
            <w:shd w:val="clear" w:color="auto" w:fill="C6D9F1"/>
          </w:tcPr>
          <w:p>
            <w:pPr>
              <w:jc w:val="right"/>
              <w:ind w:right="455"/>
              <w:spacing w:after="0"/>
              <w:rPr>
                <w:sz w:val="20"/>
                <w:szCs w:val="20"/>
                <w:color w:val="auto"/>
              </w:rPr>
            </w:pPr>
            <w:r>
              <w:rPr>
                <w:rFonts w:ascii="Arial" w:cs="Arial" w:eastAsia="Arial" w:hAnsi="Arial"/>
                <w:sz w:val="18"/>
                <w:szCs w:val="18"/>
                <w:color w:val="auto"/>
              </w:rPr>
              <w:t>3,750</w:t>
            </w:r>
          </w:p>
        </w:tc>
        <w:tc>
          <w:tcPr>
            <w:tcW w:w="480" w:type="dxa"/>
            <w:vAlign w:val="bottom"/>
            <w:shd w:val="clear" w:color="auto" w:fill="C6D9F1"/>
          </w:tcPr>
          <w:p>
            <w:pPr>
              <w:spacing w:after="0"/>
              <w:rPr>
                <w:sz w:val="21"/>
                <w:szCs w:val="21"/>
                <w:color w:val="auto"/>
              </w:rPr>
            </w:pPr>
          </w:p>
        </w:tc>
        <w:tc>
          <w:tcPr>
            <w:tcW w:w="1820" w:type="dxa"/>
            <w:vAlign w:val="bottom"/>
            <w:shd w:val="clear" w:color="auto" w:fill="C6D9F1"/>
          </w:tcPr>
          <w:p>
            <w:pPr>
              <w:jc w:val="right"/>
              <w:ind w:right="455"/>
              <w:spacing w:after="0"/>
              <w:rPr>
                <w:sz w:val="20"/>
                <w:szCs w:val="20"/>
                <w:color w:val="auto"/>
              </w:rPr>
            </w:pPr>
            <w:r>
              <w:rPr>
                <w:rFonts w:ascii="Arial" w:cs="Arial" w:eastAsia="Arial" w:hAnsi="Arial"/>
                <w:sz w:val="18"/>
                <w:szCs w:val="18"/>
                <w:color w:val="auto"/>
              </w:rPr>
              <w:t>3,750</w:t>
            </w:r>
          </w:p>
        </w:tc>
        <w:tc>
          <w:tcPr>
            <w:tcW w:w="460" w:type="dxa"/>
            <w:vAlign w:val="bottom"/>
            <w:shd w:val="clear" w:color="auto" w:fill="C6D9F1"/>
          </w:tcPr>
          <w:p>
            <w:pPr>
              <w:spacing w:after="0"/>
              <w:rPr>
                <w:sz w:val="21"/>
                <w:szCs w:val="21"/>
                <w:color w:val="auto"/>
              </w:rPr>
            </w:pPr>
          </w:p>
        </w:tc>
        <w:tc>
          <w:tcPr>
            <w:tcW w:w="1520" w:type="dxa"/>
            <w:vAlign w:val="bottom"/>
            <w:shd w:val="clear" w:color="auto" w:fill="C6D9F1"/>
          </w:tcPr>
          <w:p>
            <w:pPr>
              <w:jc w:val="right"/>
              <w:ind w:right="237"/>
              <w:spacing w:after="0"/>
              <w:rPr>
                <w:sz w:val="20"/>
                <w:szCs w:val="20"/>
                <w:color w:val="auto"/>
              </w:rPr>
            </w:pPr>
            <w:r>
              <w:rPr>
                <w:rFonts w:ascii="Arial" w:cs="Arial" w:eastAsia="Arial" w:hAnsi="Arial"/>
                <w:sz w:val="18"/>
                <w:szCs w:val="18"/>
                <w:color w:val="auto"/>
              </w:rPr>
              <w:t>—</w:t>
            </w:r>
          </w:p>
        </w:tc>
      </w:tr>
    </w:tbl>
    <w:p>
      <w:pPr>
        <w:spacing w:after="0" w:line="248" w:lineRule="exact"/>
        <w:rPr>
          <w:sz w:val="20"/>
          <w:szCs w:val="20"/>
          <w:color w:val="auto"/>
        </w:rPr>
      </w:pPr>
    </w:p>
    <w:p>
      <w:pPr>
        <w:ind w:left="740" w:hanging="408"/>
        <w:spacing w:after="0"/>
        <w:tabs>
          <w:tab w:leader="none" w:pos="7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See “Mr. Kapoor’s Stock Price Performance Award” below for details regarding this Stock Price Performance Award.</w:t>
      </w:r>
    </w:p>
    <w:p>
      <w:pPr>
        <w:spacing w:after="0" w:line="198" w:lineRule="exact"/>
        <w:rPr>
          <w:sz w:val="20"/>
          <w:szCs w:val="20"/>
          <w:color w:val="auto"/>
        </w:rPr>
      </w:pPr>
    </w:p>
    <w:p>
      <w:pPr>
        <w:ind w:right="340" w:firstLine="648"/>
        <w:spacing w:after="0" w:line="239" w:lineRule="auto"/>
        <w:rPr>
          <w:sz w:val="20"/>
          <w:szCs w:val="20"/>
          <w:color w:val="auto"/>
        </w:rPr>
      </w:pPr>
      <w:r>
        <w:rPr>
          <w:rFonts w:ascii="Arial" w:cs="Arial" w:eastAsia="Arial" w:hAnsi="Arial"/>
          <w:sz w:val="18"/>
          <w:szCs w:val="18"/>
          <w:color w:val="auto"/>
        </w:rPr>
        <w:t>The Committee continues to believe that long-term equity awards provide employees with the incentive to stay with us for longer periods of time, which in turn, provides us with greater stability as we grow. These incentives foster the long-term perspective necessary for continued success in our business because the value of the awards is directly linked to long-term stock price performance, and they ensure that our executive officers are properly focused on stockholder value.</w:t>
      </w:r>
    </w:p>
    <w:p>
      <w:pPr>
        <w:spacing w:after="0" w:line="188" w:lineRule="exact"/>
        <w:rPr>
          <w:sz w:val="20"/>
          <w:szCs w:val="20"/>
          <w:color w:val="auto"/>
        </w:rPr>
      </w:pPr>
    </w:p>
    <w:p>
      <w:pPr>
        <w:ind w:right="100" w:firstLine="648"/>
        <w:spacing w:after="0" w:line="239" w:lineRule="auto"/>
        <w:rPr>
          <w:sz w:val="20"/>
          <w:szCs w:val="20"/>
          <w:color w:val="auto"/>
        </w:rPr>
      </w:pPr>
      <w:r>
        <w:rPr>
          <w:rFonts w:ascii="Arial" w:cs="Arial" w:eastAsia="Arial" w:hAnsi="Arial"/>
          <w:sz w:val="18"/>
          <w:szCs w:val="18"/>
          <w:color w:val="auto"/>
        </w:rPr>
        <w:t>Moreover, the Committee favors restricted stock unit awards as these awards offer executives the opportunity to receive shares of our common stock on the date that the restrictions lapse. Such awards serve both to reward and retain executives because value is linked to the price of our stock on the date that the restriction lapses, and the executive must generally remain in employment through the date that the restrictions lapse. Restricted stock unit awards provide a significant degree of alignment of interests between our executives and stockholders.</w:t>
      </w:r>
    </w:p>
    <w:p>
      <w:pPr>
        <w:spacing w:after="0" w:line="188" w:lineRule="exact"/>
        <w:rPr>
          <w:sz w:val="20"/>
          <w:szCs w:val="20"/>
          <w:color w:val="auto"/>
        </w:rPr>
      </w:pPr>
    </w:p>
    <w:p>
      <w:pPr>
        <w:ind w:right="360" w:firstLine="648"/>
        <w:spacing w:after="0"/>
        <w:rPr>
          <w:sz w:val="20"/>
          <w:szCs w:val="20"/>
          <w:color w:val="auto"/>
        </w:rPr>
      </w:pPr>
      <w:r>
        <w:rPr>
          <w:rFonts w:ascii="Arial" w:cs="Arial" w:eastAsia="Arial" w:hAnsi="Arial"/>
          <w:sz w:val="18"/>
          <w:szCs w:val="18"/>
          <w:color w:val="auto"/>
        </w:rPr>
        <w:t>The Committee also believes that the mix between Time-Vested RSUs and Performance-Vested RSUs provides an appropriate balance between incentivizing our executives to continue their employment with the Company and to ensure they are focused on long-term financial performance and generating stockholder value, which will enable them to realize additional compensation.</w:t>
      </w:r>
    </w:p>
    <w:p>
      <w:pPr>
        <w:spacing w:after="0" w:line="189" w:lineRule="exact"/>
        <w:rPr>
          <w:sz w:val="20"/>
          <w:szCs w:val="20"/>
          <w:color w:val="auto"/>
        </w:rPr>
      </w:pPr>
    </w:p>
    <w:p>
      <w:pPr>
        <w:ind w:right="100" w:firstLine="648"/>
        <w:spacing w:after="0" w:line="246" w:lineRule="auto"/>
        <w:rPr>
          <w:sz w:val="20"/>
          <w:szCs w:val="20"/>
          <w:color w:val="auto"/>
        </w:rPr>
      </w:pPr>
      <w:r>
        <w:rPr>
          <w:rFonts w:ascii="Arial" w:cs="Arial" w:eastAsia="Arial" w:hAnsi="Arial"/>
          <w:sz w:val="18"/>
          <w:szCs w:val="18"/>
          <w:color w:val="auto"/>
        </w:rPr>
        <w:t>Finally, restricted stock units are potentially less dilutive to stockholders’ equity than stock options because restricted stock awards are full value awards, and our Compensation Committee can award fewer shares than an equivalent value of stock options.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i w:val="1"/>
          <w:iCs w:val="1"/>
          <w:color w:val="auto"/>
        </w:rPr>
        <w:t>Mr. Kapoor’s Stock Price Performance Award</w:t>
      </w:r>
    </w:p>
    <w:p>
      <w:pPr>
        <w:spacing w:after="0" w:line="216" w:lineRule="exact"/>
        <w:rPr>
          <w:sz w:val="20"/>
          <w:szCs w:val="20"/>
          <w:color w:val="auto"/>
        </w:rPr>
      </w:pPr>
    </w:p>
    <w:p>
      <w:pPr>
        <w:jc w:val="both"/>
        <w:ind w:right="140" w:firstLine="648"/>
        <w:spacing w:after="0"/>
        <w:rPr>
          <w:sz w:val="20"/>
          <w:szCs w:val="20"/>
          <w:color w:val="auto"/>
        </w:rPr>
      </w:pPr>
      <w:r>
        <w:rPr>
          <w:rFonts w:ascii="Arial" w:cs="Arial" w:eastAsia="Arial" w:hAnsi="Arial"/>
          <w:sz w:val="18"/>
          <w:szCs w:val="18"/>
          <w:color w:val="auto"/>
        </w:rPr>
        <w:t>As shown above, Mr. Kapoor received a one-time Stock Price Performance Award of 100,000 restricted stock units in connection with his new employment agreement. Provided that Mr. Kapoor remains continuously employed by the Company through December 31, 2017, he may earn between 0% and 200% of his Stock Price Performance Award pursuant to the chart below:</w:t>
      </w:r>
    </w:p>
    <w:p>
      <w:pPr>
        <w:spacing w:after="0" w:line="142" w:lineRule="exact"/>
        <w:rPr>
          <w:sz w:val="20"/>
          <w:szCs w:val="20"/>
          <w:color w:val="auto"/>
        </w:rPr>
      </w:pPr>
    </w:p>
    <w:tbl>
      <w:tblPr>
        <w:tblLayout w:type="fixed"/>
        <w:tblInd w:w="1160" w:type="dxa"/>
        <w:tblCellMar>
          <w:top w:w="0" w:type="dxa"/>
          <w:left w:w="0" w:type="dxa"/>
          <w:bottom w:w="0" w:type="dxa"/>
          <w:right w:w="0" w:type="dxa"/>
        </w:tblCellMar>
      </w:tblPr>
      <w:tr>
        <w:trPr>
          <w:trHeight w:val="264"/>
        </w:trPr>
        <w:tc>
          <w:tcPr>
            <w:tcW w:w="520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Average Stock Price as of December 31, 2017</w:t>
            </w:r>
            <w:r>
              <w:rPr>
                <w:rFonts w:ascii="Arial" w:cs="Arial" w:eastAsia="Arial" w:hAnsi="Arial"/>
                <w:sz w:val="23"/>
                <w:szCs w:val="23"/>
                <w:b w:val="1"/>
                <w:bCs w:val="1"/>
                <w:color w:val="auto"/>
                <w:vertAlign w:val="superscript"/>
              </w:rPr>
              <w:t>(1)</w:t>
            </w:r>
          </w:p>
        </w:tc>
        <w:tc>
          <w:tcPr>
            <w:tcW w:w="380" w:type="dxa"/>
            <w:vAlign w:val="bottom"/>
            <w:tcBorders>
              <w:bottom w:val="single" w:sz="8" w:color="C6D9F1"/>
            </w:tcBorders>
            <w:shd w:val="clear" w:color="auto" w:fill="5591C7"/>
          </w:tcPr>
          <w:p>
            <w:pPr>
              <w:spacing w:after="0"/>
              <w:rPr>
                <w:sz w:val="22"/>
                <w:szCs w:val="22"/>
                <w:color w:val="auto"/>
              </w:rPr>
            </w:pPr>
          </w:p>
        </w:tc>
        <w:tc>
          <w:tcPr>
            <w:tcW w:w="3540" w:type="dxa"/>
            <w:vAlign w:val="bottom"/>
            <w:tcBorders>
              <w:bottom w:val="single" w:sz="8" w:color="auto"/>
            </w:tcBorders>
            <w:shd w:val="clear" w:color="auto" w:fill="5591C7"/>
          </w:tcPr>
          <w:p>
            <w:pPr>
              <w:ind w:left="760"/>
              <w:spacing w:after="0"/>
              <w:rPr>
                <w:sz w:val="20"/>
                <w:szCs w:val="20"/>
                <w:color w:val="auto"/>
              </w:rPr>
            </w:pPr>
            <w:r>
              <w:rPr>
                <w:rFonts w:ascii="Arial" w:cs="Arial" w:eastAsia="Arial" w:hAnsi="Arial"/>
                <w:sz w:val="14"/>
                <w:szCs w:val="14"/>
                <w:b w:val="1"/>
                <w:bCs w:val="1"/>
                <w:color w:val="auto"/>
              </w:rPr>
              <w:t>Vested or Earned Percentage</w:t>
            </w:r>
          </w:p>
        </w:tc>
      </w:tr>
      <w:tr>
        <w:trPr>
          <w:trHeight w:val="223"/>
        </w:trPr>
        <w:tc>
          <w:tcPr>
            <w:tcW w:w="5580" w:type="dxa"/>
            <w:vAlign w:val="bottom"/>
            <w:gridSpan w:val="2"/>
            <w:shd w:val="clear" w:color="auto" w:fill="C6D9F1"/>
          </w:tcPr>
          <w:p>
            <w:pPr>
              <w:jc w:val="center"/>
              <w:ind w:right="400"/>
              <w:spacing w:after="0"/>
              <w:rPr>
                <w:sz w:val="20"/>
                <w:szCs w:val="20"/>
                <w:color w:val="auto"/>
              </w:rPr>
            </w:pPr>
            <w:r>
              <w:rPr>
                <w:rFonts w:ascii="Arial" w:cs="Arial" w:eastAsia="Arial" w:hAnsi="Arial"/>
                <w:sz w:val="18"/>
                <w:szCs w:val="18"/>
                <w:color w:val="auto"/>
                <w:w w:val="99"/>
              </w:rPr>
              <w:t>$50.00 or more</w:t>
            </w:r>
          </w:p>
        </w:tc>
        <w:tc>
          <w:tcPr>
            <w:tcW w:w="3540" w:type="dxa"/>
            <w:vAlign w:val="bottom"/>
            <w:shd w:val="clear" w:color="auto" w:fill="C6D9F1"/>
          </w:tcPr>
          <w:p>
            <w:pPr>
              <w:jc w:val="center"/>
              <w:spacing w:after="0"/>
              <w:rPr>
                <w:sz w:val="20"/>
                <w:szCs w:val="20"/>
                <w:color w:val="auto"/>
              </w:rPr>
            </w:pPr>
            <w:r>
              <w:rPr>
                <w:rFonts w:ascii="Arial" w:cs="Arial" w:eastAsia="Arial" w:hAnsi="Arial"/>
                <w:sz w:val="18"/>
                <w:szCs w:val="18"/>
                <w:color w:val="auto"/>
                <w:w w:val="99"/>
              </w:rPr>
              <w:t>200%</w:t>
            </w:r>
          </w:p>
        </w:tc>
      </w:tr>
      <w:tr>
        <w:trPr>
          <w:trHeight w:val="236"/>
        </w:trPr>
        <w:tc>
          <w:tcPr>
            <w:tcW w:w="5200" w:type="dxa"/>
            <w:vAlign w:val="bottom"/>
          </w:tcPr>
          <w:p>
            <w:pPr>
              <w:jc w:val="center"/>
              <w:spacing w:after="0"/>
              <w:rPr>
                <w:sz w:val="20"/>
                <w:szCs w:val="20"/>
                <w:color w:val="auto"/>
              </w:rPr>
            </w:pPr>
            <w:r>
              <w:rPr>
                <w:rFonts w:ascii="Arial" w:cs="Arial" w:eastAsia="Arial" w:hAnsi="Arial"/>
                <w:sz w:val="18"/>
                <w:szCs w:val="18"/>
                <w:color w:val="auto"/>
              </w:rPr>
              <w:t>$37.50</w:t>
            </w:r>
          </w:p>
        </w:tc>
        <w:tc>
          <w:tcPr>
            <w:tcW w:w="38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9"/>
              </w:rPr>
              <w:t>100%</w:t>
            </w:r>
          </w:p>
        </w:tc>
      </w:tr>
      <w:tr>
        <w:trPr>
          <w:trHeight w:val="250"/>
        </w:trPr>
        <w:tc>
          <w:tcPr>
            <w:tcW w:w="5580" w:type="dxa"/>
            <w:vAlign w:val="bottom"/>
            <w:gridSpan w:val="2"/>
            <w:shd w:val="clear" w:color="auto" w:fill="C6D9F1"/>
          </w:tcPr>
          <w:p>
            <w:pPr>
              <w:jc w:val="center"/>
              <w:ind w:right="400"/>
              <w:spacing w:after="0"/>
              <w:rPr>
                <w:sz w:val="20"/>
                <w:szCs w:val="20"/>
                <w:color w:val="auto"/>
              </w:rPr>
            </w:pPr>
            <w:r>
              <w:rPr>
                <w:rFonts w:ascii="Arial" w:cs="Arial" w:eastAsia="Arial" w:hAnsi="Arial"/>
                <w:sz w:val="18"/>
                <w:szCs w:val="18"/>
                <w:color w:val="auto"/>
                <w:w w:val="99"/>
              </w:rPr>
              <w:t>Less than $37.50</w:t>
            </w:r>
          </w:p>
        </w:tc>
        <w:tc>
          <w:tcPr>
            <w:tcW w:w="3540" w:type="dxa"/>
            <w:vAlign w:val="bottom"/>
            <w:shd w:val="clear" w:color="auto" w:fill="C6D9F1"/>
          </w:tcPr>
          <w:p>
            <w:pPr>
              <w:jc w:val="center"/>
              <w:spacing w:after="0"/>
              <w:rPr>
                <w:sz w:val="20"/>
                <w:szCs w:val="20"/>
                <w:color w:val="auto"/>
              </w:rPr>
            </w:pPr>
            <w:r>
              <w:rPr>
                <w:rFonts w:ascii="Arial" w:cs="Arial" w:eastAsia="Arial" w:hAnsi="Arial"/>
                <w:sz w:val="18"/>
                <w:szCs w:val="18"/>
                <w:color w:val="auto"/>
                <w:w w:val="99"/>
              </w:rPr>
              <w:t>0%</w:t>
            </w:r>
          </w:p>
        </w:tc>
      </w:tr>
    </w:tbl>
    <w:p>
      <w:pPr>
        <w:spacing w:after="0" w:line="248" w:lineRule="exact"/>
        <w:rPr>
          <w:sz w:val="20"/>
          <w:szCs w:val="20"/>
          <w:color w:val="auto"/>
        </w:rPr>
      </w:pPr>
    </w:p>
    <w:p>
      <w:pPr>
        <w:ind w:left="2040" w:right="1400" w:hanging="337"/>
        <w:spacing w:after="0" w:line="258" w:lineRule="auto"/>
        <w:tabs>
          <w:tab w:leader="none" w:pos="20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Average stock price is determined based on the fair market value of the Company’s common stock over the 60 calendar days immediately prior to December 31, 2017.</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threshold/target stock price of $37.50 reflects a 10% annual growth rate over the three-year period from December 31, 2014</w:t>
      </w:r>
    </w:p>
    <w:p>
      <w:pPr>
        <w:spacing w:after="0" w:line="234" w:lineRule="auto"/>
        <w:rPr>
          <w:sz w:val="20"/>
          <w:szCs w:val="20"/>
          <w:color w:val="auto"/>
        </w:rPr>
      </w:pPr>
      <w:r>
        <w:rPr>
          <w:rFonts w:ascii="Arial" w:cs="Arial" w:eastAsia="Arial" w:hAnsi="Arial"/>
          <w:sz w:val="18"/>
          <w:szCs w:val="18"/>
          <w:color w:val="auto"/>
        </w:rPr>
        <w:t>($28.10) to December 31, 2017. The maximum stock price of $50.00 reflects a 21% annual growth rate. If the Company’s average stock price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falls between $37.50 and $50.00, the percentage of restricted stock units earned will be determined based on straight-line interpolation.</w:t>
      </w:r>
    </w:p>
    <w:p>
      <w:pPr>
        <w:spacing w:after="0" w:line="198" w:lineRule="exact"/>
        <w:rPr>
          <w:sz w:val="20"/>
          <w:szCs w:val="20"/>
          <w:color w:val="auto"/>
        </w:rPr>
      </w:pPr>
    </w:p>
    <w:p>
      <w:pPr>
        <w:ind w:right="360" w:firstLine="648"/>
        <w:spacing w:after="0" w:line="246" w:lineRule="auto"/>
        <w:rPr>
          <w:sz w:val="20"/>
          <w:szCs w:val="20"/>
          <w:color w:val="auto"/>
        </w:rPr>
      </w:pPr>
      <w:r>
        <w:rPr>
          <w:rFonts w:ascii="Arial" w:cs="Arial" w:eastAsia="Arial" w:hAnsi="Arial"/>
          <w:sz w:val="18"/>
          <w:szCs w:val="18"/>
          <w:color w:val="auto"/>
        </w:rPr>
        <w:t>We believe this Stock Price Performance Award further aligns Mr. Kapoor’s interests with those of our stockholders as he may only earn amounts under the award based on specific increases in the Company’s stock price.</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Benefits and Perquisites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offer employee benefits coverage in order to:</w:t>
      </w:r>
    </w:p>
    <w:p>
      <w:pPr>
        <w:spacing w:after="0" w:line="198"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provide our global workforce with a reasonable level of financial support in the event of illness or injury; and</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provide market-competitive benefits that enhance productivity and job satisfaction through programs that focus on work/life balance.</w:t>
      </w:r>
    </w:p>
    <w:p>
      <w:pPr>
        <w:spacing w:after="0" w:line="212"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The benefits available for all U.S. employees include customary medical and dental coverage, disability insurance and life insurance. In addition, our 401(k) plan provides a reasonable level of retirement income reflecting employees’ careers with us. A number of our U.S. employees, including our U.S.-based named executive officers, participate in these plans. The cost of employee benefits is partially borne by our employees, including our named executive officers. Our named executive officers in India, Mr. Bagai (and prior to his 2016 relocation to the United States, Mr. Chhibbar), is eligible to participate in the Company’s pension benefit, health and welfare and fringe benefit plans otherwise available to executive employees stationed in India.</w:t>
      </w:r>
    </w:p>
    <w:p>
      <w:pPr>
        <w:spacing w:after="0" w:line="192"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We generally do not provide significant perquisites or personal benefits to executive officers other than our Vice Chairman and CEO and our executive officers stationed in India. Our Vice Chairman and CEO is provided a limited number of perquisites whose primary purpose is to minimize distractions from his attention to our important initiatives and to be competitive. A discussion of the benefits provided to our Vice Chairman and CEO is provided under “Employment Agreements” beginning on page 46.</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50" w:right="259" w:bottom="1440" w:gutter="0" w:footer="0" w:header="0"/>
        </w:sectPr>
      </w:pPr>
    </w:p>
    <w:bookmarkStart w:id="43" w:name="page44"/>
    <w:bookmarkEnd w:id="43"/>
    <w:p>
      <w:pPr>
        <w:ind w:left="340"/>
        <w:spacing w:after="0"/>
        <w:rPr>
          <w:sz w:val="20"/>
          <w:szCs w:val="20"/>
          <w:color w:val="auto"/>
        </w:rPr>
      </w:pPr>
      <w:r>
        <w:rPr>
          <w:rFonts w:ascii="Arial" w:cs="Arial" w:eastAsia="Arial" w:hAnsi="Arial"/>
          <w:sz w:val="18"/>
          <w:szCs w:val="18"/>
          <w:i w:val="1"/>
          <w:iCs w:val="1"/>
          <w:color w:val="auto"/>
        </w:rPr>
        <w:t>Severance and Change-in-Control Benefits</w:t>
      </w:r>
    </w:p>
    <w:p>
      <w:pPr>
        <w:spacing w:after="0" w:line="216"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Each named executive officer is (or was, in the case of Mr. Schweppe) party to an employment agreement or letter that sets forth the terms of his or her employment, including compensation, which was negotiated through arms’-length contract negotiations. Under these employment agreements or letters, we are obligated to pay severance or other enhanced benefits upon termination of their employment. A discussion of the severance and other enhanced benefits provided to our named executive officers is provided under “Potential Payments upon Termination or Change in Control at Fiscal 2015 Year-End” beginning on page 56.</w:t>
      </w:r>
    </w:p>
    <w:p>
      <w:pPr>
        <w:spacing w:after="0" w:line="189"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We have provided change-in-control severance protection for certain of our executive officers, including our named executive officers. Our Compensation Committee believes that such protection is intended to preserve employee morale and productivity and encourage retention in the face of the disruptive impact of an actual or rumored change in control. In addition, for executive officers, the program is intended to align executive officers’ and stockholders’ interests by enabling executive officers to consider corporate transactions that are in the best interests of our stockholders and other constituents without undue concern over whether the transactions may jeopardize the executive officers’ own employment.</w:t>
      </w:r>
    </w:p>
    <w:p>
      <w:pPr>
        <w:spacing w:after="0" w:line="192" w:lineRule="exact"/>
        <w:rPr>
          <w:sz w:val="20"/>
          <w:szCs w:val="20"/>
          <w:color w:val="auto"/>
        </w:rPr>
      </w:pPr>
    </w:p>
    <w:p>
      <w:pPr>
        <w:jc w:val="both"/>
        <w:ind w:right="240" w:firstLine="648"/>
        <w:spacing w:after="0"/>
        <w:rPr>
          <w:sz w:val="20"/>
          <w:szCs w:val="20"/>
          <w:color w:val="auto"/>
        </w:rPr>
      </w:pPr>
      <w:r>
        <w:rPr>
          <w:rFonts w:ascii="Arial" w:cs="Arial" w:eastAsia="Arial" w:hAnsi="Arial"/>
          <w:sz w:val="18"/>
          <w:szCs w:val="18"/>
          <w:color w:val="auto"/>
        </w:rPr>
        <w:t>Senior executive officers, including our named executive officers, have enhanced levels of benefits based on their job level, seniority and probable loss of employment after a change in control. We also consider it likely that it will take more time for senior executive officers to find new employment.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Looking Forward to 2016</w:t>
      </w:r>
    </w:p>
    <w:p>
      <w:pPr>
        <w:spacing w:after="0" w:line="216"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Following our redesign of our annual bonus program and our long-term equity incentives in 2014, the Compensation Committee determined to continue these programs as described above in fiscal 2016, subject of course, to new performance goals. Effective April 1, 2016, the Compensation Committee approved a modest increase in base salary for certain of our current executive officers.</w:t>
      </w:r>
    </w:p>
    <w:p>
      <w:pPr>
        <w:spacing w:after="0" w:line="18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For the Relative TSR-Linked PRSUs granted in 2016, the Company included a negative TSR cap identical to the cap first implemented in 2015. Under the negative TSR cap, if the total stockholder return is negative over the course of the three year performance period, no named executive officer may receive greater than 100% funding of the TSR-Linked PRSUs.</w:t>
      </w:r>
    </w:p>
    <w:p>
      <w:pPr>
        <w:spacing w:after="0" w:line="189" w:lineRule="exact"/>
        <w:rPr>
          <w:sz w:val="20"/>
          <w:szCs w:val="20"/>
          <w:color w:val="auto"/>
        </w:rPr>
      </w:pPr>
    </w:p>
    <w:p>
      <w:pPr>
        <w:ind w:right="60" w:firstLine="648"/>
        <w:spacing w:after="0" w:line="238" w:lineRule="auto"/>
        <w:rPr>
          <w:sz w:val="20"/>
          <w:szCs w:val="20"/>
          <w:color w:val="auto"/>
        </w:rPr>
      </w:pPr>
      <w:r>
        <w:rPr>
          <w:rFonts w:ascii="Arial" w:cs="Arial" w:eastAsia="Arial" w:hAnsi="Arial"/>
          <w:sz w:val="18"/>
          <w:szCs w:val="18"/>
          <w:color w:val="auto"/>
        </w:rPr>
        <w:t>Subsequent to fiscal year 2015, we entered into a new employment agreement with Mr. Chhibbar, effective as of January 1, 2016. Under the new agreement, Mr. Chhibbar’s annual base salary will be increased to $400,000, subject to adjustments by the Board as permitted in the agreement, and his target annual cash bonus opportunity will be 60% of his base salary with a maximum of 120% of his base salary. Mr. Chhibbar will continue to remain eligible to receive equity awards at the discretion of the Compensation Committee. In addition, Mr. Chhibbar is entitled to receive up to $100,000 in connection with his relocation from India to New York.</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Deductibility Cap on Executive Compensation</w:t>
      </w:r>
    </w:p>
    <w:p>
      <w:pPr>
        <w:spacing w:after="0" w:line="216" w:lineRule="exact"/>
        <w:rPr>
          <w:sz w:val="20"/>
          <w:szCs w:val="20"/>
          <w:color w:val="auto"/>
        </w:rPr>
      </w:pPr>
    </w:p>
    <w:p>
      <w:pPr>
        <w:ind w:right="460" w:firstLine="648"/>
        <w:spacing w:after="0" w:line="239" w:lineRule="auto"/>
        <w:rPr>
          <w:sz w:val="20"/>
          <w:szCs w:val="20"/>
          <w:color w:val="auto"/>
        </w:rPr>
      </w:pPr>
      <w:r>
        <w:rPr>
          <w:rFonts w:ascii="Arial" w:cs="Arial" w:eastAsia="Arial" w:hAnsi="Arial"/>
          <w:sz w:val="18"/>
          <w:szCs w:val="18"/>
          <w:color w:val="auto"/>
        </w:rPr>
        <w:t>Our Compensation Committee’s general policy is that compensation should qualify as tax deductible to the Company for federal income tax purposes whenever possible, to the extent consistent with our overall compensation goals. Under Section 162(m) of the Code, compensation paid to certain of our named executive officers (other than our chief financial officer) in excess of $1 million per year is not deductible unless the compensation is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50" w:right="239" w:bottom="1440" w:gutter="0" w:footer="0" w:header="0"/>
        </w:sectPr>
      </w:pPr>
    </w:p>
    <w:bookmarkStart w:id="44" w:name="page45"/>
    <w:bookmarkEnd w:id="44"/>
    <w:p>
      <w:pPr>
        <w:ind w:right="80"/>
        <w:spacing w:after="0" w:line="234" w:lineRule="auto"/>
        <w:rPr>
          <w:sz w:val="20"/>
          <w:szCs w:val="20"/>
          <w:color w:val="auto"/>
        </w:rPr>
      </w:pPr>
      <w:r>
        <w:rPr>
          <w:rFonts w:ascii="Arial" w:cs="Arial" w:eastAsia="Arial" w:hAnsi="Arial"/>
          <w:sz w:val="18"/>
          <w:szCs w:val="18"/>
          <w:color w:val="auto"/>
        </w:rPr>
        <w:t>“performance-based” as described in the regulations under Section 162(m). Compensation is generally “performance-based” if it is determined using pre-established objective formulas and criteria approved by stockholders within the past five years. Compensation awards under our 2015 Plan generally are designed to maximize tax deductibility by satisfying the performance-based compensation exception to</w:t>
      </w:r>
    </w:p>
    <w:p>
      <w:pPr>
        <w:spacing w:after="0" w:line="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Section 162(m). Changes in applicable tax laws and regulations as well as factors beyond the control of the Compensation Committee can adversely impact the deductibility of compensation paid to our executive officers who are covered by Section 162(m). Our Compensation Committee believes that mathematical formulas cannot always anticipate and fairly address every situation that might arise. The Compensation Committee therefore retains the authority to adjust compensation in the case of unexpected, unusual or non-recurring events or to attract and retain key executive talent, even if this results in the payment of non-deductible compensation or to otherwise award or pay non-deductible compensation if the Committee deems it in the best interests of the Company and its stockholders to do so.</w:t>
      </w:r>
    </w:p>
    <w:p>
      <w:pPr>
        <w:spacing w:after="0" w:line="192" w:lineRule="exact"/>
        <w:rPr>
          <w:sz w:val="20"/>
          <w:szCs w:val="20"/>
          <w:color w:val="auto"/>
        </w:rPr>
      </w:pPr>
    </w:p>
    <w:p>
      <w:pPr>
        <w:ind w:right="300" w:firstLine="648"/>
        <w:spacing w:after="0" w:line="246" w:lineRule="auto"/>
        <w:rPr>
          <w:sz w:val="20"/>
          <w:szCs w:val="20"/>
          <w:color w:val="auto"/>
        </w:rPr>
      </w:pPr>
      <w:r>
        <w:rPr>
          <w:rFonts w:ascii="Arial" w:cs="Arial" w:eastAsia="Arial" w:hAnsi="Arial"/>
          <w:sz w:val="18"/>
          <w:szCs w:val="18"/>
          <w:color w:val="auto"/>
        </w:rPr>
        <w:t>Our Compensation Committee may make payments that are not fully deductible if, in its judgment, such payments are necessary to achieve our compensation objectives and to protect stockholder interests.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220" w:lineRule="exact"/>
        <w:rPr>
          <w:sz w:val="20"/>
          <w:szCs w:val="20"/>
          <w:color w:val="auto"/>
        </w:rPr>
      </w:pPr>
    </w:p>
    <w:p>
      <w:pPr>
        <w:ind w:right="280" w:firstLine="648"/>
        <w:spacing w:after="0" w:line="239" w:lineRule="auto"/>
        <w:rPr>
          <w:sz w:val="20"/>
          <w:szCs w:val="20"/>
          <w:color w:val="auto"/>
        </w:rPr>
      </w:pPr>
      <w:r>
        <w:rPr>
          <w:rFonts w:ascii="Arial" w:cs="Arial" w:eastAsia="Arial" w:hAnsi="Arial"/>
          <w:sz w:val="18"/>
          <w:szCs w:val="18"/>
          <w:color w:val="auto"/>
        </w:rPr>
        <w:t>The Compensation Committee of the board of directors of ExlService Holdings, Inc. has reviewed and discussed the Compensation Discussion and Analysis with our management and, based on such review and discussion, has recommended to the board of directors of ExlService Holdings, Inc. that the Compensation Discussion and Analysis be included in our Annual Report on Form 10-K, and our proxy statement relating to the Annual Meeting.</w:t>
      </w:r>
    </w:p>
    <w:p>
      <w:pPr>
        <w:spacing w:after="0" w:line="188"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COMPENSATION COMMITTEE</w:t>
      </w:r>
    </w:p>
    <w:p>
      <w:pPr>
        <w:spacing w:after="0" w:line="194"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Ms. Anne Minto (Chair)</w:t>
      </w:r>
    </w:p>
    <w:p>
      <w:pPr>
        <w:ind w:left="5960"/>
        <w:spacing w:after="0" w:line="234" w:lineRule="auto"/>
        <w:rPr>
          <w:sz w:val="20"/>
          <w:szCs w:val="20"/>
          <w:color w:val="auto"/>
        </w:rPr>
      </w:pPr>
      <w:r>
        <w:rPr>
          <w:rFonts w:ascii="Arial" w:cs="Arial" w:eastAsia="Arial" w:hAnsi="Arial"/>
          <w:sz w:val="18"/>
          <w:szCs w:val="18"/>
          <w:color w:val="auto"/>
        </w:rPr>
        <w:t>Ms. Deborah Kerr</w:t>
      </w:r>
    </w:p>
    <w:p>
      <w:pPr>
        <w:ind w:left="5960"/>
        <w:spacing w:after="0" w:line="235" w:lineRule="auto"/>
        <w:rPr>
          <w:sz w:val="20"/>
          <w:szCs w:val="20"/>
          <w:color w:val="auto"/>
        </w:rPr>
      </w:pPr>
      <w:r>
        <w:rPr>
          <w:rFonts w:ascii="Arial" w:cs="Arial" w:eastAsia="Arial" w:hAnsi="Arial"/>
          <w:sz w:val="18"/>
          <w:szCs w:val="18"/>
          <w:color w:val="auto"/>
        </w:rPr>
        <w:t>Mr. Som Mittal</w:t>
      </w:r>
    </w:p>
    <w:p>
      <w:pPr>
        <w:ind w:left="5960"/>
        <w:spacing w:after="0" w:line="235" w:lineRule="auto"/>
        <w:rPr>
          <w:sz w:val="20"/>
          <w:szCs w:val="20"/>
          <w:color w:val="auto"/>
        </w:rPr>
      </w:pPr>
      <w:r>
        <w:rPr>
          <w:rFonts w:ascii="Arial" w:cs="Arial" w:eastAsia="Arial" w:hAnsi="Arial"/>
          <w:sz w:val="18"/>
          <w:szCs w:val="18"/>
          <w:color w:val="auto"/>
        </w:rPr>
        <w:t>Mr. Clyde W. Ostler</w:t>
      </w:r>
    </w:p>
    <w:p>
      <w:pPr>
        <w:spacing w:after="0" w:line="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Mr. Garen K. Staglin</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68" w:right="2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Summary Compensation Table for Fiscal Year 2015</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for compensation earned in fiscal years 2013, 2014 and 2015 by our named executive</w:t>
      </w:r>
    </w:p>
    <w:p>
      <w:pPr>
        <w:spacing w:after="0"/>
        <w:rPr>
          <w:sz w:val="20"/>
          <w:szCs w:val="20"/>
          <w:color w:val="auto"/>
        </w:rPr>
      </w:pPr>
      <w:r>
        <w:rPr>
          <w:rFonts w:ascii="Arial" w:cs="Arial" w:eastAsia="Arial" w:hAnsi="Arial"/>
          <w:sz w:val="18"/>
          <w:szCs w:val="18"/>
          <w:color w:val="auto"/>
        </w:rPr>
        <w:t>officers: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58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1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92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9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12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2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Change in</w:t>
            </w:r>
          </w:p>
        </w:tc>
        <w:tc>
          <w:tcPr>
            <w:tcW w:w="118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020" w:type="dxa"/>
            <w:vAlign w:val="bottom"/>
            <w:shd w:val="clear" w:color="auto" w:fill="5591C7"/>
          </w:tcPr>
          <w:p>
            <w:pPr>
              <w:spacing w:after="0"/>
              <w:rPr>
                <w:sz w:val="14"/>
                <w:szCs w:val="14"/>
                <w:color w:val="auto"/>
              </w:rPr>
            </w:pPr>
          </w:p>
        </w:tc>
      </w:tr>
      <w:tr>
        <w:trPr>
          <w:trHeight w:val="162"/>
        </w:trPr>
        <w:tc>
          <w:tcPr>
            <w:tcW w:w="264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58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1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92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9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12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2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Pension</w:t>
            </w:r>
          </w:p>
        </w:tc>
        <w:tc>
          <w:tcPr>
            <w:tcW w:w="118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020" w:type="dxa"/>
            <w:vAlign w:val="bottom"/>
            <w:shd w:val="clear" w:color="auto" w:fill="5591C7"/>
          </w:tcPr>
          <w:p>
            <w:pPr>
              <w:spacing w:after="0"/>
              <w:rPr>
                <w:sz w:val="14"/>
                <w:szCs w:val="14"/>
                <w:color w:val="auto"/>
              </w:rPr>
            </w:pPr>
          </w:p>
        </w:tc>
      </w:tr>
      <w:tr>
        <w:trPr>
          <w:trHeight w:val="162"/>
        </w:trPr>
        <w:tc>
          <w:tcPr>
            <w:tcW w:w="264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58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1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92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9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22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Non-</w:t>
            </w:r>
          </w:p>
        </w:tc>
        <w:tc>
          <w:tcPr>
            <w:tcW w:w="12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w w:val="99"/>
              </w:rPr>
              <w:t>Value and</w:t>
            </w:r>
          </w:p>
        </w:tc>
        <w:tc>
          <w:tcPr>
            <w:tcW w:w="118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020" w:type="dxa"/>
            <w:vAlign w:val="bottom"/>
            <w:shd w:val="clear" w:color="auto" w:fill="5591C7"/>
          </w:tcPr>
          <w:p>
            <w:pPr>
              <w:spacing w:after="0"/>
              <w:rPr>
                <w:sz w:val="14"/>
                <w:szCs w:val="14"/>
                <w:color w:val="auto"/>
              </w:rPr>
            </w:pPr>
          </w:p>
        </w:tc>
      </w:tr>
      <w:tr>
        <w:trPr>
          <w:trHeight w:val="162"/>
        </w:trPr>
        <w:tc>
          <w:tcPr>
            <w:tcW w:w="264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58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1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92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9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22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Equity</w:t>
            </w:r>
          </w:p>
        </w:tc>
        <w:tc>
          <w:tcPr>
            <w:tcW w:w="12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Nonqualified</w:t>
            </w:r>
          </w:p>
        </w:tc>
        <w:tc>
          <w:tcPr>
            <w:tcW w:w="118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020" w:type="dxa"/>
            <w:vAlign w:val="bottom"/>
            <w:shd w:val="clear" w:color="auto" w:fill="5591C7"/>
          </w:tcPr>
          <w:p>
            <w:pPr>
              <w:spacing w:after="0"/>
              <w:rPr>
                <w:sz w:val="14"/>
                <w:szCs w:val="14"/>
                <w:color w:val="auto"/>
              </w:rPr>
            </w:pPr>
          </w:p>
        </w:tc>
      </w:tr>
      <w:tr>
        <w:trPr>
          <w:trHeight w:val="162"/>
        </w:trPr>
        <w:tc>
          <w:tcPr>
            <w:tcW w:w="264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58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1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92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9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22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Incentive</w:t>
            </w:r>
          </w:p>
        </w:tc>
        <w:tc>
          <w:tcPr>
            <w:tcW w:w="12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Deferred</w:t>
            </w:r>
          </w:p>
        </w:tc>
        <w:tc>
          <w:tcPr>
            <w:tcW w:w="118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020" w:type="dxa"/>
            <w:vAlign w:val="bottom"/>
            <w:shd w:val="clear" w:color="auto" w:fill="5591C7"/>
          </w:tcPr>
          <w:p>
            <w:pPr>
              <w:spacing w:after="0"/>
              <w:rPr>
                <w:sz w:val="14"/>
                <w:szCs w:val="14"/>
                <w:color w:val="auto"/>
              </w:rPr>
            </w:pPr>
          </w:p>
        </w:tc>
      </w:tr>
      <w:tr>
        <w:trPr>
          <w:trHeight w:val="175"/>
        </w:trPr>
        <w:tc>
          <w:tcPr>
            <w:tcW w:w="2640" w:type="dxa"/>
            <w:vAlign w:val="bottom"/>
            <w:shd w:val="clear" w:color="auto" w:fill="5591C7"/>
          </w:tcPr>
          <w:p>
            <w:pPr>
              <w:spacing w:after="0"/>
              <w:rPr>
                <w:sz w:val="15"/>
                <w:szCs w:val="15"/>
                <w:color w:val="auto"/>
              </w:rPr>
            </w:pPr>
          </w:p>
        </w:tc>
        <w:tc>
          <w:tcPr>
            <w:tcW w:w="100" w:type="dxa"/>
            <w:vAlign w:val="bottom"/>
            <w:shd w:val="clear" w:color="auto" w:fill="5591C7"/>
          </w:tcPr>
          <w:p>
            <w:pPr>
              <w:spacing w:after="0"/>
              <w:rPr>
                <w:sz w:val="15"/>
                <w:szCs w:val="15"/>
                <w:color w:val="auto"/>
              </w:rPr>
            </w:pPr>
          </w:p>
        </w:tc>
        <w:tc>
          <w:tcPr>
            <w:tcW w:w="580" w:type="dxa"/>
            <w:vAlign w:val="bottom"/>
            <w:shd w:val="clear" w:color="auto" w:fill="5591C7"/>
          </w:tcPr>
          <w:p>
            <w:pPr>
              <w:spacing w:after="0"/>
              <w:rPr>
                <w:sz w:val="15"/>
                <w:szCs w:val="15"/>
                <w:color w:val="auto"/>
              </w:rPr>
            </w:pPr>
          </w:p>
        </w:tc>
        <w:tc>
          <w:tcPr>
            <w:tcW w:w="100" w:type="dxa"/>
            <w:vAlign w:val="bottom"/>
            <w:shd w:val="clear" w:color="auto" w:fill="5591C7"/>
          </w:tcPr>
          <w:p>
            <w:pPr>
              <w:spacing w:after="0"/>
              <w:rPr>
                <w:sz w:val="15"/>
                <w:szCs w:val="15"/>
                <w:color w:val="auto"/>
              </w:rPr>
            </w:pPr>
          </w:p>
        </w:tc>
        <w:tc>
          <w:tcPr>
            <w:tcW w:w="1100" w:type="dxa"/>
            <w:vAlign w:val="bottom"/>
            <w:shd w:val="clear" w:color="auto" w:fill="5591C7"/>
          </w:tcPr>
          <w:p>
            <w:pPr>
              <w:spacing w:after="0"/>
              <w:rPr>
                <w:sz w:val="15"/>
                <w:szCs w:val="15"/>
                <w:color w:val="auto"/>
              </w:rPr>
            </w:pPr>
          </w:p>
        </w:tc>
        <w:tc>
          <w:tcPr>
            <w:tcW w:w="100" w:type="dxa"/>
            <w:vAlign w:val="bottom"/>
            <w:shd w:val="clear" w:color="auto" w:fill="5591C7"/>
          </w:tcPr>
          <w:p>
            <w:pPr>
              <w:spacing w:after="0"/>
              <w:rPr>
                <w:sz w:val="15"/>
                <w:szCs w:val="15"/>
                <w:color w:val="auto"/>
              </w:rPr>
            </w:pPr>
          </w:p>
        </w:tc>
        <w:tc>
          <w:tcPr>
            <w:tcW w:w="920" w:type="dxa"/>
            <w:vAlign w:val="bottom"/>
            <w:shd w:val="clear" w:color="auto" w:fill="5591C7"/>
          </w:tcPr>
          <w:p>
            <w:pPr>
              <w:spacing w:after="0"/>
              <w:rPr>
                <w:sz w:val="15"/>
                <w:szCs w:val="15"/>
                <w:color w:val="auto"/>
              </w:rPr>
            </w:pPr>
          </w:p>
        </w:tc>
        <w:tc>
          <w:tcPr>
            <w:tcW w:w="100" w:type="dxa"/>
            <w:vAlign w:val="bottom"/>
            <w:shd w:val="clear" w:color="auto" w:fill="5591C7"/>
          </w:tcPr>
          <w:p>
            <w:pPr>
              <w:spacing w:after="0"/>
              <w:rPr>
                <w:sz w:val="15"/>
                <w:szCs w:val="15"/>
                <w:color w:val="auto"/>
              </w:rPr>
            </w:pPr>
          </w:p>
        </w:tc>
        <w:tc>
          <w:tcPr>
            <w:tcW w:w="900" w:type="dxa"/>
            <w:vAlign w:val="bottom"/>
            <w:shd w:val="clear" w:color="auto" w:fill="5591C7"/>
          </w:tcPr>
          <w:p>
            <w:pPr>
              <w:spacing w:after="0"/>
              <w:rPr>
                <w:sz w:val="15"/>
                <w:szCs w:val="15"/>
                <w:color w:val="auto"/>
              </w:rPr>
            </w:pPr>
          </w:p>
        </w:tc>
        <w:tc>
          <w:tcPr>
            <w:tcW w:w="120" w:type="dxa"/>
            <w:vAlign w:val="bottom"/>
            <w:shd w:val="clear" w:color="auto" w:fill="5591C7"/>
          </w:tcPr>
          <w:p>
            <w:pPr>
              <w:spacing w:after="0"/>
              <w:rPr>
                <w:sz w:val="15"/>
                <w:szCs w:val="15"/>
                <w:color w:val="auto"/>
              </w:rPr>
            </w:pPr>
          </w:p>
        </w:tc>
        <w:tc>
          <w:tcPr>
            <w:tcW w:w="122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Plan</w:t>
            </w:r>
          </w:p>
        </w:tc>
        <w:tc>
          <w:tcPr>
            <w:tcW w:w="12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Compen-</w:t>
            </w:r>
          </w:p>
        </w:tc>
        <w:tc>
          <w:tcPr>
            <w:tcW w:w="1280" w:type="dxa"/>
            <w:vAlign w:val="bottom"/>
            <w:gridSpan w:val="2"/>
            <w:shd w:val="clear" w:color="auto" w:fill="5591C7"/>
          </w:tcPr>
          <w:p>
            <w:pPr>
              <w:jc w:val="center"/>
              <w:ind w:right="360"/>
              <w:spacing w:after="0"/>
              <w:rPr>
                <w:sz w:val="20"/>
                <w:szCs w:val="20"/>
                <w:color w:val="auto"/>
              </w:rPr>
            </w:pPr>
            <w:r>
              <w:rPr>
                <w:rFonts w:ascii="Arial" w:cs="Arial" w:eastAsia="Arial" w:hAnsi="Arial"/>
                <w:sz w:val="14"/>
                <w:szCs w:val="14"/>
                <w:b w:val="1"/>
                <w:bCs w:val="1"/>
                <w:color w:val="auto"/>
              </w:rPr>
              <w:t>All Other</w:t>
            </w:r>
          </w:p>
        </w:tc>
        <w:tc>
          <w:tcPr>
            <w:tcW w:w="1020" w:type="dxa"/>
            <w:vAlign w:val="bottom"/>
            <w:shd w:val="clear" w:color="auto" w:fill="5591C7"/>
          </w:tcPr>
          <w:p>
            <w:pPr>
              <w:spacing w:after="0"/>
              <w:rPr>
                <w:sz w:val="15"/>
                <w:szCs w:val="15"/>
                <w:color w:val="auto"/>
              </w:rPr>
            </w:pPr>
          </w:p>
        </w:tc>
      </w:tr>
      <w:tr>
        <w:trPr>
          <w:trHeight w:val="162"/>
        </w:trPr>
        <w:tc>
          <w:tcPr>
            <w:tcW w:w="264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58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1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92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02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w w:val="99"/>
              </w:rPr>
              <w:t>Stock</w:t>
            </w:r>
          </w:p>
        </w:tc>
        <w:tc>
          <w:tcPr>
            <w:tcW w:w="122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Compen-</w:t>
            </w:r>
          </w:p>
        </w:tc>
        <w:tc>
          <w:tcPr>
            <w:tcW w:w="12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sation</w:t>
            </w:r>
          </w:p>
        </w:tc>
        <w:tc>
          <w:tcPr>
            <w:tcW w:w="1280" w:type="dxa"/>
            <w:vAlign w:val="bottom"/>
            <w:gridSpan w:val="2"/>
            <w:shd w:val="clear" w:color="auto" w:fill="5591C7"/>
          </w:tcPr>
          <w:p>
            <w:pPr>
              <w:jc w:val="center"/>
              <w:ind w:right="380"/>
              <w:spacing w:after="0"/>
              <w:rPr>
                <w:sz w:val="20"/>
                <w:szCs w:val="20"/>
                <w:color w:val="auto"/>
              </w:rPr>
            </w:pPr>
            <w:r>
              <w:rPr>
                <w:rFonts w:ascii="Arial" w:cs="Arial" w:eastAsia="Arial" w:hAnsi="Arial"/>
                <w:sz w:val="14"/>
                <w:szCs w:val="14"/>
                <w:b w:val="1"/>
                <w:bCs w:val="1"/>
                <w:color w:val="auto"/>
              </w:rPr>
              <w:t>Compen-</w:t>
            </w:r>
          </w:p>
        </w:tc>
        <w:tc>
          <w:tcPr>
            <w:tcW w:w="1020" w:type="dxa"/>
            <w:vAlign w:val="bottom"/>
            <w:shd w:val="clear" w:color="auto" w:fill="5591C7"/>
          </w:tcPr>
          <w:p>
            <w:pPr>
              <w:spacing w:after="0"/>
              <w:rPr>
                <w:sz w:val="14"/>
                <w:szCs w:val="14"/>
                <w:color w:val="auto"/>
              </w:rPr>
            </w:pPr>
          </w:p>
        </w:tc>
      </w:tr>
      <w:tr>
        <w:trPr>
          <w:trHeight w:val="162"/>
        </w:trPr>
        <w:tc>
          <w:tcPr>
            <w:tcW w:w="2640" w:type="dxa"/>
            <w:vAlign w:val="bottom"/>
            <w:shd w:val="clear" w:color="auto" w:fill="5591C7"/>
          </w:tcPr>
          <w:p>
            <w:pPr>
              <w:ind w:left="980"/>
              <w:spacing w:after="0"/>
              <w:rPr>
                <w:sz w:val="20"/>
                <w:szCs w:val="20"/>
                <w:color w:val="auto"/>
              </w:rPr>
            </w:pPr>
            <w:r>
              <w:rPr>
                <w:rFonts w:ascii="Arial" w:cs="Arial" w:eastAsia="Arial" w:hAnsi="Arial"/>
                <w:sz w:val="14"/>
                <w:szCs w:val="14"/>
                <w:b w:val="1"/>
                <w:bCs w:val="1"/>
                <w:color w:val="auto"/>
              </w:rPr>
              <w:t>Name and</w:t>
            </w:r>
          </w:p>
        </w:tc>
        <w:tc>
          <w:tcPr>
            <w:tcW w:w="100" w:type="dxa"/>
            <w:vAlign w:val="bottom"/>
            <w:shd w:val="clear" w:color="auto" w:fill="5591C7"/>
          </w:tcPr>
          <w:p>
            <w:pPr>
              <w:spacing w:after="0"/>
              <w:rPr>
                <w:sz w:val="14"/>
                <w:szCs w:val="14"/>
                <w:color w:val="auto"/>
              </w:rPr>
            </w:pPr>
          </w:p>
        </w:tc>
        <w:tc>
          <w:tcPr>
            <w:tcW w:w="58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200" w:type="dxa"/>
            <w:vAlign w:val="bottom"/>
            <w:gridSpan w:val="2"/>
            <w:shd w:val="clear" w:color="auto" w:fill="5591C7"/>
          </w:tcPr>
          <w:p>
            <w:pPr>
              <w:ind w:left="240"/>
              <w:spacing w:after="0"/>
              <w:rPr>
                <w:sz w:val="20"/>
                <w:szCs w:val="20"/>
                <w:color w:val="auto"/>
              </w:rPr>
            </w:pPr>
            <w:r>
              <w:rPr>
                <w:rFonts w:ascii="Arial" w:cs="Arial" w:eastAsia="Arial" w:hAnsi="Arial"/>
                <w:sz w:val="14"/>
                <w:szCs w:val="14"/>
                <w:b w:val="1"/>
                <w:bCs w:val="1"/>
                <w:color w:val="auto"/>
              </w:rPr>
              <w:t>Salary</w:t>
            </w:r>
          </w:p>
        </w:tc>
        <w:tc>
          <w:tcPr>
            <w:tcW w:w="1020" w:type="dxa"/>
            <w:vAlign w:val="bottom"/>
            <w:gridSpan w:val="2"/>
            <w:shd w:val="clear" w:color="auto" w:fill="5591C7"/>
          </w:tcPr>
          <w:p>
            <w:pPr>
              <w:ind w:left="240"/>
              <w:spacing w:after="0"/>
              <w:rPr>
                <w:sz w:val="20"/>
                <w:szCs w:val="20"/>
                <w:color w:val="auto"/>
              </w:rPr>
            </w:pPr>
            <w:r>
              <w:rPr>
                <w:rFonts w:ascii="Arial" w:cs="Arial" w:eastAsia="Arial" w:hAnsi="Arial"/>
                <w:sz w:val="14"/>
                <w:szCs w:val="14"/>
                <w:b w:val="1"/>
                <w:bCs w:val="1"/>
                <w:color w:val="auto"/>
              </w:rPr>
              <w:t>Bonus</w:t>
            </w:r>
          </w:p>
        </w:tc>
        <w:tc>
          <w:tcPr>
            <w:tcW w:w="102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Awards</w:t>
            </w:r>
          </w:p>
        </w:tc>
        <w:tc>
          <w:tcPr>
            <w:tcW w:w="122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sation</w:t>
            </w:r>
          </w:p>
        </w:tc>
        <w:tc>
          <w:tcPr>
            <w:tcW w:w="12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Earnings</w:t>
            </w:r>
          </w:p>
        </w:tc>
        <w:tc>
          <w:tcPr>
            <w:tcW w:w="1280" w:type="dxa"/>
            <w:vAlign w:val="bottom"/>
            <w:gridSpan w:val="2"/>
            <w:shd w:val="clear" w:color="auto" w:fill="5591C7"/>
          </w:tcPr>
          <w:p>
            <w:pPr>
              <w:jc w:val="center"/>
              <w:ind w:right="380"/>
              <w:spacing w:after="0"/>
              <w:rPr>
                <w:sz w:val="20"/>
                <w:szCs w:val="20"/>
                <w:color w:val="auto"/>
              </w:rPr>
            </w:pPr>
            <w:r>
              <w:rPr>
                <w:rFonts w:ascii="Arial" w:cs="Arial" w:eastAsia="Arial" w:hAnsi="Arial"/>
                <w:sz w:val="14"/>
                <w:szCs w:val="14"/>
                <w:b w:val="1"/>
                <w:bCs w:val="1"/>
                <w:color w:val="auto"/>
              </w:rPr>
              <w:t>sation</w:t>
            </w:r>
          </w:p>
        </w:tc>
        <w:tc>
          <w:tcPr>
            <w:tcW w:w="1020" w:type="dxa"/>
            <w:vAlign w:val="bottom"/>
            <w:shd w:val="clear" w:color="auto" w:fill="5591C7"/>
          </w:tcPr>
          <w:p>
            <w:pPr>
              <w:jc w:val="right"/>
              <w:ind w:right="312"/>
              <w:spacing w:after="0"/>
              <w:rPr>
                <w:sz w:val="20"/>
                <w:szCs w:val="20"/>
                <w:color w:val="auto"/>
              </w:rPr>
            </w:pPr>
            <w:r>
              <w:rPr>
                <w:rFonts w:ascii="Arial" w:cs="Arial" w:eastAsia="Arial" w:hAnsi="Arial"/>
                <w:sz w:val="14"/>
                <w:szCs w:val="14"/>
                <w:b w:val="1"/>
                <w:bCs w:val="1"/>
                <w:color w:val="auto"/>
              </w:rPr>
              <w:t>Total</w:t>
            </w:r>
          </w:p>
        </w:tc>
      </w:tr>
      <w:tr>
        <w:trPr>
          <w:trHeight w:val="189"/>
        </w:trPr>
        <w:tc>
          <w:tcPr>
            <w:tcW w:w="2640" w:type="dxa"/>
            <w:vAlign w:val="bottom"/>
            <w:shd w:val="clear" w:color="auto" w:fill="5591C7"/>
          </w:tcPr>
          <w:p>
            <w:pPr>
              <w:ind w:left="720"/>
              <w:spacing w:after="0"/>
              <w:rPr>
                <w:sz w:val="20"/>
                <w:szCs w:val="20"/>
                <w:color w:val="auto"/>
              </w:rPr>
            </w:pPr>
            <w:r>
              <w:rPr>
                <w:rFonts w:ascii="Arial" w:cs="Arial" w:eastAsia="Arial" w:hAnsi="Arial"/>
                <w:sz w:val="14"/>
                <w:szCs w:val="14"/>
                <w:b w:val="1"/>
                <w:bCs w:val="1"/>
                <w:color w:val="auto"/>
              </w:rPr>
              <w:t>Principal Position</w:t>
            </w:r>
          </w:p>
        </w:tc>
        <w:tc>
          <w:tcPr>
            <w:tcW w:w="100" w:type="dxa"/>
            <w:vAlign w:val="bottom"/>
            <w:shd w:val="clear" w:color="auto" w:fill="5591C7"/>
          </w:tcPr>
          <w:p>
            <w:pPr>
              <w:spacing w:after="0"/>
              <w:rPr>
                <w:sz w:val="16"/>
                <w:szCs w:val="16"/>
                <w:color w:val="auto"/>
              </w:rPr>
            </w:pPr>
          </w:p>
        </w:tc>
        <w:tc>
          <w:tcPr>
            <w:tcW w:w="58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w w:val="98"/>
              </w:rPr>
              <w:t>Year</w:t>
            </w:r>
          </w:p>
        </w:tc>
        <w:tc>
          <w:tcPr>
            <w:tcW w:w="1200" w:type="dxa"/>
            <w:vAlign w:val="bottom"/>
            <w:gridSpan w:val="2"/>
            <w:shd w:val="clear" w:color="auto" w:fill="5591C7"/>
          </w:tcPr>
          <w:p>
            <w:pPr>
              <w:jc w:val="right"/>
              <w:ind w:right="473"/>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5591C7"/>
          </w:tcPr>
          <w:p>
            <w:pPr>
              <w:spacing w:after="0"/>
              <w:rPr>
                <w:sz w:val="16"/>
                <w:szCs w:val="16"/>
                <w:color w:val="auto"/>
              </w:rPr>
            </w:pPr>
          </w:p>
        </w:tc>
        <w:tc>
          <w:tcPr>
            <w:tcW w:w="920" w:type="dxa"/>
            <w:vAlign w:val="bottom"/>
            <w:shd w:val="clear" w:color="auto" w:fill="5591C7"/>
          </w:tcPr>
          <w:p>
            <w:pPr>
              <w:jc w:val="right"/>
              <w:ind w:right="292"/>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5591C7"/>
          </w:tcPr>
          <w:p>
            <w:pPr>
              <w:spacing w:after="0"/>
              <w:rPr>
                <w:sz w:val="16"/>
                <w:szCs w:val="16"/>
                <w:color w:val="auto"/>
              </w:rPr>
            </w:pPr>
          </w:p>
        </w:tc>
        <w:tc>
          <w:tcPr>
            <w:tcW w:w="900" w:type="dxa"/>
            <w:vAlign w:val="bottom"/>
            <w:shd w:val="clear" w:color="auto" w:fill="5591C7"/>
          </w:tcPr>
          <w:p>
            <w:pPr>
              <w:jc w:val="center"/>
              <w:spacing w:after="0" w:line="189" w:lineRule="exact"/>
              <w:rPr>
                <w:sz w:val="20"/>
                <w:szCs w:val="20"/>
                <w:color w:val="auto"/>
              </w:rPr>
            </w:pPr>
            <w:r>
              <w:rPr>
                <w:rFonts w:ascii="Arial" w:cs="Arial" w:eastAsia="Arial" w:hAnsi="Arial"/>
                <w:sz w:val="13"/>
                <w:szCs w:val="13"/>
                <w:b w:val="1"/>
                <w:bCs w:val="1"/>
                <w:color w:val="auto"/>
                <w:w w:val="96"/>
              </w:rPr>
              <w:t>($)</w:t>
            </w:r>
            <w:r>
              <w:rPr>
                <w:rFonts w:ascii="Arial" w:cs="Arial" w:eastAsia="Arial" w:hAnsi="Arial"/>
                <w:sz w:val="21"/>
                <w:szCs w:val="21"/>
                <w:b w:val="1"/>
                <w:bCs w:val="1"/>
                <w:color w:val="auto"/>
                <w:w w:val="96"/>
                <w:vertAlign w:val="superscript"/>
              </w:rPr>
              <w:t>(3)</w:t>
            </w:r>
          </w:p>
        </w:tc>
        <w:tc>
          <w:tcPr>
            <w:tcW w:w="120" w:type="dxa"/>
            <w:vAlign w:val="bottom"/>
            <w:shd w:val="clear" w:color="auto" w:fill="5591C7"/>
          </w:tcPr>
          <w:p>
            <w:pPr>
              <w:spacing w:after="0"/>
              <w:rPr>
                <w:sz w:val="16"/>
                <w:szCs w:val="16"/>
                <w:color w:val="auto"/>
              </w:rPr>
            </w:pPr>
          </w:p>
        </w:tc>
        <w:tc>
          <w:tcPr>
            <w:tcW w:w="1120" w:type="dxa"/>
            <w:vAlign w:val="bottom"/>
            <w:shd w:val="clear" w:color="auto" w:fill="5591C7"/>
          </w:tcPr>
          <w:p>
            <w:pPr>
              <w:jc w:val="center"/>
              <w:spacing w:after="0" w:line="189" w:lineRule="exact"/>
              <w:rPr>
                <w:sz w:val="20"/>
                <w:szCs w:val="20"/>
                <w:color w:val="auto"/>
              </w:rPr>
            </w:pPr>
            <w:r>
              <w:rPr>
                <w:rFonts w:ascii="Arial" w:cs="Arial" w:eastAsia="Arial" w:hAnsi="Arial"/>
                <w:sz w:val="13"/>
                <w:szCs w:val="13"/>
                <w:b w:val="1"/>
                <w:bCs w:val="1"/>
                <w:color w:val="auto"/>
                <w:w w:val="96"/>
              </w:rPr>
              <w:t>($)</w:t>
            </w:r>
            <w:r>
              <w:rPr>
                <w:rFonts w:ascii="Arial" w:cs="Arial" w:eastAsia="Arial" w:hAnsi="Arial"/>
                <w:sz w:val="21"/>
                <w:szCs w:val="21"/>
                <w:b w:val="1"/>
                <w:bCs w:val="1"/>
                <w:color w:val="auto"/>
                <w:w w:val="96"/>
                <w:vertAlign w:val="superscript"/>
              </w:rPr>
              <w:t>(4)</w:t>
            </w:r>
          </w:p>
        </w:tc>
        <w:tc>
          <w:tcPr>
            <w:tcW w:w="100" w:type="dxa"/>
            <w:vAlign w:val="bottom"/>
            <w:shd w:val="clear" w:color="auto" w:fill="5591C7"/>
          </w:tcPr>
          <w:p>
            <w:pPr>
              <w:spacing w:after="0"/>
              <w:rPr>
                <w:sz w:val="16"/>
                <w:szCs w:val="16"/>
                <w:color w:val="auto"/>
              </w:rPr>
            </w:pPr>
          </w:p>
        </w:tc>
        <w:tc>
          <w:tcPr>
            <w:tcW w:w="1140" w:type="dxa"/>
            <w:vAlign w:val="bottom"/>
            <w:shd w:val="clear" w:color="auto" w:fill="5591C7"/>
          </w:tcPr>
          <w:p>
            <w:pPr>
              <w:jc w:val="center"/>
              <w:spacing w:after="0" w:line="189" w:lineRule="exact"/>
              <w:rPr>
                <w:sz w:val="20"/>
                <w:szCs w:val="20"/>
                <w:color w:val="auto"/>
              </w:rPr>
            </w:pPr>
            <w:r>
              <w:rPr>
                <w:rFonts w:ascii="Arial" w:cs="Arial" w:eastAsia="Arial" w:hAnsi="Arial"/>
                <w:sz w:val="13"/>
                <w:szCs w:val="13"/>
                <w:b w:val="1"/>
                <w:bCs w:val="1"/>
                <w:color w:val="auto"/>
                <w:w w:val="96"/>
              </w:rPr>
              <w:t>($)</w:t>
            </w:r>
            <w:r>
              <w:rPr>
                <w:rFonts w:ascii="Arial" w:cs="Arial" w:eastAsia="Arial" w:hAnsi="Arial"/>
                <w:sz w:val="21"/>
                <w:szCs w:val="21"/>
                <w:b w:val="1"/>
                <w:bCs w:val="1"/>
                <w:color w:val="auto"/>
                <w:w w:val="96"/>
                <w:vertAlign w:val="superscript"/>
              </w:rPr>
              <w:t>(5)</w:t>
            </w:r>
          </w:p>
        </w:tc>
        <w:tc>
          <w:tcPr>
            <w:tcW w:w="100" w:type="dxa"/>
            <w:vAlign w:val="bottom"/>
            <w:shd w:val="clear" w:color="auto" w:fill="5591C7"/>
          </w:tcPr>
          <w:p>
            <w:pPr>
              <w:spacing w:after="0"/>
              <w:rPr>
                <w:sz w:val="16"/>
                <w:szCs w:val="16"/>
                <w:color w:val="auto"/>
              </w:rPr>
            </w:pPr>
          </w:p>
        </w:tc>
        <w:tc>
          <w:tcPr>
            <w:tcW w:w="1180" w:type="dxa"/>
            <w:vAlign w:val="bottom"/>
            <w:shd w:val="clear" w:color="auto" w:fill="5591C7"/>
          </w:tcPr>
          <w:p>
            <w:pPr>
              <w:jc w:val="center"/>
              <w:ind w:right="194"/>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5591C7"/>
          </w:tcPr>
          <w:p>
            <w:pPr>
              <w:spacing w:after="0"/>
              <w:rPr>
                <w:sz w:val="16"/>
                <w:szCs w:val="16"/>
                <w:color w:val="auto"/>
              </w:rPr>
            </w:pPr>
          </w:p>
        </w:tc>
        <w:tc>
          <w:tcPr>
            <w:tcW w:w="1020" w:type="dxa"/>
            <w:vAlign w:val="bottom"/>
            <w:shd w:val="clear" w:color="auto" w:fill="5591C7"/>
          </w:tcPr>
          <w:p>
            <w:pPr>
              <w:jc w:val="right"/>
              <w:ind w:right="392"/>
              <w:spacing w:after="0"/>
              <w:rPr>
                <w:sz w:val="20"/>
                <w:szCs w:val="20"/>
                <w:color w:val="auto"/>
              </w:rPr>
            </w:pPr>
            <w:r>
              <w:rPr>
                <w:rFonts w:ascii="Arial" w:cs="Arial" w:eastAsia="Arial" w:hAnsi="Arial"/>
                <w:sz w:val="14"/>
                <w:szCs w:val="14"/>
                <w:b w:val="1"/>
                <w:bCs w:val="1"/>
                <w:color w:val="auto"/>
              </w:rPr>
              <w:t>($)</w:t>
            </w:r>
          </w:p>
        </w:tc>
      </w:tr>
      <w:tr>
        <w:trPr>
          <w:trHeight w:val="196"/>
        </w:trPr>
        <w:tc>
          <w:tcPr>
            <w:tcW w:w="2640" w:type="dxa"/>
            <w:vAlign w:val="bottom"/>
            <w:tcBorders>
              <w:top w:val="single" w:sz="8" w:color="auto"/>
            </w:tcBorders>
            <w:shd w:val="clear" w:color="auto" w:fill="C6D9F1"/>
          </w:tcPr>
          <w:p>
            <w:pPr>
              <w:spacing w:after="0" w:line="196" w:lineRule="exact"/>
              <w:rPr>
                <w:sz w:val="20"/>
                <w:szCs w:val="20"/>
                <w:color w:val="auto"/>
              </w:rPr>
            </w:pPr>
            <w:r>
              <w:rPr>
                <w:rFonts w:ascii="Arial" w:cs="Arial" w:eastAsia="Arial" w:hAnsi="Arial"/>
                <w:sz w:val="18"/>
                <w:szCs w:val="18"/>
                <w:b w:val="1"/>
                <w:bCs w:val="1"/>
                <w:color w:val="auto"/>
              </w:rPr>
              <w:t>Rohit Kapoor</w:t>
            </w:r>
          </w:p>
        </w:tc>
        <w:tc>
          <w:tcPr>
            <w:tcW w:w="100" w:type="dxa"/>
            <w:vAlign w:val="bottom"/>
            <w:tcBorders>
              <w:top w:val="single" w:sz="8" w:color="C6D9F1"/>
            </w:tcBorders>
            <w:shd w:val="clear" w:color="auto" w:fill="C6D9F1"/>
          </w:tcPr>
          <w:p>
            <w:pPr>
              <w:spacing w:after="0"/>
              <w:rPr>
                <w:sz w:val="17"/>
                <w:szCs w:val="17"/>
                <w:color w:val="auto"/>
              </w:rPr>
            </w:pPr>
          </w:p>
        </w:tc>
        <w:tc>
          <w:tcPr>
            <w:tcW w:w="580" w:type="dxa"/>
            <w:vAlign w:val="bottom"/>
            <w:tcBorders>
              <w:top w:val="single" w:sz="8" w:color="auto"/>
            </w:tcBorders>
            <w:shd w:val="clear" w:color="auto" w:fill="C6D9F1"/>
          </w:tcPr>
          <w:p>
            <w:pPr>
              <w:jc w:val="center"/>
              <w:spacing w:after="0" w:line="196" w:lineRule="exact"/>
              <w:rPr>
                <w:sz w:val="20"/>
                <w:szCs w:val="20"/>
                <w:color w:val="auto"/>
              </w:rPr>
            </w:pPr>
            <w:r>
              <w:rPr>
                <w:rFonts w:ascii="Arial" w:cs="Arial" w:eastAsia="Arial" w:hAnsi="Arial"/>
                <w:sz w:val="18"/>
                <w:szCs w:val="18"/>
                <w:color w:val="auto"/>
                <w:w w:val="99"/>
              </w:rPr>
              <w:t>2015</w:t>
            </w:r>
          </w:p>
        </w:tc>
        <w:tc>
          <w:tcPr>
            <w:tcW w:w="100" w:type="dxa"/>
            <w:vAlign w:val="bottom"/>
            <w:tcBorders>
              <w:top w:val="single" w:sz="8" w:color="C6D9F1"/>
            </w:tcBorders>
            <w:shd w:val="clear" w:color="auto" w:fill="C6D9F1"/>
          </w:tcPr>
          <w:p>
            <w:pPr>
              <w:spacing w:after="0"/>
              <w:rPr>
                <w:sz w:val="17"/>
                <w:szCs w:val="17"/>
                <w:color w:val="auto"/>
              </w:rPr>
            </w:pPr>
          </w:p>
        </w:tc>
        <w:tc>
          <w:tcPr>
            <w:tcW w:w="1100" w:type="dxa"/>
            <w:vAlign w:val="bottom"/>
            <w:tcBorders>
              <w:top w:val="single" w:sz="8" w:color="auto"/>
            </w:tcBorders>
            <w:shd w:val="clear" w:color="auto" w:fill="C6D9F1"/>
          </w:tcPr>
          <w:p>
            <w:pPr>
              <w:jc w:val="right"/>
              <w:ind w:right="113"/>
              <w:spacing w:after="0" w:line="196" w:lineRule="exact"/>
              <w:rPr>
                <w:sz w:val="20"/>
                <w:szCs w:val="20"/>
                <w:color w:val="auto"/>
              </w:rPr>
            </w:pPr>
            <w:r>
              <w:rPr>
                <w:rFonts w:ascii="Arial" w:cs="Arial" w:eastAsia="Arial" w:hAnsi="Arial"/>
                <w:sz w:val="18"/>
                <w:szCs w:val="18"/>
                <w:color w:val="auto"/>
              </w:rPr>
              <w:t>600,000</w:t>
            </w:r>
          </w:p>
        </w:tc>
        <w:tc>
          <w:tcPr>
            <w:tcW w:w="100" w:type="dxa"/>
            <w:vAlign w:val="bottom"/>
            <w:tcBorders>
              <w:top w:val="single" w:sz="8" w:color="C6D9F1"/>
            </w:tcBorders>
            <w:shd w:val="clear" w:color="auto" w:fill="C6D9F1"/>
          </w:tcPr>
          <w:p>
            <w:pPr>
              <w:spacing w:after="0"/>
              <w:rPr>
                <w:sz w:val="17"/>
                <w:szCs w:val="17"/>
                <w:color w:val="auto"/>
              </w:rPr>
            </w:pPr>
          </w:p>
        </w:tc>
        <w:tc>
          <w:tcPr>
            <w:tcW w:w="920" w:type="dxa"/>
            <w:vAlign w:val="bottom"/>
            <w:tcBorders>
              <w:top w:val="single" w:sz="8" w:color="auto"/>
            </w:tcBorders>
            <w:shd w:val="clear" w:color="auto" w:fill="C6D9F1"/>
          </w:tcPr>
          <w:p>
            <w:pPr>
              <w:jc w:val="right"/>
              <w:ind w:right="72"/>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6D9F1"/>
            </w:tcBorders>
            <w:shd w:val="clear" w:color="auto" w:fill="C6D9F1"/>
          </w:tcPr>
          <w:p>
            <w:pPr>
              <w:spacing w:after="0"/>
              <w:rPr>
                <w:sz w:val="17"/>
                <w:szCs w:val="17"/>
                <w:color w:val="auto"/>
              </w:rPr>
            </w:pPr>
          </w:p>
        </w:tc>
        <w:tc>
          <w:tcPr>
            <w:tcW w:w="900" w:type="dxa"/>
            <w:vAlign w:val="bottom"/>
            <w:tcBorders>
              <w:top w:val="single" w:sz="8" w:color="auto"/>
            </w:tcBorders>
            <w:shd w:val="clear" w:color="auto" w:fill="C6D9F1"/>
          </w:tcPr>
          <w:p>
            <w:pPr>
              <w:jc w:val="right"/>
              <w:spacing w:after="0" w:line="196" w:lineRule="exact"/>
              <w:rPr>
                <w:sz w:val="20"/>
                <w:szCs w:val="20"/>
                <w:color w:val="auto"/>
              </w:rPr>
            </w:pPr>
            <w:r>
              <w:rPr>
                <w:rFonts w:ascii="Arial" w:cs="Arial" w:eastAsia="Arial" w:hAnsi="Arial"/>
                <w:sz w:val="18"/>
                <w:szCs w:val="18"/>
                <w:color w:val="auto"/>
              </w:rPr>
              <w:t>6,119,000</w:t>
            </w:r>
          </w:p>
        </w:tc>
        <w:tc>
          <w:tcPr>
            <w:tcW w:w="120" w:type="dxa"/>
            <w:vAlign w:val="bottom"/>
            <w:tcBorders>
              <w:top w:val="single" w:sz="8" w:color="C6D9F1"/>
            </w:tcBorders>
            <w:shd w:val="clear" w:color="auto" w:fill="C6D9F1"/>
          </w:tcPr>
          <w:p>
            <w:pPr>
              <w:spacing w:after="0"/>
              <w:rPr>
                <w:sz w:val="17"/>
                <w:szCs w:val="17"/>
                <w:color w:val="auto"/>
              </w:rPr>
            </w:pPr>
          </w:p>
        </w:tc>
        <w:tc>
          <w:tcPr>
            <w:tcW w:w="1120" w:type="dxa"/>
            <w:vAlign w:val="bottom"/>
            <w:tcBorders>
              <w:top w:val="single" w:sz="8" w:color="auto"/>
            </w:tcBorders>
            <w:shd w:val="clear" w:color="auto" w:fill="C6D9F1"/>
          </w:tcPr>
          <w:p>
            <w:pPr>
              <w:jc w:val="right"/>
              <w:spacing w:after="0" w:line="196" w:lineRule="exact"/>
              <w:rPr>
                <w:sz w:val="20"/>
                <w:szCs w:val="20"/>
                <w:color w:val="auto"/>
              </w:rPr>
            </w:pPr>
            <w:r>
              <w:rPr>
                <w:rFonts w:ascii="Arial" w:cs="Arial" w:eastAsia="Arial" w:hAnsi="Arial"/>
                <w:sz w:val="18"/>
                <w:szCs w:val="18"/>
                <w:color w:val="auto"/>
              </w:rPr>
              <w:t>621,129</w:t>
            </w:r>
          </w:p>
        </w:tc>
        <w:tc>
          <w:tcPr>
            <w:tcW w:w="100" w:type="dxa"/>
            <w:vAlign w:val="bottom"/>
            <w:tcBorders>
              <w:top w:val="single" w:sz="8" w:color="C6D9F1"/>
            </w:tcBorders>
            <w:shd w:val="clear" w:color="auto" w:fill="C6D9F1"/>
          </w:tcPr>
          <w:p>
            <w:pPr>
              <w:spacing w:after="0"/>
              <w:rPr>
                <w:sz w:val="17"/>
                <w:szCs w:val="17"/>
                <w:color w:val="auto"/>
              </w:rPr>
            </w:pPr>
          </w:p>
        </w:tc>
        <w:tc>
          <w:tcPr>
            <w:tcW w:w="1140" w:type="dxa"/>
            <w:vAlign w:val="bottom"/>
            <w:tcBorders>
              <w:top w:val="single" w:sz="8" w:color="auto"/>
            </w:tcBorders>
            <w:shd w:val="clear" w:color="auto" w:fill="C6D9F1"/>
          </w:tcPr>
          <w:p>
            <w:pPr>
              <w:jc w:val="right"/>
              <w:ind w:right="57"/>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6D9F1"/>
            </w:tcBorders>
            <w:shd w:val="clear" w:color="auto" w:fill="C6D9F1"/>
          </w:tcPr>
          <w:p>
            <w:pPr>
              <w:spacing w:after="0"/>
              <w:rPr>
                <w:sz w:val="17"/>
                <w:szCs w:val="17"/>
                <w:color w:val="auto"/>
              </w:rPr>
            </w:pPr>
          </w:p>
        </w:tc>
        <w:tc>
          <w:tcPr>
            <w:tcW w:w="1180" w:type="dxa"/>
            <w:vAlign w:val="bottom"/>
            <w:tcBorders>
              <w:top w:val="single" w:sz="8" w:color="auto"/>
            </w:tcBorders>
            <w:shd w:val="clear" w:color="auto" w:fill="C6D9F1"/>
          </w:tcPr>
          <w:p>
            <w:pPr>
              <w:jc w:val="right"/>
              <w:spacing w:after="0" w:line="196" w:lineRule="exact"/>
              <w:rPr>
                <w:sz w:val="20"/>
                <w:szCs w:val="20"/>
                <w:color w:val="auto"/>
              </w:rPr>
            </w:pPr>
            <w:r>
              <w:rPr>
                <w:rFonts w:ascii="Arial" w:cs="Arial" w:eastAsia="Arial" w:hAnsi="Arial"/>
                <w:sz w:val="18"/>
                <w:szCs w:val="18"/>
                <w:color w:val="auto"/>
              </w:rPr>
              <w:t>35,014</w:t>
            </w:r>
            <w:r>
              <w:rPr>
                <w:rFonts w:ascii="Arial" w:cs="Arial" w:eastAsia="Arial" w:hAnsi="Arial"/>
                <w:sz w:val="15"/>
                <w:szCs w:val="15"/>
                <w:color w:val="auto"/>
              </w:rPr>
              <w:t>(6)</w:t>
            </w:r>
          </w:p>
        </w:tc>
        <w:tc>
          <w:tcPr>
            <w:tcW w:w="100" w:type="dxa"/>
            <w:vAlign w:val="bottom"/>
            <w:tcBorders>
              <w:top w:val="single" w:sz="8" w:color="C6D9F1"/>
            </w:tcBorders>
            <w:shd w:val="clear" w:color="auto" w:fill="C6D9F1"/>
          </w:tcPr>
          <w:p>
            <w:pPr>
              <w:spacing w:after="0"/>
              <w:rPr>
                <w:sz w:val="17"/>
                <w:szCs w:val="17"/>
                <w:color w:val="auto"/>
              </w:rPr>
            </w:pPr>
          </w:p>
        </w:tc>
        <w:tc>
          <w:tcPr>
            <w:tcW w:w="1020" w:type="dxa"/>
            <w:vAlign w:val="bottom"/>
            <w:tcBorders>
              <w:top w:val="single" w:sz="8" w:color="auto"/>
            </w:tcBorders>
            <w:shd w:val="clear" w:color="auto" w:fill="C6D9F1"/>
          </w:tcPr>
          <w:p>
            <w:pPr>
              <w:jc w:val="right"/>
              <w:ind w:right="12"/>
              <w:spacing w:after="0" w:line="196" w:lineRule="exact"/>
              <w:rPr>
                <w:sz w:val="20"/>
                <w:szCs w:val="20"/>
                <w:color w:val="auto"/>
              </w:rPr>
            </w:pPr>
            <w:r>
              <w:rPr>
                <w:rFonts w:ascii="Arial" w:cs="Arial" w:eastAsia="Arial" w:hAnsi="Arial"/>
                <w:sz w:val="18"/>
                <w:szCs w:val="18"/>
                <w:color w:val="auto"/>
              </w:rPr>
              <w:t>7,375,143</w:t>
            </w:r>
          </w:p>
        </w:tc>
      </w:tr>
      <w:tr>
        <w:trPr>
          <w:trHeight w:val="216"/>
        </w:trPr>
        <w:tc>
          <w:tcPr>
            <w:tcW w:w="2640" w:type="dxa"/>
            <w:vAlign w:val="bottom"/>
            <w:shd w:val="clear" w:color="auto" w:fill="C6D9F1"/>
          </w:tcPr>
          <w:p>
            <w:pPr>
              <w:ind w:left="100"/>
              <w:spacing w:after="0"/>
              <w:rPr>
                <w:sz w:val="20"/>
                <w:szCs w:val="20"/>
                <w:color w:val="auto"/>
              </w:rPr>
            </w:pPr>
            <w:r>
              <w:rPr>
                <w:rFonts w:ascii="Arial" w:cs="Arial" w:eastAsia="Arial" w:hAnsi="Arial"/>
                <w:sz w:val="18"/>
                <w:szCs w:val="18"/>
                <w:color w:val="auto"/>
              </w:rPr>
              <w:t>Vice Chairman</w:t>
            </w:r>
          </w:p>
        </w:tc>
        <w:tc>
          <w:tcPr>
            <w:tcW w:w="100" w:type="dxa"/>
            <w:vAlign w:val="bottom"/>
            <w:shd w:val="clear" w:color="auto" w:fill="C6D9F1"/>
          </w:tcPr>
          <w:p>
            <w:pPr>
              <w:spacing w:after="0"/>
              <w:rPr>
                <w:sz w:val="18"/>
                <w:szCs w:val="18"/>
                <w:color w:val="auto"/>
              </w:rPr>
            </w:pPr>
          </w:p>
        </w:tc>
        <w:tc>
          <w:tcPr>
            <w:tcW w:w="580" w:type="dxa"/>
            <w:vAlign w:val="bottom"/>
            <w:shd w:val="clear" w:color="auto" w:fill="C6D9F1"/>
          </w:tcPr>
          <w:p>
            <w:pPr>
              <w:jc w:val="center"/>
              <w:spacing w:after="0"/>
              <w:rPr>
                <w:sz w:val="20"/>
                <w:szCs w:val="20"/>
                <w:color w:val="auto"/>
              </w:rPr>
            </w:pPr>
            <w:r>
              <w:rPr>
                <w:rFonts w:ascii="Arial" w:cs="Arial" w:eastAsia="Arial" w:hAnsi="Arial"/>
                <w:sz w:val="18"/>
                <w:szCs w:val="18"/>
                <w:color w:val="auto"/>
                <w:w w:val="99"/>
              </w:rPr>
              <w:t>2014</w:t>
            </w:r>
          </w:p>
        </w:tc>
        <w:tc>
          <w:tcPr>
            <w:tcW w:w="1200" w:type="dxa"/>
            <w:vAlign w:val="bottom"/>
            <w:gridSpan w:val="2"/>
            <w:shd w:val="clear" w:color="auto" w:fill="C6D9F1"/>
          </w:tcPr>
          <w:p>
            <w:pPr>
              <w:jc w:val="right"/>
              <w:ind w:right="113"/>
              <w:spacing w:after="0"/>
              <w:rPr>
                <w:sz w:val="20"/>
                <w:szCs w:val="20"/>
                <w:color w:val="auto"/>
              </w:rPr>
            </w:pPr>
            <w:r>
              <w:rPr>
                <w:rFonts w:ascii="Arial" w:cs="Arial" w:eastAsia="Arial" w:hAnsi="Arial"/>
                <w:sz w:val="18"/>
                <w:szCs w:val="18"/>
                <w:color w:val="auto"/>
              </w:rPr>
              <w:t>565,000</w:t>
            </w:r>
          </w:p>
        </w:tc>
        <w:tc>
          <w:tcPr>
            <w:tcW w:w="100" w:type="dxa"/>
            <w:vAlign w:val="bottom"/>
            <w:shd w:val="clear" w:color="auto" w:fill="C6D9F1"/>
          </w:tcPr>
          <w:p>
            <w:pPr>
              <w:spacing w:after="0"/>
              <w:rPr>
                <w:sz w:val="18"/>
                <w:szCs w:val="18"/>
                <w:color w:val="auto"/>
              </w:rPr>
            </w:pPr>
          </w:p>
        </w:tc>
        <w:tc>
          <w:tcPr>
            <w:tcW w:w="1020" w:type="dxa"/>
            <w:vAlign w:val="bottom"/>
            <w:gridSpan w:val="2"/>
            <w:shd w:val="clear" w:color="auto" w:fill="C6D9F1"/>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6D9F1"/>
          </w:tcPr>
          <w:p>
            <w:pPr>
              <w:jc w:val="right"/>
              <w:ind w:right="120"/>
              <w:spacing w:after="0"/>
              <w:rPr>
                <w:sz w:val="20"/>
                <w:szCs w:val="20"/>
                <w:color w:val="auto"/>
              </w:rPr>
            </w:pPr>
            <w:r>
              <w:rPr>
                <w:rFonts w:ascii="Arial" w:cs="Arial" w:eastAsia="Arial" w:hAnsi="Arial"/>
                <w:sz w:val="18"/>
                <w:szCs w:val="18"/>
                <w:color w:val="auto"/>
              </w:rPr>
              <w:t>2,164,263</w:t>
            </w:r>
          </w:p>
        </w:tc>
        <w:tc>
          <w:tcPr>
            <w:tcW w:w="1220" w:type="dxa"/>
            <w:vAlign w:val="bottom"/>
            <w:gridSpan w:val="2"/>
            <w:shd w:val="clear" w:color="auto" w:fill="C6D9F1"/>
          </w:tcPr>
          <w:p>
            <w:pPr>
              <w:jc w:val="right"/>
              <w:ind w:right="100"/>
              <w:spacing w:after="0"/>
              <w:rPr>
                <w:sz w:val="20"/>
                <w:szCs w:val="20"/>
                <w:color w:val="auto"/>
              </w:rPr>
            </w:pPr>
            <w:r>
              <w:rPr>
                <w:rFonts w:ascii="Arial" w:cs="Arial" w:eastAsia="Arial" w:hAnsi="Arial"/>
                <w:sz w:val="18"/>
                <w:szCs w:val="18"/>
                <w:color w:val="auto"/>
              </w:rPr>
              <w:t>535,760</w:t>
            </w:r>
          </w:p>
        </w:tc>
        <w:tc>
          <w:tcPr>
            <w:tcW w:w="1240" w:type="dxa"/>
            <w:vAlign w:val="bottom"/>
            <w:gridSpan w:val="2"/>
            <w:shd w:val="clear" w:color="auto" w:fill="C6D9F1"/>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6D9F1"/>
          </w:tcPr>
          <w:p>
            <w:pPr>
              <w:jc w:val="right"/>
              <w:ind w:right="194"/>
              <w:spacing w:after="0"/>
              <w:rPr>
                <w:sz w:val="20"/>
                <w:szCs w:val="20"/>
                <w:color w:val="auto"/>
              </w:rPr>
            </w:pPr>
            <w:r>
              <w:rPr>
                <w:rFonts w:ascii="Arial" w:cs="Arial" w:eastAsia="Arial" w:hAnsi="Arial"/>
                <w:sz w:val="18"/>
                <w:szCs w:val="18"/>
                <w:color w:val="auto"/>
              </w:rPr>
              <w:t>44,198</w:t>
            </w:r>
          </w:p>
        </w:tc>
        <w:tc>
          <w:tcPr>
            <w:tcW w:w="100" w:type="dxa"/>
            <w:vAlign w:val="bottom"/>
            <w:shd w:val="clear" w:color="auto" w:fill="C6D9F1"/>
          </w:tcPr>
          <w:p>
            <w:pPr>
              <w:spacing w:after="0"/>
              <w:rPr>
                <w:sz w:val="18"/>
                <w:szCs w:val="18"/>
                <w:color w:val="auto"/>
              </w:rPr>
            </w:pPr>
          </w:p>
        </w:tc>
        <w:tc>
          <w:tcPr>
            <w:tcW w:w="1020" w:type="dxa"/>
            <w:vAlign w:val="bottom"/>
            <w:shd w:val="clear" w:color="auto" w:fill="C6D9F1"/>
          </w:tcPr>
          <w:p>
            <w:pPr>
              <w:jc w:val="right"/>
              <w:ind w:right="12"/>
              <w:spacing w:after="0"/>
              <w:rPr>
                <w:sz w:val="20"/>
                <w:szCs w:val="20"/>
                <w:color w:val="auto"/>
              </w:rPr>
            </w:pPr>
            <w:r>
              <w:rPr>
                <w:rFonts w:ascii="Arial" w:cs="Arial" w:eastAsia="Arial" w:hAnsi="Arial"/>
                <w:sz w:val="18"/>
                <w:szCs w:val="18"/>
                <w:color w:val="auto"/>
              </w:rPr>
              <w:t>3,309,221</w:t>
            </w:r>
          </w:p>
        </w:tc>
      </w:tr>
      <w:tr>
        <w:trPr>
          <w:trHeight w:val="216"/>
        </w:trPr>
        <w:tc>
          <w:tcPr>
            <w:tcW w:w="2640" w:type="dxa"/>
            <w:vAlign w:val="bottom"/>
            <w:shd w:val="clear" w:color="auto" w:fill="C6D9F1"/>
          </w:tcPr>
          <w:p>
            <w:pPr>
              <w:ind w:left="100"/>
              <w:spacing w:after="0"/>
              <w:rPr>
                <w:sz w:val="20"/>
                <w:szCs w:val="20"/>
                <w:color w:val="auto"/>
              </w:rPr>
            </w:pPr>
            <w:r>
              <w:rPr>
                <w:rFonts w:ascii="Arial" w:cs="Arial" w:eastAsia="Arial" w:hAnsi="Arial"/>
                <w:sz w:val="18"/>
                <w:szCs w:val="18"/>
                <w:color w:val="auto"/>
              </w:rPr>
              <w:t>&amp; CEO</w:t>
            </w:r>
          </w:p>
        </w:tc>
        <w:tc>
          <w:tcPr>
            <w:tcW w:w="100" w:type="dxa"/>
            <w:vAlign w:val="bottom"/>
            <w:shd w:val="clear" w:color="auto" w:fill="C6D9F1"/>
          </w:tcPr>
          <w:p>
            <w:pPr>
              <w:spacing w:after="0"/>
              <w:rPr>
                <w:sz w:val="18"/>
                <w:szCs w:val="18"/>
                <w:color w:val="auto"/>
              </w:rPr>
            </w:pPr>
          </w:p>
        </w:tc>
        <w:tc>
          <w:tcPr>
            <w:tcW w:w="580" w:type="dxa"/>
            <w:vAlign w:val="bottom"/>
            <w:shd w:val="clear" w:color="auto" w:fill="C6D9F1"/>
          </w:tcPr>
          <w:p>
            <w:pPr>
              <w:jc w:val="center"/>
              <w:spacing w:after="0"/>
              <w:rPr>
                <w:sz w:val="20"/>
                <w:szCs w:val="20"/>
                <w:color w:val="auto"/>
              </w:rPr>
            </w:pPr>
            <w:r>
              <w:rPr>
                <w:rFonts w:ascii="Arial" w:cs="Arial" w:eastAsia="Arial" w:hAnsi="Arial"/>
                <w:sz w:val="18"/>
                <w:szCs w:val="18"/>
                <w:color w:val="auto"/>
                <w:w w:val="99"/>
              </w:rPr>
              <w:t>2013</w:t>
            </w:r>
          </w:p>
        </w:tc>
        <w:tc>
          <w:tcPr>
            <w:tcW w:w="1200" w:type="dxa"/>
            <w:vAlign w:val="bottom"/>
            <w:gridSpan w:val="2"/>
            <w:shd w:val="clear" w:color="auto" w:fill="C6D9F1"/>
          </w:tcPr>
          <w:p>
            <w:pPr>
              <w:jc w:val="right"/>
              <w:ind w:right="113"/>
              <w:spacing w:after="0"/>
              <w:rPr>
                <w:sz w:val="20"/>
                <w:szCs w:val="20"/>
                <w:color w:val="auto"/>
              </w:rPr>
            </w:pPr>
            <w:r>
              <w:rPr>
                <w:rFonts w:ascii="Arial" w:cs="Arial" w:eastAsia="Arial" w:hAnsi="Arial"/>
                <w:sz w:val="18"/>
                <w:szCs w:val="18"/>
                <w:color w:val="auto"/>
              </w:rPr>
              <w:t>553,904</w:t>
            </w:r>
          </w:p>
        </w:tc>
        <w:tc>
          <w:tcPr>
            <w:tcW w:w="100" w:type="dxa"/>
            <w:vAlign w:val="bottom"/>
            <w:shd w:val="clear" w:color="auto" w:fill="C6D9F1"/>
          </w:tcPr>
          <w:p>
            <w:pPr>
              <w:spacing w:after="0"/>
              <w:rPr>
                <w:sz w:val="18"/>
                <w:szCs w:val="18"/>
                <w:color w:val="auto"/>
              </w:rPr>
            </w:pPr>
          </w:p>
        </w:tc>
        <w:tc>
          <w:tcPr>
            <w:tcW w:w="1020" w:type="dxa"/>
            <w:vAlign w:val="bottom"/>
            <w:gridSpan w:val="2"/>
            <w:shd w:val="clear" w:color="auto" w:fill="C6D9F1"/>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6D9F1"/>
          </w:tcPr>
          <w:p>
            <w:pPr>
              <w:jc w:val="right"/>
              <w:ind w:right="120"/>
              <w:spacing w:after="0"/>
              <w:rPr>
                <w:sz w:val="20"/>
                <w:szCs w:val="20"/>
                <w:color w:val="auto"/>
              </w:rPr>
            </w:pPr>
            <w:r>
              <w:rPr>
                <w:rFonts w:ascii="Arial" w:cs="Arial" w:eastAsia="Arial" w:hAnsi="Arial"/>
                <w:sz w:val="18"/>
                <w:szCs w:val="18"/>
                <w:color w:val="auto"/>
              </w:rPr>
              <w:t>2,276,711</w:t>
            </w:r>
          </w:p>
        </w:tc>
        <w:tc>
          <w:tcPr>
            <w:tcW w:w="1220" w:type="dxa"/>
            <w:vAlign w:val="bottom"/>
            <w:gridSpan w:val="2"/>
            <w:shd w:val="clear" w:color="auto" w:fill="C6D9F1"/>
          </w:tcPr>
          <w:p>
            <w:pPr>
              <w:jc w:val="right"/>
              <w:ind w:right="100"/>
              <w:spacing w:after="0"/>
              <w:rPr>
                <w:sz w:val="20"/>
                <w:szCs w:val="20"/>
                <w:color w:val="auto"/>
              </w:rPr>
            </w:pPr>
            <w:r>
              <w:rPr>
                <w:rFonts w:ascii="Arial" w:cs="Arial" w:eastAsia="Arial" w:hAnsi="Arial"/>
                <w:sz w:val="18"/>
                <w:szCs w:val="18"/>
                <w:color w:val="auto"/>
              </w:rPr>
              <w:t>169,070</w:t>
            </w:r>
          </w:p>
        </w:tc>
        <w:tc>
          <w:tcPr>
            <w:tcW w:w="1240" w:type="dxa"/>
            <w:vAlign w:val="bottom"/>
            <w:gridSpan w:val="2"/>
            <w:shd w:val="clear" w:color="auto" w:fill="C6D9F1"/>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6D9F1"/>
          </w:tcPr>
          <w:p>
            <w:pPr>
              <w:jc w:val="right"/>
              <w:ind w:right="194"/>
              <w:spacing w:after="0"/>
              <w:rPr>
                <w:sz w:val="20"/>
                <w:szCs w:val="20"/>
                <w:color w:val="auto"/>
              </w:rPr>
            </w:pPr>
            <w:r>
              <w:rPr>
                <w:rFonts w:ascii="Arial" w:cs="Arial" w:eastAsia="Arial" w:hAnsi="Arial"/>
                <w:sz w:val="18"/>
                <w:szCs w:val="18"/>
                <w:color w:val="auto"/>
              </w:rPr>
              <w:t>38,433</w:t>
            </w:r>
          </w:p>
        </w:tc>
        <w:tc>
          <w:tcPr>
            <w:tcW w:w="100" w:type="dxa"/>
            <w:vAlign w:val="bottom"/>
            <w:shd w:val="clear" w:color="auto" w:fill="C6D9F1"/>
          </w:tcPr>
          <w:p>
            <w:pPr>
              <w:spacing w:after="0"/>
              <w:rPr>
                <w:sz w:val="18"/>
                <w:szCs w:val="18"/>
                <w:color w:val="auto"/>
              </w:rPr>
            </w:pPr>
          </w:p>
        </w:tc>
        <w:tc>
          <w:tcPr>
            <w:tcW w:w="1020" w:type="dxa"/>
            <w:vAlign w:val="bottom"/>
            <w:shd w:val="clear" w:color="auto" w:fill="C6D9F1"/>
          </w:tcPr>
          <w:p>
            <w:pPr>
              <w:jc w:val="right"/>
              <w:ind w:right="12"/>
              <w:spacing w:after="0"/>
              <w:rPr>
                <w:sz w:val="20"/>
                <w:szCs w:val="20"/>
                <w:color w:val="auto"/>
              </w:rPr>
            </w:pPr>
            <w:r>
              <w:rPr>
                <w:rFonts w:ascii="Arial" w:cs="Arial" w:eastAsia="Arial" w:hAnsi="Arial"/>
                <w:sz w:val="18"/>
                <w:szCs w:val="18"/>
                <w:color w:val="auto"/>
              </w:rPr>
              <w:t>3,038,118</w:t>
            </w:r>
          </w:p>
        </w:tc>
      </w:tr>
      <w:tr>
        <w:trPr>
          <w:trHeight w:val="229"/>
        </w:trPr>
        <w:tc>
          <w:tcPr>
            <w:tcW w:w="2640" w:type="dxa"/>
            <w:vAlign w:val="bottom"/>
          </w:tcPr>
          <w:p>
            <w:pPr>
              <w:spacing w:after="0"/>
              <w:rPr>
                <w:sz w:val="20"/>
                <w:szCs w:val="20"/>
                <w:color w:val="auto"/>
              </w:rPr>
            </w:pPr>
            <w:r>
              <w:rPr>
                <w:rFonts w:ascii="Arial" w:cs="Arial" w:eastAsia="Arial" w:hAnsi="Arial"/>
                <w:sz w:val="18"/>
                <w:szCs w:val="18"/>
                <w:b w:val="1"/>
                <w:bCs w:val="1"/>
                <w:color w:val="auto"/>
              </w:rPr>
              <w:t>Vishal Chhibbar</w:t>
            </w:r>
          </w:p>
        </w:tc>
        <w:tc>
          <w:tcPr>
            <w:tcW w:w="68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2015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251,341</w:t>
            </w:r>
            <w:r>
              <w:rPr>
                <w:rFonts w:ascii="Arial" w:cs="Arial" w:eastAsia="Arial" w:hAnsi="Arial"/>
                <w:sz w:val="15"/>
                <w:szCs w:val="15"/>
                <w:color w:val="auto"/>
              </w:rPr>
              <w:t>(1)</w:t>
            </w:r>
          </w:p>
        </w:tc>
        <w:tc>
          <w:tcPr>
            <w:tcW w:w="10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595,800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157,049</w:t>
            </w:r>
          </w:p>
        </w:tc>
        <w:tc>
          <w:tcPr>
            <w:tcW w:w="1140" w:type="dxa"/>
            <w:vAlign w:val="bottom"/>
          </w:tcPr>
          <w:p>
            <w:pPr>
              <w:jc w:val="right"/>
              <w:ind w:right="57"/>
              <w:spacing w:after="0"/>
              <w:rPr>
                <w:sz w:val="20"/>
                <w:szCs w:val="20"/>
                <w:color w:val="auto"/>
              </w:rPr>
            </w:pPr>
            <w:r>
              <w:rPr>
                <w:rFonts w:ascii="Arial" w:cs="Arial" w:eastAsia="Arial" w:hAnsi="Arial"/>
                <w:sz w:val="18"/>
                <w:szCs w:val="18"/>
                <w:color w:val="auto"/>
              </w:rPr>
              <w:t>8,340</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34,775</w:t>
            </w:r>
            <w:r>
              <w:rPr>
                <w:rFonts w:ascii="Arial" w:cs="Arial" w:eastAsia="Arial" w:hAnsi="Arial"/>
                <w:sz w:val="15"/>
                <w:szCs w:val="15"/>
                <w:color w:val="auto"/>
              </w:rPr>
              <w:t>(7)</w:t>
            </w:r>
          </w:p>
        </w:tc>
        <w:tc>
          <w:tcPr>
            <w:tcW w:w="100" w:type="dxa"/>
            <w:vAlign w:val="bottom"/>
          </w:tcPr>
          <w:p>
            <w:pPr>
              <w:spacing w:after="0"/>
              <w:rPr>
                <w:sz w:val="19"/>
                <w:szCs w:val="19"/>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1,047,305</w:t>
            </w:r>
          </w:p>
        </w:tc>
      </w:tr>
      <w:tr>
        <w:trPr>
          <w:trHeight w:val="216"/>
        </w:trPr>
        <w:tc>
          <w:tcPr>
            <w:tcW w:w="2640" w:type="dxa"/>
            <w:vAlign w:val="bottom"/>
          </w:tcPr>
          <w:p>
            <w:pPr>
              <w:ind w:left="100"/>
              <w:spacing w:after="0"/>
              <w:rPr>
                <w:sz w:val="20"/>
                <w:szCs w:val="20"/>
                <w:color w:val="auto"/>
              </w:rPr>
            </w:pPr>
            <w:r>
              <w:rPr>
                <w:rFonts w:ascii="Arial" w:cs="Arial" w:eastAsia="Arial" w:hAnsi="Arial"/>
                <w:sz w:val="18"/>
                <w:szCs w:val="18"/>
                <w:color w:val="auto"/>
              </w:rPr>
              <w:t>Executive Vice</w:t>
            </w:r>
          </w:p>
        </w:tc>
        <w:tc>
          <w:tcPr>
            <w:tcW w:w="68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2014</w:t>
            </w:r>
          </w:p>
        </w:tc>
        <w:tc>
          <w:tcPr>
            <w:tcW w:w="1200" w:type="dxa"/>
            <w:vAlign w:val="bottom"/>
            <w:gridSpan w:val="2"/>
          </w:tcPr>
          <w:p>
            <w:pPr>
              <w:jc w:val="right"/>
              <w:ind w:right="113"/>
              <w:spacing w:after="0"/>
              <w:rPr>
                <w:sz w:val="20"/>
                <w:szCs w:val="20"/>
                <w:color w:val="auto"/>
              </w:rPr>
            </w:pPr>
            <w:r>
              <w:rPr>
                <w:rFonts w:ascii="Arial" w:cs="Arial" w:eastAsia="Arial" w:hAnsi="Arial"/>
                <w:sz w:val="18"/>
                <w:szCs w:val="18"/>
                <w:color w:val="auto"/>
              </w:rPr>
              <w:t>250,272</w:t>
            </w: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415,549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130,457</w:t>
            </w:r>
          </w:p>
        </w:tc>
        <w:tc>
          <w:tcPr>
            <w:tcW w:w="1140" w:type="dxa"/>
            <w:vAlign w:val="bottom"/>
          </w:tcPr>
          <w:p>
            <w:pPr>
              <w:jc w:val="right"/>
              <w:ind w:right="57"/>
              <w:spacing w:after="0"/>
              <w:rPr>
                <w:sz w:val="20"/>
                <w:szCs w:val="20"/>
                <w:color w:val="auto"/>
              </w:rPr>
            </w:pPr>
            <w:r>
              <w:rPr>
                <w:rFonts w:ascii="Arial" w:cs="Arial" w:eastAsia="Arial" w:hAnsi="Arial"/>
                <w:sz w:val="18"/>
                <w:szCs w:val="18"/>
                <w:color w:val="auto"/>
              </w:rPr>
              <w:t>8,066</w:t>
            </w:r>
          </w:p>
        </w:tc>
        <w:tc>
          <w:tcPr>
            <w:tcW w:w="100" w:type="dxa"/>
            <w:vAlign w:val="bottom"/>
          </w:tcPr>
          <w:p>
            <w:pPr>
              <w:spacing w:after="0"/>
              <w:rPr>
                <w:sz w:val="18"/>
                <w:szCs w:val="18"/>
                <w:color w:val="auto"/>
              </w:rPr>
            </w:pPr>
          </w:p>
        </w:tc>
        <w:tc>
          <w:tcPr>
            <w:tcW w:w="1180" w:type="dxa"/>
            <w:vAlign w:val="bottom"/>
          </w:tcPr>
          <w:p>
            <w:pPr>
              <w:jc w:val="right"/>
              <w:ind w:right="194"/>
              <w:spacing w:after="0"/>
              <w:rPr>
                <w:sz w:val="20"/>
                <w:szCs w:val="20"/>
                <w:color w:val="auto"/>
              </w:rPr>
            </w:pPr>
            <w:r>
              <w:rPr>
                <w:rFonts w:ascii="Arial" w:cs="Arial" w:eastAsia="Arial" w:hAnsi="Arial"/>
                <w:sz w:val="18"/>
                <w:szCs w:val="18"/>
                <w:color w:val="auto"/>
              </w:rPr>
              <w:t>35,879</w:t>
            </w:r>
          </w:p>
        </w:tc>
        <w:tc>
          <w:tcPr>
            <w:tcW w:w="100" w:type="dxa"/>
            <w:vAlign w:val="bottom"/>
          </w:tcPr>
          <w:p>
            <w:pPr>
              <w:spacing w:after="0"/>
              <w:rPr>
                <w:sz w:val="18"/>
                <w:szCs w:val="18"/>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840,222</w:t>
            </w:r>
          </w:p>
        </w:tc>
      </w:tr>
      <w:tr>
        <w:trPr>
          <w:trHeight w:val="216"/>
        </w:trPr>
        <w:tc>
          <w:tcPr>
            <w:tcW w:w="2640" w:type="dxa"/>
            <w:vAlign w:val="bottom"/>
          </w:tcPr>
          <w:p>
            <w:pPr>
              <w:ind w:left="100"/>
              <w:spacing w:after="0"/>
              <w:rPr>
                <w:sz w:val="20"/>
                <w:szCs w:val="20"/>
                <w:color w:val="auto"/>
              </w:rPr>
            </w:pPr>
            <w:r>
              <w:rPr>
                <w:rFonts w:ascii="Arial" w:cs="Arial" w:eastAsia="Arial" w:hAnsi="Arial"/>
                <w:sz w:val="18"/>
                <w:szCs w:val="18"/>
                <w:color w:val="auto"/>
              </w:rPr>
              <w:t>President and</w:t>
            </w:r>
          </w:p>
        </w:tc>
        <w:tc>
          <w:tcPr>
            <w:tcW w:w="68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2013</w:t>
            </w:r>
          </w:p>
        </w:tc>
        <w:tc>
          <w:tcPr>
            <w:tcW w:w="1200" w:type="dxa"/>
            <w:vAlign w:val="bottom"/>
            <w:gridSpan w:val="2"/>
          </w:tcPr>
          <w:p>
            <w:pPr>
              <w:jc w:val="right"/>
              <w:ind w:right="113"/>
              <w:spacing w:after="0"/>
              <w:rPr>
                <w:sz w:val="20"/>
                <w:szCs w:val="20"/>
                <w:color w:val="auto"/>
              </w:rPr>
            </w:pPr>
            <w:r>
              <w:rPr>
                <w:rFonts w:ascii="Arial" w:cs="Arial" w:eastAsia="Arial" w:hAnsi="Arial"/>
                <w:sz w:val="18"/>
                <w:szCs w:val="18"/>
                <w:color w:val="auto"/>
              </w:rPr>
              <w:t>250,119</w:t>
            </w:r>
          </w:p>
        </w:tc>
        <w:tc>
          <w:tcPr>
            <w:tcW w:w="100" w:type="dxa"/>
            <w:vAlign w:val="bottom"/>
          </w:tcPr>
          <w:p>
            <w:pPr>
              <w:spacing w:after="0"/>
              <w:rPr>
                <w:sz w:val="18"/>
                <w:szCs w:val="18"/>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6,129</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381,028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109,880</w:t>
            </w:r>
          </w:p>
        </w:tc>
        <w:tc>
          <w:tcPr>
            <w:tcW w:w="1140" w:type="dxa"/>
            <w:vAlign w:val="bottom"/>
          </w:tcPr>
          <w:p>
            <w:pPr>
              <w:jc w:val="right"/>
              <w:ind w:right="57"/>
              <w:spacing w:after="0"/>
              <w:rPr>
                <w:sz w:val="20"/>
                <w:szCs w:val="20"/>
                <w:color w:val="auto"/>
              </w:rPr>
            </w:pPr>
            <w:r>
              <w:rPr>
                <w:rFonts w:ascii="Arial" w:cs="Arial" w:eastAsia="Arial" w:hAnsi="Arial"/>
                <w:sz w:val="18"/>
                <w:szCs w:val="18"/>
                <w:color w:val="auto"/>
              </w:rPr>
              <w:t>7,529</w:t>
            </w:r>
          </w:p>
        </w:tc>
        <w:tc>
          <w:tcPr>
            <w:tcW w:w="100" w:type="dxa"/>
            <w:vAlign w:val="bottom"/>
          </w:tcPr>
          <w:p>
            <w:pPr>
              <w:spacing w:after="0"/>
              <w:rPr>
                <w:sz w:val="18"/>
                <w:szCs w:val="18"/>
                <w:color w:val="auto"/>
              </w:rPr>
            </w:pPr>
          </w:p>
        </w:tc>
        <w:tc>
          <w:tcPr>
            <w:tcW w:w="1180" w:type="dxa"/>
            <w:vAlign w:val="bottom"/>
          </w:tcPr>
          <w:p>
            <w:pPr>
              <w:jc w:val="right"/>
              <w:ind w:right="194"/>
              <w:spacing w:after="0"/>
              <w:rPr>
                <w:sz w:val="20"/>
                <w:szCs w:val="20"/>
                <w:color w:val="auto"/>
              </w:rPr>
            </w:pPr>
            <w:r>
              <w:rPr>
                <w:rFonts w:ascii="Arial" w:cs="Arial" w:eastAsia="Arial" w:hAnsi="Arial"/>
                <w:sz w:val="18"/>
                <w:szCs w:val="18"/>
                <w:color w:val="auto"/>
              </w:rPr>
              <w:t>24,205</w:t>
            </w:r>
          </w:p>
        </w:tc>
        <w:tc>
          <w:tcPr>
            <w:tcW w:w="100" w:type="dxa"/>
            <w:vAlign w:val="bottom"/>
          </w:tcPr>
          <w:p>
            <w:pPr>
              <w:spacing w:after="0"/>
              <w:rPr>
                <w:sz w:val="18"/>
                <w:szCs w:val="18"/>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778,890</w:t>
            </w:r>
          </w:p>
        </w:tc>
      </w:tr>
      <w:tr>
        <w:trPr>
          <w:trHeight w:val="203"/>
        </w:trPr>
        <w:tc>
          <w:tcPr>
            <w:tcW w:w="2640" w:type="dxa"/>
            <w:vAlign w:val="bottom"/>
          </w:tcPr>
          <w:p>
            <w:pPr>
              <w:ind w:left="100"/>
              <w:spacing w:after="0" w:line="203" w:lineRule="exact"/>
              <w:rPr>
                <w:sz w:val="20"/>
                <w:szCs w:val="20"/>
                <w:color w:val="auto"/>
              </w:rPr>
            </w:pPr>
            <w:r>
              <w:rPr>
                <w:rFonts w:ascii="Arial" w:cs="Arial" w:eastAsia="Arial" w:hAnsi="Arial"/>
                <w:sz w:val="18"/>
                <w:szCs w:val="18"/>
                <w:color w:val="auto"/>
              </w:rPr>
              <w:t>CFO</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6"/>
        </w:trPr>
        <w:tc>
          <w:tcPr>
            <w:tcW w:w="2640" w:type="dxa"/>
            <w:vAlign w:val="bottom"/>
            <w:shd w:val="clear" w:color="auto" w:fill="C6D9F1"/>
          </w:tcPr>
          <w:p>
            <w:pPr>
              <w:spacing w:after="0"/>
              <w:rPr>
                <w:sz w:val="20"/>
                <w:szCs w:val="20"/>
                <w:color w:val="auto"/>
              </w:rPr>
            </w:pPr>
            <w:r>
              <w:rPr>
                <w:rFonts w:ascii="Arial" w:cs="Arial" w:eastAsia="Arial" w:hAnsi="Arial"/>
                <w:sz w:val="18"/>
                <w:szCs w:val="18"/>
                <w:b w:val="1"/>
                <w:bCs w:val="1"/>
                <w:color w:val="auto"/>
              </w:rPr>
              <w:t>Pavan Bagai</w:t>
            </w:r>
          </w:p>
        </w:tc>
        <w:tc>
          <w:tcPr>
            <w:tcW w:w="680" w:type="dxa"/>
            <w:vAlign w:val="bottom"/>
            <w:gridSpan w:val="2"/>
            <w:shd w:val="clear" w:color="auto" w:fill="C6D9F1"/>
          </w:tcPr>
          <w:p>
            <w:pPr>
              <w:jc w:val="center"/>
              <w:ind w:left="30"/>
              <w:spacing w:after="0"/>
              <w:rPr>
                <w:sz w:val="20"/>
                <w:szCs w:val="20"/>
                <w:color w:val="auto"/>
              </w:rPr>
            </w:pPr>
            <w:r>
              <w:rPr>
                <w:rFonts w:ascii="Arial" w:cs="Arial" w:eastAsia="Arial" w:hAnsi="Arial"/>
                <w:sz w:val="18"/>
                <w:szCs w:val="18"/>
                <w:color w:val="auto"/>
                <w:w w:val="99"/>
              </w:rPr>
              <w:t>2015</w:t>
            </w:r>
          </w:p>
        </w:tc>
        <w:tc>
          <w:tcPr>
            <w:tcW w:w="1200" w:type="dxa"/>
            <w:vAlign w:val="bottom"/>
            <w:gridSpan w:val="2"/>
            <w:shd w:val="clear" w:color="auto" w:fill="C6D9F1"/>
          </w:tcPr>
          <w:p>
            <w:pPr>
              <w:jc w:val="right"/>
              <w:spacing w:after="0"/>
              <w:rPr>
                <w:sz w:val="20"/>
                <w:szCs w:val="20"/>
                <w:color w:val="auto"/>
              </w:rPr>
            </w:pPr>
            <w:r>
              <w:rPr>
                <w:rFonts w:ascii="Arial" w:cs="Arial" w:eastAsia="Arial" w:hAnsi="Arial"/>
                <w:sz w:val="18"/>
                <w:szCs w:val="18"/>
                <w:color w:val="auto"/>
              </w:rPr>
              <w:t>242,590</w:t>
            </w:r>
            <w:r>
              <w:rPr>
                <w:rFonts w:ascii="Arial" w:cs="Arial" w:eastAsia="Arial" w:hAnsi="Arial"/>
                <w:sz w:val="15"/>
                <w:szCs w:val="15"/>
                <w:color w:val="auto"/>
              </w:rPr>
              <w:t>(2)</w:t>
            </w:r>
          </w:p>
        </w:tc>
        <w:tc>
          <w:tcPr>
            <w:tcW w:w="100" w:type="dxa"/>
            <w:vAlign w:val="bottom"/>
            <w:shd w:val="clear" w:color="auto" w:fill="C6D9F1"/>
          </w:tcPr>
          <w:p>
            <w:pPr>
              <w:spacing w:after="0"/>
              <w:rPr>
                <w:sz w:val="18"/>
                <w:szCs w:val="18"/>
                <w:color w:val="auto"/>
              </w:rPr>
            </w:pPr>
          </w:p>
        </w:tc>
        <w:tc>
          <w:tcPr>
            <w:tcW w:w="1020" w:type="dxa"/>
            <w:vAlign w:val="bottom"/>
            <w:gridSpan w:val="2"/>
            <w:shd w:val="clear" w:color="auto" w:fill="C6D9F1"/>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6D9F1"/>
          </w:tcPr>
          <w:p>
            <w:pPr>
              <w:jc w:val="right"/>
              <w:ind w:right="120"/>
              <w:spacing w:after="0"/>
              <w:rPr>
                <w:sz w:val="20"/>
                <w:szCs w:val="20"/>
                <w:color w:val="auto"/>
              </w:rPr>
            </w:pPr>
            <w:r>
              <w:rPr>
                <w:rFonts w:ascii="Arial" w:cs="Arial" w:eastAsia="Arial" w:hAnsi="Arial"/>
                <w:sz w:val="18"/>
                <w:szCs w:val="18"/>
                <w:color w:val="auto"/>
              </w:rPr>
              <w:t>993,000</w:t>
            </w:r>
          </w:p>
        </w:tc>
        <w:tc>
          <w:tcPr>
            <w:tcW w:w="1220" w:type="dxa"/>
            <w:vAlign w:val="bottom"/>
            <w:gridSpan w:val="2"/>
            <w:shd w:val="clear" w:color="auto" w:fill="C6D9F1"/>
          </w:tcPr>
          <w:p>
            <w:pPr>
              <w:jc w:val="right"/>
              <w:ind w:right="100"/>
              <w:spacing w:after="0"/>
              <w:rPr>
                <w:sz w:val="20"/>
                <w:szCs w:val="20"/>
                <w:color w:val="auto"/>
              </w:rPr>
            </w:pPr>
            <w:r>
              <w:rPr>
                <w:rFonts w:ascii="Arial" w:cs="Arial" w:eastAsia="Arial" w:hAnsi="Arial"/>
                <w:sz w:val="18"/>
                <w:szCs w:val="18"/>
                <w:color w:val="auto"/>
              </w:rPr>
              <w:t>246,239</w:t>
            </w:r>
          </w:p>
        </w:tc>
        <w:tc>
          <w:tcPr>
            <w:tcW w:w="1140" w:type="dxa"/>
            <w:vAlign w:val="bottom"/>
            <w:shd w:val="clear" w:color="auto" w:fill="C6D9F1"/>
          </w:tcPr>
          <w:p>
            <w:pPr>
              <w:jc w:val="right"/>
              <w:ind w:right="57"/>
              <w:spacing w:after="0"/>
              <w:rPr>
                <w:sz w:val="20"/>
                <w:szCs w:val="20"/>
                <w:color w:val="auto"/>
              </w:rPr>
            </w:pPr>
            <w:r>
              <w:rPr>
                <w:rFonts w:ascii="Arial" w:cs="Arial" w:eastAsia="Arial" w:hAnsi="Arial"/>
                <w:sz w:val="18"/>
                <w:szCs w:val="18"/>
                <w:color w:val="auto"/>
              </w:rPr>
              <w:t>9,386</w:t>
            </w:r>
          </w:p>
        </w:tc>
        <w:tc>
          <w:tcPr>
            <w:tcW w:w="100" w:type="dxa"/>
            <w:vAlign w:val="bottom"/>
            <w:shd w:val="clear" w:color="auto" w:fill="C6D9F1"/>
          </w:tcPr>
          <w:p>
            <w:pPr>
              <w:spacing w:after="0"/>
              <w:rPr>
                <w:sz w:val="18"/>
                <w:szCs w:val="18"/>
                <w:color w:val="auto"/>
              </w:rPr>
            </w:pPr>
          </w:p>
        </w:tc>
        <w:tc>
          <w:tcPr>
            <w:tcW w:w="1180" w:type="dxa"/>
            <w:vAlign w:val="bottom"/>
            <w:shd w:val="clear" w:color="auto" w:fill="C6D9F1"/>
          </w:tcPr>
          <w:p>
            <w:pPr>
              <w:jc w:val="right"/>
              <w:spacing w:after="0"/>
              <w:rPr>
                <w:sz w:val="20"/>
                <w:szCs w:val="20"/>
                <w:color w:val="auto"/>
              </w:rPr>
            </w:pPr>
            <w:r>
              <w:rPr>
                <w:rFonts w:ascii="Arial" w:cs="Arial" w:eastAsia="Arial" w:hAnsi="Arial"/>
                <w:sz w:val="18"/>
                <w:szCs w:val="18"/>
                <w:color w:val="auto"/>
              </w:rPr>
              <w:t>76,164</w:t>
            </w:r>
            <w:r>
              <w:rPr>
                <w:rFonts w:ascii="Arial" w:cs="Arial" w:eastAsia="Arial" w:hAnsi="Arial"/>
                <w:sz w:val="15"/>
                <w:szCs w:val="15"/>
                <w:color w:val="auto"/>
              </w:rPr>
              <w:t>(8)</w:t>
            </w:r>
          </w:p>
        </w:tc>
        <w:tc>
          <w:tcPr>
            <w:tcW w:w="100" w:type="dxa"/>
            <w:vAlign w:val="bottom"/>
            <w:shd w:val="clear" w:color="auto" w:fill="C6D9F1"/>
          </w:tcPr>
          <w:p>
            <w:pPr>
              <w:spacing w:after="0"/>
              <w:rPr>
                <w:sz w:val="18"/>
                <w:szCs w:val="18"/>
                <w:color w:val="auto"/>
              </w:rPr>
            </w:pPr>
          </w:p>
        </w:tc>
        <w:tc>
          <w:tcPr>
            <w:tcW w:w="1020" w:type="dxa"/>
            <w:vAlign w:val="bottom"/>
            <w:shd w:val="clear" w:color="auto" w:fill="C6D9F1"/>
          </w:tcPr>
          <w:p>
            <w:pPr>
              <w:jc w:val="right"/>
              <w:ind w:right="12"/>
              <w:spacing w:after="0"/>
              <w:rPr>
                <w:sz w:val="20"/>
                <w:szCs w:val="20"/>
                <w:color w:val="auto"/>
              </w:rPr>
            </w:pPr>
            <w:r>
              <w:rPr>
                <w:rFonts w:ascii="Arial" w:cs="Arial" w:eastAsia="Arial" w:hAnsi="Arial"/>
                <w:sz w:val="18"/>
                <w:szCs w:val="18"/>
                <w:color w:val="auto"/>
              </w:rPr>
              <w:t>1,567,379</w:t>
            </w:r>
          </w:p>
        </w:tc>
      </w:tr>
      <w:tr>
        <w:trPr>
          <w:trHeight w:val="216"/>
        </w:trPr>
        <w:tc>
          <w:tcPr>
            <w:tcW w:w="2640" w:type="dxa"/>
            <w:vAlign w:val="bottom"/>
            <w:shd w:val="clear" w:color="auto" w:fill="C6D9F1"/>
          </w:tcPr>
          <w:p>
            <w:pPr>
              <w:ind w:left="100"/>
              <w:spacing w:after="0"/>
              <w:rPr>
                <w:sz w:val="20"/>
                <w:szCs w:val="20"/>
                <w:color w:val="auto"/>
              </w:rPr>
            </w:pPr>
            <w:r>
              <w:rPr>
                <w:rFonts w:ascii="Arial" w:cs="Arial" w:eastAsia="Arial" w:hAnsi="Arial"/>
                <w:sz w:val="18"/>
                <w:szCs w:val="18"/>
                <w:color w:val="auto"/>
              </w:rPr>
              <w:t>President &amp;</w:t>
            </w:r>
          </w:p>
        </w:tc>
        <w:tc>
          <w:tcPr>
            <w:tcW w:w="100" w:type="dxa"/>
            <w:vAlign w:val="bottom"/>
            <w:shd w:val="clear" w:color="auto" w:fill="C6D9F1"/>
          </w:tcPr>
          <w:p>
            <w:pPr>
              <w:spacing w:after="0"/>
              <w:rPr>
                <w:sz w:val="18"/>
                <w:szCs w:val="18"/>
                <w:color w:val="auto"/>
              </w:rPr>
            </w:pPr>
          </w:p>
        </w:tc>
        <w:tc>
          <w:tcPr>
            <w:tcW w:w="580" w:type="dxa"/>
            <w:vAlign w:val="bottom"/>
            <w:shd w:val="clear" w:color="auto" w:fill="C6D9F1"/>
          </w:tcPr>
          <w:p>
            <w:pPr>
              <w:jc w:val="center"/>
              <w:spacing w:after="0"/>
              <w:rPr>
                <w:sz w:val="20"/>
                <w:szCs w:val="20"/>
                <w:color w:val="auto"/>
              </w:rPr>
            </w:pPr>
            <w:r>
              <w:rPr>
                <w:rFonts w:ascii="Arial" w:cs="Arial" w:eastAsia="Arial" w:hAnsi="Arial"/>
                <w:sz w:val="18"/>
                <w:szCs w:val="18"/>
                <w:color w:val="auto"/>
                <w:w w:val="99"/>
              </w:rPr>
              <w:t>2014</w:t>
            </w:r>
          </w:p>
        </w:tc>
        <w:tc>
          <w:tcPr>
            <w:tcW w:w="1200" w:type="dxa"/>
            <w:vAlign w:val="bottom"/>
            <w:gridSpan w:val="2"/>
            <w:shd w:val="clear" w:color="auto" w:fill="C6D9F1"/>
          </w:tcPr>
          <w:p>
            <w:pPr>
              <w:jc w:val="right"/>
              <w:ind w:right="113"/>
              <w:spacing w:after="0"/>
              <w:rPr>
                <w:sz w:val="20"/>
                <w:szCs w:val="20"/>
                <w:color w:val="auto"/>
              </w:rPr>
            </w:pPr>
            <w:r>
              <w:rPr>
                <w:rFonts w:ascii="Arial" w:cs="Arial" w:eastAsia="Arial" w:hAnsi="Arial"/>
                <w:sz w:val="18"/>
                <w:szCs w:val="18"/>
                <w:color w:val="auto"/>
              </w:rPr>
              <w:t>235,363</w:t>
            </w:r>
          </w:p>
        </w:tc>
        <w:tc>
          <w:tcPr>
            <w:tcW w:w="100" w:type="dxa"/>
            <w:vAlign w:val="bottom"/>
            <w:shd w:val="clear" w:color="auto" w:fill="C6D9F1"/>
          </w:tcPr>
          <w:p>
            <w:pPr>
              <w:spacing w:after="0"/>
              <w:rPr>
                <w:sz w:val="18"/>
                <w:szCs w:val="18"/>
                <w:color w:val="auto"/>
              </w:rPr>
            </w:pPr>
          </w:p>
        </w:tc>
        <w:tc>
          <w:tcPr>
            <w:tcW w:w="1020" w:type="dxa"/>
            <w:vAlign w:val="bottom"/>
            <w:gridSpan w:val="2"/>
            <w:shd w:val="clear" w:color="auto" w:fill="C6D9F1"/>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6D9F1"/>
          </w:tcPr>
          <w:p>
            <w:pPr>
              <w:jc w:val="right"/>
              <w:ind w:right="120"/>
              <w:spacing w:after="0"/>
              <w:rPr>
                <w:sz w:val="20"/>
                <w:szCs w:val="20"/>
                <w:color w:val="auto"/>
              </w:rPr>
            </w:pPr>
            <w:r>
              <w:rPr>
                <w:rFonts w:ascii="Arial" w:cs="Arial" w:eastAsia="Arial" w:hAnsi="Arial"/>
                <w:sz w:val="18"/>
                <w:szCs w:val="18"/>
                <w:color w:val="auto"/>
              </w:rPr>
              <w:t>681,554</w:t>
            </w:r>
          </w:p>
        </w:tc>
        <w:tc>
          <w:tcPr>
            <w:tcW w:w="1220" w:type="dxa"/>
            <w:vAlign w:val="bottom"/>
            <w:gridSpan w:val="2"/>
            <w:shd w:val="clear" w:color="auto" w:fill="C6D9F1"/>
          </w:tcPr>
          <w:p>
            <w:pPr>
              <w:jc w:val="right"/>
              <w:ind w:right="100"/>
              <w:spacing w:after="0"/>
              <w:rPr>
                <w:sz w:val="20"/>
                <w:szCs w:val="20"/>
                <w:color w:val="auto"/>
              </w:rPr>
            </w:pPr>
            <w:r>
              <w:rPr>
                <w:rFonts w:ascii="Arial" w:cs="Arial" w:eastAsia="Arial" w:hAnsi="Arial"/>
                <w:sz w:val="18"/>
                <w:szCs w:val="18"/>
                <w:color w:val="auto"/>
              </w:rPr>
              <w:t>222,188</w:t>
            </w:r>
          </w:p>
        </w:tc>
        <w:tc>
          <w:tcPr>
            <w:tcW w:w="1140" w:type="dxa"/>
            <w:vAlign w:val="bottom"/>
            <w:shd w:val="clear" w:color="auto" w:fill="C6D9F1"/>
          </w:tcPr>
          <w:p>
            <w:pPr>
              <w:jc w:val="right"/>
              <w:ind w:right="57"/>
              <w:spacing w:after="0"/>
              <w:rPr>
                <w:sz w:val="20"/>
                <w:szCs w:val="20"/>
                <w:color w:val="auto"/>
              </w:rPr>
            </w:pPr>
            <w:r>
              <w:rPr>
                <w:rFonts w:ascii="Arial" w:cs="Arial" w:eastAsia="Arial" w:hAnsi="Arial"/>
                <w:sz w:val="18"/>
                <w:szCs w:val="18"/>
                <w:color w:val="auto"/>
              </w:rPr>
              <w:t>9,010</w:t>
            </w:r>
          </w:p>
        </w:tc>
        <w:tc>
          <w:tcPr>
            <w:tcW w:w="100" w:type="dxa"/>
            <w:vAlign w:val="bottom"/>
            <w:shd w:val="clear" w:color="auto" w:fill="C6D9F1"/>
          </w:tcPr>
          <w:p>
            <w:pPr>
              <w:spacing w:after="0"/>
              <w:rPr>
                <w:sz w:val="18"/>
                <w:szCs w:val="18"/>
                <w:color w:val="auto"/>
              </w:rPr>
            </w:pPr>
          </w:p>
        </w:tc>
        <w:tc>
          <w:tcPr>
            <w:tcW w:w="1180" w:type="dxa"/>
            <w:vAlign w:val="bottom"/>
            <w:shd w:val="clear" w:color="auto" w:fill="C6D9F1"/>
          </w:tcPr>
          <w:p>
            <w:pPr>
              <w:jc w:val="right"/>
              <w:ind w:right="194"/>
              <w:spacing w:after="0"/>
              <w:rPr>
                <w:sz w:val="20"/>
                <w:szCs w:val="20"/>
                <w:color w:val="auto"/>
              </w:rPr>
            </w:pPr>
            <w:r>
              <w:rPr>
                <w:rFonts w:ascii="Arial" w:cs="Arial" w:eastAsia="Arial" w:hAnsi="Arial"/>
                <w:sz w:val="18"/>
                <w:szCs w:val="18"/>
                <w:color w:val="auto"/>
              </w:rPr>
              <w:t>84,938</w:t>
            </w:r>
          </w:p>
        </w:tc>
        <w:tc>
          <w:tcPr>
            <w:tcW w:w="100" w:type="dxa"/>
            <w:vAlign w:val="bottom"/>
            <w:shd w:val="clear" w:color="auto" w:fill="C6D9F1"/>
          </w:tcPr>
          <w:p>
            <w:pPr>
              <w:spacing w:after="0"/>
              <w:rPr>
                <w:sz w:val="18"/>
                <w:szCs w:val="18"/>
                <w:color w:val="auto"/>
              </w:rPr>
            </w:pPr>
          </w:p>
        </w:tc>
        <w:tc>
          <w:tcPr>
            <w:tcW w:w="1020" w:type="dxa"/>
            <w:vAlign w:val="bottom"/>
            <w:shd w:val="clear" w:color="auto" w:fill="C6D9F1"/>
          </w:tcPr>
          <w:p>
            <w:pPr>
              <w:jc w:val="right"/>
              <w:ind w:right="12"/>
              <w:spacing w:after="0"/>
              <w:rPr>
                <w:sz w:val="20"/>
                <w:szCs w:val="20"/>
                <w:color w:val="auto"/>
              </w:rPr>
            </w:pPr>
            <w:r>
              <w:rPr>
                <w:rFonts w:ascii="Arial" w:cs="Arial" w:eastAsia="Arial" w:hAnsi="Arial"/>
                <w:sz w:val="18"/>
                <w:szCs w:val="18"/>
                <w:color w:val="auto"/>
              </w:rPr>
              <w:t>1,233,053</w:t>
            </w:r>
          </w:p>
        </w:tc>
      </w:tr>
      <w:tr>
        <w:trPr>
          <w:trHeight w:val="216"/>
        </w:trPr>
        <w:tc>
          <w:tcPr>
            <w:tcW w:w="2640" w:type="dxa"/>
            <w:vAlign w:val="bottom"/>
            <w:shd w:val="clear" w:color="auto" w:fill="C6D9F1"/>
          </w:tcPr>
          <w:p>
            <w:pPr>
              <w:ind w:left="100"/>
              <w:spacing w:after="0"/>
              <w:rPr>
                <w:sz w:val="20"/>
                <w:szCs w:val="20"/>
                <w:color w:val="auto"/>
              </w:rPr>
            </w:pPr>
            <w:r>
              <w:rPr>
                <w:rFonts w:ascii="Arial" w:cs="Arial" w:eastAsia="Arial" w:hAnsi="Arial"/>
                <w:sz w:val="18"/>
                <w:szCs w:val="18"/>
                <w:color w:val="auto"/>
              </w:rPr>
              <w:t>Chief Operating</w:t>
            </w:r>
          </w:p>
        </w:tc>
        <w:tc>
          <w:tcPr>
            <w:tcW w:w="100" w:type="dxa"/>
            <w:vAlign w:val="bottom"/>
            <w:shd w:val="clear" w:color="auto" w:fill="C6D9F1"/>
          </w:tcPr>
          <w:p>
            <w:pPr>
              <w:spacing w:after="0"/>
              <w:rPr>
                <w:sz w:val="18"/>
                <w:szCs w:val="18"/>
                <w:color w:val="auto"/>
              </w:rPr>
            </w:pPr>
          </w:p>
        </w:tc>
        <w:tc>
          <w:tcPr>
            <w:tcW w:w="580" w:type="dxa"/>
            <w:vAlign w:val="bottom"/>
            <w:shd w:val="clear" w:color="auto" w:fill="C6D9F1"/>
          </w:tcPr>
          <w:p>
            <w:pPr>
              <w:jc w:val="center"/>
              <w:spacing w:after="0"/>
              <w:rPr>
                <w:sz w:val="20"/>
                <w:szCs w:val="20"/>
                <w:color w:val="auto"/>
              </w:rPr>
            </w:pPr>
            <w:r>
              <w:rPr>
                <w:rFonts w:ascii="Arial" w:cs="Arial" w:eastAsia="Arial" w:hAnsi="Arial"/>
                <w:sz w:val="18"/>
                <w:szCs w:val="18"/>
                <w:color w:val="auto"/>
                <w:w w:val="99"/>
              </w:rPr>
              <w:t>2013</w:t>
            </w:r>
          </w:p>
        </w:tc>
        <w:tc>
          <w:tcPr>
            <w:tcW w:w="1200" w:type="dxa"/>
            <w:vAlign w:val="bottom"/>
            <w:gridSpan w:val="2"/>
            <w:shd w:val="clear" w:color="auto" w:fill="C6D9F1"/>
          </w:tcPr>
          <w:p>
            <w:pPr>
              <w:jc w:val="right"/>
              <w:ind w:right="113"/>
              <w:spacing w:after="0"/>
              <w:rPr>
                <w:sz w:val="20"/>
                <w:szCs w:val="20"/>
                <w:color w:val="auto"/>
              </w:rPr>
            </w:pPr>
            <w:r>
              <w:rPr>
                <w:rFonts w:ascii="Arial" w:cs="Arial" w:eastAsia="Arial" w:hAnsi="Arial"/>
                <w:sz w:val="18"/>
                <w:szCs w:val="18"/>
                <w:color w:val="auto"/>
              </w:rPr>
              <w:t>225,475</w:t>
            </w:r>
          </w:p>
        </w:tc>
        <w:tc>
          <w:tcPr>
            <w:tcW w:w="100" w:type="dxa"/>
            <w:vAlign w:val="bottom"/>
            <w:shd w:val="clear" w:color="auto" w:fill="C6D9F1"/>
          </w:tcPr>
          <w:p>
            <w:pPr>
              <w:spacing w:after="0"/>
              <w:rPr>
                <w:sz w:val="18"/>
                <w:szCs w:val="18"/>
                <w:color w:val="auto"/>
              </w:rPr>
            </w:pPr>
          </w:p>
        </w:tc>
        <w:tc>
          <w:tcPr>
            <w:tcW w:w="920" w:type="dxa"/>
            <w:vAlign w:val="bottom"/>
            <w:shd w:val="clear" w:color="auto" w:fill="C6D9F1"/>
          </w:tcPr>
          <w:p>
            <w:pPr>
              <w:jc w:val="right"/>
              <w:ind w:right="72"/>
              <w:spacing w:after="0"/>
              <w:rPr>
                <w:sz w:val="20"/>
                <w:szCs w:val="20"/>
                <w:color w:val="auto"/>
              </w:rPr>
            </w:pPr>
            <w:r>
              <w:rPr>
                <w:rFonts w:ascii="Arial" w:cs="Arial" w:eastAsia="Arial" w:hAnsi="Arial"/>
                <w:sz w:val="18"/>
                <w:szCs w:val="18"/>
                <w:color w:val="auto"/>
              </w:rPr>
              <w:t>28,381</w:t>
            </w:r>
          </w:p>
        </w:tc>
        <w:tc>
          <w:tcPr>
            <w:tcW w:w="100" w:type="dxa"/>
            <w:vAlign w:val="bottom"/>
            <w:shd w:val="clear" w:color="auto" w:fill="C6D9F1"/>
          </w:tcPr>
          <w:p>
            <w:pPr>
              <w:spacing w:after="0"/>
              <w:rPr>
                <w:sz w:val="18"/>
                <w:szCs w:val="18"/>
                <w:color w:val="auto"/>
              </w:rPr>
            </w:pPr>
          </w:p>
        </w:tc>
        <w:tc>
          <w:tcPr>
            <w:tcW w:w="1020" w:type="dxa"/>
            <w:vAlign w:val="bottom"/>
            <w:gridSpan w:val="2"/>
            <w:shd w:val="clear" w:color="auto" w:fill="C6D9F1"/>
          </w:tcPr>
          <w:p>
            <w:pPr>
              <w:jc w:val="right"/>
              <w:ind w:right="120"/>
              <w:spacing w:after="0"/>
              <w:rPr>
                <w:sz w:val="20"/>
                <w:szCs w:val="20"/>
                <w:color w:val="auto"/>
              </w:rPr>
            </w:pPr>
            <w:r>
              <w:rPr>
                <w:rFonts w:ascii="Arial" w:cs="Arial" w:eastAsia="Arial" w:hAnsi="Arial"/>
                <w:sz w:val="18"/>
                <w:szCs w:val="18"/>
                <w:color w:val="auto"/>
              </w:rPr>
              <w:t>720,673</w:t>
            </w:r>
          </w:p>
        </w:tc>
        <w:tc>
          <w:tcPr>
            <w:tcW w:w="1220" w:type="dxa"/>
            <w:vAlign w:val="bottom"/>
            <w:gridSpan w:val="2"/>
            <w:shd w:val="clear" w:color="auto" w:fill="C6D9F1"/>
          </w:tcPr>
          <w:p>
            <w:pPr>
              <w:jc w:val="right"/>
              <w:ind w:right="100"/>
              <w:spacing w:after="0"/>
              <w:rPr>
                <w:sz w:val="20"/>
                <w:szCs w:val="20"/>
                <w:color w:val="auto"/>
              </w:rPr>
            </w:pPr>
            <w:r>
              <w:rPr>
                <w:rFonts w:ascii="Arial" w:cs="Arial" w:eastAsia="Arial" w:hAnsi="Arial"/>
                <w:sz w:val="18"/>
                <w:szCs w:val="18"/>
                <w:color w:val="auto"/>
              </w:rPr>
              <w:t>126,568</w:t>
            </w:r>
          </w:p>
        </w:tc>
        <w:tc>
          <w:tcPr>
            <w:tcW w:w="1140" w:type="dxa"/>
            <w:vAlign w:val="bottom"/>
            <w:shd w:val="clear" w:color="auto" w:fill="C6D9F1"/>
          </w:tcPr>
          <w:p>
            <w:pPr>
              <w:jc w:val="right"/>
              <w:ind w:right="57"/>
              <w:spacing w:after="0"/>
              <w:rPr>
                <w:sz w:val="20"/>
                <w:szCs w:val="20"/>
                <w:color w:val="auto"/>
              </w:rPr>
            </w:pPr>
            <w:r>
              <w:rPr>
                <w:rFonts w:ascii="Arial" w:cs="Arial" w:eastAsia="Arial" w:hAnsi="Arial"/>
                <w:sz w:val="18"/>
                <w:szCs w:val="18"/>
                <w:color w:val="auto"/>
              </w:rPr>
              <w:t>8,511</w:t>
            </w:r>
          </w:p>
        </w:tc>
        <w:tc>
          <w:tcPr>
            <w:tcW w:w="100" w:type="dxa"/>
            <w:vAlign w:val="bottom"/>
            <w:shd w:val="clear" w:color="auto" w:fill="C6D9F1"/>
          </w:tcPr>
          <w:p>
            <w:pPr>
              <w:spacing w:after="0"/>
              <w:rPr>
                <w:sz w:val="18"/>
                <w:szCs w:val="18"/>
                <w:color w:val="auto"/>
              </w:rPr>
            </w:pPr>
          </w:p>
        </w:tc>
        <w:tc>
          <w:tcPr>
            <w:tcW w:w="1180" w:type="dxa"/>
            <w:vAlign w:val="bottom"/>
            <w:shd w:val="clear" w:color="auto" w:fill="C6D9F1"/>
          </w:tcPr>
          <w:p>
            <w:pPr>
              <w:jc w:val="right"/>
              <w:ind w:right="194"/>
              <w:spacing w:after="0"/>
              <w:rPr>
                <w:sz w:val="20"/>
                <w:szCs w:val="20"/>
                <w:color w:val="auto"/>
              </w:rPr>
            </w:pPr>
            <w:r>
              <w:rPr>
                <w:rFonts w:ascii="Arial" w:cs="Arial" w:eastAsia="Arial" w:hAnsi="Arial"/>
                <w:sz w:val="18"/>
                <w:szCs w:val="18"/>
                <w:color w:val="auto"/>
              </w:rPr>
              <w:t>68,747</w:t>
            </w:r>
          </w:p>
        </w:tc>
        <w:tc>
          <w:tcPr>
            <w:tcW w:w="100" w:type="dxa"/>
            <w:vAlign w:val="bottom"/>
            <w:shd w:val="clear" w:color="auto" w:fill="C6D9F1"/>
          </w:tcPr>
          <w:p>
            <w:pPr>
              <w:spacing w:after="0"/>
              <w:rPr>
                <w:sz w:val="18"/>
                <w:szCs w:val="18"/>
                <w:color w:val="auto"/>
              </w:rPr>
            </w:pPr>
          </w:p>
        </w:tc>
        <w:tc>
          <w:tcPr>
            <w:tcW w:w="1020" w:type="dxa"/>
            <w:vAlign w:val="bottom"/>
            <w:shd w:val="clear" w:color="auto" w:fill="C6D9F1"/>
          </w:tcPr>
          <w:p>
            <w:pPr>
              <w:jc w:val="right"/>
              <w:ind w:right="12"/>
              <w:spacing w:after="0"/>
              <w:rPr>
                <w:sz w:val="20"/>
                <w:szCs w:val="20"/>
                <w:color w:val="auto"/>
              </w:rPr>
            </w:pPr>
            <w:r>
              <w:rPr>
                <w:rFonts w:ascii="Arial" w:cs="Arial" w:eastAsia="Arial" w:hAnsi="Arial"/>
                <w:sz w:val="18"/>
                <w:szCs w:val="18"/>
                <w:color w:val="auto"/>
              </w:rPr>
              <w:t>1,178,356</w:t>
            </w:r>
          </w:p>
        </w:tc>
      </w:tr>
      <w:tr>
        <w:trPr>
          <w:trHeight w:val="216"/>
        </w:trPr>
        <w:tc>
          <w:tcPr>
            <w:tcW w:w="2640" w:type="dxa"/>
            <w:vAlign w:val="bottom"/>
            <w:shd w:val="clear" w:color="auto" w:fill="C6D9F1"/>
          </w:tcPr>
          <w:p>
            <w:pPr>
              <w:ind w:left="100"/>
              <w:spacing w:after="0"/>
              <w:rPr>
                <w:sz w:val="20"/>
                <w:szCs w:val="20"/>
                <w:color w:val="auto"/>
              </w:rPr>
            </w:pPr>
            <w:r>
              <w:rPr>
                <w:rFonts w:ascii="Arial" w:cs="Arial" w:eastAsia="Arial" w:hAnsi="Arial"/>
                <w:sz w:val="18"/>
                <w:szCs w:val="18"/>
                <w:color w:val="auto"/>
              </w:rPr>
              <w:t>Officer</w:t>
            </w:r>
          </w:p>
        </w:tc>
        <w:tc>
          <w:tcPr>
            <w:tcW w:w="100" w:type="dxa"/>
            <w:vAlign w:val="bottom"/>
            <w:shd w:val="clear" w:color="auto" w:fill="C6D9F1"/>
          </w:tcPr>
          <w:p>
            <w:pPr>
              <w:spacing w:after="0"/>
              <w:rPr>
                <w:sz w:val="18"/>
                <w:szCs w:val="18"/>
                <w:color w:val="auto"/>
              </w:rPr>
            </w:pPr>
          </w:p>
        </w:tc>
        <w:tc>
          <w:tcPr>
            <w:tcW w:w="580" w:type="dxa"/>
            <w:vAlign w:val="bottom"/>
            <w:shd w:val="clear" w:color="auto" w:fill="C6D9F1"/>
          </w:tcPr>
          <w:p>
            <w:pPr>
              <w:spacing w:after="0"/>
              <w:rPr>
                <w:sz w:val="18"/>
                <w:szCs w:val="18"/>
                <w:color w:val="auto"/>
              </w:rPr>
            </w:pPr>
          </w:p>
        </w:tc>
        <w:tc>
          <w:tcPr>
            <w:tcW w:w="100" w:type="dxa"/>
            <w:vAlign w:val="bottom"/>
            <w:shd w:val="clear" w:color="auto" w:fill="C6D9F1"/>
          </w:tcPr>
          <w:p>
            <w:pPr>
              <w:spacing w:after="0"/>
              <w:rPr>
                <w:sz w:val="18"/>
                <w:szCs w:val="18"/>
                <w:color w:val="auto"/>
              </w:rPr>
            </w:pPr>
          </w:p>
        </w:tc>
        <w:tc>
          <w:tcPr>
            <w:tcW w:w="1100" w:type="dxa"/>
            <w:vAlign w:val="bottom"/>
            <w:shd w:val="clear" w:color="auto" w:fill="C6D9F1"/>
          </w:tcPr>
          <w:p>
            <w:pPr>
              <w:spacing w:after="0"/>
              <w:rPr>
                <w:sz w:val="18"/>
                <w:szCs w:val="18"/>
                <w:color w:val="auto"/>
              </w:rPr>
            </w:pPr>
          </w:p>
        </w:tc>
        <w:tc>
          <w:tcPr>
            <w:tcW w:w="100" w:type="dxa"/>
            <w:vAlign w:val="bottom"/>
            <w:shd w:val="clear" w:color="auto" w:fill="C6D9F1"/>
          </w:tcPr>
          <w:p>
            <w:pPr>
              <w:spacing w:after="0"/>
              <w:rPr>
                <w:sz w:val="18"/>
                <w:szCs w:val="18"/>
                <w:color w:val="auto"/>
              </w:rPr>
            </w:pPr>
          </w:p>
        </w:tc>
        <w:tc>
          <w:tcPr>
            <w:tcW w:w="920" w:type="dxa"/>
            <w:vAlign w:val="bottom"/>
            <w:shd w:val="clear" w:color="auto" w:fill="C6D9F1"/>
          </w:tcPr>
          <w:p>
            <w:pPr>
              <w:spacing w:after="0"/>
              <w:rPr>
                <w:sz w:val="18"/>
                <w:szCs w:val="18"/>
                <w:color w:val="auto"/>
              </w:rPr>
            </w:pPr>
          </w:p>
        </w:tc>
        <w:tc>
          <w:tcPr>
            <w:tcW w:w="100" w:type="dxa"/>
            <w:vAlign w:val="bottom"/>
            <w:shd w:val="clear" w:color="auto" w:fill="C6D9F1"/>
          </w:tcPr>
          <w:p>
            <w:pPr>
              <w:spacing w:after="0"/>
              <w:rPr>
                <w:sz w:val="18"/>
                <w:szCs w:val="18"/>
                <w:color w:val="auto"/>
              </w:rPr>
            </w:pPr>
          </w:p>
        </w:tc>
        <w:tc>
          <w:tcPr>
            <w:tcW w:w="900" w:type="dxa"/>
            <w:vAlign w:val="bottom"/>
            <w:shd w:val="clear" w:color="auto" w:fill="C6D9F1"/>
          </w:tcPr>
          <w:p>
            <w:pPr>
              <w:spacing w:after="0"/>
              <w:rPr>
                <w:sz w:val="18"/>
                <w:szCs w:val="18"/>
                <w:color w:val="auto"/>
              </w:rPr>
            </w:pPr>
          </w:p>
        </w:tc>
        <w:tc>
          <w:tcPr>
            <w:tcW w:w="120" w:type="dxa"/>
            <w:vAlign w:val="bottom"/>
            <w:shd w:val="clear" w:color="auto" w:fill="C6D9F1"/>
          </w:tcPr>
          <w:p>
            <w:pPr>
              <w:spacing w:after="0"/>
              <w:rPr>
                <w:sz w:val="18"/>
                <w:szCs w:val="18"/>
                <w:color w:val="auto"/>
              </w:rPr>
            </w:pPr>
          </w:p>
        </w:tc>
        <w:tc>
          <w:tcPr>
            <w:tcW w:w="1120" w:type="dxa"/>
            <w:vAlign w:val="bottom"/>
            <w:shd w:val="clear" w:color="auto" w:fill="C6D9F1"/>
          </w:tcPr>
          <w:p>
            <w:pPr>
              <w:spacing w:after="0"/>
              <w:rPr>
                <w:sz w:val="18"/>
                <w:szCs w:val="18"/>
                <w:color w:val="auto"/>
              </w:rPr>
            </w:pPr>
          </w:p>
        </w:tc>
        <w:tc>
          <w:tcPr>
            <w:tcW w:w="100" w:type="dxa"/>
            <w:vAlign w:val="bottom"/>
            <w:shd w:val="clear" w:color="auto" w:fill="C6D9F1"/>
          </w:tcPr>
          <w:p>
            <w:pPr>
              <w:spacing w:after="0"/>
              <w:rPr>
                <w:sz w:val="18"/>
                <w:szCs w:val="18"/>
                <w:color w:val="auto"/>
              </w:rPr>
            </w:pPr>
          </w:p>
        </w:tc>
        <w:tc>
          <w:tcPr>
            <w:tcW w:w="1140" w:type="dxa"/>
            <w:vAlign w:val="bottom"/>
            <w:shd w:val="clear" w:color="auto" w:fill="C6D9F1"/>
          </w:tcPr>
          <w:p>
            <w:pPr>
              <w:spacing w:after="0"/>
              <w:rPr>
                <w:sz w:val="18"/>
                <w:szCs w:val="18"/>
                <w:color w:val="auto"/>
              </w:rPr>
            </w:pPr>
          </w:p>
        </w:tc>
        <w:tc>
          <w:tcPr>
            <w:tcW w:w="100" w:type="dxa"/>
            <w:vAlign w:val="bottom"/>
            <w:shd w:val="clear" w:color="auto" w:fill="C6D9F1"/>
          </w:tcPr>
          <w:p>
            <w:pPr>
              <w:spacing w:after="0"/>
              <w:rPr>
                <w:sz w:val="18"/>
                <w:szCs w:val="18"/>
                <w:color w:val="auto"/>
              </w:rPr>
            </w:pPr>
          </w:p>
        </w:tc>
        <w:tc>
          <w:tcPr>
            <w:tcW w:w="1180" w:type="dxa"/>
            <w:vAlign w:val="bottom"/>
            <w:shd w:val="clear" w:color="auto" w:fill="C6D9F1"/>
          </w:tcPr>
          <w:p>
            <w:pPr>
              <w:spacing w:after="0"/>
              <w:rPr>
                <w:sz w:val="18"/>
                <w:szCs w:val="18"/>
                <w:color w:val="auto"/>
              </w:rPr>
            </w:pPr>
          </w:p>
        </w:tc>
        <w:tc>
          <w:tcPr>
            <w:tcW w:w="100" w:type="dxa"/>
            <w:vAlign w:val="bottom"/>
            <w:shd w:val="clear" w:color="auto" w:fill="C6D9F1"/>
          </w:tcPr>
          <w:p>
            <w:pPr>
              <w:spacing w:after="0"/>
              <w:rPr>
                <w:sz w:val="18"/>
                <w:szCs w:val="18"/>
                <w:color w:val="auto"/>
              </w:rPr>
            </w:pPr>
          </w:p>
        </w:tc>
        <w:tc>
          <w:tcPr>
            <w:tcW w:w="1020" w:type="dxa"/>
            <w:vAlign w:val="bottom"/>
            <w:shd w:val="clear" w:color="auto" w:fill="C6D9F1"/>
          </w:tcPr>
          <w:p>
            <w:pPr>
              <w:spacing w:after="0"/>
              <w:rPr>
                <w:sz w:val="18"/>
                <w:szCs w:val="18"/>
                <w:color w:val="auto"/>
              </w:rPr>
            </w:pPr>
          </w:p>
        </w:tc>
      </w:tr>
      <w:tr>
        <w:trPr>
          <w:trHeight w:val="229"/>
        </w:trPr>
        <w:tc>
          <w:tcPr>
            <w:tcW w:w="2640" w:type="dxa"/>
            <w:vAlign w:val="bottom"/>
          </w:tcPr>
          <w:p>
            <w:pPr>
              <w:spacing w:after="0"/>
              <w:rPr>
                <w:sz w:val="20"/>
                <w:szCs w:val="20"/>
                <w:color w:val="auto"/>
              </w:rPr>
            </w:pPr>
            <w:r>
              <w:rPr>
                <w:rFonts w:ascii="Arial" w:cs="Arial" w:eastAsia="Arial" w:hAnsi="Arial"/>
                <w:sz w:val="18"/>
                <w:szCs w:val="18"/>
                <w:b w:val="1"/>
                <w:bCs w:val="1"/>
                <w:color w:val="auto"/>
              </w:rPr>
              <w:t>Nalin Miglani</w:t>
            </w:r>
          </w:p>
        </w:tc>
        <w:tc>
          <w:tcPr>
            <w:tcW w:w="68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2015</w:t>
            </w:r>
          </w:p>
        </w:tc>
        <w:tc>
          <w:tcPr>
            <w:tcW w:w="1200" w:type="dxa"/>
            <w:vAlign w:val="bottom"/>
            <w:gridSpan w:val="2"/>
          </w:tcPr>
          <w:p>
            <w:pPr>
              <w:jc w:val="right"/>
              <w:ind w:right="113"/>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476,640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274,840</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81,520</w:t>
            </w:r>
            <w:r>
              <w:rPr>
                <w:rFonts w:ascii="Arial" w:cs="Arial" w:eastAsia="Arial" w:hAnsi="Arial"/>
                <w:sz w:val="15"/>
                <w:szCs w:val="15"/>
                <w:color w:val="auto"/>
              </w:rPr>
              <w:t>(9)</w:t>
            </w:r>
          </w:p>
        </w:tc>
        <w:tc>
          <w:tcPr>
            <w:tcW w:w="100" w:type="dxa"/>
            <w:vAlign w:val="bottom"/>
          </w:tcPr>
          <w:p>
            <w:pPr>
              <w:spacing w:after="0"/>
              <w:rPr>
                <w:sz w:val="19"/>
                <w:szCs w:val="19"/>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1,233,000</w:t>
            </w:r>
          </w:p>
        </w:tc>
      </w:tr>
      <w:tr>
        <w:trPr>
          <w:trHeight w:val="216"/>
        </w:trPr>
        <w:tc>
          <w:tcPr>
            <w:tcW w:w="2640" w:type="dxa"/>
            <w:vAlign w:val="bottom"/>
          </w:tcPr>
          <w:p>
            <w:pPr>
              <w:ind w:left="100"/>
              <w:spacing w:after="0"/>
              <w:rPr>
                <w:sz w:val="20"/>
                <w:szCs w:val="20"/>
                <w:color w:val="auto"/>
              </w:rPr>
            </w:pPr>
            <w:r>
              <w:rPr>
                <w:rFonts w:ascii="Arial" w:cs="Arial" w:eastAsia="Arial" w:hAnsi="Arial"/>
                <w:sz w:val="18"/>
                <w:szCs w:val="18"/>
                <w:color w:val="auto"/>
              </w:rPr>
              <w:t>Executive Vice</w:t>
            </w:r>
          </w:p>
        </w:tc>
        <w:tc>
          <w:tcPr>
            <w:tcW w:w="68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2014</w:t>
            </w: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16"/>
        </w:trPr>
        <w:tc>
          <w:tcPr>
            <w:tcW w:w="2640" w:type="dxa"/>
            <w:vAlign w:val="bottom"/>
          </w:tcPr>
          <w:p>
            <w:pPr>
              <w:ind w:left="100"/>
              <w:spacing w:after="0"/>
              <w:rPr>
                <w:sz w:val="20"/>
                <w:szCs w:val="20"/>
                <w:color w:val="auto"/>
              </w:rPr>
            </w:pPr>
            <w:r>
              <w:rPr>
                <w:rFonts w:ascii="Arial" w:cs="Arial" w:eastAsia="Arial" w:hAnsi="Arial"/>
                <w:sz w:val="18"/>
                <w:szCs w:val="18"/>
                <w:color w:val="auto"/>
              </w:rPr>
              <w:t>President,</w:t>
            </w:r>
          </w:p>
        </w:tc>
        <w:tc>
          <w:tcPr>
            <w:tcW w:w="68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2013</w:t>
            </w: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16"/>
        </w:trPr>
        <w:tc>
          <w:tcPr>
            <w:tcW w:w="2640" w:type="dxa"/>
            <w:vAlign w:val="bottom"/>
          </w:tcPr>
          <w:p>
            <w:pPr>
              <w:ind w:left="100"/>
              <w:spacing w:after="0"/>
              <w:rPr>
                <w:sz w:val="20"/>
                <w:szCs w:val="20"/>
                <w:color w:val="auto"/>
              </w:rPr>
            </w:pPr>
            <w:r>
              <w:rPr>
                <w:rFonts w:ascii="Arial" w:cs="Arial" w:eastAsia="Arial" w:hAnsi="Arial"/>
                <w:sz w:val="18"/>
                <w:szCs w:val="18"/>
                <w:color w:val="auto"/>
              </w:rPr>
              <w:t>Global Head of</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2640" w:type="dxa"/>
            <w:vAlign w:val="bottom"/>
          </w:tcPr>
          <w:p>
            <w:pPr>
              <w:ind w:left="100"/>
              <w:spacing w:after="0"/>
              <w:rPr>
                <w:sz w:val="20"/>
                <w:szCs w:val="20"/>
                <w:color w:val="auto"/>
              </w:rPr>
            </w:pPr>
            <w:r>
              <w:rPr>
                <w:rFonts w:ascii="Arial" w:cs="Arial" w:eastAsia="Arial" w:hAnsi="Arial"/>
                <w:sz w:val="18"/>
                <w:szCs w:val="18"/>
                <w:color w:val="auto"/>
              </w:rPr>
              <w:t>Human</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3"/>
        </w:trPr>
        <w:tc>
          <w:tcPr>
            <w:tcW w:w="2640" w:type="dxa"/>
            <w:vAlign w:val="bottom"/>
          </w:tcPr>
          <w:p>
            <w:pPr>
              <w:ind w:left="100"/>
              <w:spacing w:after="0" w:line="203" w:lineRule="exact"/>
              <w:rPr>
                <w:sz w:val="20"/>
                <w:szCs w:val="20"/>
                <w:color w:val="auto"/>
              </w:rPr>
            </w:pPr>
            <w:r>
              <w:rPr>
                <w:rFonts w:ascii="Arial" w:cs="Arial" w:eastAsia="Arial" w:hAnsi="Arial"/>
                <w:sz w:val="18"/>
                <w:szCs w:val="18"/>
                <w:color w:val="auto"/>
              </w:rPr>
              <w:t>Resources</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7"/>
        </w:trPr>
        <w:tc>
          <w:tcPr>
            <w:tcW w:w="2640" w:type="dxa"/>
            <w:vAlign w:val="bottom"/>
            <w:shd w:val="clear" w:color="auto" w:fill="C6D9F1"/>
          </w:tcPr>
          <w:p>
            <w:pPr>
              <w:spacing w:after="0" w:line="197" w:lineRule="exact"/>
              <w:rPr>
                <w:sz w:val="20"/>
                <w:szCs w:val="20"/>
                <w:color w:val="auto"/>
              </w:rPr>
            </w:pPr>
            <w:r>
              <w:rPr>
                <w:rFonts w:ascii="Arial" w:cs="Arial" w:eastAsia="Arial" w:hAnsi="Arial"/>
                <w:sz w:val="18"/>
                <w:szCs w:val="18"/>
                <w:b w:val="1"/>
                <w:bCs w:val="1"/>
                <w:color w:val="auto"/>
              </w:rPr>
              <w:t>Henry</w:t>
            </w:r>
          </w:p>
        </w:tc>
        <w:tc>
          <w:tcPr>
            <w:tcW w:w="680" w:type="dxa"/>
            <w:vAlign w:val="bottom"/>
            <w:gridSpan w:val="2"/>
            <w:shd w:val="clear" w:color="auto" w:fill="C6D9F1"/>
          </w:tcPr>
          <w:p>
            <w:pPr>
              <w:jc w:val="center"/>
              <w:ind w:left="30"/>
              <w:spacing w:after="0" w:line="197" w:lineRule="exact"/>
              <w:rPr>
                <w:sz w:val="20"/>
                <w:szCs w:val="20"/>
                <w:color w:val="auto"/>
              </w:rPr>
            </w:pPr>
            <w:r>
              <w:rPr>
                <w:rFonts w:ascii="Arial" w:cs="Arial" w:eastAsia="Arial" w:hAnsi="Arial"/>
                <w:sz w:val="18"/>
                <w:szCs w:val="18"/>
                <w:color w:val="auto"/>
                <w:w w:val="99"/>
              </w:rPr>
              <w:t>2015</w:t>
            </w:r>
          </w:p>
        </w:tc>
        <w:tc>
          <w:tcPr>
            <w:tcW w:w="1200" w:type="dxa"/>
            <w:vAlign w:val="bottom"/>
            <w:gridSpan w:val="2"/>
            <w:shd w:val="clear" w:color="auto" w:fill="C6D9F1"/>
          </w:tcPr>
          <w:p>
            <w:pPr>
              <w:jc w:val="right"/>
              <w:ind w:right="113"/>
              <w:spacing w:after="0" w:line="197" w:lineRule="exact"/>
              <w:rPr>
                <w:sz w:val="20"/>
                <w:szCs w:val="20"/>
                <w:color w:val="auto"/>
              </w:rPr>
            </w:pPr>
            <w:r>
              <w:rPr>
                <w:rFonts w:ascii="Arial" w:cs="Arial" w:eastAsia="Arial" w:hAnsi="Arial"/>
                <w:sz w:val="18"/>
                <w:szCs w:val="18"/>
                <w:color w:val="auto"/>
              </w:rPr>
              <w:t>450,000</w:t>
            </w:r>
          </w:p>
        </w:tc>
        <w:tc>
          <w:tcPr>
            <w:tcW w:w="100" w:type="dxa"/>
            <w:vAlign w:val="bottom"/>
            <w:shd w:val="clear" w:color="auto" w:fill="C6D9F1"/>
          </w:tcPr>
          <w:p>
            <w:pPr>
              <w:spacing w:after="0"/>
              <w:rPr>
                <w:sz w:val="17"/>
                <w:szCs w:val="17"/>
                <w:color w:val="auto"/>
              </w:rPr>
            </w:pPr>
          </w:p>
        </w:tc>
        <w:tc>
          <w:tcPr>
            <w:tcW w:w="1020" w:type="dxa"/>
            <w:vAlign w:val="bottom"/>
            <w:gridSpan w:val="2"/>
            <w:shd w:val="clear" w:color="auto" w:fill="C6D9F1"/>
          </w:tcPr>
          <w:p>
            <w:pPr>
              <w:jc w:val="right"/>
              <w:ind w:right="260"/>
              <w:spacing w:after="0" w:line="197"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6D9F1"/>
          </w:tcPr>
          <w:p>
            <w:pPr>
              <w:jc w:val="right"/>
              <w:ind w:right="120"/>
              <w:spacing w:after="0" w:line="197" w:lineRule="exact"/>
              <w:rPr>
                <w:sz w:val="20"/>
                <w:szCs w:val="20"/>
                <w:color w:val="auto"/>
              </w:rPr>
            </w:pPr>
            <w:r>
              <w:rPr>
                <w:rFonts w:ascii="Arial" w:cs="Arial" w:eastAsia="Arial" w:hAnsi="Arial"/>
                <w:sz w:val="18"/>
                <w:szCs w:val="18"/>
                <w:color w:val="auto"/>
              </w:rPr>
              <w:t>595,800</w:t>
            </w:r>
          </w:p>
        </w:tc>
        <w:tc>
          <w:tcPr>
            <w:tcW w:w="1220" w:type="dxa"/>
            <w:vAlign w:val="bottom"/>
            <w:gridSpan w:val="2"/>
            <w:shd w:val="clear" w:color="auto" w:fill="C6D9F1"/>
          </w:tcPr>
          <w:p>
            <w:pPr>
              <w:jc w:val="right"/>
              <w:ind w:right="100"/>
              <w:spacing w:after="0" w:line="197" w:lineRule="exact"/>
              <w:rPr>
                <w:sz w:val="20"/>
                <w:szCs w:val="20"/>
                <w:color w:val="auto"/>
              </w:rPr>
            </w:pPr>
            <w:r>
              <w:rPr>
                <w:rFonts w:ascii="Arial" w:cs="Arial" w:eastAsia="Arial" w:hAnsi="Arial"/>
                <w:sz w:val="18"/>
                <w:szCs w:val="18"/>
                <w:color w:val="auto"/>
              </w:rPr>
              <w:t>349,385</w:t>
            </w:r>
          </w:p>
        </w:tc>
        <w:tc>
          <w:tcPr>
            <w:tcW w:w="1240" w:type="dxa"/>
            <w:vAlign w:val="bottom"/>
            <w:gridSpan w:val="2"/>
            <w:shd w:val="clear" w:color="auto" w:fill="C6D9F1"/>
          </w:tcPr>
          <w:p>
            <w:pPr>
              <w:jc w:val="right"/>
              <w:ind w:right="240"/>
              <w:spacing w:after="0" w:line="197" w:lineRule="exact"/>
              <w:rPr>
                <w:sz w:val="20"/>
                <w:szCs w:val="20"/>
                <w:color w:val="auto"/>
              </w:rPr>
            </w:pPr>
            <w:r>
              <w:rPr>
                <w:rFonts w:ascii="Arial" w:cs="Arial" w:eastAsia="Arial" w:hAnsi="Arial"/>
                <w:sz w:val="18"/>
                <w:szCs w:val="18"/>
                <w:color w:val="auto"/>
              </w:rPr>
              <w:t>—</w:t>
            </w:r>
          </w:p>
        </w:tc>
        <w:tc>
          <w:tcPr>
            <w:tcW w:w="1180" w:type="dxa"/>
            <w:vAlign w:val="bottom"/>
            <w:shd w:val="clear" w:color="auto" w:fill="C6D9F1"/>
          </w:tcPr>
          <w:p>
            <w:pPr>
              <w:jc w:val="right"/>
              <w:spacing w:after="0" w:line="197" w:lineRule="exact"/>
              <w:rPr>
                <w:sz w:val="20"/>
                <w:szCs w:val="20"/>
                <w:color w:val="auto"/>
              </w:rPr>
            </w:pPr>
            <w:r>
              <w:rPr>
                <w:rFonts w:ascii="Arial" w:cs="Arial" w:eastAsia="Arial" w:hAnsi="Arial"/>
                <w:sz w:val="18"/>
                <w:szCs w:val="18"/>
                <w:color w:val="auto"/>
              </w:rPr>
              <w:t>8,340</w:t>
            </w:r>
            <w:r>
              <w:rPr>
                <w:rFonts w:ascii="Arial" w:cs="Arial" w:eastAsia="Arial" w:hAnsi="Arial"/>
                <w:sz w:val="15"/>
                <w:szCs w:val="15"/>
                <w:color w:val="auto"/>
              </w:rPr>
              <w:t>(11)</w:t>
            </w:r>
          </w:p>
        </w:tc>
        <w:tc>
          <w:tcPr>
            <w:tcW w:w="100" w:type="dxa"/>
            <w:vAlign w:val="bottom"/>
            <w:shd w:val="clear" w:color="auto" w:fill="C6D9F1"/>
          </w:tcPr>
          <w:p>
            <w:pPr>
              <w:spacing w:after="0"/>
              <w:rPr>
                <w:sz w:val="17"/>
                <w:szCs w:val="17"/>
                <w:color w:val="auto"/>
              </w:rPr>
            </w:pPr>
          </w:p>
        </w:tc>
        <w:tc>
          <w:tcPr>
            <w:tcW w:w="1020" w:type="dxa"/>
            <w:vAlign w:val="bottom"/>
            <w:shd w:val="clear" w:color="auto" w:fill="C6D9F1"/>
          </w:tcPr>
          <w:p>
            <w:pPr>
              <w:jc w:val="right"/>
              <w:ind w:right="12"/>
              <w:spacing w:after="0" w:line="197" w:lineRule="exact"/>
              <w:rPr>
                <w:sz w:val="20"/>
                <w:szCs w:val="20"/>
                <w:color w:val="auto"/>
              </w:rPr>
            </w:pPr>
            <w:r>
              <w:rPr>
                <w:rFonts w:ascii="Arial" w:cs="Arial" w:eastAsia="Arial" w:hAnsi="Arial"/>
                <w:sz w:val="18"/>
                <w:szCs w:val="18"/>
                <w:color w:val="auto"/>
              </w:rPr>
              <w:t>1,403,525</w:t>
            </w:r>
          </w:p>
        </w:tc>
      </w:tr>
      <w:tr>
        <w:trPr>
          <w:trHeight w:val="262"/>
        </w:trPr>
        <w:tc>
          <w:tcPr>
            <w:tcW w:w="2640" w:type="dxa"/>
            <w:vAlign w:val="bottom"/>
            <w:shd w:val="clear" w:color="auto" w:fill="C6D9F1"/>
          </w:tcPr>
          <w:p>
            <w:pPr>
              <w:ind w:left="100"/>
              <w:spacing w:after="0" w:line="262" w:lineRule="exact"/>
              <w:rPr>
                <w:sz w:val="20"/>
                <w:szCs w:val="20"/>
                <w:color w:val="auto"/>
              </w:rPr>
            </w:pPr>
            <w:r>
              <w:rPr>
                <w:rFonts w:ascii="Arial" w:cs="Arial" w:eastAsia="Arial" w:hAnsi="Arial"/>
                <w:sz w:val="18"/>
                <w:szCs w:val="18"/>
                <w:b w:val="1"/>
                <w:bCs w:val="1"/>
                <w:color w:val="auto"/>
              </w:rPr>
              <w:t>Schweppe</w:t>
            </w:r>
            <w:r>
              <w:rPr>
                <w:rFonts w:ascii="Arial" w:cs="Arial" w:eastAsia="Arial" w:hAnsi="Arial"/>
                <w:sz w:val="30"/>
                <w:szCs w:val="30"/>
                <w:b w:val="1"/>
                <w:bCs w:val="1"/>
                <w:color w:val="auto"/>
                <w:vertAlign w:val="superscript"/>
              </w:rPr>
              <w:t>(</w:t>
            </w:r>
            <w:r>
              <w:rPr>
                <w:rFonts w:ascii="Arial" w:cs="Arial" w:eastAsia="Arial" w:hAnsi="Arial"/>
                <w:sz w:val="30"/>
                <w:szCs w:val="30"/>
                <w:color w:val="auto"/>
                <w:vertAlign w:val="superscript"/>
              </w:rPr>
              <w:t>10)</w:t>
            </w:r>
          </w:p>
        </w:tc>
        <w:tc>
          <w:tcPr>
            <w:tcW w:w="100" w:type="dxa"/>
            <w:vAlign w:val="bottom"/>
            <w:shd w:val="clear" w:color="auto" w:fill="C6D9F1"/>
          </w:tcPr>
          <w:p>
            <w:pPr>
              <w:spacing w:after="0"/>
              <w:rPr>
                <w:sz w:val="22"/>
                <w:szCs w:val="22"/>
                <w:color w:val="auto"/>
              </w:rPr>
            </w:pPr>
          </w:p>
        </w:tc>
        <w:tc>
          <w:tcPr>
            <w:tcW w:w="580" w:type="dxa"/>
            <w:vAlign w:val="bottom"/>
            <w:shd w:val="clear" w:color="auto" w:fill="C6D9F1"/>
          </w:tcPr>
          <w:p>
            <w:pPr>
              <w:jc w:val="center"/>
              <w:spacing w:after="0"/>
              <w:rPr>
                <w:sz w:val="20"/>
                <w:szCs w:val="20"/>
                <w:color w:val="auto"/>
              </w:rPr>
            </w:pPr>
            <w:r>
              <w:rPr>
                <w:rFonts w:ascii="Arial" w:cs="Arial" w:eastAsia="Arial" w:hAnsi="Arial"/>
                <w:sz w:val="18"/>
                <w:szCs w:val="18"/>
                <w:color w:val="auto"/>
                <w:w w:val="99"/>
              </w:rPr>
              <w:t>2014</w:t>
            </w:r>
          </w:p>
        </w:tc>
        <w:tc>
          <w:tcPr>
            <w:tcW w:w="100" w:type="dxa"/>
            <w:vAlign w:val="bottom"/>
            <w:shd w:val="clear" w:color="auto" w:fill="C6D9F1"/>
          </w:tcPr>
          <w:p>
            <w:pPr>
              <w:spacing w:after="0"/>
              <w:rPr>
                <w:sz w:val="22"/>
                <w:szCs w:val="22"/>
                <w:color w:val="auto"/>
              </w:rPr>
            </w:pPr>
          </w:p>
        </w:tc>
        <w:tc>
          <w:tcPr>
            <w:tcW w:w="1200" w:type="dxa"/>
            <w:vAlign w:val="bottom"/>
            <w:gridSpan w:val="2"/>
            <w:shd w:val="clear" w:color="auto" w:fill="C6D9F1"/>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6D9F1"/>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6D9F1"/>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6D9F1"/>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6D9F1"/>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6D9F1"/>
          </w:tcPr>
          <w:p>
            <w:pPr>
              <w:jc w:val="right"/>
              <w:ind w:right="3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6D9F1"/>
          </w:tcPr>
          <w:p>
            <w:pPr>
              <w:jc w:val="right"/>
              <w:ind w:right="12"/>
              <w:spacing w:after="0"/>
              <w:rPr>
                <w:sz w:val="20"/>
                <w:szCs w:val="20"/>
                <w:color w:val="auto"/>
              </w:rPr>
            </w:pPr>
            <w:r>
              <w:rPr>
                <w:rFonts w:ascii="Arial" w:cs="Arial" w:eastAsia="Arial" w:hAnsi="Arial"/>
                <w:sz w:val="18"/>
                <w:szCs w:val="18"/>
                <w:color w:val="auto"/>
              </w:rPr>
              <w:t>—</w:t>
            </w:r>
          </w:p>
        </w:tc>
      </w:tr>
      <w:tr>
        <w:trPr>
          <w:trHeight w:val="216"/>
        </w:trPr>
        <w:tc>
          <w:tcPr>
            <w:tcW w:w="2640" w:type="dxa"/>
            <w:vAlign w:val="bottom"/>
            <w:shd w:val="clear" w:color="auto" w:fill="C6D9F1"/>
          </w:tcPr>
          <w:p>
            <w:pPr>
              <w:ind w:left="100"/>
              <w:spacing w:after="0"/>
              <w:rPr>
                <w:sz w:val="20"/>
                <w:szCs w:val="20"/>
                <w:color w:val="auto"/>
              </w:rPr>
            </w:pPr>
            <w:r>
              <w:rPr>
                <w:rFonts w:ascii="Arial" w:cs="Arial" w:eastAsia="Arial" w:hAnsi="Arial"/>
                <w:sz w:val="18"/>
                <w:szCs w:val="18"/>
                <w:color w:val="auto"/>
              </w:rPr>
              <w:t>Former</w:t>
            </w:r>
          </w:p>
        </w:tc>
        <w:tc>
          <w:tcPr>
            <w:tcW w:w="100" w:type="dxa"/>
            <w:vAlign w:val="bottom"/>
            <w:shd w:val="clear" w:color="auto" w:fill="C6D9F1"/>
          </w:tcPr>
          <w:p>
            <w:pPr>
              <w:spacing w:after="0"/>
              <w:rPr>
                <w:sz w:val="18"/>
                <w:szCs w:val="18"/>
                <w:color w:val="auto"/>
              </w:rPr>
            </w:pPr>
          </w:p>
        </w:tc>
        <w:tc>
          <w:tcPr>
            <w:tcW w:w="580" w:type="dxa"/>
            <w:vAlign w:val="bottom"/>
            <w:shd w:val="clear" w:color="auto" w:fill="C6D9F1"/>
          </w:tcPr>
          <w:p>
            <w:pPr>
              <w:jc w:val="center"/>
              <w:spacing w:after="0"/>
              <w:rPr>
                <w:sz w:val="20"/>
                <w:szCs w:val="20"/>
                <w:color w:val="auto"/>
              </w:rPr>
            </w:pPr>
            <w:r>
              <w:rPr>
                <w:rFonts w:ascii="Arial" w:cs="Arial" w:eastAsia="Arial" w:hAnsi="Arial"/>
                <w:sz w:val="18"/>
                <w:szCs w:val="18"/>
                <w:color w:val="auto"/>
                <w:w w:val="99"/>
              </w:rPr>
              <w:t>2013</w:t>
            </w:r>
          </w:p>
        </w:tc>
        <w:tc>
          <w:tcPr>
            <w:tcW w:w="100" w:type="dxa"/>
            <w:vAlign w:val="bottom"/>
            <w:shd w:val="clear" w:color="auto" w:fill="C6D9F1"/>
          </w:tcPr>
          <w:p>
            <w:pPr>
              <w:spacing w:after="0"/>
              <w:rPr>
                <w:sz w:val="18"/>
                <w:szCs w:val="18"/>
                <w:color w:val="auto"/>
              </w:rPr>
            </w:pPr>
          </w:p>
        </w:tc>
        <w:tc>
          <w:tcPr>
            <w:tcW w:w="1200" w:type="dxa"/>
            <w:vAlign w:val="bottom"/>
            <w:gridSpan w:val="2"/>
            <w:shd w:val="clear" w:color="auto" w:fill="C6D9F1"/>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6D9F1"/>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6D9F1"/>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6D9F1"/>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6D9F1"/>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6D9F1"/>
          </w:tcPr>
          <w:p>
            <w:pPr>
              <w:jc w:val="right"/>
              <w:ind w:right="3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6D9F1"/>
          </w:tcPr>
          <w:p>
            <w:pPr>
              <w:jc w:val="right"/>
              <w:ind w:right="12"/>
              <w:spacing w:after="0"/>
              <w:rPr>
                <w:sz w:val="20"/>
                <w:szCs w:val="20"/>
                <w:color w:val="auto"/>
              </w:rPr>
            </w:pPr>
            <w:r>
              <w:rPr>
                <w:rFonts w:ascii="Arial" w:cs="Arial" w:eastAsia="Arial" w:hAnsi="Arial"/>
                <w:sz w:val="18"/>
                <w:szCs w:val="18"/>
                <w:color w:val="auto"/>
              </w:rPr>
              <w:t>—</w:t>
            </w:r>
          </w:p>
        </w:tc>
      </w:tr>
      <w:tr>
        <w:trPr>
          <w:trHeight w:val="216"/>
        </w:trPr>
        <w:tc>
          <w:tcPr>
            <w:tcW w:w="2640" w:type="dxa"/>
            <w:vAlign w:val="bottom"/>
            <w:shd w:val="clear" w:color="auto" w:fill="C6D9F1"/>
          </w:tcPr>
          <w:p>
            <w:pPr>
              <w:ind w:left="100"/>
              <w:spacing w:after="0"/>
              <w:rPr>
                <w:sz w:val="20"/>
                <w:szCs w:val="20"/>
                <w:color w:val="auto"/>
              </w:rPr>
            </w:pPr>
            <w:r>
              <w:rPr>
                <w:rFonts w:ascii="Arial" w:cs="Arial" w:eastAsia="Arial" w:hAnsi="Arial"/>
                <w:sz w:val="18"/>
                <w:szCs w:val="18"/>
                <w:color w:val="auto"/>
              </w:rPr>
              <w:t>President,</w:t>
            </w:r>
          </w:p>
        </w:tc>
        <w:tc>
          <w:tcPr>
            <w:tcW w:w="100" w:type="dxa"/>
            <w:vAlign w:val="bottom"/>
            <w:shd w:val="clear" w:color="auto" w:fill="C6D9F1"/>
          </w:tcPr>
          <w:p>
            <w:pPr>
              <w:spacing w:after="0"/>
              <w:rPr>
                <w:sz w:val="18"/>
                <w:szCs w:val="18"/>
                <w:color w:val="auto"/>
              </w:rPr>
            </w:pPr>
          </w:p>
        </w:tc>
        <w:tc>
          <w:tcPr>
            <w:tcW w:w="580" w:type="dxa"/>
            <w:vAlign w:val="bottom"/>
            <w:shd w:val="clear" w:color="auto" w:fill="C6D9F1"/>
          </w:tcPr>
          <w:p>
            <w:pPr>
              <w:spacing w:after="0"/>
              <w:rPr>
                <w:sz w:val="18"/>
                <w:szCs w:val="18"/>
                <w:color w:val="auto"/>
              </w:rPr>
            </w:pPr>
          </w:p>
        </w:tc>
        <w:tc>
          <w:tcPr>
            <w:tcW w:w="100" w:type="dxa"/>
            <w:vAlign w:val="bottom"/>
            <w:shd w:val="clear" w:color="auto" w:fill="C6D9F1"/>
          </w:tcPr>
          <w:p>
            <w:pPr>
              <w:spacing w:after="0"/>
              <w:rPr>
                <w:sz w:val="18"/>
                <w:szCs w:val="18"/>
                <w:color w:val="auto"/>
              </w:rPr>
            </w:pPr>
          </w:p>
        </w:tc>
        <w:tc>
          <w:tcPr>
            <w:tcW w:w="1100" w:type="dxa"/>
            <w:vAlign w:val="bottom"/>
            <w:shd w:val="clear" w:color="auto" w:fill="C6D9F1"/>
          </w:tcPr>
          <w:p>
            <w:pPr>
              <w:spacing w:after="0"/>
              <w:rPr>
                <w:sz w:val="18"/>
                <w:szCs w:val="18"/>
                <w:color w:val="auto"/>
              </w:rPr>
            </w:pPr>
          </w:p>
        </w:tc>
        <w:tc>
          <w:tcPr>
            <w:tcW w:w="100" w:type="dxa"/>
            <w:vAlign w:val="bottom"/>
            <w:shd w:val="clear" w:color="auto" w:fill="C6D9F1"/>
          </w:tcPr>
          <w:p>
            <w:pPr>
              <w:spacing w:after="0"/>
              <w:rPr>
                <w:sz w:val="18"/>
                <w:szCs w:val="18"/>
                <w:color w:val="auto"/>
              </w:rPr>
            </w:pPr>
          </w:p>
        </w:tc>
        <w:tc>
          <w:tcPr>
            <w:tcW w:w="920" w:type="dxa"/>
            <w:vAlign w:val="bottom"/>
            <w:shd w:val="clear" w:color="auto" w:fill="C6D9F1"/>
          </w:tcPr>
          <w:p>
            <w:pPr>
              <w:spacing w:after="0"/>
              <w:rPr>
                <w:sz w:val="18"/>
                <w:szCs w:val="18"/>
                <w:color w:val="auto"/>
              </w:rPr>
            </w:pPr>
          </w:p>
        </w:tc>
        <w:tc>
          <w:tcPr>
            <w:tcW w:w="100" w:type="dxa"/>
            <w:vAlign w:val="bottom"/>
            <w:shd w:val="clear" w:color="auto" w:fill="C6D9F1"/>
          </w:tcPr>
          <w:p>
            <w:pPr>
              <w:spacing w:after="0"/>
              <w:rPr>
                <w:sz w:val="18"/>
                <w:szCs w:val="18"/>
                <w:color w:val="auto"/>
              </w:rPr>
            </w:pPr>
          </w:p>
        </w:tc>
        <w:tc>
          <w:tcPr>
            <w:tcW w:w="900" w:type="dxa"/>
            <w:vAlign w:val="bottom"/>
            <w:shd w:val="clear" w:color="auto" w:fill="C6D9F1"/>
          </w:tcPr>
          <w:p>
            <w:pPr>
              <w:spacing w:after="0"/>
              <w:rPr>
                <w:sz w:val="18"/>
                <w:szCs w:val="18"/>
                <w:color w:val="auto"/>
              </w:rPr>
            </w:pPr>
          </w:p>
        </w:tc>
        <w:tc>
          <w:tcPr>
            <w:tcW w:w="120" w:type="dxa"/>
            <w:vAlign w:val="bottom"/>
            <w:shd w:val="clear" w:color="auto" w:fill="C6D9F1"/>
          </w:tcPr>
          <w:p>
            <w:pPr>
              <w:spacing w:after="0"/>
              <w:rPr>
                <w:sz w:val="18"/>
                <w:szCs w:val="18"/>
                <w:color w:val="auto"/>
              </w:rPr>
            </w:pPr>
          </w:p>
        </w:tc>
        <w:tc>
          <w:tcPr>
            <w:tcW w:w="1120" w:type="dxa"/>
            <w:vAlign w:val="bottom"/>
            <w:shd w:val="clear" w:color="auto" w:fill="C6D9F1"/>
          </w:tcPr>
          <w:p>
            <w:pPr>
              <w:spacing w:after="0"/>
              <w:rPr>
                <w:sz w:val="18"/>
                <w:szCs w:val="18"/>
                <w:color w:val="auto"/>
              </w:rPr>
            </w:pPr>
          </w:p>
        </w:tc>
        <w:tc>
          <w:tcPr>
            <w:tcW w:w="100" w:type="dxa"/>
            <w:vAlign w:val="bottom"/>
            <w:shd w:val="clear" w:color="auto" w:fill="C6D9F1"/>
          </w:tcPr>
          <w:p>
            <w:pPr>
              <w:spacing w:after="0"/>
              <w:rPr>
                <w:sz w:val="18"/>
                <w:szCs w:val="18"/>
                <w:color w:val="auto"/>
              </w:rPr>
            </w:pPr>
          </w:p>
        </w:tc>
        <w:tc>
          <w:tcPr>
            <w:tcW w:w="1140" w:type="dxa"/>
            <w:vAlign w:val="bottom"/>
            <w:shd w:val="clear" w:color="auto" w:fill="C6D9F1"/>
          </w:tcPr>
          <w:p>
            <w:pPr>
              <w:spacing w:after="0"/>
              <w:rPr>
                <w:sz w:val="18"/>
                <w:szCs w:val="18"/>
                <w:color w:val="auto"/>
              </w:rPr>
            </w:pPr>
          </w:p>
        </w:tc>
        <w:tc>
          <w:tcPr>
            <w:tcW w:w="100" w:type="dxa"/>
            <w:vAlign w:val="bottom"/>
            <w:shd w:val="clear" w:color="auto" w:fill="C6D9F1"/>
          </w:tcPr>
          <w:p>
            <w:pPr>
              <w:spacing w:after="0"/>
              <w:rPr>
                <w:sz w:val="18"/>
                <w:szCs w:val="18"/>
                <w:color w:val="auto"/>
              </w:rPr>
            </w:pPr>
          </w:p>
        </w:tc>
        <w:tc>
          <w:tcPr>
            <w:tcW w:w="1180" w:type="dxa"/>
            <w:vAlign w:val="bottom"/>
            <w:shd w:val="clear" w:color="auto" w:fill="C6D9F1"/>
          </w:tcPr>
          <w:p>
            <w:pPr>
              <w:spacing w:after="0"/>
              <w:rPr>
                <w:sz w:val="18"/>
                <w:szCs w:val="18"/>
                <w:color w:val="auto"/>
              </w:rPr>
            </w:pPr>
          </w:p>
        </w:tc>
        <w:tc>
          <w:tcPr>
            <w:tcW w:w="100" w:type="dxa"/>
            <w:vAlign w:val="bottom"/>
            <w:shd w:val="clear" w:color="auto" w:fill="C6D9F1"/>
          </w:tcPr>
          <w:p>
            <w:pPr>
              <w:spacing w:after="0"/>
              <w:rPr>
                <w:sz w:val="18"/>
                <w:szCs w:val="18"/>
                <w:color w:val="auto"/>
              </w:rPr>
            </w:pPr>
          </w:p>
        </w:tc>
        <w:tc>
          <w:tcPr>
            <w:tcW w:w="1020" w:type="dxa"/>
            <w:vAlign w:val="bottom"/>
            <w:shd w:val="clear" w:color="auto" w:fill="C6D9F1"/>
          </w:tcPr>
          <w:p>
            <w:pPr>
              <w:spacing w:after="0"/>
              <w:rPr>
                <w:sz w:val="18"/>
                <w:szCs w:val="18"/>
                <w:color w:val="auto"/>
              </w:rPr>
            </w:pPr>
          </w:p>
        </w:tc>
      </w:tr>
      <w:tr>
        <w:trPr>
          <w:trHeight w:val="216"/>
        </w:trPr>
        <w:tc>
          <w:tcPr>
            <w:tcW w:w="2640" w:type="dxa"/>
            <w:vAlign w:val="bottom"/>
            <w:shd w:val="clear" w:color="auto" w:fill="C6D9F1"/>
          </w:tcPr>
          <w:p>
            <w:pPr>
              <w:ind w:left="100"/>
              <w:spacing w:after="0"/>
              <w:rPr>
                <w:sz w:val="20"/>
                <w:szCs w:val="20"/>
                <w:color w:val="auto"/>
              </w:rPr>
            </w:pPr>
            <w:r>
              <w:rPr>
                <w:rFonts w:ascii="Arial" w:cs="Arial" w:eastAsia="Arial" w:hAnsi="Arial"/>
                <w:sz w:val="18"/>
                <w:szCs w:val="18"/>
                <w:color w:val="auto"/>
              </w:rPr>
              <w:t>Global Business</w:t>
            </w:r>
          </w:p>
        </w:tc>
        <w:tc>
          <w:tcPr>
            <w:tcW w:w="100" w:type="dxa"/>
            <w:vAlign w:val="bottom"/>
            <w:shd w:val="clear" w:color="auto" w:fill="C6D9F1"/>
          </w:tcPr>
          <w:p>
            <w:pPr>
              <w:spacing w:after="0"/>
              <w:rPr>
                <w:sz w:val="18"/>
                <w:szCs w:val="18"/>
                <w:color w:val="auto"/>
              </w:rPr>
            </w:pPr>
          </w:p>
        </w:tc>
        <w:tc>
          <w:tcPr>
            <w:tcW w:w="580" w:type="dxa"/>
            <w:vAlign w:val="bottom"/>
            <w:shd w:val="clear" w:color="auto" w:fill="C6D9F1"/>
          </w:tcPr>
          <w:p>
            <w:pPr>
              <w:spacing w:after="0"/>
              <w:rPr>
                <w:sz w:val="18"/>
                <w:szCs w:val="18"/>
                <w:color w:val="auto"/>
              </w:rPr>
            </w:pPr>
          </w:p>
        </w:tc>
        <w:tc>
          <w:tcPr>
            <w:tcW w:w="100" w:type="dxa"/>
            <w:vAlign w:val="bottom"/>
            <w:shd w:val="clear" w:color="auto" w:fill="C6D9F1"/>
          </w:tcPr>
          <w:p>
            <w:pPr>
              <w:spacing w:after="0"/>
              <w:rPr>
                <w:sz w:val="18"/>
                <w:szCs w:val="18"/>
                <w:color w:val="auto"/>
              </w:rPr>
            </w:pPr>
          </w:p>
        </w:tc>
        <w:tc>
          <w:tcPr>
            <w:tcW w:w="1100" w:type="dxa"/>
            <w:vAlign w:val="bottom"/>
            <w:shd w:val="clear" w:color="auto" w:fill="C6D9F1"/>
          </w:tcPr>
          <w:p>
            <w:pPr>
              <w:spacing w:after="0"/>
              <w:rPr>
                <w:sz w:val="18"/>
                <w:szCs w:val="18"/>
                <w:color w:val="auto"/>
              </w:rPr>
            </w:pPr>
          </w:p>
        </w:tc>
        <w:tc>
          <w:tcPr>
            <w:tcW w:w="100" w:type="dxa"/>
            <w:vAlign w:val="bottom"/>
            <w:shd w:val="clear" w:color="auto" w:fill="C6D9F1"/>
          </w:tcPr>
          <w:p>
            <w:pPr>
              <w:spacing w:after="0"/>
              <w:rPr>
                <w:sz w:val="18"/>
                <w:szCs w:val="18"/>
                <w:color w:val="auto"/>
              </w:rPr>
            </w:pPr>
          </w:p>
        </w:tc>
        <w:tc>
          <w:tcPr>
            <w:tcW w:w="920" w:type="dxa"/>
            <w:vAlign w:val="bottom"/>
            <w:shd w:val="clear" w:color="auto" w:fill="C6D9F1"/>
          </w:tcPr>
          <w:p>
            <w:pPr>
              <w:spacing w:after="0"/>
              <w:rPr>
                <w:sz w:val="18"/>
                <w:szCs w:val="18"/>
                <w:color w:val="auto"/>
              </w:rPr>
            </w:pPr>
          </w:p>
        </w:tc>
        <w:tc>
          <w:tcPr>
            <w:tcW w:w="100" w:type="dxa"/>
            <w:vAlign w:val="bottom"/>
            <w:shd w:val="clear" w:color="auto" w:fill="C6D9F1"/>
          </w:tcPr>
          <w:p>
            <w:pPr>
              <w:spacing w:after="0"/>
              <w:rPr>
                <w:sz w:val="18"/>
                <w:szCs w:val="18"/>
                <w:color w:val="auto"/>
              </w:rPr>
            </w:pPr>
          </w:p>
        </w:tc>
        <w:tc>
          <w:tcPr>
            <w:tcW w:w="900" w:type="dxa"/>
            <w:vAlign w:val="bottom"/>
            <w:shd w:val="clear" w:color="auto" w:fill="C6D9F1"/>
          </w:tcPr>
          <w:p>
            <w:pPr>
              <w:spacing w:after="0"/>
              <w:rPr>
                <w:sz w:val="18"/>
                <w:szCs w:val="18"/>
                <w:color w:val="auto"/>
              </w:rPr>
            </w:pPr>
          </w:p>
        </w:tc>
        <w:tc>
          <w:tcPr>
            <w:tcW w:w="120" w:type="dxa"/>
            <w:vAlign w:val="bottom"/>
            <w:shd w:val="clear" w:color="auto" w:fill="C6D9F1"/>
          </w:tcPr>
          <w:p>
            <w:pPr>
              <w:spacing w:after="0"/>
              <w:rPr>
                <w:sz w:val="18"/>
                <w:szCs w:val="18"/>
                <w:color w:val="auto"/>
              </w:rPr>
            </w:pPr>
          </w:p>
        </w:tc>
        <w:tc>
          <w:tcPr>
            <w:tcW w:w="1120" w:type="dxa"/>
            <w:vAlign w:val="bottom"/>
            <w:shd w:val="clear" w:color="auto" w:fill="C6D9F1"/>
          </w:tcPr>
          <w:p>
            <w:pPr>
              <w:spacing w:after="0"/>
              <w:rPr>
                <w:sz w:val="18"/>
                <w:szCs w:val="18"/>
                <w:color w:val="auto"/>
              </w:rPr>
            </w:pPr>
          </w:p>
        </w:tc>
        <w:tc>
          <w:tcPr>
            <w:tcW w:w="100" w:type="dxa"/>
            <w:vAlign w:val="bottom"/>
            <w:shd w:val="clear" w:color="auto" w:fill="C6D9F1"/>
          </w:tcPr>
          <w:p>
            <w:pPr>
              <w:spacing w:after="0"/>
              <w:rPr>
                <w:sz w:val="18"/>
                <w:szCs w:val="18"/>
                <w:color w:val="auto"/>
              </w:rPr>
            </w:pPr>
          </w:p>
        </w:tc>
        <w:tc>
          <w:tcPr>
            <w:tcW w:w="1140" w:type="dxa"/>
            <w:vAlign w:val="bottom"/>
            <w:shd w:val="clear" w:color="auto" w:fill="C6D9F1"/>
          </w:tcPr>
          <w:p>
            <w:pPr>
              <w:spacing w:after="0"/>
              <w:rPr>
                <w:sz w:val="18"/>
                <w:szCs w:val="18"/>
                <w:color w:val="auto"/>
              </w:rPr>
            </w:pPr>
          </w:p>
        </w:tc>
        <w:tc>
          <w:tcPr>
            <w:tcW w:w="100" w:type="dxa"/>
            <w:vAlign w:val="bottom"/>
            <w:shd w:val="clear" w:color="auto" w:fill="C6D9F1"/>
          </w:tcPr>
          <w:p>
            <w:pPr>
              <w:spacing w:after="0"/>
              <w:rPr>
                <w:sz w:val="18"/>
                <w:szCs w:val="18"/>
                <w:color w:val="auto"/>
              </w:rPr>
            </w:pPr>
          </w:p>
        </w:tc>
        <w:tc>
          <w:tcPr>
            <w:tcW w:w="1180" w:type="dxa"/>
            <w:vAlign w:val="bottom"/>
            <w:shd w:val="clear" w:color="auto" w:fill="C6D9F1"/>
          </w:tcPr>
          <w:p>
            <w:pPr>
              <w:spacing w:after="0"/>
              <w:rPr>
                <w:sz w:val="18"/>
                <w:szCs w:val="18"/>
                <w:color w:val="auto"/>
              </w:rPr>
            </w:pPr>
          </w:p>
        </w:tc>
        <w:tc>
          <w:tcPr>
            <w:tcW w:w="100" w:type="dxa"/>
            <w:vAlign w:val="bottom"/>
            <w:shd w:val="clear" w:color="auto" w:fill="C6D9F1"/>
          </w:tcPr>
          <w:p>
            <w:pPr>
              <w:spacing w:after="0"/>
              <w:rPr>
                <w:sz w:val="18"/>
                <w:szCs w:val="18"/>
                <w:color w:val="auto"/>
              </w:rPr>
            </w:pPr>
          </w:p>
        </w:tc>
        <w:tc>
          <w:tcPr>
            <w:tcW w:w="1020" w:type="dxa"/>
            <w:vAlign w:val="bottom"/>
            <w:shd w:val="clear" w:color="auto" w:fill="C6D9F1"/>
          </w:tcPr>
          <w:p>
            <w:pPr>
              <w:spacing w:after="0"/>
              <w:rPr>
                <w:sz w:val="18"/>
                <w:szCs w:val="18"/>
                <w:color w:val="auto"/>
              </w:rPr>
            </w:pPr>
          </w:p>
        </w:tc>
      </w:tr>
      <w:tr>
        <w:trPr>
          <w:trHeight w:val="216"/>
        </w:trPr>
        <w:tc>
          <w:tcPr>
            <w:tcW w:w="2640" w:type="dxa"/>
            <w:vAlign w:val="bottom"/>
            <w:shd w:val="clear" w:color="auto" w:fill="C6D9F1"/>
          </w:tcPr>
          <w:p>
            <w:pPr>
              <w:ind w:left="100"/>
              <w:spacing w:after="0"/>
              <w:rPr>
                <w:sz w:val="20"/>
                <w:szCs w:val="20"/>
                <w:color w:val="auto"/>
              </w:rPr>
            </w:pPr>
            <w:r>
              <w:rPr>
                <w:rFonts w:ascii="Arial" w:cs="Arial" w:eastAsia="Arial" w:hAnsi="Arial"/>
                <w:sz w:val="18"/>
                <w:szCs w:val="18"/>
                <w:color w:val="auto"/>
              </w:rPr>
              <w:t>and Marketing</w:t>
            </w:r>
          </w:p>
        </w:tc>
        <w:tc>
          <w:tcPr>
            <w:tcW w:w="100" w:type="dxa"/>
            <w:vAlign w:val="bottom"/>
            <w:shd w:val="clear" w:color="auto" w:fill="C6D9F1"/>
          </w:tcPr>
          <w:p>
            <w:pPr>
              <w:spacing w:after="0"/>
              <w:rPr>
                <w:sz w:val="18"/>
                <w:szCs w:val="18"/>
                <w:color w:val="auto"/>
              </w:rPr>
            </w:pPr>
          </w:p>
        </w:tc>
        <w:tc>
          <w:tcPr>
            <w:tcW w:w="580" w:type="dxa"/>
            <w:vAlign w:val="bottom"/>
            <w:shd w:val="clear" w:color="auto" w:fill="C6D9F1"/>
          </w:tcPr>
          <w:p>
            <w:pPr>
              <w:spacing w:after="0"/>
              <w:rPr>
                <w:sz w:val="18"/>
                <w:szCs w:val="18"/>
                <w:color w:val="auto"/>
              </w:rPr>
            </w:pPr>
          </w:p>
        </w:tc>
        <w:tc>
          <w:tcPr>
            <w:tcW w:w="100" w:type="dxa"/>
            <w:vAlign w:val="bottom"/>
            <w:shd w:val="clear" w:color="auto" w:fill="C6D9F1"/>
          </w:tcPr>
          <w:p>
            <w:pPr>
              <w:spacing w:after="0"/>
              <w:rPr>
                <w:sz w:val="18"/>
                <w:szCs w:val="18"/>
                <w:color w:val="auto"/>
              </w:rPr>
            </w:pPr>
          </w:p>
        </w:tc>
        <w:tc>
          <w:tcPr>
            <w:tcW w:w="1100" w:type="dxa"/>
            <w:vAlign w:val="bottom"/>
            <w:shd w:val="clear" w:color="auto" w:fill="C6D9F1"/>
          </w:tcPr>
          <w:p>
            <w:pPr>
              <w:spacing w:after="0"/>
              <w:rPr>
                <w:sz w:val="18"/>
                <w:szCs w:val="18"/>
                <w:color w:val="auto"/>
              </w:rPr>
            </w:pPr>
          </w:p>
        </w:tc>
        <w:tc>
          <w:tcPr>
            <w:tcW w:w="100" w:type="dxa"/>
            <w:vAlign w:val="bottom"/>
            <w:shd w:val="clear" w:color="auto" w:fill="C6D9F1"/>
          </w:tcPr>
          <w:p>
            <w:pPr>
              <w:spacing w:after="0"/>
              <w:rPr>
                <w:sz w:val="18"/>
                <w:szCs w:val="18"/>
                <w:color w:val="auto"/>
              </w:rPr>
            </w:pPr>
          </w:p>
        </w:tc>
        <w:tc>
          <w:tcPr>
            <w:tcW w:w="920" w:type="dxa"/>
            <w:vAlign w:val="bottom"/>
            <w:shd w:val="clear" w:color="auto" w:fill="C6D9F1"/>
          </w:tcPr>
          <w:p>
            <w:pPr>
              <w:spacing w:after="0"/>
              <w:rPr>
                <w:sz w:val="18"/>
                <w:szCs w:val="18"/>
                <w:color w:val="auto"/>
              </w:rPr>
            </w:pPr>
          </w:p>
        </w:tc>
        <w:tc>
          <w:tcPr>
            <w:tcW w:w="100" w:type="dxa"/>
            <w:vAlign w:val="bottom"/>
            <w:shd w:val="clear" w:color="auto" w:fill="C6D9F1"/>
          </w:tcPr>
          <w:p>
            <w:pPr>
              <w:spacing w:after="0"/>
              <w:rPr>
                <w:sz w:val="18"/>
                <w:szCs w:val="18"/>
                <w:color w:val="auto"/>
              </w:rPr>
            </w:pPr>
          </w:p>
        </w:tc>
        <w:tc>
          <w:tcPr>
            <w:tcW w:w="900" w:type="dxa"/>
            <w:vAlign w:val="bottom"/>
            <w:shd w:val="clear" w:color="auto" w:fill="C6D9F1"/>
          </w:tcPr>
          <w:p>
            <w:pPr>
              <w:spacing w:after="0"/>
              <w:rPr>
                <w:sz w:val="18"/>
                <w:szCs w:val="18"/>
                <w:color w:val="auto"/>
              </w:rPr>
            </w:pPr>
          </w:p>
        </w:tc>
        <w:tc>
          <w:tcPr>
            <w:tcW w:w="120" w:type="dxa"/>
            <w:vAlign w:val="bottom"/>
            <w:shd w:val="clear" w:color="auto" w:fill="C6D9F1"/>
          </w:tcPr>
          <w:p>
            <w:pPr>
              <w:spacing w:after="0"/>
              <w:rPr>
                <w:sz w:val="18"/>
                <w:szCs w:val="18"/>
                <w:color w:val="auto"/>
              </w:rPr>
            </w:pPr>
          </w:p>
        </w:tc>
        <w:tc>
          <w:tcPr>
            <w:tcW w:w="1120" w:type="dxa"/>
            <w:vAlign w:val="bottom"/>
            <w:shd w:val="clear" w:color="auto" w:fill="C6D9F1"/>
          </w:tcPr>
          <w:p>
            <w:pPr>
              <w:spacing w:after="0"/>
              <w:rPr>
                <w:sz w:val="18"/>
                <w:szCs w:val="18"/>
                <w:color w:val="auto"/>
              </w:rPr>
            </w:pPr>
          </w:p>
        </w:tc>
        <w:tc>
          <w:tcPr>
            <w:tcW w:w="100" w:type="dxa"/>
            <w:vAlign w:val="bottom"/>
            <w:shd w:val="clear" w:color="auto" w:fill="C6D9F1"/>
          </w:tcPr>
          <w:p>
            <w:pPr>
              <w:spacing w:after="0"/>
              <w:rPr>
                <w:sz w:val="18"/>
                <w:szCs w:val="18"/>
                <w:color w:val="auto"/>
              </w:rPr>
            </w:pPr>
          </w:p>
        </w:tc>
        <w:tc>
          <w:tcPr>
            <w:tcW w:w="1140" w:type="dxa"/>
            <w:vAlign w:val="bottom"/>
            <w:shd w:val="clear" w:color="auto" w:fill="C6D9F1"/>
          </w:tcPr>
          <w:p>
            <w:pPr>
              <w:spacing w:after="0"/>
              <w:rPr>
                <w:sz w:val="18"/>
                <w:szCs w:val="18"/>
                <w:color w:val="auto"/>
              </w:rPr>
            </w:pPr>
          </w:p>
        </w:tc>
        <w:tc>
          <w:tcPr>
            <w:tcW w:w="100" w:type="dxa"/>
            <w:vAlign w:val="bottom"/>
            <w:shd w:val="clear" w:color="auto" w:fill="C6D9F1"/>
          </w:tcPr>
          <w:p>
            <w:pPr>
              <w:spacing w:after="0"/>
              <w:rPr>
                <w:sz w:val="18"/>
                <w:szCs w:val="18"/>
                <w:color w:val="auto"/>
              </w:rPr>
            </w:pPr>
          </w:p>
        </w:tc>
        <w:tc>
          <w:tcPr>
            <w:tcW w:w="1180" w:type="dxa"/>
            <w:vAlign w:val="bottom"/>
            <w:shd w:val="clear" w:color="auto" w:fill="C6D9F1"/>
          </w:tcPr>
          <w:p>
            <w:pPr>
              <w:spacing w:after="0"/>
              <w:rPr>
                <w:sz w:val="18"/>
                <w:szCs w:val="18"/>
                <w:color w:val="auto"/>
              </w:rPr>
            </w:pPr>
          </w:p>
        </w:tc>
        <w:tc>
          <w:tcPr>
            <w:tcW w:w="100" w:type="dxa"/>
            <w:vAlign w:val="bottom"/>
            <w:shd w:val="clear" w:color="auto" w:fill="C6D9F1"/>
          </w:tcPr>
          <w:p>
            <w:pPr>
              <w:spacing w:after="0"/>
              <w:rPr>
                <w:sz w:val="18"/>
                <w:szCs w:val="18"/>
                <w:color w:val="auto"/>
              </w:rPr>
            </w:pPr>
          </w:p>
        </w:tc>
        <w:tc>
          <w:tcPr>
            <w:tcW w:w="1020" w:type="dxa"/>
            <w:vAlign w:val="bottom"/>
            <w:shd w:val="clear" w:color="auto" w:fill="C6D9F1"/>
          </w:tcPr>
          <w:p>
            <w:pPr>
              <w:spacing w:after="0"/>
              <w:rPr>
                <w:sz w:val="18"/>
                <w:szCs w:val="18"/>
                <w:color w:val="auto"/>
              </w:rPr>
            </w:pPr>
          </w:p>
        </w:tc>
      </w:tr>
    </w:tbl>
    <w:p>
      <w:pPr>
        <w:spacing w:after="0" w:line="207" w:lineRule="exact"/>
        <w:rPr>
          <w:sz w:val="20"/>
          <w:szCs w:val="20"/>
          <w:color w:val="auto"/>
        </w:rPr>
      </w:pPr>
    </w:p>
    <w:p>
      <w:pPr>
        <w:ind w:left="740" w:hanging="408"/>
        <w:spacing w:after="0" w:line="241" w:lineRule="auto"/>
        <w:tabs>
          <w:tab w:leader="none" w:pos="7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amount set forth in the “Salary” column for Mr. Chhibbar includes $130,952 of base salary, $29,195 of a cash supplementary allowance, $78,571 of housing allowance (which Mr. Chhibbar elected to receive in cash), and $12,622 of travel and medical allowance (which Mr. Chhibbar elected to receive in cash).</w:t>
      </w:r>
    </w:p>
    <w:p>
      <w:pPr>
        <w:ind w:left="740" w:right="20" w:hanging="408"/>
        <w:spacing w:after="0" w:line="241" w:lineRule="auto"/>
        <w:tabs>
          <w:tab w:leader="none" w:pos="7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amount set forth in the “Salary” column for Mr. Bagai includes $110,979 of base salary, $94,519 of a cash supplementary allowance, $27,585 of housing allowance (which Mr. Bagai elected to receive in cash), and $9,508 of travel and medical allowance (which Mr. Bagai elected to receive in cash).</w:t>
      </w:r>
    </w:p>
    <w:p>
      <w:pPr>
        <w:jc w:val="both"/>
        <w:ind w:left="740" w:hanging="408"/>
        <w:spacing w:after="0" w:line="244" w:lineRule="auto"/>
        <w:tabs>
          <w:tab w:leader="none" w:pos="7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Amounts reflect the total grant date fair value of awards recognized for financial statement reporting purposes for the fiscal years ended December 31, 2013, 2014 and 2015, in accordance with FASB ASC Topic 718 (disregarding any forfeiture assumptions). Assumptions used in the calculation of these amounts are included (i) for 2015, in footnotes 2 and 14 to the audited financial statements for the fiscal year ended December 31, 2015, included in our Annual Report on Form 10-K filed with the Securities and Exchange Commission on February 26, 2016; (ii) for 2014, in footnotes 2 and 14 to the audited financial statements for the fiscal year ended December 31, 2014, included in our Annual Report on Form 10-K filed with the Securities and Exchange Commission on February 27, 2015; and (iii) for 2013, in footnotes 2 and 13 to the audited financial statements for the fiscal year ended December 31, 2013, included in our Annual Report on Form 10-K filed with the Securities and Exchange Commission on March 3, 2014.</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46" w:right="239" w:bottom="1440" w:gutter="0" w:footer="0" w:header="0"/>
        </w:sectPr>
      </w:pPr>
    </w:p>
    <w:bookmarkStart w:id="46" w:name="page47"/>
    <w:bookmarkEnd w:id="46"/>
    <w:p>
      <w:pPr>
        <w:ind w:left="660"/>
        <w:spacing w:after="0" w:line="258" w:lineRule="auto"/>
        <w:rPr>
          <w:sz w:val="20"/>
          <w:szCs w:val="20"/>
          <w:color w:val="auto"/>
        </w:rPr>
      </w:pPr>
      <w:r>
        <w:rPr>
          <w:rFonts w:ascii="Arial" w:cs="Arial" w:eastAsia="Arial" w:hAnsi="Arial"/>
          <w:sz w:val="14"/>
          <w:szCs w:val="14"/>
          <w:color w:val="auto"/>
        </w:rPr>
        <w:t>With respect to stock awards granted in 2015, which includes Mr. Kapoor’s one-time Stock Price Performance Award, the table below sets forth the value attributable to performance restricted stock units valued at target achievement:</w:t>
      </w:r>
    </w:p>
    <w:p>
      <w:pPr>
        <w:spacing w:after="0" w:line="135" w:lineRule="exact"/>
        <w:rPr>
          <w:sz w:val="20"/>
          <w:szCs w:val="20"/>
          <w:color w:val="auto"/>
        </w:rPr>
      </w:pPr>
    </w:p>
    <w:tbl>
      <w:tblPr>
        <w:tblLayout w:type="fixed"/>
        <w:tblInd w:w="2880" w:type="dxa"/>
        <w:tblCellMar>
          <w:top w:w="0" w:type="dxa"/>
          <w:left w:w="0" w:type="dxa"/>
          <w:bottom w:w="0" w:type="dxa"/>
          <w:right w:w="0" w:type="dxa"/>
        </w:tblCellMar>
      </w:tblPr>
      <w:tr>
        <w:trPr>
          <w:trHeight w:val="162"/>
        </w:trPr>
        <w:tc>
          <w:tcPr>
            <w:tcW w:w="284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276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Target Total Grant</w:t>
            </w:r>
          </w:p>
        </w:tc>
      </w:tr>
      <w:tr>
        <w:trPr>
          <w:trHeight w:val="162"/>
        </w:trPr>
        <w:tc>
          <w:tcPr>
            <w:tcW w:w="284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276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Date Fair Value</w:t>
            </w:r>
          </w:p>
        </w:tc>
      </w:tr>
      <w:tr>
        <w:trPr>
          <w:trHeight w:val="175"/>
        </w:trPr>
        <w:tc>
          <w:tcPr>
            <w:tcW w:w="2840" w:type="dxa"/>
            <w:vAlign w:val="bottom"/>
            <w:tcBorders>
              <w:bottom w:val="single" w:sz="8" w:color="auto"/>
            </w:tcBorders>
            <w:shd w:val="clear" w:color="auto" w:fill="5591C7"/>
          </w:tcPr>
          <w:p>
            <w:pPr>
              <w:ind w:left="1160"/>
              <w:spacing w:after="0"/>
              <w:rPr>
                <w:sz w:val="20"/>
                <w:szCs w:val="20"/>
                <w:color w:val="auto"/>
              </w:rPr>
            </w:pPr>
            <w:r>
              <w:rPr>
                <w:rFonts w:ascii="Arial" w:cs="Arial" w:eastAsia="Arial" w:hAnsi="Arial"/>
                <w:sz w:val="14"/>
                <w:szCs w:val="14"/>
                <w:b w:val="1"/>
                <w:bCs w:val="1"/>
                <w:color w:val="auto"/>
              </w:rPr>
              <w:t>Name</w:t>
            </w:r>
          </w:p>
        </w:tc>
        <w:tc>
          <w:tcPr>
            <w:tcW w:w="100" w:type="dxa"/>
            <w:vAlign w:val="bottom"/>
            <w:tcBorders>
              <w:bottom w:val="single" w:sz="8" w:color="C6D9F1"/>
            </w:tcBorders>
            <w:shd w:val="clear" w:color="auto" w:fill="5591C7"/>
          </w:tcPr>
          <w:p>
            <w:pPr>
              <w:spacing w:after="0"/>
              <w:rPr>
                <w:sz w:val="15"/>
                <w:szCs w:val="15"/>
                <w:color w:val="auto"/>
              </w:rPr>
            </w:pPr>
          </w:p>
        </w:tc>
        <w:tc>
          <w:tcPr>
            <w:tcW w:w="276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w:t>
            </w:r>
          </w:p>
        </w:tc>
      </w:tr>
      <w:tr>
        <w:trPr>
          <w:trHeight w:val="183"/>
        </w:trPr>
        <w:tc>
          <w:tcPr>
            <w:tcW w:w="2940" w:type="dxa"/>
            <w:vAlign w:val="bottom"/>
            <w:gridSpan w:val="2"/>
            <w:shd w:val="clear" w:color="auto" w:fill="C6D9F1"/>
          </w:tcPr>
          <w:p>
            <w:pPr>
              <w:ind w:left="80"/>
              <w:spacing w:after="0"/>
              <w:rPr>
                <w:sz w:val="20"/>
                <w:szCs w:val="20"/>
                <w:color w:val="auto"/>
              </w:rPr>
            </w:pPr>
            <w:r>
              <w:rPr>
                <w:rFonts w:ascii="Arial" w:cs="Arial" w:eastAsia="Arial" w:hAnsi="Arial"/>
                <w:sz w:val="14"/>
                <w:szCs w:val="14"/>
                <w:color w:val="auto"/>
              </w:rPr>
              <w:t>Rohit Kapoor</w:t>
            </w:r>
          </w:p>
        </w:tc>
        <w:tc>
          <w:tcPr>
            <w:tcW w:w="2760" w:type="dxa"/>
            <w:vAlign w:val="bottom"/>
            <w:shd w:val="clear" w:color="auto" w:fill="C6D9F1"/>
          </w:tcPr>
          <w:p>
            <w:pPr>
              <w:jc w:val="right"/>
              <w:ind w:right="48"/>
              <w:spacing w:after="0"/>
              <w:rPr>
                <w:sz w:val="20"/>
                <w:szCs w:val="20"/>
                <w:color w:val="auto"/>
              </w:rPr>
            </w:pPr>
            <w:r>
              <w:rPr>
                <w:rFonts w:ascii="Arial" w:cs="Arial" w:eastAsia="Arial" w:hAnsi="Arial"/>
                <w:sz w:val="14"/>
                <w:szCs w:val="14"/>
                <w:color w:val="auto"/>
              </w:rPr>
              <w:t>4,815,875</w:t>
            </w:r>
          </w:p>
        </w:tc>
      </w:tr>
      <w:tr>
        <w:trPr>
          <w:trHeight w:val="189"/>
        </w:trPr>
        <w:tc>
          <w:tcPr>
            <w:tcW w:w="2940" w:type="dxa"/>
            <w:vAlign w:val="bottom"/>
            <w:gridSpan w:val="2"/>
          </w:tcPr>
          <w:p>
            <w:pPr>
              <w:ind w:left="80"/>
              <w:spacing w:after="0"/>
              <w:rPr>
                <w:sz w:val="20"/>
                <w:szCs w:val="20"/>
                <w:color w:val="auto"/>
              </w:rPr>
            </w:pPr>
            <w:r>
              <w:rPr>
                <w:rFonts w:ascii="Arial" w:cs="Arial" w:eastAsia="Arial" w:hAnsi="Arial"/>
                <w:sz w:val="14"/>
                <w:szCs w:val="14"/>
                <w:color w:val="auto"/>
              </w:rPr>
              <w:t>Vishal Chhibbar</w:t>
            </w:r>
          </w:p>
        </w:tc>
        <w:tc>
          <w:tcPr>
            <w:tcW w:w="2760" w:type="dxa"/>
            <w:vAlign w:val="bottom"/>
          </w:tcPr>
          <w:p>
            <w:pPr>
              <w:jc w:val="right"/>
              <w:ind w:right="48"/>
              <w:spacing w:after="0"/>
              <w:rPr>
                <w:sz w:val="20"/>
                <w:szCs w:val="20"/>
                <w:color w:val="auto"/>
              </w:rPr>
            </w:pPr>
            <w:r>
              <w:rPr>
                <w:rFonts w:ascii="Arial" w:cs="Arial" w:eastAsia="Arial" w:hAnsi="Arial"/>
                <w:sz w:val="14"/>
                <w:szCs w:val="14"/>
                <w:color w:val="auto"/>
              </w:rPr>
              <w:t>335,175</w:t>
            </w:r>
          </w:p>
        </w:tc>
      </w:tr>
      <w:tr>
        <w:trPr>
          <w:trHeight w:val="189"/>
        </w:trPr>
        <w:tc>
          <w:tcPr>
            <w:tcW w:w="2940" w:type="dxa"/>
            <w:vAlign w:val="bottom"/>
            <w:gridSpan w:val="2"/>
            <w:shd w:val="clear" w:color="auto" w:fill="C6D9F1"/>
          </w:tcPr>
          <w:p>
            <w:pPr>
              <w:ind w:left="80"/>
              <w:spacing w:after="0"/>
              <w:rPr>
                <w:sz w:val="20"/>
                <w:szCs w:val="20"/>
                <w:color w:val="auto"/>
              </w:rPr>
            </w:pPr>
            <w:r>
              <w:rPr>
                <w:rFonts w:ascii="Arial" w:cs="Arial" w:eastAsia="Arial" w:hAnsi="Arial"/>
                <w:sz w:val="14"/>
                <w:szCs w:val="14"/>
                <w:color w:val="auto"/>
              </w:rPr>
              <w:t>Pavan Bagai</w:t>
            </w:r>
          </w:p>
        </w:tc>
        <w:tc>
          <w:tcPr>
            <w:tcW w:w="2760" w:type="dxa"/>
            <w:vAlign w:val="bottom"/>
            <w:shd w:val="clear" w:color="auto" w:fill="C6D9F1"/>
          </w:tcPr>
          <w:p>
            <w:pPr>
              <w:jc w:val="right"/>
              <w:ind w:right="48"/>
              <w:spacing w:after="0"/>
              <w:rPr>
                <w:sz w:val="20"/>
                <w:szCs w:val="20"/>
                <w:color w:val="auto"/>
              </w:rPr>
            </w:pPr>
            <w:r>
              <w:rPr>
                <w:rFonts w:ascii="Arial" w:cs="Arial" w:eastAsia="Arial" w:hAnsi="Arial"/>
                <w:sz w:val="14"/>
                <w:szCs w:val="14"/>
                <w:color w:val="auto"/>
              </w:rPr>
              <w:t>558,625</w:t>
            </w:r>
          </w:p>
        </w:tc>
      </w:tr>
      <w:tr>
        <w:trPr>
          <w:trHeight w:val="189"/>
        </w:trPr>
        <w:tc>
          <w:tcPr>
            <w:tcW w:w="2940" w:type="dxa"/>
            <w:vAlign w:val="bottom"/>
            <w:gridSpan w:val="2"/>
          </w:tcPr>
          <w:p>
            <w:pPr>
              <w:ind w:left="80"/>
              <w:spacing w:after="0"/>
              <w:rPr>
                <w:sz w:val="20"/>
                <w:szCs w:val="20"/>
                <w:color w:val="auto"/>
              </w:rPr>
            </w:pPr>
            <w:r>
              <w:rPr>
                <w:rFonts w:ascii="Arial" w:cs="Arial" w:eastAsia="Arial" w:hAnsi="Arial"/>
                <w:sz w:val="14"/>
                <w:szCs w:val="14"/>
                <w:color w:val="auto"/>
              </w:rPr>
              <w:t>Nalin Miglani</w:t>
            </w:r>
          </w:p>
        </w:tc>
        <w:tc>
          <w:tcPr>
            <w:tcW w:w="2760" w:type="dxa"/>
            <w:vAlign w:val="bottom"/>
          </w:tcPr>
          <w:p>
            <w:pPr>
              <w:jc w:val="right"/>
              <w:ind w:right="48"/>
              <w:spacing w:after="0"/>
              <w:rPr>
                <w:sz w:val="20"/>
                <w:szCs w:val="20"/>
                <w:color w:val="auto"/>
              </w:rPr>
            </w:pPr>
            <w:r>
              <w:rPr>
                <w:rFonts w:ascii="Arial" w:cs="Arial" w:eastAsia="Arial" w:hAnsi="Arial"/>
                <w:sz w:val="14"/>
                <w:szCs w:val="14"/>
                <w:color w:val="auto"/>
              </w:rPr>
              <w:t>268,140</w:t>
            </w:r>
          </w:p>
        </w:tc>
      </w:tr>
      <w:tr>
        <w:trPr>
          <w:trHeight w:val="189"/>
        </w:trPr>
        <w:tc>
          <w:tcPr>
            <w:tcW w:w="2940" w:type="dxa"/>
            <w:vAlign w:val="bottom"/>
            <w:gridSpan w:val="2"/>
            <w:shd w:val="clear" w:color="auto" w:fill="C6D9F1"/>
          </w:tcPr>
          <w:p>
            <w:pPr>
              <w:ind w:left="80"/>
              <w:spacing w:after="0"/>
              <w:rPr>
                <w:sz w:val="20"/>
                <w:szCs w:val="20"/>
                <w:color w:val="auto"/>
              </w:rPr>
            </w:pPr>
            <w:r>
              <w:rPr>
                <w:rFonts w:ascii="Arial" w:cs="Arial" w:eastAsia="Arial" w:hAnsi="Arial"/>
                <w:sz w:val="14"/>
                <w:szCs w:val="14"/>
                <w:color w:val="auto"/>
              </w:rPr>
              <w:t>Henry Schweppe</w:t>
            </w:r>
          </w:p>
        </w:tc>
        <w:tc>
          <w:tcPr>
            <w:tcW w:w="2760" w:type="dxa"/>
            <w:vAlign w:val="bottom"/>
            <w:shd w:val="clear" w:color="auto" w:fill="C6D9F1"/>
          </w:tcPr>
          <w:p>
            <w:pPr>
              <w:jc w:val="right"/>
              <w:ind w:right="48"/>
              <w:spacing w:after="0"/>
              <w:rPr>
                <w:sz w:val="20"/>
                <w:szCs w:val="20"/>
                <w:color w:val="auto"/>
              </w:rPr>
            </w:pPr>
            <w:r>
              <w:rPr>
                <w:rFonts w:ascii="Arial" w:cs="Arial" w:eastAsia="Arial" w:hAnsi="Arial"/>
                <w:sz w:val="14"/>
                <w:szCs w:val="14"/>
                <w:color w:val="auto"/>
              </w:rPr>
              <w:t>335,175</w:t>
            </w:r>
          </w:p>
        </w:tc>
      </w:tr>
    </w:tbl>
    <w:p>
      <w:pPr>
        <w:spacing w:after="0" w:line="167" w:lineRule="exact"/>
        <w:rPr>
          <w:sz w:val="20"/>
          <w:szCs w:val="20"/>
          <w:color w:val="auto"/>
        </w:rPr>
      </w:pPr>
    </w:p>
    <w:p>
      <w:pPr>
        <w:ind w:left="660" w:right="220"/>
        <w:spacing w:after="0" w:line="258" w:lineRule="auto"/>
        <w:rPr>
          <w:sz w:val="20"/>
          <w:szCs w:val="20"/>
          <w:color w:val="auto"/>
        </w:rPr>
      </w:pPr>
      <w:r>
        <w:rPr>
          <w:rFonts w:ascii="Arial" w:cs="Arial" w:eastAsia="Arial" w:hAnsi="Arial"/>
          <w:sz w:val="14"/>
          <w:szCs w:val="14"/>
          <w:color w:val="auto"/>
        </w:rPr>
        <w:t>Performance restricted stock units granted in 2015 may pay out up to 200% of the target award, which would have amounted to the following grant date fair values for each named executive officer:</w:t>
      </w:r>
    </w:p>
    <w:p>
      <w:pPr>
        <w:spacing w:after="0" w:line="135" w:lineRule="exact"/>
        <w:rPr>
          <w:sz w:val="20"/>
          <w:szCs w:val="20"/>
          <w:color w:val="auto"/>
        </w:rPr>
      </w:pPr>
    </w:p>
    <w:tbl>
      <w:tblPr>
        <w:tblLayout w:type="fixed"/>
        <w:tblInd w:w="2880" w:type="dxa"/>
        <w:tblCellMar>
          <w:top w:w="0" w:type="dxa"/>
          <w:left w:w="0" w:type="dxa"/>
          <w:bottom w:w="0" w:type="dxa"/>
          <w:right w:w="0" w:type="dxa"/>
        </w:tblCellMar>
      </w:tblPr>
      <w:tr>
        <w:trPr>
          <w:trHeight w:val="162"/>
        </w:trPr>
        <w:tc>
          <w:tcPr>
            <w:tcW w:w="284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276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Maximum Total Grant</w:t>
            </w:r>
          </w:p>
        </w:tc>
      </w:tr>
      <w:tr>
        <w:trPr>
          <w:trHeight w:val="162"/>
        </w:trPr>
        <w:tc>
          <w:tcPr>
            <w:tcW w:w="284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276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Date Fair Value</w:t>
            </w:r>
          </w:p>
        </w:tc>
      </w:tr>
      <w:tr>
        <w:trPr>
          <w:trHeight w:val="175"/>
        </w:trPr>
        <w:tc>
          <w:tcPr>
            <w:tcW w:w="2840" w:type="dxa"/>
            <w:vAlign w:val="bottom"/>
            <w:tcBorders>
              <w:bottom w:val="single" w:sz="8" w:color="auto"/>
            </w:tcBorders>
            <w:shd w:val="clear" w:color="auto" w:fill="5591C7"/>
          </w:tcPr>
          <w:p>
            <w:pPr>
              <w:ind w:left="1160"/>
              <w:spacing w:after="0"/>
              <w:rPr>
                <w:sz w:val="20"/>
                <w:szCs w:val="20"/>
                <w:color w:val="auto"/>
              </w:rPr>
            </w:pPr>
            <w:r>
              <w:rPr>
                <w:rFonts w:ascii="Arial" w:cs="Arial" w:eastAsia="Arial" w:hAnsi="Arial"/>
                <w:sz w:val="14"/>
                <w:szCs w:val="14"/>
                <w:b w:val="1"/>
                <w:bCs w:val="1"/>
                <w:color w:val="auto"/>
              </w:rPr>
              <w:t>Name</w:t>
            </w:r>
          </w:p>
        </w:tc>
        <w:tc>
          <w:tcPr>
            <w:tcW w:w="100" w:type="dxa"/>
            <w:vAlign w:val="bottom"/>
            <w:tcBorders>
              <w:bottom w:val="single" w:sz="8" w:color="C6D9F1"/>
            </w:tcBorders>
            <w:shd w:val="clear" w:color="auto" w:fill="5591C7"/>
          </w:tcPr>
          <w:p>
            <w:pPr>
              <w:spacing w:after="0"/>
              <w:rPr>
                <w:sz w:val="15"/>
                <w:szCs w:val="15"/>
                <w:color w:val="auto"/>
              </w:rPr>
            </w:pPr>
          </w:p>
        </w:tc>
        <w:tc>
          <w:tcPr>
            <w:tcW w:w="276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w:t>
            </w:r>
          </w:p>
        </w:tc>
      </w:tr>
      <w:tr>
        <w:trPr>
          <w:trHeight w:val="183"/>
        </w:trPr>
        <w:tc>
          <w:tcPr>
            <w:tcW w:w="2940" w:type="dxa"/>
            <w:vAlign w:val="bottom"/>
            <w:gridSpan w:val="2"/>
            <w:shd w:val="clear" w:color="auto" w:fill="C6D9F1"/>
          </w:tcPr>
          <w:p>
            <w:pPr>
              <w:ind w:left="80"/>
              <w:spacing w:after="0"/>
              <w:rPr>
                <w:sz w:val="20"/>
                <w:szCs w:val="20"/>
                <w:color w:val="auto"/>
              </w:rPr>
            </w:pPr>
            <w:r>
              <w:rPr>
                <w:rFonts w:ascii="Arial" w:cs="Arial" w:eastAsia="Arial" w:hAnsi="Arial"/>
                <w:sz w:val="14"/>
                <w:szCs w:val="14"/>
                <w:color w:val="auto"/>
              </w:rPr>
              <w:t>Rohit Kapoor</w:t>
            </w:r>
          </w:p>
        </w:tc>
        <w:tc>
          <w:tcPr>
            <w:tcW w:w="2760" w:type="dxa"/>
            <w:vAlign w:val="bottom"/>
            <w:shd w:val="clear" w:color="auto" w:fill="C6D9F1"/>
          </w:tcPr>
          <w:p>
            <w:pPr>
              <w:jc w:val="right"/>
              <w:ind w:right="48"/>
              <w:spacing w:after="0"/>
              <w:rPr>
                <w:sz w:val="20"/>
                <w:szCs w:val="20"/>
                <w:color w:val="auto"/>
              </w:rPr>
            </w:pPr>
            <w:r>
              <w:rPr>
                <w:rFonts w:ascii="Arial" w:cs="Arial" w:eastAsia="Arial" w:hAnsi="Arial"/>
                <w:sz w:val="14"/>
                <w:szCs w:val="14"/>
                <w:color w:val="auto"/>
              </w:rPr>
              <w:t>9,631,750</w:t>
            </w:r>
          </w:p>
        </w:tc>
      </w:tr>
      <w:tr>
        <w:trPr>
          <w:trHeight w:val="189"/>
        </w:trPr>
        <w:tc>
          <w:tcPr>
            <w:tcW w:w="2940" w:type="dxa"/>
            <w:vAlign w:val="bottom"/>
            <w:gridSpan w:val="2"/>
          </w:tcPr>
          <w:p>
            <w:pPr>
              <w:ind w:left="80"/>
              <w:spacing w:after="0"/>
              <w:rPr>
                <w:sz w:val="20"/>
                <w:szCs w:val="20"/>
                <w:color w:val="auto"/>
              </w:rPr>
            </w:pPr>
            <w:r>
              <w:rPr>
                <w:rFonts w:ascii="Arial" w:cs="Arial" w:eastAsia="Arial" w:hAnsi="Arial"/>
                <w:sz w:val="14"/>
                <w:szCs w:val="14"/>
                <w:color w:val="auto"/>
              </w:rPr>
              <w:t>Vishal Chhibbar</w:t>
            </w:r>
          </w:p>
        </w:tc>
        <w:tc>
          <w:tcPr>
            <w:tcW w:w="2760" w:type="dxa"/>
            <w:vAlign w:val="bottom"/>
          </w:tcPr>
          <w:p>
            <w:pPr>
              <w:jc w:val="right"/>
              <w:ind w:right="48"/>
              <w:spacing w:after="0"/>
              <w:rPr>
                <w:sz w:val="20"/>
                <w:szCs w:val="20"/>
                <w:color w:val="auto"/>
              </w:rPr>
            </w:pPr>
            <w:r>
              <w:rPr>
                <w:rFonts w:ascii="Arial" w:cs="Arial" w:eastAsia="Arial" w:hAnsi="Arial"/>
                <w:sz w:val="14"/>
                <w:szCs w:val="14"/>
                <w:color w:val="auto"/>
              </w:rPr>
              <w:t>670,350</w:t>
            </w:r>
          </w:p>
        </w:tc>
      </w:tr>
      <w:tr>
        <w:trPr>
          <w:trHeight w:val="189"/>
        </w:trPr>
        <w:tc>
          <w:tcPr>
            <w:tcW w:w="2940" w:type="dxa"/>
            <w:vAlign w:val="bottom"/>
            <w:gridSpan w:val="2"/>
            <w:shd w:val="clear" w:color="auto" w:fill="C6D9F1"/>
          </w:tcPr>
          <w:p>
            <w:pPr>
              <w:ind w:left="80"/>
              <w:spacing w:after="0"/>
              <w:rPr>
                <w:sz w:val="20"/>
                <w:szCs w:val="20"/>
                <w:color w:val="auto"/>
              </w:rPr>
            </w:pPr>
            <w:r>
              <w:rPr>
                <w:rFonts w:ascii="Arial" w:cs="Arial" w:eastAsia="Arial" w:hAnsi="Arial"/>
                <w:sz w:val="14"/>
                <w:szCs w:val="14"/>
                <w:color w:val="auto"/>
              </w:rPr>
              <w:t>Pavan Bagai</w:t>
            </w:r>
          </w:p>
        </w:tc>
        <w:tc>
          <w:tcPr>
            <w:tcW w:w="2760" w:type="dxa"/>
            <w:vAlign w:val="bottom"/>
            <w:shd w:val="clear" w:color="auto" w:fill="C6D9F1"/>
          </w:tcPr>
          <w:p>
            <w:pPr>
              <w:jc w:val="right"/>
              <w:ind w:right="48"/>
              <w:spacing w:after="0"/>
              <w:rPr>
                <w:sz w:val="20"/>
                <w:szCs w:val="20"/>
                <w:color w:val="auto"/>
              </w:rPr>
            </w:pPr>
            <w:r>
              <w:rPr>
                <w:rFonts w:ascii="Arial" w:cs="Arial" w:eastAsia="Arial" w:hAnsi="Arial"/>
                <w:sz w:val="14"/>
                <w:szCs w:val="14"/>
                <w:color w:val="auto"/>
              </w:rPr>
              <w:t>1,117,250</w:t>
            </w:r>
          </w:p>
        </w:tc>
      </w:tr>
      <w:tr>
        <w:trPr>
          <w:trHeight w:val="189"/>
        </w:trPr>
        <w:tc>
          <w:tcPr>
            <w:tcW w:w="2940" w:type="dxa"/>
            <w:vAlign w:val="bottom"/>
            <w:gridSpan w:val="2"/>
          </w:tcPr>
          <w:p>
            <w:pPr>
              <w:ind w:left="80"/>
              <w:spacing w:after="0"/>
              <w:rPr>
                <w:sz w:val="20"/>
                <w:szCs w:val="20"/>
                <w:color w:val="auto"/>
              </w:rPr>
            </w:pPr>
            <w:r>
              <w:rPr>
                <w:rFonts w:ascii="Arial" w:cs="Arial" w:eastAsia="Arial" w:hAnsi="Arial"/>
                <w:sz w:val="14"/>
                <w:szCs w:val="14"/>
                <w:color w:val="auto"/>
              </w:rPr>
              <w:t>Nalin Miglani</w:t>
            </w:r>
          </w:p>
        </w:tc>
        <w:tc>
          <w:tcPr>
            <w:tcW w:w="2760" w:type="dxa"/>
            <w:vAlign w:val="bottom"/>
          </w:tcPr>
          <w:p>
            <w:pPr>
              <w:jc w:val="right"/>
              <w:ind w:right="48"/>
              <w:spacing w:after="0"/>
              <w:rPr>
                <w:sz w:val="20"/>
                <w:szCs w:val="20"/>
                <w:color w:val="auto"/>
              </w:rPr>
            </w:pPr>
            <w:r>
              <w:rPr>
                <w:rFonts w:ascii="Arial" w:cs="Arial" w:eastAsia="Arial" w:hAnsi="Arial"/>
                <w:sz w:val="14"/>
                <w:szCs w:val="14"/>
                <w:color w:val="auto"/>
              </w:rPr>
              <w:t>536,280</w:t>
            </w:r>
          </w:p>
        </w:tc>
      </w:tr>
      <w:tr>
        <w:trPr>
          <w:trHeight w:val="189"/>
        </w:trPr>
        <w:tc>
          <w:tcPr>
            <w:tcW w:w="2940" w:type="dxa"/>
            <w:vAlign w:val="bottom"/>
            <w:gridSpan w:val="2"/>
            <w:shd w:val="clear" w:color="auto" w:fill="C6D9F1"/>
          </w:tcPr>
          <w:p>
            <w:pPr>
              <w:ind w:left="80"/>
              <w:spacing w:after="0"/>
              <w:rPr>
                <w:sz w:val="20"/>
                <w:szCs w:val="20"/>
                <w:color w:val="auto"/>
              </w:rPr>
            </w:pPr>
            <w:r>
              <w:rPr>
                <w:rFonts w:ascii="Arial" w:cs="Arial" w:eastAsia="Arial" w:hAnsi="Arial"/>
                <w:sz w:val="14"/>
                <w:szCs w:val="14"/>
                <w:color w:val="auto"/>
              </w:rPr>
              <w:t>Henry Schweppe</w:t>
            </w:r>
          </w:p>
        </w:tc>
        <w:tc>
          <w:tcPr>
            <w:tcW w:w="2760" w:type="dxa"/>
            <w:vAlign w:val="bottom"/>
            <w:shd w:val="clear" w:color="auto" w:fill="C6D9F1"/>
          </w:tcPr>
          <w:p>
            <w:pPr>
              <w:jc w:val="right"/>
              <w:ind w:right="48"/>
              <w:spacing w:after="0"/>
              <w:rPr>
                <w:sz w:val="20"/>
                <w:szCs w:val="20"/>
                <w:color w:val="auto"/>
              </w:rPr>
            </w:pPr>
            <w:r>
              <w:rPr>
                <w:rFonts w:ascii="Arial" w:cs="Arial" w:eastAsia="Arial" w:hAnsi="Arial"/>
                <w:sz w:val="14"/>
                <w:szCs w:val="14"/>
                <w:color w:val="auto"/>
              </w:rPr>
              <w:t>670,350</w:t>
            </w:r>
          </w:p>
        </w:tc>
      </w:tr>
    </w:tbl>
    <w:p>
      <w:pPr>
        <w:spacing w:after="0" w:line="248" w:lineRule="exact"/>
        <w:rPr>
          <w:sz w:val="20"/>
          <w:szCs w:val="20"/>
          <w:color w:val="auto"/>
        </w:rPr>
      </w:pPr>
    </w:p>
    <w:p>
      <w:pPr>
        <w:ind w:left="740" w:hanging="408"/>
        <w:spacing w:after="0" w:line="241" w:lineRule="auto"/>
        <w:tabs>
          <w:tab w:leader="none" w:pos="7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Reflects the cash incentive bonuses earned in respect of 2015 and paid in 2016. For details on our annual incentive bonus program, see “Compensation Discussion and Analysis—Incentive Bonus” beginning on page 32.</w:t>
      </w:r>
    </w:p>
    <w:p>
      <w:pPr>
        <w:ind w:left="740" w:hanging="408"/>
        <w:spacing w:after="0" w:line="241" w:lineRule="auto"/>
        <w:tabs>
          <w:tab w:leader="none" w:pos="7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Reflects the present value of accruals under the Gratuity Plan for Indian Employees. Information regarding our Gratuity Plan (including the assumptions used to calculate these amounts) may be found under “Pension Benefits for Fiscal Year 2015” beginning on page 55.</w:t>
      </w:r>
    </w:p>
    <w:p>
      <w:pPr>
        <w:jc w:val="both"/>
        <w:ind w:left="740" w:hanging="408"/>
        <w:spacing w:after="0" w:line="241" w:lineRule="auto"/>
        <w:tabs>
          <w:tab w:leader="none" w:pos="7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Amount for Mr. Kapoor includes the travel allowance provided for under his employment agreement, to be used for once-a-year business class airfare for himself and his family between the United States and India, costs associated with use of an automobile and driver in India, car lease, contributions to our 401(k) plan, and Company-paid life insurance premiums.</w:t>
      </w:r>
    </w:p>
    <w:p>
      <w:pPr>
        <w:spacing w:after="0" w:line="1" w:lineRule="exact"/>
        <w:rPr>
          <w:rFonts w:ascii="Arial" w:cs="Arial" w:eastAsia="Arial" w:hAnsi="Arial"/>
          <w:sz w:val="14"/>
          <w:szCs w:val="14"/>
          <w:color w:val="auto"/>
        </w:rPr>
      </w:pPr>
    </w:p>
    <w:p>
      <w:pPr>
        <w:ind w:left="720" w:hanging="388"/>
        <w:spacing w:after="0" w:line="241" w:lineRule="auto"/>
        <w:tabs>
          <w:tab w:leader="none" w:pos="7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Amount for Mr. Chhibbar includes contributions to the Employees’ Provident Fund Scheme (a statutorily required defined contribution program for Indian employees) ($15,714), costs associated with use of an automobile and driver in India, car lease, and home internet and telephone charges.</w:t>
      </w:r>
    </w:p>
    <w:p>
      <w:pPr>
        <w:ind w:left="740" w:hanging="408"/>
        <w:spacing w:after="0" w:line="241" w:lineRule="auto"/>
        <w:tabs>
          <w:tab w:leader="none" w:pos="7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Amount for Mr. Bagai includes housing allowance ($39,002), contributions to Employees’ Provident Fund Scheme (a statutorily required defined contribution program for Indian employees) ($13,317), costs associated with use of an automobile and driver in India, car lease, and home internet and telephone charges.</w:t>
      </w:r>
    </w:p>
    <w:p>
      <w:pPr>
        <w:ind w:left="740" w:hanging="408"/>
        <w:spacing w:after="0"/>
        <w:tabs>
          <w:tab w:leader="none" w:pos="7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Amount for Mr. Miglani includes relocation assistance ($73,180), contributions to our 401(k) plan, and Company-paid life insurance premiums.</w:t>
      </w:r>
    </w:p>
    <w:p>
      <w:pPr>
        <w:spacing w:after="0" w:line="1" w:lineRule="exact"/>
        <w:rPr>
          <w:rFonts w:ascii="Arial" w:cs="Arial" w:eastAsia="Arial" w:hAnsi="Arial"/>
          <w:sz w:val="14"/>
          <w:szCs w:val="14"/>
          <w:color w:val="auto"/>
        </w:rPr>
      </w:pPr>
    </w:p>
    <w:p>
      <w:pPr>
        <w:ind w:left="740" w:hanging="408"/>
        <w:spacing w:after="0"/>
        <w:tabs>
          <w:tab w:leader="none" w:pos="7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Mr. Schweppe’s employment with the Company terminated as of March 18, 2016.</w:t>
      </w:r>
    </w:p>
    <w:p>
      <w:pPr>
        <w:spacing w:after="0" w:line="1" w:lineRule="exact"/>
        <w:rPr>
          <w:rFonts w:ascii="Arial" w:cs="Arial" w:eastAsia="Arial" w:hAnsi="Arial"/>
          <w:sz w:val="14"/>
          <w:szCs w:val="14"/>
          <w:color w:val="auto"/>
        </w:rPr>
      </w:pPr>
    </w:p>
    <w:p>
      <w:pPr>
        <w:ind w:left="740" w:hanging="408"/>
        <w:spacing w:after="0"/>
        <w:tabs>
          <w:tab w:leader="none" w:pos="7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Amount for Mr. Schweppe includes contributions to our 401(k) plan and Company-paid life insurance premiums.</w:t>
      </w:r>
    </w:p>
    <w:p>
      <w:pPr>
        <w:spacing w:after="0" w:line="198" w:lineRule="exact"/>
        <w:rPr>
          <w:sz w:val="20"/>
          <w:szCs w:val="20"/>
          <w:color w:val="auto"/>
        </w:rPr>
      </w:pPr>
    </w:p>
    <w:p>
      <w:pPr>
        <w:ind w:right="100" w:firstLine="648"/>
        <w:spacing w:after="0" w:line="237" w:lineRule="auto"/>
        <w:rPr>
          <w:sz w:val="20"/>
          <w:szCs w:val="20"/>
          <w:color w:val="auto"/>
        </w:rPr>
      </w:pPr>
      <w:r>
        <w:rPr>
          <w:rFonts w:ascii="Arial" w:cs="Arial" w:eastAsia="Arial" w:hAnsi="Arial"/>
          <w:sz w:val="18"/>
          <w:szCs w:val="18"/>
          <w:color w:val="auto"/>
        </w:rPr>
        <w:t>Unless specified below, certain U.S. dollar figures in this proxy statement have been converted from Indian rupees at a rate of 66.15 Indian rupees to $1.00, the Indian rupee to U.S. dollar exchange rate in effect as of December 31, 2015. The amounts disclosed in the “Compensation Discussion and Analysis” section have been converted from Indian rupees at a rate of 63.03 Indian rupees to $1.00, the Indian rupee to U.S. dollar exchange rate in effect as of January 31, 2015. This represents the exchange rate in effect at or around the time the relevant compensation was set, which more accurately reflects the relative value that the Company placed on those elements at the time. Certain information in the Summary Compensation Tables for fiscal years 2013 and 2014 was converted using the exchange rates in effect as set forth below:</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89"/>
        </w:trPr>
        <w:tc>
          <w:tcPr>
            <w:tcW w:w="438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Fiscal Year</w:t>
            </w:r>
          </w:p>
        </w:tc>
        <w:tc>
          <w:tcPr>
            <w:tcW w:w="300" w:type="dxa"/>
            <w:vAlign w:val="bottom"/>
            <w:shd w:val="clear" w:color="auto" w:fill="5591C7"/>
          </w:tcPr>
          <w:p>
            <w:pPr>
              <w:spacing w:after="0"/>
              <w:rPr>
                <w:sz w:val="16"/>
                <w:szCs w:val="16"/>
                <w:color w:val="auto"/>
              </w:rPr>
            </w:pPr>
          </w:p>
        </w:tc>
        <w:tc>
          <w:tcPr>
            <w:tcW w:w="250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w w:val="98"/>
              </w:rPr>
              <w:t>Rate</w:t>
            </w:r>
          </w:p>
        </w:tc>
        <w:tc>
          <w:tcPr>
            <w:tcW w:w="300" w:type="dxa"/>
            <w:vAlign w:val="bottom"/>
            <w:shd w:val="clear" w:color="auto" w:fill="5591C7"/>
          </w:tcPr>
          <w:p>
            <w:pPr>
              <w:spacing w:after="0"/>
              <w:rPr>
                <w:sz w:val="16"/>
                <w:szCs w:val="16"/>
                <w:color w:val="auto"/>
              </w:rPr>
            </w:pPr>
          </w:p>
        </w:tc>
        <w:tc>
          <w:tcPr>
            <w:tcW w:w="394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Exchange Rate of INR per US$1</w:t>
            </w:r>
          </w:p>
        </w:tc>
      </w:tr>
      <w:tr>
        <w:trPr>
          <w:trHeight w:val="223"/>
        </w:trPr>
        <w:tc>
          <w:tcPr>
            <w:tcW w:w="4380" w:type="dxa"/>
            <w:vAlign w:val="bottom"/>
          </w:tcPr>
          <w:p>
            <w:pPr>
              <w:jc w:val="center"/>
              <w:spacing w:after="0"/>
              <w:rPr>
                <w:sz w:val="20"/>
                <w:szCs w:val="20"/>
                <w:color w:val="auto"/>
              </w:rPr>
            </w:pPr>
            <w:r>
              <w:rPr>
                <w:rFonts w:ascii="Arial" w:cs="Arial" w:eastAsia="Arial" w:hAnsi="Arial"/>
                <w:sz w:val="18"/>
                <w:szCs w:val="18"/>
                <w:color w:val="auto"/>
                <w:w w:val="99"/>
              </w:rPr>
              <w:t>2014</w:t>
            </w:r>
          </w:p>
        </w:tc>
        <w:tc>
          <w:tcPr>
            <w:tcW w:w="300" w:type="dxa"/>
            <w:vAlign w:val="bottom"/>
          </w:tcPr>
          <w:p>
            <w:pPr>
              <w:spacing w:after="0"/>
              <w:rPr>
                <w:sz w:val="19"/>
                <w:szCs w:val="19"/>
                <w:color w:val="auto"/>
              </w:rPr>
            </w:pPr>
          </w:p>
        </w:tc>
        <w:tc>
          <w:tcPr>
            <w:tcW w:w="280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December 31, 2014</w:t>
            </w:r>
          </w:p>
        </w:tc>
        <w:tc>
          <w:tcPr>
            <w:tcW w:w="3940" w:type="dxa"/>
            <w:vAlign w:val="bottom"/>
          </w:tcPr>
          <w:p>
            <w:pPr>
              <w:jc w:val="center"/>
              <w:spacing w:after="0"/>
              <w:rPr>
                <w:sz w:val="20"/>
                <w:szCs w:val="20"/>
                <w:color w:val="auto"/>
              </w:rPr>
            </w:pPr>
            <w:r>
              <w:rPr>
                <w:rFonts w:ascii="Arial" w:cs="Arial" w:eastAsia="Arial" w:hAnsi="Arial"/>
                <w:sz w:val="18"/>
                <w:szCs w:val="18"/>
                <w:color w:val="auto"/>
              </w:rPr>
              <w:t>63.03</w:t>
            </w:r>
          </w:p>
        </w:tc>
      </w:tr>
      <w:tr>
        <w:trPr>
          <w:trHeight w:val="230"/>
        </w:trPr>
        <w:tc>
          <w:tcPr>
            <w:tcW w:w="4380" w:type="dxa"/>
            <w:vAlign w:val="bottom"/>
            <w:shd w:val="clear" w:color="auto" w:fill="C6D9F1"/>
          </w:tcPr>
          <w:p>
            <w:pPr>
              <w:jc w:val="center"/>
              <w:spacing w:after="0"/>
              <w:rPr>
                <w:sz w:val="20"/>
                <w:szCs w:val="20"/>
                <w:color w:val="auto"/>
              </w:rPr>
            </w:pPr>
            <w:r>
              <w:rPr>
                <w:rFonts w:ascii="Arial" w:cs="Arial" w:eastAsia="Arial" w:hAnsi="Arial"/>
                <w:sz w:val="18"/>
                <w:szCs w:val="18"/>
                <w:color w:val="auto"/>
                <w:w w:val="99"/>
              </w:rPr>
              <w:t>2013</w:t>
            </w:r>
          </w:p>
        </w:tc>
        <w:tc>
          <w:tcPr>
            <w:tcW w:w="300" w:type="dxa"/>
            <w:vAlign w:val="bottom"/>
            <w:shd w:val="clear" w:color="auto" w:fill="C6D9F1"/>
          </w:tcPr>
          <w:p>
            <w:pPr>
              <w:spacing w:after="0"/>
              <w:rPr>
                <w:sz w:val="19"/>
                <w:szCs w:val="19"/>
                <w:color w:val="auto"/>
              </w:rPr>
            </w:pPr>
          </w:p>
        </w:tc>
        <w:tc>
          <w:tcPr>
            <w:tcW w:w="2800" w:type="dxa"/>
            <w:vAlign w:val="bottom"/>
            <w:gridSpan w:val="2"/>
            <w:shd w:val="clear" w:color="auto" w:fill="C6D9F1"/>
          </w:tcPr>
          <w:p>
            <w:pPr>
              <w:jc w:val="center"/>
              <w:ind w:right="300"/>
              <w:spacing w:after="0"/>
              <w:rPr>
                <w:sz w:val="20"/>
                <w:szCs w:val="20"/>
                <w:color w:val="auto"/>
              </w:rPr>
            </w:pPr>
            <w:r>
              <w:rPr>
                <w:rFonts w:ascii="Arial" w:cs="Arial" w:eastAsia="Arial" w:hAnsi="Arial"/>
                <w:sz w:val="18"/>
                <w:szCs w:val="18"/>
                <w:color w:val="auto"/>
                <w:w w:val="99"/>
              </w:rPr>
              <w:t>December 31, 2013</w:t>
            </w:r>
          </w:p>
        </w:tc>
        <w:tc>
          <w:tcPr>
            <w:tcW w:w="3940" w:type="dxa"/>
            <w:vAlign w:val="bottom"/>
            <w:shd w:val="clear" w:color="auto" w:fill="C6D9F1"/>
          </w:tcPr>
          <w:p>
            <w:pPr>
              <w:jc w:val="center"/>
              <w:spacing w:after="0"/>
              <w:rPr>
                <w:sz w:val="20"/>
                <w:szCs w:val="20"/>
                <w:color w:val="auto"/>
              </w:rPr>
            </w:pPr>
            <w:r>
              <w:rPr>
                <w:rFonts w:ascii="Arial" w:cs="Arial" w:eastAsia="Arial" w:hAnsi="Arial"/>
                <w:sz w:val="18"/>
                <w:szCs w:val="18"/>
                <w:color w:val="auto"/>
              </w:rPr>
              <w:t>61.78</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 Table for Fiscal Year 2015</w:t>
      </w:r>
    </w:p>
    <w:p>
      <w:pPr>
        <w:spacing w:after="0" w:line="220" w:lineRule="exact"/>
        <w:rPr>
          <w:sz w:val="20"/>
          <w:szCs w:val="20"/>
          <w:color w:val="auto"/>
        </w:rPr>
      </w:pPr>
    </w:p>
    <w:p>
      <w:pPr>
        <w:ind w:right="180" w:firstLine="648"/>
        <w:spacing w:after="0" w:line="246" w:lineRule="auto"/>
        <w:rPr>
          <w:sz w:val="20"/>
          <w:szCs w:val="20"/>
          <w:color w:val="auto"/>
        </w:rPr>
      </w:pPr>
      <w:r>
        <w:rPr>
          <w:rFonts w:ascii="Arial" w:cs="Arial" w:eastAsia="Arial" w:hAnsi="Arial"/>
          <w:sz w:val="18"/>
          <w:szCs w:val="18"/>
          <w:color w:val="auto"/>
        </w:rPr>
        <w:t>The following table sets forth information concerning grants of stock and option awards and non-equity incentive plan awards granted to our named executive officers during fiscal year 2015:</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74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960" w:type="dxa"/>
            <w:vAlign w:val="bottom"/>
            <w:shd w:val="clear" w:color="auto" w:fill="5591C7"/>
          </w:tcPr>
          <w:p>
            <w:pPr>
              <w:spacing w:after="0"/>
              <w:rPr>
                <w:sz w:val="14"/>
                <w:szCs w:val="14"/>
                <w:color w:val="auto"/>
              </w:rPr>
            </w:pPr>
          </w:p>
        </w:tc>
        <w:tc>
          <w:tcPr>
            <w:tcW w:w="220" w:type="dxa"/>
            <w:vAlign w:val="bottom"/>
            <w:shd w:val="clear" w:color="auto" w:fill="5591C7"/>
          </w:tcPr>
          <w:p>
            <w:pPr>
              <w:spacing w:after="0"/>
              <w:rPr>
                <w:sz w:val="14"/>
                <w:szCs w:val="14"/>
                <w:color w:val="auto"/>
              </w:rPr>
            </w:pPr>
          </w:p>
        </w:tc>
        <w:tc>
          <w:tcPr>
            <w:tcW w:w="620" w:type="dxa"/>
            <w:vAlign w:val="bottom"/>
            <w:shd w:val="clear" w:color="auto" w:fill="5591C7"/>
          </w:tcPr>
          <w:p>
            <w:pPr>
              <w:spacing w:after="0"/>
              <w:rPr>
                <w:sz w:val="14"/>
                <w:szCs w:val="14"/>
                <w:color w:val="auto"/>
              </w:rPr>
            </w:pPr>
          </w:p>
        </w:tc>
        <w:tc>
          <w:tcPr>
            <w:tcW w:w="220" w:type="dxa"/>
            <w:vAlign w:val="bottom"/>
            <w:shd w:val="clear" w:color="auto" w:fill="5591C7"/>
          </w:tcPr>
          <w:p>
            <w:pPr>
              <w:spacing w:after="0"/>
              <w:rPr>
                <w:sz w:val="14"/>
                <w:szCs w:val="14"/>
                <w:color w:val="auto"/>
              </w:rPr>
            </w:pPr>
          </w:p>
        </w:tc>
        <w:tc>
          <w:tcPr>
            <w:tcW w:w="920" w:type="dxa"/>
            <w:vAlign w:val="bottom"/>
            <w:shd w:val="clear" w:color="auto" w:fill="5591C7"/>
          </w:tcPr>
          <w:p>
            <w:pPr>
              <w:spacing w:after="0"/>
              <w:rPr>
                <w:sz w:val="14"/>
                <w:szCs w:val="14"/>
                <w:color w:val="auto"/>
              </w:rPr>
            </w:pPr>
          </w:p>
        </w:tc>
        <w:tc>
          <w:tcPr>
            <w:tcW w:w="200" w:type="dxa"/>
            <w:vAlign w:val="bottom"/>
            <w:shd w:val="clear" w:color="auto" w:fill="5591C7"/>
          </w:tcPr>
          <w:p>
            <w:pPr>
              <w:spacing w:after="0"/>
              <w:rPr>
                <w:sz w:val="14"/>
                <w:szCs w:val="14"/>
                <w:color w:val="auto"/>
              </w:rPr>
            </w:pPr>
          </w:p>
        </w:tc>
        <w:tc>
          <w:tcPr>
            <w:tcW w:w="960" w:type="dxa"/>
            <w:vAlign w:val="bottom"/>
            <w:shd w:val="clear" w:color="auto" w:fill="5591C7"/>
          </w:tcPr>
          <w:p>
            <w:pPr>
              <w:spacing w:after="0"/>
              <w:rPr>
                <w:sz w:val="14"/>
                <w:szCs w:val="14"/>
                <w:color w:val="auto"/>
              </w:rPr>
            </w:pPr>
          </w:p>
        </w:tc>
        <w:tc>
          <w:tcPr>
            <w:tcW w:w="220" w:type="dxa"/>
            <w:vAlign w:val="bottom"/>
            <w:shd w:val="clear" w:color="auto" w:fill="5591C7"/>
          </w:tcPr>
          <w:p>
            <w:pPr>
              <w:spacing w:after="0"/>
              <w:rPr>
                <w:sz w:val="14"/>
                <w:szCs w:val="14"/>
                <w:color w:val="auto"/>
              </w:rPr>
            </w:pPr>
          </w:p>
        </w:tc>
        <w:tc>
          <w:tcPr>
            <w:tcW w:w="640" w:type="dxa"/>
            <w:vAlign w:val="bottom"/>
            <w:shd w:val="clear" w:color="auto" w:fill="5591C7"/>
          </w:tcPr>
          <w:p>
            <w:pPr>
              <w:spacing w:after="0"/>
              <w:rPr>
                <w:sz w:val="14"/>
                <w:szCs w:val="14"/>
                <w:color w:val="auto"/>
              </w:rPr>
            </w:pPr>
          </w:p>
        </w:tc>
        <w:tc>
          <w:tcPr>
            <w:tcW w:w="180" w:type="dxa"/>
            <w:vAlign w:val="bottom"/>
            <w:shd w:val="clear" w:color="auto" w:fill="5591C7"/>
          </w:tcPr>
          <w:p>
            <w:pPr>
              <w:spacing w:after="0"/>
              <w:rPr>
                <w:sz w:val="14"/>
                <w:szCs w:val="14"/>
                <w:color w:val="auto"/>
              </w:rPr>
            </w:pPr>
          </w:p>
        </w:tc>
        <w:tc>
          <w:tcPr>
            <w:tcW w:w="160" w:type="dxa"/>
            <w:vAlign w:val="bottom"/>
            <w:shd w:val="clear" w:color="auto" w:fill="5591C7"/>
          </w:tcPr>
          <w:p>
            <w:pPr>
              <w:spacing w:after="0"/>
              <w:rPr>
                <w:sz w:val="14"/>
                <w:szCs w:val="14"/>
                <w:color w:val="auto"/>
              </w:rPr>
            </w:pPr>
          </w:p>
        </w:tc>
        <w:tc>
          <w:tcPr>
            <w:tcW w:w="84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00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All Other</w:t>
            </w:r>
          </w:p>
        </w:tc>
        <w:tc>
          <w:tcPr>
            <w:tcW w:w="220" w:type="dxa"/>
            <w:vAlign w:val="bottom"/>
            <w:shd w:val="clear" w:color="auto" w:fill="5591C7"/>
          </w:tcPr>
          <w:p>
            <w:pPr>
              <w:spacing w:after="0"/>
              <w:rPr>
                <w:sz w:val="14"/>
                <w:szCs w:val="14"/>
                <w:color w:val="auto"/>
              </w:rPr>
            </w:pPr>
          </w:p>
        </w:tc>
        <w:tc>
          <w:tcPr>
            <w:tcW w:w="1020" w:type="dxa"/>
            <w:vAlign w:val="bottom"/>
            <w:shd w:val="clear" w:color="auto" w:fill="5591C7"/>
          </w:tcPr>
          <w:p>
            <w:pPr>
              <w:spacing w:after="0"/>
              <w:rPr>
                <w:sz w:val="14"/>
                <w:szCs w:val="14"/>
                <w:color w:val="auto"/>
              </w:rPr>
            </w:pPr>
          </w:p>
        </w:tc>
        <w:tc>
          <w:tcPr>
            <w:tcW w:w="160" w:type="dxa"/>
            <w:vAlign w:val="bottom"/>
            <w:shd w:val="clear" w:color="auto" w:fill="5591C7"/>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74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3140" w:type="dxa"/>
            <w:vAlign w:val="bottom"/>
            <w:gridSpan w:val="6"/>
            <w:vMerge w:val="restart"/>
            <w:shd w:val="clear" w:color="auto" w:fill="5591C7"/>
          </w:tcPr>
          <w:p>
            <w:pPr>
              <w:jc w:val="center"/>
              <w:ind w:right="200"/>
              <w:spacing w:after="0"/>
              <w:rPr>
                <w:sz w:val="20"/>
                <w:szCs w:val="20"/>
                <w:color w:val="auto"/>
              </w:rPr>
            </w:pPr>
            <w:r>
              <w:rPr>
                <w:rFonts w:ascii="Arial" w:cs="Arial" w:eastAsia="Arial" w:hAnsi="Arial"/>
                <w:sz w:val="14"/>
                <w:szCs w:val="14"/>
                <w:b w:val="1"/>
                <w:bCs w:val="1"/>
                <w:color w:val="auto"/>
              </w:rPr>
              <w:t>Estimated Future Payouts</w:t>
            </w:r>
          </w:p>
        </w:tc>
        <w:tc>
          <w:tcPr>
            <w:tcW w:w="3100" w:type="dxa"/>
            <w:vAlign w:val="bottom"/>
            <w:gridSpan w:val="8"/>
            <w:vMerge w:val="restart"/>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Estimated Future Payouts</w:t>
            </w:r>
          </w:p>
        </w:tc>
        <w:tc>
          <w:tcPr>
            <w:tcW w:w="100" w:type="dxa"/>
            <w:vAlign w:val="bottom"/>
            <w:shd w:val="clear" w:color="auto" w:fill="5591C7"/>
          </w:tcPr>
          <w:p>
            <w:pPr>
              <w:spacing w:after="0"/>
              <w:rPr>
                <w:sz w:val="14"/>
                <w:szCs w:val="14"/>
                <w:color w:val="auto"/>
              </w:rPr>
            </w:pPr>
          </w:p>
        </w:tc>
        <w:tc>
          <w:tcPr>
            <w:tcW w:w="100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w w:val="99"/>
              </w:rPr>
              <w:t>Stock</w:t>
            </w:r>
          </w:p>
        </w:tc>
        <w:tc>
          <w:tcPr>
            <w:tcW w:w="220" w:type="dxa"/>
            <w:vAlign w:val="bottom"/>
            <w:shd w:val="clear" w:color="auto" w:fill="5591C7"/>
          </w:tcPr>
          <w:p>
            <w:pPr>
              <w:spacing w:after="0"/>
              <w:rPr>
                <w:sz w:val="14"/>
                <w:szCs w:val="14"/>
                <w:color w:val="auto"/>
              </w:rPr>
            </w:pPr>
          </w:p>
        </w:tc>
        <w:tc>
          <w:tcPr>
            <w:tcW w:w="1020" w:type="dxa"/>
            <w:vAlign w:val="bottom"/>
            <w:shd w:val="clear" w:color="auto" w:fill="5591C7"/>
          </w:tcPr>
          <w:p>
            <w:pPr>
              <w:spacing w:after="0"/>
              <w:rPr>
                <w:sz w:val="14"/>
                <w:szCs w:val="14"/>
                <w:color w:val="auto"/>
              </w:rPr>
            </w:pPr>
          </w:p>
        </w:tc>
        <w:tc>
          <w:tcPr>
            <w:tcW w:w="160" w:type="dxa"/>
            <w:vAlign w:val="bottom"/>
            <w:shd w:val="clear" w:color="auto" w:fill="5591C7"/>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1500" w:type="dxa"/>
            <w:vAlign w:val="bottom"/>
            <w:shd w:val="clear" w:color="auto" w:fill="5591C7"/>
          </w:tcPr>
          <w:p>
            <w:pPr>
              <w:spacing w:after="0"/>
              <w:rPr>
                <w:sz w:val="8"/>
                <w:szCs w:val="8"/>
                <w:color w:val="auto"/>
              </w:rPr>
            </w:pPr>
          </w:p>
        </w:tc>
        <w:tc>
          <w:tcPr>
            <w:tcW w:w="120" w:type="dxa"/>
            <w:vAlign w:val="bottom"/>
            <w:shd w:val="clear" w:color="auto" w:fill="5591C7"/>
          </w:tcPr>
          <w:p>
            <w:pPr>
              <w:spacing w:after="0"/>
              <w:rPr>
                <w:sz w:val="8"/>
                <w:szCs w:val="8"/>
                <w:color w:val="auto"/>
              </w:rPr>
            </w:pPr>
          </w:p>
        </w:tc>
        <w:tc>
          <w:tcPr>
            <w:tcW w:w="100" w:type="dxa"/>
            <w:vAlign w:val="bottom"/>
            <w:shd w:val="clear" w:color="auto" w:fill="5591C7"/>
          </w:tcPr>
          <w:p>
            <w:pPr>
              <w:spacing w:after="0"/>
              <w:rPr>
                <w:sz w:val="8"/>
                <w:szCs w:val="8"/>
                <w:color w:val="auto"/>
              </w:rPr>
            </w:pPr>
          </w:p>
        </w:tc>
        <w:tc>
          <w:tcPr>
            <w:tcW w:w="740" w:type="dxa"/>
            <w:vAlign w:val="bottom"/>
            <w:shd w:val="clear" w:color="auto" w:fill="5591C7"/>
          </w:tcPr>
          <w:p>
            <w:pPr>
              <w:spacing w:after="0"/>
              <w:rPr>
                <w:sz w:val="8"/>
                <w:szCs w:val="8"/>
                <w:color w:val="auto"/>
              </w:rPr>
            </w:pPr>
          </w:p>
        </w:tc>
        <w:tc>
          <w:tcPr>
            <w:tcW w:w="120" w:type="dxa"/>
            <w:vAlign w:val="bottom"/>
            <w:shd w:val="clear" w:color="auto" w:fill="5591C7"/>
          </w:tcPr>
          <w:p>
            <w:pPr>
              <w:spacing w:after="0"/>
              <w:rPr>
                <w:sz w:val="8"/>
                <w:szCs w:val="8"/>
                <w:color w:val="auto"/>
              </w:rPr>
            </w:pPr>
          </w:p>
        </w:tc>
        <w:tc>
          <w:tcPr>
            <w:tcW w:w="100" w:type="dxa"/>
            <w:vAlign w:val="bottom"/>
            <w:shd w:val="clear" w:color="auto" w:fill="5591C7"/>
          </w:tcPr>
          <w:p>
            <w:pPr>
              <w:spacing w:after="0"/>
              <w:rPr>
                <w:sz w:val="8"/>
                <w:szCs w:val="8"/>
                <w:color w:val="auto"/>
              </w:rPr>
            </w:pPr>
          </w:p>
        </w:tc>
        <w:tc>
          <w:tcPr>
            <w:tcW w:w="3140" w:type="dxa"/>
            <w:vAlign w:val="bottom"/>
            <w:gridSpan w:val="6"/>
            <w:vMerge w:val="continue"/>
            <w:shd w:val="clear" w:color="auto" w:fill="5591C7"/>
          </w:tcPr>
          <w:p>
            <w:pPr>
              <w:spacing w:after="0"/>
              <w:rPr>
                <w:sz w:val="8"/>
                <w:szCs w:val="8"/>
                <w:color w:val="auto"/>
              </w:rPr>
            </w:pPr>
          </w:p>
        </w:tc>
        <w:tc>
          <w:tcPr>
            <w:tcW w:w="3100" w:type="dxa"/>
            <w:vAlign w:val="bottom"/>
            <w:gridSpan w:val="8"/>
            <w:vMerge w:val="continue"/>
            <w:shd w:val="clear" w:color="auto" w:fill="5591C7"/>
          </w:tcPr>
          <w:p>
            <w:pPr>
              <w:spacing w:after="0"/>
              <w:rPr>
                <w:sz w:val="8"/>
                <w:szCs w:val="8"/>
                <w:color w:val="auto"/>
              </w:rPr>
            </w:pPr>
          </w:p>
        </w:tc>
        <w:tc>
          <w:tcPr>
            <w:tcW w:w="100" w:type="dxa"/>
            <w:vAlign w:val="bottom"/>
            <w:shd w:val="clear" w:color="auto" w:fill="5591C7"/>
          </w:tcPr>
          <w:p>
            <w:pPr>
              <w:spacing w:after="0"/>
              <w:rPr>
                <w:sz w:val="8"/>
                <w:szCs w:val="8"/>
                <w:color w:val="auto"/>
              </w:rPr>
            </w:pPr>
          </w:p>
        </w:tc>
        <w:tc>
          <w:tcPr>
            <w:tcW w:w="1000" w:type="dxa"/>
            <w:vAlign w:val="bottom"/>
            <w:vMerge w:val="restart"/>
            <w:shd w:val="clear" w:color="auto" w:fill="5591C7"/>
          </w:tcPr>
          <w:p>
            <w:pPr>
              <w:jc w:val="center"/>
              <w:spacing w:after="0"/>
              <w:rPr>
                <w:sz w:val="20"/>
                <w:szCs w:val="20"/>
                <w:color w:val="auto"/>
              </w:rPr>
            </w:pPr>
            <w:r>
              <w:rPr>
                <w:rFonts w:ascii="Arial" w:cs="Arial" w:eastAsia="Arial" w:hAnsi="Arial"/>
                <w:sz w:val="14"/>
                <w:szCs w:val="14"/>
                <w:b w:val="1"/>
                <w:bCs w:val="1"/>
                <w:color w:val="auto"/>
              </w:rPr>
              <w:t>Awards:</w:t>
            </w:r>
          </w:p>
        </w:tc>
        <w:tc>
          <w:tcPr>
            <w:tcW w:w="220" w:type="dxa"/>
            <w:vAlign w:val="bottom"/>
            <w:shd w:val="clear" w:color="auto" w:fill="5591C7"/>
          </w:tcPr>
          <w:p>
            <w:pPr>
              <w:spacing w:after="0"/>
              <w:rPr>
                <w:sz w:val="8"/>
                <w:szCs w:val="8"/>
                <w:color w:val="auto"/>
              </w:rPr>
            </w:pPr>
          </w:p>
        </w:tc>
        <w:tc>
          <w:tcPr>
            <w:tcW w:w="1180" w:type="dxa"/>
            <w:vAlign w:val="bottom"/>
            <w:gridSpan w:val="2"/>
            <w:vMerge w:val="restart"/>
            <w:shd w:val="clear" w:color="auto" w:fill="5591C7"/>
          </w:tcPr>
          <w:p>
            <w:pPr>
              <w:jc w:val="center"/>
              <w:ind w:right="160"/>
              <w:spacing w:after="0"/>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68"/>
        </w:trPr>
        <w:tc>
          <w:tcPr>
            <w:tcW w:w="1500" w:type="dxa"/>
            <w:vAlign w:val="bottom"/>
            <w:shd w:val="clear" w:color="auto" w:fill="5591C7"/>
          </w:tcPr>
          <w:p>
            <w:pPr>
              <w:spacing w:after="0"/>
              <w:rPr>
                <w:sz w:val="5"/>
                <w:szCs w:val="5"/>
                <w:color w:val="auto"/>
              </w:rPr>
            </w:pPr>
          </w:p>
        </w:tc>
        <w:tc>
          <w:tcPr>
            <w:tcW w:w="120" w:type="dxa"/>
            <w:vAlign w:val="bottom"/>
            <w:shd w:val="clear" w:color="auto" w:fill="5591C7"/>
          </w:tcPr>
          <w:p>
            <w:pPr>
              <w:spacing w:after="0"/>
              <w:rPr>
                <w:sz w:val="5"/>
                <w:szCs w:val="5"/>
                <w:color w:val="auto"/>
              </w:rPr>
            </w:pPr>
          </w:p>
        </w:tc>
        <w:tc>
          <w:tcPr>
            <w:tcW w:w="100" w:type="dxa"/>
            <w:vAlign w:val="bottom"/>
            <w:shd w:val="clear" w:color="auto" w:fill="5591C7"/>
          </w:tcPr>
          <w:p>
            <w:pPr>
              <w:spacing w:after="0"/>
              <w:rPr>
                <w:sz w:val="5"/>
                <w:szCs w:val="5"/>
                <w:color w:val="auto"/>
              </w:rPr>
            </w:pPr>
          </w:p>
        </w:tc>
        <w:tc>
          <w:tcPr>
            <w:tcW w:w="740" w:type="dxa"/>
            <w:vAlign w:val="bottom"/>
            <w:shd w:val="clear" w:color="auto" w:fill="5591C7"/>
          </w:tcPr>
          <w:p>
            <w:pPr>
              <w:spacing w:after="0"/>
              <w:rPr>
                <w:sz w:val="5"/>
                <w:szCs w:val="5"/>
                <w:color w:val="auto"/>
              </w:rPr>
            </w:pPr>
          </w:p>
        </w:tc>
        <w:tc>
          <w:tcPr>
            <w:tcW w:w="120" w:type="dxa"/>
            <w:vAlign w:val="bottom"/>
            <w:shd w:val="clear" w:color="auto" w:fill="5591C7"/>
          </w:tcPr>
          <w:p>
            <w:pPr>
              <w:spacing w:after="0"/>
              <w:rPr>
                <w:sz w:val="5"/>
                <w:szCs w:val="5"/>
                <w:color w:val="auto"/>
              </w:rPr>
            </w:pPr>
          </w:p>
        </w:tc>
        <w:tc>
          <w:tcPr>
            <w:tcW w:w="100" w:type="dxa"/>
            <w:vAlign w:val="bottom"/>
            <w:shd w:val="clear" w:color="auto" w:fill="5591C7"/>
          </w:tcPr>
          <w:p>
            <w:pPr>
              <w:spacing w:after="0"/>
              <w:rPr>
                <w:sz w:val="5"/>
                <w:szCs w:val="5"/>
                <w:color w:val="auto"/>
              </w:rPr>
            </w:pPr>
          </w:p>
        </w:tc>
        <w:tc>
          <w:tcPr>
            <w:tcW w:w="3140" w:type="dxa"/>
            <w:vAlign w:val="bottom"/>
            <w:gridSpan w:val="6"/>
            <w:vMerge w:val="restart"/>
            <w:shd w:val="clear" w:color="auto" w:fill="5591C7"/>
          </w:tcPr>
          <w:p>
            <w:pPr>
              <w:jc w:val="center"/>
              <w:ind w:right="200"/>
              <w:spacing w:after="0"/>
              <w:rPr>
                <w:sz w:val="20"/>
                <w:szCs w:val="20"/>
                <w:color w:val="auto"/>
              </w:rPr>
            </w:pPr>
            <w:r>
              <w:rPr>
                <w:rFonts w:ascii="Arial" w:cs="Arial" w:eastAsia="Arial" w:hAnsi="Arial"/>
                <w:sz w:val="14"/>
                <w:szCs w:val="14"/>
                <w:b w:val="1"/>
                <w:bCs w:val="1"/>
                <w:color w:val="auto"/>
              </w:rPr>
              <w:t>Under Non-Equity Incentive</w:t>
            </w:r>
          </w:p>
        </w:tc>
        <w:tc>
          <w:tcPr>
            <w:tcW w:w="3100" w:type="dxa"/>
            <w:vAlign w:val="bottom"/>
            <w:gridSpan w:val="8"/>
            <w:vMerge w:val="restart"/>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Under Equity Incentive</w:t>
            </w:r>
          </w:p>
        </w:tc>
        <w:tc>
          <w:tcPr>
            <w:tcW w:w="100" w:type="dxa"/>
            <w:vAlign w:val="bottom"/>
            <w:shd w:val="clear" w:color="auto" w:fill="5591C7"/>
          </w:tcPr>
          <w:p>
            <w:pPr>
              <w:spacing w:after="0"/>
              <w:rPr>
                <w:sz w:val="5"/>
                <w:szCs w:val="5"/>
                <w:color w:val="auto"/>
              </w:rPr>
            </w:pPr>
          </w:p>
        </w:tc>
        <w:tc>
          <w:tcPr>
            <w:tcW w:w="1000" w:type="dxa"/>
            <w:vAlign w:val="bottom"/>
            <w:vMerge w:val="continue"/>
            <w:shd w:val="clear" w:color="auto" w:fill="5591C7"/>
          </w:tcPr>
          <w:p>
            <w:pPr>
              <w:spacing w:after="0"/>
              <w:rPr>
                <w:sz w:val="5"/>
                <w:szCs w:val="5"/>
                <w:color w:val="auto"/>
              </w:rPr>
            </w:pPr>
          </w:p>
        </w:tc>
        <w:tc>
          <w:tcPr>
            <w:tcW w:w="220" w:type="dxa"/>
            <w:vAlign w:val="bottom"/>
            <w:shd w:val="clear" w:color="auto" w:fill="5591C7"/>
          </w:tcPr>
          <w:p>
            <w:pPr>
              <w:spacing w:after="0"/>
              <w:rPr>
                <w:sz w:val="5"/>
                <w:szCs w:val="5"/>
                <w:color w:val="auto"/>
              </w:rPr>
            </w:pPr>
          </w:p>
        </w:tc>
        <w:tc>
          <w:tcPr>
            <w:tcW w:w="1180" w:type="dxa"/>
            <w:vAlign w:val="bottom"/>
            <w:gridSpan w:val="2"/>
            <w:vMerge w:val="continue"/>
            <w:shd w:val="clear" w:color="auto" w:fill="5591C7"/>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1500" w:type="dxa"/>
            <w:vAlign w:val="bottom"/>
            <w:shd w:val="clear" w:color="auto" w:fill="5591C7"/>
          </w:tcPr>
          <w:p>
            <w:pPr>
              <w:spacing w:after="0"/>
              <w:rPr>
                <w:sz w:val="8"/>
                <w:szCs w:val="8"/>
                <w:color w:val="auto"/>
              </w:rPr>
            </w:pPr>
          </w:p>
        </w:tc>
        <w:tc>
          <w:tcPr>
            <w:tcW w:w="120" w:type="dxa"/>
            <w:vAlign w:val="bottom"/>
            <w:shd w:val="clear" w:color="auto" w:fill="5591C7"/>
          </w:tcPr>
          <w:p>
            <w:pPr>
              <w:spacing w:after="0"/>
              <w:rPr>
                <w:sz w:val="8"/>
                <w:szCs w:val="8"/>
                <w:color w:val="auto"/>
              </w:rPr>
            </w:pPr>
          </w:p>
        </w:tc>
        <w:tc>
          <w:tcPr>
            <w:tcW w:w="100" w:type="dxa"/>
            <w:vAlign w:val="bottom"/>
            <w:shd w:val="clear" w:color="auto" w:fill="5591C7"/>
          </w:tcPr>
          <w:p>
            <w:pPr>
              <w:spacing w:after="0"/>
              <w:rPr>
                <w:sz w:val="8"/>
                <w:szCs w:val="8"/>
                <w:color w:val="auto"/>
              </w:rPr>
            </w:pPr>
          </w:p>
        </w:tc>
        <w:tc>
          <w:tcPr>
            <w:tcW w:w="740" w:type="dxa"/>
            <w:vAlign w:val="bottom"/>
            <w:shd w:val="clear" w:color="auto" w:fill="5591C7"/>
          </w:tcPr>
          <w:p>
            <w:pPr>
              <w:spacing w:after="0"/>
              <w:rPr>
                <w:sz w:val="8"/>
                <w:szCs w:val="8"/>
                <w:color w:val="auto"/>
              </w:rPr>
            </w:pPr>
          </w:p>
        </w:tc>
        <w:tc>
          <w:tcPr>
            <w:tcW w:w="120" w:type="dxa"/>
            <w:vAlign w:val="bottom"/>
            <w:shd w:val="clear" w:color="auto" w:fill="5591C7"/>
          </w:tcPr>
          <w:p>
            <w:pPr>
              <w:spacing w:after="0"/>
              <w:rPr>
                <w:sz w:val="8"/>
                <w:szCs w:val="8"/>
                <w:color w:val="auto"/>
              </w:rPr>
            </w:pPr>
          </w:p>
        </w:tc>
        <w:tc>
          <w:tcPr>
            <w:tcW w:w="100" w:type="dxa"/>
            <w:vAlign w:val="bottom"/>
            <w:shd w:val="clear" w:color="auto" w:fill="5591C7"/>
          </w:tcPr>
          <w:p>
            <w:pPr>
              <w:spacing w:after="0"/>
              <w:rPr>
                <w:sz w:val="8"/>
                <w:szCs w:val="8"/>
                <w:color w:val="auto"/>
              </w:rPr>
            </w:pPr>
          </w:p>
        </w:tc>
        <w:tc>
          <w:tcPr>
            <w:tcW w:w="3140" w:type="dxa"/>
            <w:vAlign w:val="bottom"/>
            <w:gridSpan w:val="6"/>
            <w:vMerge w:val="continue"/>
            <w:shd w:val="clear" w:color="auto" w:fill="5591C7"/>
          </w:tcPr>
          <w:p>
            <w:pPr>
              <w:spacing w:after="0"/>
              <w:rPr>
                <w:sz w:val="8"/>
                <w:szCs w:val="8"/>
                <w:color w:val="auto"/>
              </w:rPr>
            </w:pPr>
          </w:p>
        </w:tc>
        <w:tc>
          <w:tcPr>
            <w:tcW w:w="3100" w:type="dxa"/>
            <w:vAlign w:val="bottom"/>
            <w:gridSpan w:val="8"/>
            <w:vMerge w:val="continue"/>
            <w:shd w:val="clear" w:color="auto" w:fill="5591C7"/>
          </w:tcPr>
          <w:p>
            <w:pPr>
              <w:spacing w:after="0"/>
              <w:rPr>
                <w:sz w:val="8"/>
                <w:szCs w:val="8"/>
                <w:color w:val="auto"/>
              </w:rPr>
            </w:pPr>
          </w:p>
        </w:tc>
        <w:tc>
          <w:tcPr>
            <w:tcW w:w="100" w:type="dxa"/>
            <w:vAlign w:val="bottom"/>
            <w:shd w:val="clear" w:color="auto" w:fill="5591C7"/>
          </w:tcPr>
          <w:p>
            <w:pPr>
              <w:spacing w:after="0"/>
              <w:rPr>
                <w:sz w:val="8"/>
                <w:szCs w:val="8"/>
                <w:color w:val="auto"/>
              </w:rPr>
            </w:pPr>
          </w:p>
        </w:tc>
        <w:tc>
          <w:tcPr>
            <w:tcW w:w="1000" w:type="dxa"/>
            <w:vAlign w:val="bottom"/>
            <w:vMerge w:val="restart"/>
            <w:shd w:val="clear" w:color="auto" w:fill="5591C7"/>
          </w:tcPr>
          <w:p>
            <w:pPr>
              <w:jc w:val="center"/>
              <w:spacing w:after="0"/>
              <w:rPr>
                <w:sz w:val="20"/>
                <w:szCs w:val="20"/>
                <w:color w:val="auto"/>
              </w:rPr>
            </w:pPr>
            <w:r>
              <w:rPr>
                <w:rFonts w:ascii="Arial" w:cs="Arial" w:eastAsia="Arial" w:hAnsi="Arial"/>
                <w:sz w:val="14"/>
                <w:szCs w:val="14"/>
                <w:b w:val="1"/>
                <w:bCs w:val="1"/>
                <w:color w:val="auto"/>
              </w:rPr>
              <w:t>Number of</w:t>
            </w:r>
          </w:p>
        </w:tc>
        <w:tc>
          <w:tcPr>
            <w:tcW w:w="220" w:type="dxa"/>
            <w:vAlign w:val="bottom"/>
            <w:shd w:val="clear" w:color="auto" w:fill="5591C7"/>
          </w:tcPr>
          <w:p>
            <w:pPr>
              <w:spacing w:after="0"/>
              <w:rPr>
                <w:sz w:val="8"/>
                <w:szCs w:val="8"/>
                <w:color w:val="auto"/>
              </w:rPr>
            </w:pPr>
          </w:p>
        </w:tc>
        <w:tc>
          <w:tcPr>
            <w:tcW w:w="1180" w:type="dxa"/>
            <w:vAlign w:val="bottom"/>
            <w:gridSpan w:val="2"/>
            <w:vMerge w:val="restart"/>
            <w:shd w:val="clear" w:color="auto" w:fill="5591C7"/>
          </w:tcPr>
          <w:p>
            <w:pPr>
              <w:jc w:val="center"/>
              <w:ind w:right="1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68"/>
        </w:trPr>
        <w:tc>
          <w:tcPr>
            <w:tcW w:w="1500" w:type="dxa"/>
            <w:vAlign w:val="bottom"/>
            <w:shd w:val="clear" w:color="auto" w:fill="5591C7"/>
          </w:tcPr>
          <w:p>
            <w:pPr>
              <w:spacing w:after="0"/>
              <w:rPr>
                <w:sz w:val="5"/>
                <w:szCs w:val="5"/>
                <w:color w:val="auto"/>
              </w:rPr>
            </w:pPr>
          </w:p>
        </w:tc>
        <w:tc>
          <w:tcPr>
            <w:tcW w:w="120" w:type="dxa"/>
            <w:vAlign w:val="bottom"/>
            <w:shd w:val="clear" w:color="auto" w:fill="5591C7"/>
          </w:tcPr>
          <w:p>
            <w:pPr>
              <w:spacing w:after="0"/>
              <w:rPr>
                <w:sz w:val="5"/>
                <w:szCs w:val="5"/>
                <w:color w:val="auto"/>
              </w:rPr>
            </w:pPr>
          </w:p>
        </w:tc>
        <w:tc>
          <w:tcPr>
            <w:tcW w:w="100" w:type="dxa"/>
            <w:vAlign w:val="bottom"/>
            <w:shd w:val="clear" w:color="auto" w:fill="5591C7"/>
          </w:tcPr>
          <w:p>
            <w:pPr>
              <w:spacing w:after="0"/>
              <w:rPr>
                <w:sz w:val="5"/>
                <w:szCs w:val="5"/>
                <w:color w:val="auto"/>
              </w:rPr>
            </w:pPr>
          </w:p>
        </w:tc>
        <w:tc>
          <w:tcPr>
            <w:tcW w:w="740" w:type="dxa"/>
            <w:vAlign w:val="bottom"/>
            <w:shd w:val="clear" w:color="auto" w:fill="5591C7"/>
          </w:tcPr>
          <w:p>
            <w:pPr>
              <w:spacing w:after="0"/>
              <w:rPr>
                <w:sz w:val="5"/>
                <w:szCs w:val="5"/>
                <w:color w:val="auto"/>
              </w:rPr>
            </w:pPr>
          </w:p>
        </w:tc>
        <w:tc>
          <w:tcPr>
            <w:tcW w:w="120" w:type="dxa"/>
            <w:vAlign w:val="bottom"/>
            <w:shd w:val="clear" w:color="auto" w:fill="5591C7"/>
          </w:tcPr>
          <w:p>
            <w:pPr>
              <w:spacing w:after="0"/>
              <w:rPr>
                <w:sz w:val="5"/>
                <w:szCs w:val="5"/>
                <w:color w:val="auto"/>
              </w:rPr>
            </w:pPr>
          </w:p>
        </w:tc>
        <w:tc>
          <w:tcPr>
            <w:tcW w:w="100" w:type="dxa"/>
            <w:vAlign w:val="bottom"/>
            <w:shd w:val="clear" w:color="auto" w:fill="5591C7"/>
          </w:tcPr>
          <w:p>
            <w:pPr>
              <w:spacing w:after="0"/>
              <w:rPr>
                <w:sz w:val="5"/>
                <w:szCs w:val="5"/>
                <w:color w:val="auto"/>
              </w:rPr>
            </w:pPr>
          </w:p>
        </w:tc>
        <w:tc>
          <w:tcPr>
            <w:tcW w:w="960" w:type="dxa"/>
            <w:vAlign w:val="bottom"/>
            <w:shd w:val="clear" w:color="auto" w:fill="5591C7"/>
          </w:tcPr>
          <w:p>
            <w:pPr>
              <w:spacing w:after="0"/>
              <w:rPr>
                <w:sz w:val="5"/>
                <w:szCs w:val="5"/>
                <w:color w:val="auto"/>
              </w:rPr>
            </w:pPr>
          </w:p>
        </w:tc>
        <w:tc>
          <w:tcPr>
            <w:tcW w:w="1060" w:type="dxa"/>
            <w:vAlign w:val="bottom"/>
            <w:gridSpan w:val="3"/>
            <w:vMerge w:val="restart"/>
            <w:shd w:val="clear" w:color="auto" w:fill="5591C7"/>
          </w:tcPr>
          <w:p>
            <w:pPr>
              <w:jc w:val="center"/>
              <w:ind w:right="40"/>
              <w:spacing w:after="0" w:line="169" w:lineRule="exact"/>
              <w:rPr>
                <w:sz w:val="20"/>
                <w:szCs w:val="20"/>
                <w:color w:val="auto"/>
              </w:rPr>
            </w:pPr>
            <w:r>
              <w:rPr>
                <w:rFonts w:ascii="Arial" w:cs="Arial" w:eastAsia="Arial" w:hAnsi="Arial"/>
                <w:sz w:val="12"/>
                <w:szCs w:val="12"/>
                <w:b w:val="1"/>
                <w:bCs w:val="1"/>
                <w:color w:val="auto"/>
              </w:rPr>
              <w:t>Plan Awards</w:t>
            </w:r>
            <w:r>
              <w:rPr>
                <w:rFonts w:ascii="Arial" w:cs="Arial" w:eastAsia="Arial" w:hAnsi="Arial"/>
                <w:sz w:val="19"/>
                <w:szCs w:val="19"/>
                <w:b w:val="1"/>
                <w:bCs w:val="1"/>
                <w:color w:val="auto"/>
                <w:vertAlign w:val="superscript"/>
              </w:rPr>
              <w:t>(1)</w:t>
            </w:r>
          </w:p>
        </w:tc>
        <w:tc>
          <w:tcPr>
            <w:tcW w:w="920" w:type="dxa"/>
            <w:vAlign w:val="bottom"/>
            <w:shd w:val="clear" w:color="auto" w:fill="5591C7"/>
          </w:tcPr>
          <w:p>
            <w:pPr>
              <w:spacing w:after="0"/>
              <w:rPr>
                <w:sz w:val="5"/>
                <w:szCs w:val="5"/>
                <w:color w:val="auto"/>
              </w:rPr>
            </w:pPr>
          </w:p>
        </w:tc>
        <w:tc>
          <w:tcPr>
            <w:tcW w:w="200" w:type="dxa"/>
            <w:vAlign w:val="bottom"/>
            <w:shd w:val="clear" w:color="auto" w:fill="5591C7"/>
          </w:tcPr>
          <w:p>
            <w:pPr>
              <w:spacing w:after="0"/>
              <w:rPr>
                <w:sz w:val="5"/>
                <w:szCs w:val="5"/>
                <w:color w:val="auto"/>
              </w:rPr>
            </w:pPr>
          </w:p>
        </w:tc>
        <w:tc>
          <w:tcPr>
            <w:tcW w:w="960" w:type="dxa"/>
            <w:vAlign w:val="bottom"/>
            <w:shd w:val="clear" w:color="auto" w:fill="5591C7"/>
          </w:tcPr>
          <w:p>
            <w:pPr>
              <w:spacing w:after="0"/>
              <w:rPr>
                <w:sz w:val="5"/>
                <w:szCs w:val="5"/>
                <w:color w:val="auto"/>
              </w:rPr>
            </w:pPr>
          </w:p>
        </w:tc>
        <w:tc>
          <w:tcPr>
            <w:tcW w:w="1040" w:type="dxa"/>
            <w:vAlign w:val="bottom"/>
            <w:gridSpan w:val="3"/>
            <w:vMerge w:val="restart"/>
            <w:shd w:val="clear" w:color="auto" w:fill="5591C7"/>
          </w:tcPr>
          <w:p>
            <w:pPr>
              <w:jc w:val="center"/>
              <w:spacing w:after="0"/>
              <w:rPr>
                <w:sz w:val="20"/>
                <w:szCs w:val="20"/>
                <w:color w:val="auto"/>
              </w:rPr>
            </w:pPr>
            <w:r>
              <w:rPr>
                <w:rFonts w:ascii="Arial" w:cs="Arial" w:eastAsia="Arial" w:hAnsi="Arial"/>
                <w:sz w:val="14"/>
                <w:szCs w:val="14"/>
                <w:b w:val="1"/>
                <w:bCs w:val="1"/>
                <w:color w:val="auto"/>
              </w:rPr>
              <w:t>Plan Awards</w:t>
            </w:r>
          </w:p>
        </w:tc>
        <w:tc>
          <w:tcPr>
            <w:tcW w:w="160" w:type="dxa"/>
            <w:vAlign w:val="bottom"/>
            <w:shd w:val="clear" w:color="auto" w:fill="5591C7"/>
          </w:tcPr>
          <w:p>
            <w:pPr>
              <w:spacing w:after="0"/>
              <w:rPr>
                <w:sz w:val="5"/>
                <w:szCs w:val="5"/>
                <w:color w:val="auto"/>
              </w:rPr>
            </w:pPr>
          </w:p>
        </w:tc>
        <w:tc>
          <w:tcPr>
            <w:tcW w:w="840" w:type="dxa"/>
            <w:vAlign w:val="bottom"/>
            <w:shd w:val="clear" w:color="auto" w:fill="5591C7"/>
          </w:tcPr>
          <w:p>
            <w:pPr>
              <w:spacing w:after="0"/>
              <w:rPr>
                <w:sz w:val="5"/>
                <w:szCs w:val="5"/>
                <w:color w:val="auto"/>
              </w:rPr>
            </w:pPr>
          </w:p>
        </w:tc>
        <w:tc>
          <w:tcPr>
            <w:tcW w:w="40" w:type="dxa"/>
            <w:vAlign w:val="bottom"/>
            <w:shd w:val="clear" w:color="auto" w:fill="5591C7"/>
          </w:tcPr>
          <w:p>
            <w:pPr>
              <w:spacing w:after="0"/>
              <w:rPr>
                <w:sz w:val="5"/>
                <w:szCs w:val="5"/>
                <w:color w:val="auto"/>
              </w:rPr>
            </w:pPr>
          </w:p>
        </w:tc>
        <w:tc>
          <w:tcPr>
            <w:tcW w:w="60" w:type="dxa"/>
            <w:vAlign w:val="bottom"/>
            <w:shd w:val="clear" w:color="auto" w:fill="5591C7"/>
          </w:tcPr>
          <w:p>
            <w:pPr>
              <w:spacing w:after="0"/>
              <w:rPr>
                <w:sz w:val="5"/>
                <w:szCs w:val="5"/>
                <w:color w:val="auto"/>
              </w:rPr>
            </w:pPr>
          </w:p>
        </w:tc>
        <w:tc>
          <w:tcPr>
            <w:tcW w:w="100" w:type="dxa"/>
            <w:vAlign w:val="bottom"/>
            <w:shd w:val="clear" w:color="auto" w:fill="5591C7"/>
          </w:tcPr>
          <w:p>
            <w:pPr>
              <w:spacing w:after="0"/>
              <w:rPr>
                <w:sz w:val="5"/>
                <w:szCs w:val="5"/>
                <w:color w:val="auto"/>
              </w:rPr>
            </w:pPr>
          </w:p>
        </w:tc>
        <w:tc>
          <w:tcPr>
            <w:tcW w:w="1000" w:type="dxa"/>
            <w:vAlign w:val="bottom"/>
            <w:vMerge w:val="continue"/>
            <w:shd w:val="clear" w:color="auto" w:fill="5591C7"/>
          </w:tcPr>
          <w:p>
            <w:pPr>
              <w:spacing w:after="0"/>
              <w:rPr>
                <w:sz w:val="5"/>
                <w:szCs w:val="5"/>
                <w:color w:val="auto"/>
              </w:rPr>
            </w:pPr>
          </w:p>
        </w:tc>
        <w:tc>
          <w:tcPr>
            <w:tcW w:w="220" w:type="dxa"/>
            <w:vAlign w:val="bottom"/>
            <w:shd w:val="clear" w:color="auto" w:fill="5591C7"/>
          </w:tcPr>
          <w:p>
            <w:pPr>
              <w:spacing w:after="0"/>
              <w:rPr>
                <w:sz w:val="5"/>
                <w:szCs w:val="5"/>
                <w:color w:val="auto"/>
              </w:rPr>
            </w:pPr>
          </w:p>
        </w:tc>
        <w:tc>
          <w:tcPr>
            <w:tcW w:w="1180" w:type="dxa"/>
            <w:vAlign w:val="bottom"/>
            <w:gridSpan w:val="2"/>
            <w:vMerge w:val="continue"/>
            <w:shd w:val="clear" w:color="auto" w:fill="5591C7"/>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1500" w:type="dxa"/>
            <w:vAlign w:val="bottom"/>
            <w:tcBorders>
              <w:bottom w:val="single" w:sz="8" w:color="5591C7"/>
            </w:tcBorders>
            <w:shd w:val="clear" w:color="auto" w:fill="5591C7"/>
          </w:tcPr>
          <w:p>
            <w:pPr>
              <w:spacing w:after="0"/>
              <w:rPr>
                <w:sz w:val="10"/>
                <w:szCs w:val="10"/>
                <w:color w:val="auto"/>
              </w:rPr>
            </w:pPr>
          </w:p>
        </w:tc>
        <w:tc>
          <w:tcPr>
            <w:tcW w:w="120" w:type="dxa"/>
            <w:vAlign w:val="bottom"/>
            <w:tcBorders>
              <w:bottom w:val="single" w:sz="8" w:color="5591C7"/>
            </w:tcBorders>
            <w:shd w:val="clear" w:color="auto" w:fill="5591C7"/>
          </w:tcPr>
          <w:p>
            <w:pPr>
              <w:spacing w:after="0"/>
              <w:rPr>
                <w:sz w:val="10"/>
                <w:szCs w:val="10"/>
                <w:color w:val="auto"/>
              </w:rPr>
            </w:pPr>
          </w:p>
        </w:tc>
        <w:tc>
          <w:tcPr>
            <w:tcW w:w="100" w:type="dxa"/>
            <w:vAlign w:val="bottom"/>
            <w:tcBorders>
              <w:bottom w:val="single" w:sz="8" w:color="5591C7"/>
            </w:tcBorders>
            <w:shd w:val="clear" w:color="auto" w:fill="5591C7"/>
          </w:tcPr>
          <w:p>
            <w:pPr>
              <w:spacing w:after="0"/>
              <w:rPr>
                <w:sz w:val="10"/>
                <w:szCs w:val="10"/>
                <w:color w:val="auto"/>
              </w:rPr>
            </w:pPr>
          </w:p>
        </w:tc>
        <w:tc>
          <w:tcPr>
            <w:tcW w:w="740" w:type="dxa"/>
            <w:vAlign w:val="bottom"/>
            <w:tcBorders>
              <w:bottom w:val="single" w:sz="8" w:color="5591C7"/>
            </w:tcBorders>
            <w:shd w:val="clear" w:color="auto" w:fill="5591C7"/>
          </w:tcPr>
          <w:p>
            <w:pPr>
              <w:spacing w:after="0"/>
              <w:rPr>
                <w:sz w:val="10"/>
                <w:szCs w:val="10"/>
                <w:color w:val="auto"/>
              </w:rPr>
            </w:pPr>
          </w:p>
        </w:tc>
        <w:tc>
          <w:tcPr>
            <w:tcW w:w="120" w:type="dxa"/>
            <w:vAlign w:val="bottom"/>
            <w:tcBorders>
              <w:bottom w:val="single" w:sz="8" w:color="5591C7"/>
            </w:tcBorders>
            <w:shd w:val="clear" w:color="auto" w:fill="5591C7"/>
          </w:tcPr>
          <w:p>
            <w:pPr>
              <w:spacing w:after="0"/>
              <w:rPr>
                <w:sz w:val="10"/>
                <w:szCs w:val="10"/>
                <w:color w:val="auto"/>
              </w:rPr>
            </w:pPr>
          </w:p>
        </w:tc>
        <w:tc>
          <w:tcPr>
            <w:tcW w:w="100" w:type="dxa"/>
            <w:vAlign w:val="bottom"/>
            <w:tcBorders>
              <w:bottom w:val="single" w:sz="8" w:color="5591C7"/>
            </w:tcBorders>
            <w:shd w:val="clear" w:color="auto" w:fill="5591C7"/>
          </w:tcPr>
          <w:p>
            <w:pPr>
              <w:spacing w:after="0"/>
              <w:rPr>
                <w:sz w:val="10"/>
                <w:szCs w:val="10"/>
                <w:color w:val="auto"/>
              </w:rPr>
            </w:pPr>
          </w:p>
        </w:tc>
        <w:tc>
          <w:tcPr>
            <w:tcW w:w="960" w:type="dxa"/>
            <w:vAlign w:val="bottom"/>
            <w:tcBorders>
              <w:bottom w:val="single" w:sz="8" w:color="auto"/>
            </w:tcBorders>
            <w:shd w:val="clear" w:color="auto" w:fill="5591C7"/>
          </w:tcPr>
          <w:p>
            <w:pPr>
              <w:spacing w:after="0"/>
              <w:rPr>
                <w:sz w:val="10"/>
                <w:szCs w:val="10"/>
                <w:color w:val="auto"/>
              </w:rPr>
            </w:pPr>
          </w:p>
        </w:tc>
        <w:tc>
          <w:tcPr>
            <w:tcW w:w="1060" w:type="dxa"/>
            <w:vAlign w:val="bottom"/>
            <w:tcBorders>
              <w:bottom w:val="single" w:sz="8" w:color="auto"/>
            </w:tcBorders>
            <w:gridSpan w:val="3"/>
            <w:vMerge w:val="continue"/>
            <w:shd w:val="clear" w:color="auto" w:fill="5591C7"/>
          </w:tcPr>
          <w:p>
            <w:pPr>
              <w:spacing w:after="0"/>
              <w:rPr>
                <w:sz w:val="10"/>
                <w:szCs w:val="10"/>
                <w:color w:val="auto"/>
              </w:rPr>
            </w:pPr>
          </w:p>
        </w:tc>
        <w:tc>
          <w:tcPr>
            <w:tcW w:w="920" w:type="dxa"/>
            <w:vAlign w:val="bottom"/>
            <w:tcBorders>
              <w:bottom w:val="single" w:sz="8" w:color="auto"/>
            </w:tcBorders>
            <w:shd w:val="clear" w:color="auto" w:fill="5591C7"/>
          </w:tcPr>
          <w:p>
            <w:pPr>
              <w:spacing w:after="0"/>
              <w:rPr>
                <w:sz w:val="10"/>
                <w:szCs w:val="10"/>
                <w:color w:val="auto"/>
              </w:rPr>
            </w:pPr>
          </w:p>
        </w:tc>
        <w:tc>
          <w:tcPr>
            <w:tcW w:w="200" w:type="dxa"/>
            <w:vAlign w:val="bottom"/>
            <w:tcBorders>
              <w:bottom w:val="single" w:sz="8" w:color="5591C7"/>
            </w:tcBorders>
            <w:shd w:val="clear" w:color="auto" w:fill="5591C7"/>
          </w:tcPr>
          <w:p>
            <w:pPr>
              <w:spacing w:after="0"/>
              <w:rPr>
                <w:sz w:val="10"/>
                <w:szCs w:val="10"/>
                <w:color w:val="auto"/>
              </w:rPr>
            </w:pPr>
          </w:p>
        </w:tc>
        <w:tc>
          <w:tcPr>
            <w:tcW w:w="960" w:type="dxa"/>
            <w:vAlign w:val="bottom"/>
            <w:tcBorders>
              <w:bottom w:val="single" w:sz="8" w:color="auto"/>
            </w:tcBorders>
            <w:shd w:val="clear" w:color="auto" w:fill="5591C7"/>
          </w:tcPr>
          <w:p>
            <w:pPr>
              <w:spacing w:after="0"/>
              <w:rPr>
                <w:sz w:val="10"/>
                <w:szCs w:val="10"/>
                <w:color w:val="auto"/>
              </w:rPr>
            </w:pPr>
          </w:p>
        </w:tc>
        <w:tc>
          <w:tcPr>
            <w:tcW w:w="1040" w:type="dxa"/>
            <w:vAlign w:val="bottom"/>
            <w:tcBorders>
              <w:bottom w:val="single" w:sz="8" w:color="auto"/>
            </w:tcBorders>
            <w:gridSpan w:val="3"/>
            <w:vMerge w:val="continue"/>
            <w:shd w:val="clear" w:color="auto" w:fill="5591C7"/>
          </w:tcPr>
          <w:p>
            <w:pPr>
              <w:spacing w:after="0"/>
              <w:rPr>
                <w:sz w:val="10"/>
                <w:szCs w:val="10"/>
                <w:color w:val="auto"/>
              </w:rPr>
            </w:pPr>
          </w:p>
        </w:tc>
        <w:tc>
          <w:tcPr>
            <w:tcW w:w="160" w:type="dxa"/>
            <w:vAlign w:val="bottom"/>
            <w:tcBorders>
              <w:bottom w:val="single" w:sz="8" w:color="auto"/>
            </w:tcBorders>
            <w:shd w:val="clear" w:color="auto" w:fill="5591C7"/>
          </w:tcPr>
          <w:p>
            <w:pPr>
              <w:spacing w:after="0"/>
              <w:rPr>
                <w:sz w:val="10"/>
                <w:szCs w:val="10"/>
                <w:color w:val="auto"/>
              </w:rPr>
            </w:pPr>
          </w:p>
        </w:tc>
        <w:tc>
          <w:tcPr>
            <w:tcW w:w="840" w:type="dxa"/>
            <w:vAlign w:val="bottom"/>
            <w:tcBorders>
              <w:bottom w:val="single" w:sz="8" w:color="auto"/>
            </w:tcBorders>
            <w:shd w:val="clear" w:color="auto" w:fill="5591C7"/>
          </w:tcPr>
          <w:p>
            <w:pPr>
              <w:spacing w:after="0"/>
              <w:rPr>
                <w:sz w:val="10"/>
                <w:szCs w:val="10"/>
                <w:color w:val="auto"/>
              </w:rPr>
            </w:pPr>
          </w:p>
        </w:tc>
        <w:tc>
          <w:tcPr>
            <w:tcW w:w="40" w:type="dxa"/>
            <w:vAlign w:val="bottom"/>
            <w:tcBorders>
              <w:bottom w:val="single" w:sz="8" w:color="5591C7"/>
            </w:tcBorders>
            <w:shd w:val="clear" w:color="auto" w:fill="5591C7"/>
          </w:tcPr>
          <w:p>
            <w:pPr>
              <w:spacing w:after="0"/>
              <w:rPr>
                <w:sz w:val="10"/>
                <w:szCs w:val="10"/>
                <w:color w:val="auto"/>
              </w:rPr>
            </w:pPr>
          </w:p>
        </w:tc>
        <w:tc>
          <w:tcPr>
            <w:tcW w:w="60" w:type="dxa"/>
            <w:vAlign w:val="bottom"/>
            <w:tcBorders>
              <w:bottom w:val="single" w:sz="8" w:color="5591C7"/>
            </w:tcBorders>
            <w:shd w:val="clear" w:color="auto" w:fill="5591C7"/>
          </w:tcPr>
          <w:p>
            <w:pPr>
              <w:spacing w:after="0"/>
              <w:rPr>
                <w:sz w:val="10"/>
                <w:szCs w:val="10"/>
                <w:color w:val="auto"/>
              </w:rPr>
            </w:pPr>
          </w:p>
        </w:tc>
        <w:tc>
          <w:tcPr>
            <w:tcW w:w="100" w:type="dxa"/>
            <w:vAlign w:val="bottom"/>
            <w:tcBorders>
              <w:bottom w:val="single" w:sz="8" w:color="5591C7"/>
            </w:tcBorders>
            <w:vMerge w:val="restart"/>
            <w:shd w:val="clear" w:color="auto" w:fill="5591C7"/>
          </w:tcPr>
          <w:p>
            <w:pPr>
              <w:spacing w:after="0"/>
              <w:rPr>
                <w:sz w:val="10"/>
                <w:szCs w:val="10"/>
                <w:color w:val="auto"/>
              </w:rPr>
            </w:pPr>
          </w:p>
        </w:tc>
        <w:tc>
          <w:tcPr>
            <w:tcW w:w="1000" w:type="dxa"/>
            <w:vAlign w:val="bottom"/>
            <w:tcBorders>
              <w:bottom w:val="single" w:sz="8" w:color="5591C7"/>
            </w:tcBorders>
            <w:vMerge w:val="restart"/>
            <w:shd w:val="clear" w:color="auto" w:fill="5591C7"/>
          </w:tcPr>
          <w:p>
            <w:pPr>
              <w:jc w:val="center"/>
              <w:spacing w:after="0"/>
              <w:rPr>
                <w:sz w:val="20"/>
                <w:szCs w:val="20"/>
                <w:color w:val="auto"/>
              </w:rPr>
            </w:pPr>
            <w:r>
              <w:rPr>
                <w:rFonts w:ascii="Arial" w:cs="Arial" w:eastAsia="Arial" w:hAnsi="Arial"/>
                <w:sz w:val="14"/>
                <w:szCs w:val="14"/>
                <w:b w:val="1"/>
                <w:bCs w:val="1"/>
                <w:color w:val="auto"/>
              </w:rPr>
              <w:t>Shares of</w:t>
            </w:r>
          </w:p>
        </w:tc>
        <w:tc>
          <w:tcPr>
            <w:tcW w:w="220" w:type="dxa"/>
            <w:vAlign w:val="bottom"/>
            <w:tcBorders>
              <w:bottom w:val="single" w:sz="8" w:color="5591C7"/>
            </w:tcBorders>
            <w:vMerge w:val="restart"/>
            <w:shd w:val="clear" w:color="auto" w:fill="5591C7"/>
          </w:tcPr>
          <w:p>
            <w:pPr>
              <w:spacing w:after="0"/>
              <w:rPr>
                <w:sz w:val="10"/>
                <w:szCs w:val="10"/>
                <w:color w:val="auto"/>
              </w:rPr>
            </w:pPr>
          </w:p>
        </w:tc>
        <w:tc>
          <w:tcPr>
            <w:tcW w:w="1180" w:type="dxa"/>
            <w:vAlign w:val="bottom"/>
            <w:tcBorders>
              <w:bottom w:val="single" w:sz="8" w:color="5591C7"/>
            </w:tcBorders>
            <w:gridSpan w:val="2"/>
            <w:vMerge w:val="restart"/>
            <w:shd w:val="clear" w:color="auto" w:fill="5591C7"/>
          </w:tcPr>
          <w:p>
            <w:pPr>
              <w:jc w:val="center"/>
              <w:ind w:right="160"/>
              <w:spacing w:after="0"/>
              <w:rPr>
                <w:sz w:val="20"/>
                <w:szCs w:val="20"/>
                <w:color w:val="auto"/>
              </w:rPr>
            </w:pPr>
            <w:r>
              <w:rPr>
                <w:rFonts w:ascii="Arial" w:cs="Arial" w:eastAsia="Arial" w:hAnsi="Arial"/>
                <w:sz w:val="14"/>
                <w:szCs w:val="14"/>
                <w:b w:val="1"/>
                <w:bCs w:val="1"/>
                <w:color w:val="auto"/>
              </w:rPr>
              <w:t>of Stock</w:t>
            </w:r>
          </w:p>
        </w:tc>
        <w:tc>
          <w:tcPr>
            <w:tcW w:w="0" w:type="dxa"/>
            <w:vAlign w:val="bottom"/>
          </w:tcPr>
          <w:p>
            <w:pPr>
              <w:spacing w:after="0"/>
              <w:rPr>
                <w:sz w:val="1"/>
                <w:szCs w:val="1"/>
                <w:color w:val="auto"/>
              </w:rPr>
            </w:pPr>
          </w:p>
        </w:tc>
      </w:tr>
      <w:tr>
        <w:trPr>
          <w:trHeight w:val="21"/>
        </w:trPr>
        <w:tc>
          <w:tcPr>
            <w:tcW w:w="1500" w:type="dxa"/>
            <w:vAlign w:val="bottom"/>
            <w:shd w:val="clear" w:color="auto" w:fill="5591C7"/>
          </w:tcPr>
          <w:p>
            <w:pPr>
              <w:spacing w:after="0" w:line="20" w:lineRule="exact"/>
              <w:rPr>
                <w:sz w:val="1"/>
                <w:szCs w:val="1"/>
                <w:color w:val="auto"/>
              </w:rPr>
            </w:pPr>
          </w:p>
        </w:tc>
        <w:tc>
          <w:tcPr>
            <w:tcW w:w="120" w:type="dxa"/>
            <w:vAlign w:val="bottom"/>
            <w:shd w:val="clear" w:color="auto" w:fill="5591C7"/>
          </w:tcPr>
          <w:p>
            <w:pPr>
              <w:spacing w:after="0" w:line="20" w:lineRule="exact"/>
              <w:rPr>
                <w:sz w:val="1"/>
                <w:szCs w:val="1"/>
                <w:color w:val="auto"/>
              </w:rPr>
            </w:pPr>
          </w:p>
        </w:tc>
        <w:tc>
          <w:tcPr>
            <w:tcW w:w="100" w:type="dxa"/>
            <w:vAlign w:val="bottom"/>
            <w:shd w:val="clear" w:color="auto" w:fill="5591C7"/>
          </w:tcPr>
          <w:p>
            <w:pPr>
              <w:spacing w:after="0" w:line="20" w:lineRule="exact"/>
              <w:rPr>
                <w:sz w:val="1"/>
                <w:szCs w:val="1"/>
                <w:color w:val="auto"/>
              </w:rPr>
            </w:pPr>
          </w:p>
        </w:tc>
        <w:tc>
          <w:tcPr>
            <w:tcW w:w="740" w:type="dxa"/>
            <w:vAlign w:val="bottom"/>
            <w:shd w:val="clear" w:color="auto" w:fill="5591C7"/>
          </w:tcPr>
          <w:p>
            <w:pPr>
              <w:spacing w:after="0" w:line="20" w:lineRule="exact"/>
              <w:rPr>
                <w:sz w:val="1"/>
                <w:szCs w:val="1"/>
                <w:color w:val="auto"/>
              </w:rPr>
            </w:pPr>
          </w:p>
        </w:tc>
        <w:tc>
          <w:tcPr>
            <w:tcW w:w="120" w:type="dxa"/>
            <w:vAlign w:val="bottom"/>
            <w:shd w:val="clear" w:color="auto" w:fill="5591C7"/>
          </w:tcPr>
          <w:p>
            <w:pPr>
              <w:spacing w:after="0" w:line="20" w:lineRule="exact"/>
              <w:rPr>
                <w:sz w:val="1"/>
                <w:szCs w:val="1"/>
                <w:color w:val="auto"/>
              </w:rPr>
            </w:pPr>
          </w:p>
        </w:tc>
        <w:tc>
          <w:tcPr>
            <w:tcW w:w="100" w:type="dxa"/>
            <w:vAlign w:val="bottom"/>
            <w:shd w:val="clear" w:color="auto" w:fill="5591C7"/>
          </w:tcPr>
          <w:p>
            <w:pPr>
              <w:spacing w:after="0" w:line="20" w:lineRule="exact"/>
              <w:rPr>
                <w:sz w:val="1"/>
                <w:szCs w:val="1"/>
                <w:color w:val="auto"/>
              </w:rPr>
            </w:pPr>
          </w:p>
        </w:tc>
        <w:tc>
          <w:tcPr>
            <w:tcW w:w="960" w:type="dxa"/>
            <w:vAlign w:val="bottom"/>
            <w:shd w:val="clear" w:color="auto" w:fill="5591C7"/>
          </w:tcPr>
          <w:p>
            <w:pPr>
              <w:spacing w:after="0" w:line="20" w:lineRule="exact"/>
              <w:rPr>
                <w:sz w:val="1"/>
                <w:szCs w:val="1"/>
                <w:color w:val="auto"/>
              </w:rPr>
            </w:pPr>
          </w:p>
        </w:tc>
        <w:tc>
          <w:tcPr>
            <w:tcW w:w="220" w:type="dxa"/>
            <w:vAlign w:val="bottom"/>
            <w:shd w:val="clear" w:color="auto" w:fill="5591C7"/>
          </w:tcPr>
          <w:p>
            <w:pPr>
              <w:spacing w:after="0" w:line="20" w:lineRule="exact"/>
              <w:rPr>
                <w:sz w:val="1"/>
                <w:szCs w:val="1"/>
                <w:color w:val="auto"/>
              </w:rPr>
            </w:pPr>
          </w:p>
        </w:tc>
        <w:tc>
          <w:tcPr>
            <w:tcW w:w="620" w:type="dxa"/>
            <w:vAlign w:val="bottom"/>
            <w:shd w:val="clear" w:color="auto" w:fill="5591C7"/>
          </w:tcPr>
          <w:p>
            <w:pPr>
              <w:spacing w:after="0" w:line="20" w:lineRule="exact"/>
              <w:rPr>
                <w:sz w:val="1"/>
                <w:szCs w:val="1"/>
                <w:color w:val="auto"/>
              </w:rPr>
            </w:pPr>
          </w:p>
        </w:tc>
        <w:tc>
          <w:tcPr>
            <w:tcW w:w="220" w:type="dxa"/>
            <w:vAlign w:val="bottom"/>
            <w:shd w:val="clear" w:color="auto" w:fill="5591C7"/>
          </w:tcPr>
          <w:p>
            <w:pPr>
              <w:spacing w:after="0" w:line="20" w:lineRule="exact"/>
              <w:rPr>
                <w:sz w:val="1"/>
                <w:szCs w:val="1"/>
                <w:color w:val="auto"/>
              </w:rPr>
            </w:pPr>
          </w:p>
        </w:tc>
        <w:tc>
          <w:tcPr>
            <w:tcW w:w="920" w:type="dxa"/>
            <w:vAlign w:val="bottom"/>
            <w:shd w:val="clear" w:color="auto" w:fill="5591C7"/>
          </w:tcPr>
          <w:p>
            <w:pPr>
              <w:spacing w:after="0" w:line="20" w:lineRule="exact"/>
              <w:rPr>
                <w:sz w:val="1"/>
                <w:szCs w:val="1"/>
                <w:color w:val="auto"/>
              </w:rPr>
            </w:pPr>
          </w:p>
        </w:tc>
        <w:tc>
          <w:tcPr>
            <w:tcW w:w="200" w:type="dxa"/>
            <w:vAlign w:val="bottom"/>
            <w:shd w:val="clear" w:color="auto" w:fill="5591C7"/>
          </w:tcPr>
          <w:p>
            <w:pPr>
              <w:spacing w:after="0" w:line="20" w:lineRule="exact"/>
              <w:rPr>
                <w:sz w:val="1"/>
                <w:szCs w:val="1"/>
                <w:color w:val="auto"/>
              </w:rPr>
            </w:pPr>
          </w:p>
        </w:tc>
        <w:tc>
          <w:tcPr>
            <w:tcW w:w="960" w:type="dxa"/>
            <w:vAlign w:val="bottom"/>
            <w:shd w:val="clear" w:color="auto" w:fill="5591C7"/>
          </w:tcPr>
          <w:p>
            <w:pPr>
              <w:spacing w:after="0" w:line="20" w:lineRule="exact"/>
              <w:rPr>
                <w:sz w:val="1"/>
                <w:szCs w:val="1"/>
                <w:color w:val="auto"/>
              </w:rPr>
            </w:pPr>
          </w:p>
        </w:tc>
        <w:tc>
          <w:tcPr>
            <w:tcW w:w="220" w:type="dxa"/>
            <w:vAlign w:val="bottom"/>
            <w:shd w:val="clear" w:color="auto" w:fill="5591C7"/>
          </w:tcPr>
          <w:p>
            <w:pPr>
              <w:spacing w:after="0" w:line="20" w:lineRule="exact"/>
              <w:rPr>
                <w:sz w:val="1"/>
                <w:szCs w:val="1"/>
                <w:color w:val="auto"/>
              </w:rPr>
            </w:pPr>
          </w:p>
        </w:tc>
        <w:tc>
          <w:tcPr>
            <w:tcW w:w="820" w:type="dxa"/>
            <w:vAlign w:val="bottom"/>
            <w:gridSpan w:val="2"/>
            <w:shd w:val="clear" w:color="auto" w:fill="5591C7"/>
          </w:tcPr>
          <w:p>
            <w:pPr>
              <w:spacing w:after="0" w:line="20" w:lineRule="exact"/>
              <w:rPr>
                <w:sz w:val="1"/>
                <w:szCs w:val="1"/>
                <w:color w:val="auto"/>
              </w:rPr>
            </w:pPr>
          </w:p>
        </w:tc>
        <w:tc>
          <w:tcPr>
            <w:tcW w:w="160" w:type="dxa"/>
            <w:vAlign w:val="bottom"/>
            <w:shd w:val="clear" w:color="auto" w:fill="5591C7"/>
          </w:tcPr>
          <w:p>
            <w:pPr>
              <w:spacing w:after="0" w:line="20" w:lineRule="exact"/>
              <w:rPr>
                <w:sz w:val="1"/>
                <w:szCs w:val="1"/>
                <w:color w:val="auto"/>
              </w:rPr>
            </w:pPr>
          </w:p>
        </w:tc>
        <w:tc>
          <w:tcPr>
            <w:tcW w:w="840" w:type="dxa"/>
            <w:vAlign w:val="bottom"/>
            <w:shd w:val="clear" w:color="auto" w:fill="5591C7"/>
          </w:tcPr>
          <w:p>
            <w:pPr>
              <w:spacing w:after="0" w:line="20" w:lineRule="exact"/>
              <w:rPr>
                <w:sz w:val="1"/>
                <w:szCs w:val="1"/>
                <w:color w:val="auto"/>
              </w:rPr>
            </w:pPr>
          </w:p>
        </w:tc>
        <w:tc>
          <w:tcPr>
            <w:tcW w:w="40" w:type="dxa"/>
            <w:vAlign w:val="bottom"/>
            <w:shd w:val="clear" w:color="auto" w:fill="5591C7"/>
          </w:tcPr>
          <w:p>
            <w:pPr>
              <w:spacing w:after="0" w:line="20" w:lineRule="exact"/>
              <w:rPr>
                <w:sz w:val="1"/>
                <w:szCs w:val="1"/>
                <w:color w:val="auto"/>
              </w:rPr>
            </w:pPr>
          </w:p>
        </w:tc>
        <w:tc>
          <w:tcPr>
            <w:tcW w:w="60" w:type="dxa"/>
            <w:vAlign w:val="bottom"/>
            <w:shd w:val="clear" w:color="auto" w:fill="5591C7"/>
          </w:tcPr>
          <w:p>
            <w:pPr>
              <w:spacing w:after="0" w:line="20" w:lineRule="exact"/>
              <w:rPr>
                <w:sz w:val="1"/>
                <w:szCs w:val="1"/>
                <w:color w:val="auto"/>
              </w:rPr>
            </w:pPr>
          </w:p>
        </w:tc>
        <w:tc>
          <w:tcPr>
            <w:tcW w:w="100" w:type="dxa"/>
            <w:vAlign w:val="bottom"/>
            <w:vMerge w:val="continue"/>
            <w:shd w:val="clear" w:color="auto" w:fill="5591C7"/>
          </w:tcPr>
          <w:p>
            <w:pPr>
              <w:spacing w:after="0" w:line="20" w:lineRule="exact"/>
              <w:rPr>
                <w:sz w:val="1"/>
                <w:szCs w:val="1"/>
                <w:color w:val="auto"/>
              </w:rPr>
            </w:pPr>
          </w:p>
        </w:tc>
        <w:tc>
          <w:tcPr>
            <w:tcW w:w="1000" w:type="dxa"/>
            <w:vAlign w:val="bottom"/>
            <w:vMerge w:val="continue"/>
            <w:shd w:val="clear" w:color="auto" w:fill="5591C7"/>
          </w:tcPr>
          <w:p>
            <w:pPr>
              <w:spacing w:after="0" w:line="20" w:lineRule="exact"/>
              <w:rPr>
                <w:sz w:val="1"/>
                <w:szCs w:val="1"/>
                <w:color w:val="auto"/>
              </w:rPr>
            </w:pPr>
          </w:p>
        </w:tc>
        <w:tc>
          <w:tcPr>
            <w:tcW w:w="220" w:type="dxa"/>
            <w:vAlign w:val="bottom"/>
            <w:vMerge w:val="continue"/>
            <w:shd w:val="clear" w:color="auto" w:fill="5591C7"/>
          </w:tcPr>
          <w:p>
            <w:pPr>
              <w:spacing w:after="0" w:line="20" w:lineRule="exact"/>
              <w:rPr>
                <w:sz w:val="1"/>
                <w:szCs w:val="1"/>
                <w:color w:val="auto"/>
              </w:rPr>
            </w:pPr>
          </w:p>
        </w:tc>
        <w:tc>
          <w:tcPr>
            <w:tcW w:w="1180" w:type="dxa"/>
            <w:vAlign w:val="bottom"/>
            <w:gridSpan w:val="2"/>
            <w:vMerge w:val="continue"/>
            <w:shd w:val="clear" w:color="auto" w:fill="5591C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5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74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960" w:type="dxa"/>
            <w:vAlign w:val="bottom"/>
            <w:shd w:val="clear" w:color="auto" w:fill="5591C7"/>
          </w:tcPr>
          <w:p>
            <w:pPr>
              <w:spacing w:after="0"/>
              <w:rPr>
                <w:sz w:val="14"/>
                <w:szCs w:val="14"/>
                <w:color w:val="auto"/>
              </w:rPr>
            </w:pPr>
          </w:p>
        </w:tc>
        <w:tc>
          <w:tcPr>
            <w:tcW w:w="220" w:type="dxa"/>
            <w:vAlign w:val="bottom"/>
            <w:shd w:val="clear" w:color="auto" w:fill="5591C7"/>
          </w:tcPr>
          <w:p>
            <w:pPr>
              <w:spacing w:after="0"/>
              <w:rPr>
                <w:sz w:val="14"/>
                <w:szCs w:val="14"/>
                <w:color w:val="auto"/>
              </w:rPr>
            </w:pPr>
          </w:p>
        </w:tc>
        <w:tc>
          <w:tcPr>
            <w:tcW w:w="620" w:type="dxa"/>
            <w:vAlign w:val="bottom"/>
            <w:shd w:val="clear" w:color="auto" w:fill="5591C7"/>
          </w:tcPr>
          <w:p>
            <w:pPr>
              <w:spacing w:after="0"/>
              <w:rPr>
                <w:sz w:val="14"/>
                <w:szCs w:val="14"/>
                <w:color w:val="auto"/>
              </w:rPr>
            </w:pPr>
          </w:p>
        </w:tc>
        <w:tc>
          <w:tcPr>
            <w:tcW w:w="220" w:type="dxa"/>
            <w:vAlign w:val="bottom"/>
            <w:shd w:val="clear" w:color="auto" w:fill="5591C7"/>
          </w:tcPr>
          <w:p>
            <w:pPr>
              <w:spacing w:after="0"/>
              <w:rPr>
                <w:sz w:val="14"/>
                <w:szCs w:val="14"/>
                <w:color w:val="auto"/>
              </w:rPr>
            </w:pPr>
          </w:p>
        </w:tc>
        <w:tc>
          <w:tcPr>
            <w:tcW w:w="920" w:type="dxa"/>
            <w:vAlign w:val="bottom"/>
            <w:shd w:val="clear" w:color="auto" w:fill="5591C7"/>
          </w:tcPr>
          <w:p>
            <w:pPr>
              <w:spacing w:after="0"/>
              <w:rPr>
                <w:sz w:val="14"/>
                <w:szCs w:val="14"/>
                <w:color w:val="auto"/>
              </w:rPr>
            </w:pPr>
          </w:p>
        </w:tc>
        <w:tc>
          <w:tcPr>
            <w:tcW w:w="200" w:type="dxa"/>
            <w:vAlign w:val="bottom"/>
            <w:shd w:val="clear" w:color="auto" w:fill="5591C7"/>
          </w:tcPr>
          <w:p>
            <w:pPr>
              <w:spacing w:after="0"/>
              <w:rPr>
                <w:sz w:val="14"/>
                <w:szCs w:val="14"/>
                <w:color w:val="auto"/>
              </w:rPr>
            </w:pPr>
          </w:p>
        </w:tc>
        <w:tc>
          <w:tcPr>
            <w:tcW w:w="960" w:type="dxa"/>
            <w:vAlign w:val="bottom"/>
            <w:shd w:val="clear" w:color="auto" w:fill="5591C7"/>
          </w:tcPr>
          <w:p>
            <w:pPr>
              <w:spacing w:after="0"/>
              <w:rPr>
                <w:sz w:val="14"/>
                <w:szCs w:val="14"/>
                <w:color w:val="auto"/>
              </w:rPr>
            </w:pPr>
          </w:p>
        </w:tc>
        <w:tc>
          <w:tcPr>
            <w:tcW w:w="220" w:type="dxa"/>
            <w:vAlign w:val="bottom"/>
            <w:shd w:val="clear" w:color="auto" w:fill="5591C7"/>
          </w:tcPr>
          <w:p>
            <w:pPr>
              <w:spacing w:after="0"/>
              <w:rPr>
                <w:sz w:val="14"/>
                <w:szCs w:val="14"/>
                <w:color w:val="auto"/>
              </w:rPr>
            </w:pPr>
          </w:p>
        </w:tc>
        <w:tc>
          <w:tcPr>
            <w:tcW w:w="640" w:type="dxa"/>
            <w:vAlign w:val="bottom"/>
            <w:shd w:val="clear" w:color="auto" w:fill="5591C7"/>
          </w:tcPr>
          <w:p>
            <w:pPr>
              <w:spacing w:after="0"/>
              <w:rPr>
                <w:sz w:val="14"/>
                <w:szCs w:val="14"/>
                <w:color w:val="auto"/>
              </w:rPr>
            </w:pPr>
          </w:p>
        </w:tc>
        <w:tc>
          <w:tcPr>
            <w:tcW w:w="180" w:type="dxa"/>
            <w:vAlign w:val="bottom"/>
            <w:shd w:val="clear" w:color="auto" w:fill="5591C7"/>
          </w:tcPr>
          <w:p>
            <w:pPr>
              <w:spacing w:after="0"/>
              <w:rPr>
                <w:sz w:val="14"/>
                <w:szCs w:val="14"/>
                <w:color w:val="auto"/>
              </w:rPr>
            </w:pPr>
          </w:p>
        </w:tc>
        <w:tc>
          <w:tcPr>
            <w:tcW w:w="160" w:type="dxa"/>
            <w:vAlign w:val="bottom"/>
            <w:shd w:val="clear" w:color="auto" w:fill="5591C7"/>
          </w:tcPr>
          <w:p>
            <w:pPr>
              <w:spacing w:after="0"/>
              <w:rPr>
                <w:sz w:val="14"/>
                <w:szCs w:val="14"/>
                <w:color w:val="auto"/>
              </w:rPr>
            </w:pPr>
          </w:p>
        </w:tc>
        <w:tc>
          <w:tcPr>
            <w:tcW w:w="84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00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Stock or</w:t>
            </w:r>
          </w:p>
        </w:tc>
        <w:tc>
          <w:tcPr>
            <w:tcW w:w="220" w:type="dxa"/>
            <w:vAlign w:val="bottom"/>
            <w:shd w:val="clear" w:color="auto" w:fill="5591C7"/>
          </w:tcPr>
          <w:p>
            <w:pPr>
              <w:spacing w:after="0"/>
              <w:rPr>
                <w:sz w:val="14"/>
                <w:szCs w:val="14"/>
                <w:color w:val="auto"/>
              </w:rPr>
            </w:pPr>
          </w:p>
        </w:tc>
        <w:tc>
          <w:tcPr>
            <w:tcW w:w="1180" w:type="dxa"/>
            <w:vAlign w:val="bottom"/>
            <w:gridSpan w:val="2"/>
            <w:shd w:val="clear" w:color="auto" w:fill="5591C7"/>
          </w:tcPr>
          <w:p>
            <w:pPr>
              <w:jc w:val="center"/>
              <w:ind w:right="140"/>
              <w:spacing w:after="0"/>
              <w:rPr>
                <w:sz w:val="20"/>
                <w:szCs w:val="20"/>
                <w:color w:val="auto"/>
              </w:rPr>
            </w:pPr>
            <w:r>
              <w:rPr>
                <w:rFonts w:ascii="Arial" w:cs="Arial" w:eastAsia="Arial" w:hAnsi="Arial"/>
                <w:sz w:val="14"/>
                <w:szCs w:val="14"/>
                <w:b w:val="1"/>
                <w:bCs w:val="1"/>
                <w:color w:val="auto"/>
              </w:rPr>
              <w:t>and Option</w:t>
            </w:r>
          </w:p>
        </w:tc>
        <w:tc>
          <w:tcPr>
            <w:tcW w:w="0" w:type="dxa"/>
            <w:vAlign w:val="bottom"/>
          </w:tcPr>
          <w:p>
            <w:pPr>
              <w:spacing w:after="0"/>
              <w:rPr>
                <w:sz w:val="1"/>
                <w:szCs w:val="1"/>
                <w:color w:val="auto"/>
              </w:rPr>
            </w:pPr>
          </w:p>
        </w:tc>
      </w:tr>
      <w:tr>
        <w:trPr>
          <w:trHeight w:val="162"/>
        </w:trPr>
        <w:tc>
          <w:tcPr>
            <w:tcW w:w="15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860" w:type="dxa"/>
            <w:vAlign w:val="bottom"/>
            <w:gridSpan w:val="2"/>
            <w:shd w:val="clear" w:color="auto" w:fill="5591C7"/>
          </w:tcPr>
          <w:p>
            <w:pPr>
              <w:ind w:left="180"/>
              <w:spacing w:after="0"/>
              <w:rPr>
                <w:sz w:val="20"/>
                <w:szCs w:val="20"/>
                <w:color w:val="auto"/>
              </w:rPr>
            </w:pPr>
            <w:r>
              <w:rPr>
                <w:rFonts w:ascii="Arial" w:cs="Arial" w:eastAsia="Arial" w:hAnsi="Arial"/>
                <w:sz w:val="14"/>
                <w:szCs w:val="14"/>
                <w:b w:val="1"/>
                <w:bCs w:val="1"/>
                <w:color w:val="auto"/>
              </w:rPr>
              <w:t>Grant</w:t>
            </w:r>
          </w:p>
        </w:tc>
        <w:tc>
          <w:tcPr>
            <w:tcW w:w="100" w:type="dxa"/>
            <w:vAlign w:val="bottom"/>
            <w:shd w:val="clear" w:color="auto" w:fill="5591C7"/>
          </w:tcPr>
          <w:p>
            <w:pPr>
              <w:spacing w:after="0"/>
              <w:rPr>
                <w:sz w:val="14"/>
                <w:szCs w:val="14"/>
                <w:color w:val="auto"/>
              </w:rPr>
            </w:pPr>
          </w:p>
        </w:tc>
        <w:tc>
          <w:tcPr>
            <w:tcW w:w="960" w:type="dxa"/>
            <w:vAlign w:val="bottom"/>
            <w:shd w:val="clear" w:color="auto" w:fill="5591C7"/>
          </w:tcPr>
          <w:p>
            <w:pPr>
              <w:jc w:val="right"/>
              <w:ind w:right="68"/>
              <w:spacing w:after="0"/>
              <w:rPr>
                <w:sz w:val="20"/>
                <w:szCs w:val="20"/>
                <w:color w:val="auto"/>
              </w:rPr>
            </w:pPr>
            <w:r>
              <w:rPr>
                <w:rFonts w:ascii="Arial" w:cs="Arial" w:eastAsia="Arial" w:hAnsi="Arial"/>
                <w:sz w:val="14"/>
                <w:szCs w:val="14"/>
                <w:b w:val="1"/>
                <w:bCs w:val="1"/>
                <w:color w:val="auto"/>
              </w:rPr>
              <w:t>Threshold</w:t>
            </w:r>
          </w:p>
        </w:tc>
        <w:tc>
          <w:tcPr>
            <w:tcW w:w="220" w:type="dxa"/>
            <w:vAlign w:val="bottom"/>
            <w:shd w:val="clear" w:color="auto" w:fill="5591C7"/>
          </w:tcPr>
          <w:p>
            <w:pPr>
              <w:spacing w:after="0"/>
              <w:rPr>
                <w:sz w:val="14"/>
                <w:szCs w:val="14"/>
                <w:color w:val="auto"/>
              </w:rPr>
            </w:pPr>
          </w:p>
        </w:tc>
        <w:tc>
          <w:tcPr>
            <w:tcW w:w="840" w:type="dxa"/>
            <w:vAlign w:val="bottom"/>
            <w:gridSpan w:val="2"/>
            <w:shd w:val="clear" w:color="auto" w:fill="5591C7"/>
          </w:tcPr>
          <w:p>
            <w:pPr>
              <w:jc w:val="right"/>
              <w:ind w:right="320"/>
              <w:spacing w:after="0"/>
              <w:rPr>
                <w:sz w:val="20"/>
                <w:szCs w:val="20"/>
                <w:color w:val="auto"/>
              </w:rPr>
            </w:pPr>
            <w:r>
              <w:rPr>
                <w:rFonts w:ascii="Arial" w:cs="Arial" w:eastAsia="Arial" w:hAnsi="Arial"/>
                <w:sz w:val="14"/>
                <w:szCs w:val="14"/>
                <w:b w:val="1"/>
                <w:bCs w:val="1"/>
                <w:color w:val="auto"/>
              </w:rPr>
              <w:t>Target</w:t>
            </w:r>
          </w:p>
        </w:tc>
        <w:tc>
          <w:tcPr>
            <w:tcW w:w="1120" w:type="dxa"/>
            <w:vAlign w:val="bottom"/>
            <w:gridSpan w:val="2"/>
            <w:shd w:val="clear" w:color="auto" w:fill="5591C7"/>
          </w:tcPr>
          <w:p>
            <w:pPr>
              <w:jc w:val="right"/>
              <w:ind w:right="340"/>
              <w:spacing w:after="0"/>
              <w:rPr>
                <w:sz w:val="20"/>
                <w:szCs w:val="20"/>
                <w:color w:val="auto"/>
              </w:rPr>
            </w:pPr>
            <w:r>
              <w:rPr>
                <w:rFonts w:ascii="Arial" w:cs="Arial" w:eastAsia="Arial" w:hAnsi="Arial"/>
                <w:sz w:val="14"/>
                <w:szCs w:val="14"/>
                <w:b w:val="1"/>
                <w:bCs w:val="1"/>
                <w:color w:val="auto"/>
              </w:rPr>
              <w:t>Maximum</w:t>
            </w:r>
          </w:p>
        </w:tc>
        <w:tc>
          <w:tcPr>
            <w:tcW w:w="960" w:type="dxa"/>
            <w:vAlign w:val="bottom"/>
            <w:shd w:val="clear" w:color="auto" w:fill="5591C7"/>
          </w:tcPr>
          <w:p>
            <w:pPr>
              <w:jc w:val="right"/>
              <w:ind w:right="48"/>
              <w:spacing w:after="0"/>
              <w:rPr>
                <w:sz w:val="20"/>
                <w:szCs w:val="20"/>
                <w:color w:val="auto"/>
              </w:rPr>
            </w:pPr>
            <w:r>
              <w:rPr>
                <w:rFonts w:ascii="Arial" w:cs="Arial" w:eastAsia="Arial" w:hAnsi="Arial"/>
                <w:sz w:val="14"/>
                <w:szCs w:val="14"/>
                <w:b w:val="1"/>
                <w:bCs w:val="1"/>
                <w:color w:val="auto"/>
              </w:rPr>
              <w:t>Threshold</w:t>
            </w:r>
          </w:p>
        </w:tc>
        <w:tc>
          <w:tcPr>
            <w:tcW w:w="220" w:type="dxa"/>
            <w:vAlign w:val="bottom"/>
            <w:shd w:val="clear" w:color="auto" w:fill="5591C7"/>
          </w:tcPr>
          <w:p>
            <w:pPr>
              <w:spacing w:after="0"/>
              <w:rPr>
                <w:sz w:val="14"/>
                <w:szCs w:val="14"/>
                <w:color w:val="auto"/>
              </w:rPr>
            </w:pPr>
          </w:p>
        </w:tc>
        <w:tc>
          <w:tcPr>
            <w:tcW w:w="640" w:type="dxa"/>
            <w:vAlign w:val="bottom"/>
            <w:shd w:val="clear" w:color="auto" w:fill="5591C7"/>
          </w:tcPr>
          <w:p>
            <w:pPr>
              <w:jc w:val="right"/>
              <w:spacing w:after="0"/>
              <w:rPr>
                <w:sz w:val="20"/>
                <w:szCs w:val="20"/>
                <w:color w:val="auto"/>
              </w:rPr>
            </w:pPr>
            <w:r>
              <w:rPr>
                <w:rFonts w:ascii="Arial" w:cs="Arial" w:eastAsia="Arial" w:hAnsi="Arial"/>
                <w:sz w:val="14"/>
                <w:szCs w:val="14"/>
                <w:b w:val="1"/>
                <w:bCs w:val="1"/>
                <w:color w:val="auto"/>
              </w:rPr>
              <w:t>Target</w:t>
            </w:r>
          </w:p>
        </w:tc>
        <w:tc>
          <w:tcPr>
            <w:tcW w:w="180" w:type="dxa"/>
            <w:vAlign w:val="bottom"/>
            <w:shd w:val="clear" w:color="auto" w:fill="5591C7"/>
          </w:tcPr>
          <w:p>
            <w:pPr>
              <w:spacing w:after="0"/>
              <w:rPr>
                <w:sz w:val="14"/>
                <w:szCs w:val="14"/>
                <w:color w:val="auto"/>
              </w:rPr>
            </w:pPr>
          </w:p>
        </w:tc>
        <w:tc>
          <w:tcPr>
            <w:tcW w:w="160" w:type="dxa"/>
            <w:vAlign w:val="bottom"/>
            <w:shd w:val="clear" w:color="auto" w:fill="5591C7"/>
          </w:tcPr>
          <w:p>
            <w:pPr>
              <w:spacing w:after="0"/>
              <w:rPr>
                <w:sz w:val="14"/>
                <w:szCs w:val="14"/>
                <w:color w:val="auto"/>
              </w:rPr>
            </w:pPr>
          </w:p>
        </w:tc>
        <w:tc>
          <w:tcPr>
            <w:tcW w:w="940" w:type="dxa"/>
            <w:vAlign w:val="bottom"/>
            <w:gridSpan w:val="3"/>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Maximum</w:t>
            </w:r>
          </w:p>
        </w:tc>
        <w:tc>
          <w:tcPr>
            <w:tcW w:w="100" w:type="dxa"/>
            <w:vAlign w:val="bottom"/>
            <w:shd w:val="clear" w:color="auto" w:fill="5591C7"/>
          </w:tcPr>
          <w:p>
            <w:pPr>
              <w:spacing w:after="0"/>
              <w:rPr>
                <w:sz w:val="14"/>
                <w:szCs w:val="14"/>
                <w:color w:val="auto"/>
              </w:rPr>
            </w:pPr>
          </w:p>
        </w:tc>
        <w:tc>
          <w:tcPr>
            <w:tcW w:w="100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Units</w:t>
            </w:r>
          </w:p>
        </w:tc>
        <w:tc>
          <w:tcPr>
            <w:tcW w:w="220" w:type="dxa"/>
            <w:vAlign w:val="bottom"/>
            <w:shd w:val="clear" w:color="auto" w:fill="5591C7"/>
          </w:tcPr>
          <w:p>
            <w:pPr>
              <w:spacing w:after="0"/>
              <w:rPr>
                <w:sz w:val="14"/>
                <w:szCs w:val="14"/>
                <w:color w:val="auto"/>
              </w:rPr>
            </w:pPr>
          </w:p>
        </w:tc>
        <w:tc>
          <w:tcPr>
            <w:tcW w:w="1180" w:type="dxa"/>
            <w:vAlign w:val="bottom"/>
            <w:gridSpan w:val="2"/>
            <w:shd w:val="clear" w:color="auto" w:fill="5591C7"/>
          </w:tcPr>
          <w:p>
            <w:pPr>
              <w:jc w:val="center"/>
              <w:ind w:right="140"/>
              <w:spacing w:after="0"/>
              <w:rPr>
                <w:sz w:val="20"/>
                <w:szCs w:val="20"/>
                <w:color w:val="auto"/>
              </w:rPr>
            </w:pPr>
            <w:r>
              <w:rPr>
                <w:rFonts w:ascii="Arial" w:cs="Arial" w:eastAsia="Arial" w:hAnsi="Arial"/>
                <w:sz w:val="14"/>
                <w:szCs w:val="14"/>
                <w:b w:val="1"/>
                <w:bCs w:val="1"/>
                <w:color w:val="auto"/>
              </w:rPr>
              <w:t>Awards</w:t>
            </w:r>
          </w:p>
        </w:tc>
        <w:tc>
          <w:tcPr>
            <w:tcW w:w="0" w:type="dxa"/>
            <w:vAlign w:val="bottom"/>
          </w:tcPr>
          <w:p>
            <w:pPr>
              <w:spacing w:after="0"/>
              <w:rPr>
                <w:sz w:val="1"/>
                <w:szCs w:val="1"/>
                <w:color w:val="auto"/>
              </w:rPr>
            </w:pPr>
          </w:p>
        </w:tc>
      </w:tr>
      <w:tr>
        <w:trPr>
          <w:trHeight w:val="182"/>
        </w:trPr>
        <w:tc>
          <w:tcPr>
            <w:tcW w:w="1500" w:type="dxa"/>
            <w:vAlign w:val="bottom"/>
            <w:tcBorders>
              <w:bottom w:val="single" w:sz="8" w:color="auto"/>
            </w:tcBorders>
            <w:shd w:val="clear" w:color="auto" w:fill="5591C7"/>
          </w:tcPr>
          <w:p>
            <w:pPr>
              <w:ind w:left="40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5591C7"/>
            </w:tcBorders>
            <w:shd w:val="clear" w:color="auto" w:fill="5591C7"/>
          </w:tcPr>
          <w:p>
            <w:pPr>
              <w:spacing w:after="0"/>
              <w:rPr>
                <w:sz w:val="15"/>
                <w:szCs w:val="15"/>
                <w:color w:val="auto"/>
              </w:rPr>
            </w:pPr>
          </w:p>
        </w:tc>
        <w:tc>
          <w:tcPr>
            <w:tcW w:w="100" w:type="dxa"/>
            <w:vAlign w:val="bottom"/>
            <w:tcBorders>
              <w:bottom w:val="single" w:sz="8" w:color="5591C7"/>
            </w:tcBorders>
            <w:shd w:val="clear" w:color="auto" w:fill="5591C7"/>
          </w:tcPr>
          <w:p>
            <w:pPr>
              <w:spacing w:after="0"/>
              <w:rPr>
                <w:sz w:val="15"/>
                <w:szCs w:val="15"/>
                <w:color w:val="auto"/>
              </w:rPr>
            </w:pPr>
          </w:p>
        </w:tc>
        <w:tc>
          <w:tcPr>
            <w:tcW w:w="740" w:type="dxa"/>
            <w:vAlign w:val="bottom"/>
            <w:tcBorders>
              <w:bottom w:val="single" w:sz="8" w:color="auto"/>
            </w:tcBorders>
            <w:shd w:val="clear" w:color="auto" w:fill="5591C7"/>
          </w:tcPr>
          <w:p>
            <w:pPr>
              <w:ind w:left="200"/>
              <w:spacing w:after="0"/>
              <w:rPr>
                <w:sz w:val="20"/>
                <w:szCs w:val="20"/>
                <w:color w:val="auto"/>
              </w:rPr>
            </w:pPr>
            <w:r>
              <w:rPr>
                <w:rFonts w:ascii="Arial" w:cs="Arial" w:eastAsia="Arial" w:hAnsi="Arial"/>
                <w:sz w:val="14"/>
                <w:szCs w:val="14"/>
                <w:b w:val="1"/>
                <w:bCs w:val="1"/>
                <w:color w:val="auto"/>
              </w:rPr>
              <w:t>Date</w:t>
            </w:r>
          </w:p>
        </w:tc>
        <w:tc>
          <w:tcPr>
            <w:tcW w:w="120" w:type="dxa"/>
            <w:vAlign w:val="bottom"/>
            <w:tcBorders>
              <w:bottom w:val="single" w:sz="8" w:color="5591C7"/>
            </w:tcBorders>
            <w:shd w:val="clear" w:color="auto" w:fill="5591C7"/>
          </w:tcPr>
          <w:p>
            <w:pPr>
              <w:spacing w:after="0"/>
              <w:rPr>
                <w:sz w:val="15"/>
                <w:szCs w:val="15"/>
                <w:color w:val="auto"/>
              </w:rPr>
            </w:pPr>
          </w:p>
        </w:tc>
        <w:tc>
          <w:tcPr>
            <w:tcW w:w="100" w:type="dxa"/>
            <w:vAlign w:val="bottom"/>
            <w:tcBorders>
              <w:bottom w:val="single" w:sz="8" w:color="5591C7"/>
            </w:tcBorders>
            <w:shd w:val="clear" w:color="auto" w:fill="5591C7"/>
          </w:tcPr>
          <w:p>
            <w:pPr>
              <w:spacing w:after="0"/>
              <w:rPr>
                <w:sz w:val="15"/>
                <w:szCs w:val="15"/>
                <w:color w:val="auto"/>
              </w:rPr>
            </w:pPr>
          </w:p>
        </w:tc>
        <w:tc>
          <w:tcPr>
            <w:tcW w:w="960" w:type="dxa"/>
            <w:vAlign w:val="bottom"/>
            <w:tcBorders>
              <w:bottom w:val="single" w:sz="8" w:color="auto"/>
            </w:tcBorders>
            <w:shd w:val="clear" w:color="auto" w:fill="5591C7"/>
          </w:tcPr>
          <w:p>
            <w:pPr>
              <w:jc w:val="right"/>
              <w:ind w:right="348"/>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5591C7"/>
            </w:tcBorders>
            <w:shd w:val="clear" w:color="auto" w:fill="5591C7"/>
          </w:tcPr>
          <w:p>
            <w:pPr>
              <w:spacing w:after="0"/>
              <w:rPr>
                <w:sz w:val="15"/>
                <w:szCs w:val="15"/>
                <w:color w:val="auto"/>
              </w:rPr>
            </w:pPr>
          </w:p>
        </w:tc>
        <w:tc>
          <w:tcPr>
            <w:tcW w:w="62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5591C7"/>
            </w:tcBorders>
            <w:shd w:val="clear" w:color="auto" w:fill="5591C7"/>
          </w:tcPr>
          <w:p>
            <w:pPr>
              <w:spacing w:after="0"/>
              <w:rPr>
                <w:sz w:val="15"/>
                <w:szCs w:val="15"/>
                <w:color w:val="auto"/>
              </w:rPr>
            </w:pPr>
          </w:p>
        </w:tc>
        <w:tc>
          <w:tcPr>
            <w:tcW w:w="920" w:type="dxa"/>
            <w:vAlign w:val="bottom"/>
            <w:tcBorders>
              <w:bottom w:val="single" w:sz="8" w:color="auto"/>
            </w:tcBorders>
            <w:shd w:val="clear" w:color="auto" w:fill="5591C7"/>
          </w:tcPr>
          <w:p>
            <w:pPr>
              <w:jc w:val="right"/>
              <w:ind w:right="328"/>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5591C7"/>
            </w:tcBorders>
            <w:shd w:val="clear" w:color="auto" w:fill="5591C7"/>
          </w:tcPr>
          <w:p>
            <w:pPr>
              <w:spacing w:after="0"/>
              <w:rPr>
                <w:sz w:val="15"/>
                <w:szCs w:val="15"/>
                <w:color w:val="auto"/>
              </w:rPr>
            </w:pPr>
          </w:p>
        </w:tc>
        <w:tc>
          <w:tcPr>
            <w:tcW w:w="960" w:type="dxa"/>
            <w:vAlign w:val="bottom"/>
            <w:tcBorders>
              <w:bottom w:val="single" w:sz="8" w:color="auto"/>
            </w:tcBorders>
            <w:shd w:val="clear" w:color="auto" w:fill="5591C7"/>
          </w:tcPr>
          <w:p>
            <w:pPr>
              <w:jc w:val="right"/>
              <w:ind w:right="328"/>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5591C7"/>
            </w:tcBorders>
            <w:shd w:val="clear" w:color="auto" w:fill="5591C7"/>
          </w:tcPr>
          <w:p>
            <w:pPr>
              <w:spacing w:after="0"/>
              <w:rPr>
                <w:sz w:val="15"/>
                <w:szCs w:val="15"/>
                <w:color w:val="auto"/>
              </w:rPr>
            </w:pPr>
          </w:p>
        </w:tc>
        <w:tc>
          <w:tcPr>
            <w:tcW w:w="640" w:type="dxa"/>
            <w:vAlign w:val="bottom"/>
            <w:tcBorders>
              <w:bottom w:val="single" w:sz="8" w:color="auto"/>
            </w:tcBorders>
            <w:shd w:val="clear" w:color="auto" w:fill="5591C7"/>
          </w:tcPr>
          <w:p>
            <w:pPr>
              <w:jc w:val="right"/>
              <w:ind w:right="88"/>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shd w:val="clear" w:color="auto" w:fill="5591C7"/>
          </w:tcPr>
          <w:p>
            <w:pPr>
              <w:spacing w:after="0"/>
              <w:rPr>
                <w:sz w:val="15"/>
                <w:szCs w:val="15"/>
                <w:color w:val="auto"/>
              </w:rPr>
            </w:pPr>
          </w:p>
        </w:tc>
        <w:tc>
          <w:tcPr>
            <w:tcW w:w="160" w:type="dxa"/>
            <w:vAlign w:val="bottom"/>
            <w:tcBorders>
              <w:bottom w:val="single" w:sz="8" w:color="5591C7"/>
            </w:tcBorders>
            <w:shd w:val="clear" w:color="auto" w:fill="5591C7"/>
          </w:tcPr>
          <w:p>
            <w:pPr>
              <w:spacing w:after="0"/>
              <w:rPr>
                <w:sz w:val="15"/>
                <w:szCs w:val="15"/>
                <w:color w:val="auto"/>
              </w:rPr>
            </w:pPr>
          </w:p>
        </w:tc>
        <w:tc>
          <w:tcPr>
            <w:tcW w:w="840" w:type="dxa"/>
            <w:vAlign w:val="bottom"/>
            <w:tcBorders>
              <w:bottom w:val="single" w:sz="8" w:color="auto"/>
            </w:tcBorders>
            <w:shd w:val="clear" w:color="auto" w:fill="5591C7"/>
          </w:tcPr>
          <w:p>
            <w:pPr>
              <w:jc w:val="right"/>
              <w:ind w:right="248"/>
              <w:spacing w:after="0"/>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auto"/>
            </w:tcBorders>
            <w:shd w:val="clear" w:color="auto" w:fill="5591C7"/>
          </w:tcPr>
          <w:p>
            <w:pPr>
              <w:spacing w:after="0"/>
              <w:rPr>
                <w:sz w:val="15"/>
                <w:szCs w:val="15"/>
                <w:color w:val="auto"/>
              </w:rPr>
            </w:pPr>
          </w:p>
        </w:tc>
        <w:tc>
          <w:tcPr>
            <w:tcW w:w="60" w:type="dxa"/>
            <w:vAlign w:val="bottom"/>
            <w:tcBorders>
              <w:bottom w:val="single" w:sz="8" w:color="5591C7"/>
            </w:tcBorders>
            <w:shd w:val="clear" w:color="auto" w:fill="5591C7"/>
          </w:tcPr>
          <w:p>
            <w:pPr>
              <w:spacing w:after="0"/>
              <w:rPr>
                <w:sz w:val="15"/>
                <w:szCs w:val="15"/>
                <w:color w:val="auto"/>
              </w:rPr>
            </w:pPr>
          </w:p>
        </w:tc>
        <w:tc>
          <w:tcPr>
            <w:tcW w:w="100" w:type="dxa"/>
            <w:vAlign w:val="bottom"/>
            <w:tcBorders>
              <w:bottom w:val="single" w:sz="8" w:color="5591C7"/>
            </w:tcBorders>
            <w:shd w:val="clear" w:color="auto" w:fill="5591C7"/>
          </w:tcPr>
          <w:p>
            <w:pPr>
              <w:spacing w:after="0"/>
              <w:rPr>
                <w:sz w:val="15"/>
                <w:szCs w:val="15"/>
                <w:color w:val="auto"/>
              </w:rPr>
            </w:pPr>
          </w:p>
        </w:tc>
        <w:tc>
          <w:tcPr>
            <w:tcW w:w="100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5591C7"/>
            </w:tcBorders>
            <w:shd w:val="clear" w:color="auto" w:fill="5591C7"/>
          </w:tcPr>
          <w:p>
            <w:pPr>
              <w:spacing w:after="0"/>
              <w:rPr>
                <w:sz w:val="15"/>
                <w:szCs w:val="15"/>
                <w:color w:val="auto"/>
              </w:rPr>
            </w:pPr>
          </w:p>
        </w:tc>
        <w:tc>
          <w:tcPr>
            <w:tcW w:w="1020" w:type="dxa"/>
            <w:vAlign w:val="bottom"/>
            <w:tcBorders>
              <w:bottom w:val="single" w:sz="8" w:color="auto"/>
            </w:tcBorders>
            <w:shd w:val="clear" w:color="auto" w:fill="5591C7"/>
          </w:tcPr>
          <w:p>
            <w:pPr>
              <w:jc w:val="right"/>
              <w:ind w:right="368"/>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5591C7"/>
            </w:tcBorders>
            <w:shd w:val="clear" w:color="auto" w:fill="5591C7"/>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620" w:type="dxa"/>
            <w:vAlign w:val="bottom"/>
            <w:gridSpan w:val="2"/>
            <w:shd w:val="clear" w:color="auto" w:fill="B8CDE8"/>
          </w:tcPr>
          <w:p>
            <w:pPr>
              <w:ind w:left="100"/>
              <w:spacing w:after="0"/>
              <w:rPr>
                <w:sz w:val="20"/>
                <w:szCs w:val="20"/>
                <w:color w:val="auto"/>
              </w:rPr>
            </w:pPr>
            <w:r>
              <w:rPr>
                <w:rFonts w:ascii="Arial" w:cs="Arial" w:eastAsia="Arial" w:hAnsi="Arial"/>
                <w:sz w:val="14"/>
                <w:szCs w:val="14"/>
                <w:color w:val="auto"/>
              </w:rPr>
              <w:t>Rohit Kapoor</w:t>
            </w:r>
          </w:p>
        </w:tc>
        <w:tc>
          <w:tcPr>
            <w:tcW w:w="100" w:type="dxa"/>
            <w:vAlign w:val="bottom"/>
            <w:shd w:val="clear" w:color="auto" w:fill="B8CDE8"/>
          </w:tcPr>
          <w:p>
            <w:pPr>
              <w:spacing w:after="0"/>
              <w:rPr>
                <w:sz w:val="16"/>
                <w:szCs w:val="16"/>
                <w:color w:val="auto"/>
              </w:rPr>
            </w:pPr>
          </w:p>
        </w:tc>
        <w:tc>
          <w:tcPr>
            <w:tcW w:w="74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960" w:type="dxa"/>
            <w:vAlign w:val="bottom"/>
            <w:shd w:val="clear" w:color="auto" w:fill="B8CDE8"/>
          </w:tcPr>
          <w:p>
            <w:pPr>
              <w:spacing w:after="0"/>
              <w:rPr>
                <w:sz w:val="16"/>
                <w:szCs w:val="16"/>
                <w:color w:val="auto"/>
              </w:rPr>
            </w:pPr>
          </w:p>
        </w:tc>
        <w:tc>
          <w:tcPr>
            <w:tcW w:w="1060" w:type="dxa"/>
            <w:vAlign w:val="bottom"/>
            <w:gridSpan w:val="3"/>
            <w:shd w:val="clear" w:color="auto" w:fill="B8CDE8"/>
          </w:tcPr>
          <w:p>
            <w:pPr>
              <w:jc w:val="right"/>
              <w:ind w:right="200"/>
              <w:spacing w:after="0"/>
              <w:rPr>
                <w:sz w:val="20"/>
                <w:szCs w:val="20"/>
                <w:color w:val="auto"/>
              </w:rPr>
            </w:pPr>
            <w:r>
              <w:rPr>
                <w:rFonts w:ascii="Arial" w:cs="Arial" w:eastAsia="Arial" w:hAnsi="Arial"/>
                <w:sz w:val="14"/>
                <w:szCs w:val="14"/>
                <w:color w:val="auto"/>
              </w:rPr>
              <w:t>600,000</w:t>
            </w:r>
          </w:p>
        </w:tc>
        <w:tc>
          <w:tcPr>
            <w:tcW w:w="1120" w:type="dxa"/>
            <w:vAlign w:val="bottom"/>
            <w:gridSpan w:val="2"/>
            <w:shd w:val="clear" w:color="auto" w:fill="B8CDE8"/>
          </w:tcPr>
          <w:p>
            <w:pPr>
              <w:jc w:val="right"/>
              <w:ind w:right="180"/>
              <w:spacing w:after="0"/>
              <w:rPr>
                <w:sz w:val="20"/>
                <w:szCs w:val="20"/>
                <w:color w:val="auto"/>
              </w:rPr>
            </w:pPr>
            <w:r>
              <w:rPr>
                <w:rFonts w:ascii="Arial" w:cs="Arial" w:eastAsia="Arial" w:hAnsi="Arial"/>
                <w:sz w:val="14"/>
                <w:szCs w:val="14"/>
                <w:color w:val="auto"/>
              </w:rPr>
              <w:t>1,200,000</w:t>
            </w:r>
          </w:p>
        </w:tc>
        <w:tc>
          <w:tcPr>
            <w:tcW w:w="960" w:type="dxa"/>
            <w:vAlign w:val="bottom"/>
            <w:shd w:val="clear" w:color="auto" w:fill="B8CDE8"/>
          </w:tcPr>
          <w:p>
            <w:pPr>
              <w:spacing w:after="0"/>
              <w:rPr>
                <w:sz w:val="16"/>
                <w:szCs w:val="16"/>
                <w:color w:val="auto"/>
              </w:rPr>
            </w:pPr>
          </w:p>
        </w:tc>
        <w:tc>
          <w:tcPr>
            <w:tcW w:w="220" w:type="dxa"/>
            <w:vAlign w:val="bottom"/>
            <w:shd w:val="clear" w:color="auto" w:fill="B8CDE8"/>
          </w:tcPr>
          <w:p>
            <w:pPr>
              <w:spacing w:after="0"/>
              <w:rPr>
                <w:sz w:val="16"/>
                <w:szCs w:val="16"/>
                <w:color w:val="auto"/>
              </w:rPr>
            </w:pPr>
          </w:p>
        </w:tc>
        <w:tc>
          <w:tcPr>
            <w:tcW w:w="640" w:type="dxa"/>
            <w:vAlign w:val="bottom"/>
            <w:shd w:val="clear" w:color="auto" w:fill="B8CDE8"/>
          </w:tcPr>
          <w:p>
            <w:pPr>
              <w:spacing w:after="0"/>
              <w:rPr>
                <w:sz w:val="16"/>
                <w:szCs w:val="16"/>
                <w:color w:val="auto"/>
              </w:rPr>
            </w:pPr>
          </w:p>
        </w:tc>
        <w:tc>
          <w:tcPr>
            <w:tcW w:w="180" w:type="dxa"/>
            <w:vAlign w:val="bottom"/>
            <w:shd w:val="clear" w:color="auto" w:fill="B8CDE8"/>
          </w:tcPr>
          <w:p>
            <w:pPr>
              <w:spacing w:after="0"/>
              <w:rPr>
                <w:sz w:val="16"/>
                <w:szCs w:val="16"/>
                <w:color w:val="auto"/>
              </w:rPr>
            </w:pPr>
          </w:p>
        </w:tc>
        <w:tc>
          <w:tcPr>
            <w:tcW w:w="160" w:type="dxa"/>
            <w:vAlign w:val="bottom"/>
            <w:shd w:val="clear" w:color="auto" w:fill="B8CDE8"/>
          </w:tcPr>
          <w:p>
            <w:pPr>
              <w:spacing w:after="0"/>
              <w:rPr>
                <w:sz w:val="16"/>
                <w:szCs w:val="16"/>
                <w:color w:val="auto"/>
              </w:rPr>
            </w:pPr>
          </w:p>
        </w:tc>
        <w:tc>
          <w:tcPr>
            <w:tcW w:w="84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1000" w:type="dxa"/>
            <w:vAlign w:val="bottom"/>
            <w:shd w:val="clear" w:color="auto" w:fill="B8CDE8"/>
          </w:tcPr>
          <w:p>
            <w:pPr>
              <w:spacing w:after="0"/>
              <w:rPr>
                <w:sz w:val="16"/>
                <w:szCs w:val="16"/>
                <w:color w:val="auto"/>
              </w:rPr>
            </w:pPr>
          </w:p>
        </w:tc>
        <w:tc>
          <w:tcPr>
            <w:tcW w:w="220" w:type="dxa"/>
            <w:vAlign w:val="bottom"/>
            <w:shd w:val="clear" w:color="auto" w:fill="B8CDE8"/>
          </w:tcPr>
          <w:p>
            <w:pPr>
              <w:spacing w:after="0"/>
              <w:rPr>
                <w:sz w:val="16"/>
                <w:szCs w:val="16"/>
                <w:color w:val="auto"/>
              </w:rPr>
            </w:pPr>
          </w:p>
        </w:tc>
        <w:tc>
          <w:tcPr>
            <w:tcW w:w="1020" w:type="dxa"/>
            <w:vAlign w:val="bottom"/>
            <w:shd w:val="clear" w:color="auto" w:fill="B8CDE8"/>
          </w:tcPr>
          <w:p>
            <w:pPr>
              <w:spacing w:after="0"/>
              <w:rPr>
                <w:sz w:val="16"/>
                <w:szCs w:val="16"/>
                <w:color w:val="auto"/>
              </w:rPr>
            </w:pPr>
          </w:p>
        </w:tc>
        <w:tc>
          <w:tcPr>
            <w:tcW w:w="160" w:type="dxa"/>
            <w:vAlign w:val="bottom"/>
            <w:shd w:val="clear" w:color="auto" w:fill="B8CDE8"/>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0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960" w:type="dxa"/>
            <w:vAlign w:val="bottom"/>
            <w:gridSpan w:val="3"/>
            <w:shd w:val="clear" w:color="auto" w:fill="B8CDE8"/>
          </w:tcPr>
          <w:p>
            <w:pPr>
              <w:jc w:val="right"/>
              <w:ind w:right="100"/>
              <w:spacing w:after="0"/>
              <w:rPr>
                <w:sz w:val="20"/>
                <w:szCs w:val="20"/>
                <w:color w:val="auto"/>
              </w:rPr>
            </w:pPr>
            <w:r>
              <w:rPr>
                <w:rFonts w:ascii="Arial" w:cs="Arial" w:eastAsia="Arial" w:hAnsi="Arial"/>
                <w:sz w:val="14"/>
                <w:szCs w:val="14"/>
                <w:color w:val="auto"/>
              </w:rPr>
              <w:t>2/26/2015</w:t>
            </w:r>
          </w:p>
        </w:tc>
        <w:tc>
          <w:tcPr>
            <w:tcW w:w="100" w:type="dxa"/>
            <w:vAlign w:val="bottom"/>
            <w:shd w:val="clear" w:color="auto" w:fill="B8CDE8"/>
          </w:tcPr>
          <w:p>
            <w:pPr>
              <w:spacing w:after="0"/>
              <w:rPr>
                <w:sz w:val="16"/>
                <w:szCs w:val="16"/>
                <w:color w:val="auto"/>
              </w:rPr>
            </w:pPr>
          </w:p>
        </w:tc>
        <w:tc>
          <w:tcPr>
            <w:tcW w:w="960" w:type="dxa"/>
            <w:vAlign w:val="bottom"/>
            <w:shd w:val="clear" w:color="auto" w:fill="B8CDE8"/>
          </w:tcPr>
          <w:p>
            <w:pPr>
              <w:spacing w:after="0"/>
              <w:rPr>
                <w:sz w:val="16"/>
                <w:szCs w:val="16"/>
                <w:color w:val="auto"/>
              </w:rPr>
            </w:pPr>
          </w:p>
        </w:tc>
        <w:tc>
          <w:tcPr>
            <w:tcW w:w="220" w:type="dxa"/>
            <w:vAlign w:val="bottom"/>
            <w:shd w:val="clear" w:color="auto" w:fill="B8CDE8"/>
          </w:tcPr>
          <w:p>
            <w:pPr>
              <w:spacing w:after="0"/>
              <w:rPr>
                <w:sz w:val="16"/>
                <w:szCs w:val="16"/>
                <w:color w:val="auto"/>
              </w:rPr>
            </w:pPr>
          </w:p>
        </w:tc>
        <w:tc>
          <w:tcPr>
            <w:tcW w:w="620" w:type="dxa"/>
            <w:vAlign w:val="bottom"/>
            <w:shd w:val="clear" w:color="auto" w:fill="B8CDE8"/>
          </w:tcPr>
          <w:p>
            <w:pPr>
              <w:spacing w:after="0"/>
              <w:rPr>
                <w:sz w:val="16"/>
                <w:szCs w:val="16"/>
                <w:color w:val="auto"/>
              </w:rPr>
            </w:pPr>
          </w:p>
        </w:tc>
        <w:tc>
          <w:tcPr>
            <w:tcW w:w="22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200" w:type="dxa"/>
            <w:vAlign w:val="bottom"/>
            <w:shd w:val="clear" w:color="auto" w:fill="B8CDE8"/>
          </w:tcPr>
          <w:p>
            <w:pPr>
              <w:spacing w:after="0"/>
              <w:rPr>
                <w:sz w:val="16"/>
                <w:szCs w:val="16"/>
                <w:color w:val="auto"/>
              </w:rPr>
            </w:pPr>
          </w:p>
        </w:tc>
        <w:tc>
          <w:tcPr>
            <w:tcW w:w="960" w:type="dxa"/>
            <w:vAlign w:val="bottom"/>
            <w:shd w:val="clear" w:color="auto" w:fill="B8CDE8"/>
          </w:tcPr>
          <w:p>
            <w:pPr>
              <w:spacing w:after="0"/>
              <w:rPr>
                <w:sz w:val="16"/>
                <w:szCs w:val="16"/>
                <w:color w:val="auto"/>
              </w:rPr>
            </w:pPr>
          </w:p>
        </w:tc>
        <w:tc>
          <w:tcPr>
            <w:tcW w:w="86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18,750</w:t>
            </w:r>
          </w:p>
        </w:tc>
        <w:tc>
          <w:tcPr>
            <w:tcW w:w="180" w:type="dxa"/>
            <w:vAlign w:val="bottom"/>
            <w:shd w:val="clear" w:color="auto" w:fill="B8CDE8"/>
          </w:tcPr>
          <w:p>
            <w:pPr>
              <w:jc w:val="right"/>
              <w:spacing w:after="0"/>
              <w:rPr>
                <w:sz w:val="20"/>
                <w:szCs w:val="20"/>
                <w:color w:val="auto"/>
              </w:rPr>
            </w:pPr>
            <w:r>
              <w:rPr>
                <w:rFonts w:ascii="Arial" w:cs="Arial" w:eastAsia="Arial" w:hAnsi="Arial"/>
                <w:sz w:val="12"/>
                <w:szCs w:val="12"/>
                <w:color w:val="auto"/>
                <w:w w:val="95"/>
              </w:rPr>
              <w:t>(2)</w:t>
            </w:r>
          </w:p>
        </w:tc>
        <w:tc>
          <w:tcPr>
            <w:tcW w:w="1100" w:type="dxa"/>
            <w:vAlign w:val="bottom"/>
            <w:gridSpan w:val="4"/>
            <w:shd w:val="clear" w:color="auto" w:fill="B8CDE8"/>
          </w:tcPr>
          <w:p>
            <w:pPr>
              <w:jc w:val="right"/>
              <w:ind w:right="60"/>
              <w:spacing w:after="0"/>
              <w:rPr>
                <w:sz w:val="20"/>
                <w:szCs w:val="20"/>
                <w:color w:val="auto"/>
              </w:rPr>
            </w:pPr>
            <w:r>
              <w:rPr>
                <w:rFonts w:ascii="Arial" w:cs="Arial" w:eastAsia="Arial" w:hAnsi="Arial"/>
                <w:sz w:val="14"/>
                <w:szCs w:val="14"/>
                <w:color w:val="auto"/>
              </w:rPr>
              <w:t>37,500</w:t>
            </w:r>
          </w:p>
        </w:tc>
        <w:tc>
          <w:tcPr>
            <w:tcW w:w="100" w:type="dxa"/>
            <w:vAlign w:val="bottom"/>
            <w:shd w:val="clear" w:color="auto" w:fill="B8CDE8"/>
          </w:tcPr>
          <w:p>
            <w:pPr>
              <w:spacing w:after="0"/>
              <w:rPr>
                <w:sz w:val="16"/>
                <w:szCs w:val="16"/>
                <w:color w:val="auto"/>
              </w:rPr>
            </w:pPr>
          </w:p>
        </w:tc>
        <w:tc>
          <w:tcPr>
            <w:tcW w:w="1000" w:type="dxa"/>
            <w:vAlign w:val="bottom"/>
            <w:shd w:val="clear" w:color="auto" w:fill="B8CDE8"/>
          </w:tcPr>
          <w:p>
            <w:pPr>
              <w:spacing w:after="0"/>
              <w:rPr>
                <w:sz w:val="16"/>
                <w:szCs w:val="16"/>
                <w:color w:val="auto"/>
              </w:rPr>
            </w:pPr>
          </w:p>
        </w:tc>
        <w:tc>
          <w:tcPr>
            <w:tcW w:w="1400" w:type="dxa"/>
            <w:vAlign w:val="bottom"/>
            <w:gridSpan w:val="3"/>
            <w:shd w:val="clear" w:color="auto" w:fill="B8CDE8"/>
          </w:tcPr>
          <w:p>
            <w:pPr>
              <w:jc w:val="right"/>
              <w:ind w:right="140"/>
              <w:spacing w:after="0"/>
              <w:rPr>
                <w:sz w:val="20"/>
                <w:szCs w:val="20"/>
                <w:color w:val="auto"/>
              </w:rPr>
            </w:pPr>
            <w:r>
              <w:rPr>
                <w:rFonts w:ascii="Arial" w:cs="Arial" w:eastAsia="Arial" w:hAnsi="Arial"/>
                <w:sz w:val="14"/>
                <w:szCs w:val="14"/>
                <w:color w:val="auto"/>
              </w:rPr>
              <w:t>651,563</w:t>
            </w:r>
          </w:p>
        </w:tc>
        <w:tc>
          <w:tcPr>
            <w:tcW w:w="0" w:type="dxa"/>
            <w:vAlign w:val="bottom"/>
          </w:tcPr>
          <w:p>
            <w:pPr>
              <w:spacing w:after="0"/>
              <w:rPr>
                <w:sz w:val="1"/>
                <w:szCs w:val="1"/>
                <w:color w:val="auto"/>
              </w:rPr>
            </w:pPr>
          </w:p>
        </w:tc>
      </w:tr>
      <w:tr>
        <w:trPr>
          <w:trHeight w:val="189"/>
        </w:trPr>
        <w:tc>
          <w:tcPr>
            <w:tcW w:w="150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960" w:type="dxa"/>
            <w:vAlign w:val="bottom"/>
            <w:gridSpan w:val="3"/>
            <w:shd w:val="clear" w:color="auto" w:fill="B8CDE8"/>
          </w:tcPr>
          <w:p>
            <w:pPr>
              <w:jc w:val="right"/>
              <w:ind w:right="100"/>
              <w:spacing w:after="0"/>
              <w:rPr>
                <w:sz w:val="20"/>
                <w:szCs w:val="20"/>
                <w:color w:val="auto"/>
              </w:rPr>
            </w:pPr>
            <w:r>
              <w:rPr>
                <w:rFonts w:ascii="Arial" w:cs="Arial" w:eastAsia="Arial" w:hAnsi="Arial"/>
                <w:sz w:val="14"/>
                <w:szCs w:val="14"/>
                <w:color w:val="auto"/>
              </w:rPr>
              <w:t>2/26/2015</w:t>
            </w:r>
          </w:p>
        </w:tc>
        <w:tc>
          <w:tcPr>
            <w:tcW w:w="100" w:type="dxa"/>
            <w:vAlign w:val="bottom"/>
            <w:shd w:val="clear" w:color="auto" w:fill="B8CDE8"/>
          </w:tcPr>
          <w:p>
            <w:pPr>
              <w:spacing w:after="0"/>
              <w:rPr>
                <w:sz w:val="16"/>
                <w:szCs w:val="16"/>
                <w:color w:val="auto"/>
              </w:rPr>
            </w:pPr>
          </w:p>
        </w:tc>
        <w:tc>
          <w:tcPr>
            <w:tcW w:w="960" w:type="dxa"/>
            <w:vAlign w:val="bottom"/>
            <w:shd w:val="clear" w:color="auto" w:fill="B8CDE8"/>
          </w:tcPr>
          <w:p>
            <w:pPr>
              <w:spacing w:after="0"/>
              <w:rPr>
                <w:sz w:val="16"/>
                <w:szCs w:val="16"/>
                <w:color w:val="auto"/>
              </w:rPr>
            </w:pPr>
          </w:p>
        </w:tc>
        <w:tc>
          <w:tcPr>
            <w:tcW w:w="220" w:type="dxa"/>
            <w:vAlign w:val="bottom"/>
            <w:shd w:val="clear" w:color="auto" w:fill="B8CDE8"/>
          </w:tcPr>
          <w:p>
            <w:pPr>
              <w:spacing w:after="0"/>
              <w:rPr>
                <w:sz w:val="16"/>
                <w:szCs w:val="16"/>
                <w:color w:val="auto"/>
              </w:rPr>
            </w:pPr>
          </w:p>
        </w:tc>
        <w:tc>
          <w:tcPr>
            <w:tcW w:w="620" w:type="dxa"/>
            <w:vAlign w:val="bottom"/>
            <w:shd w:val="clear" w:color="auto" w:fill="B8CDE8"/>
          </w:tcPr>
          <w:p>
            <w:pPr>
              <w:spacing w:after="0"/>
              <w:rPr>
                <w:sz w:val="16"/>
                <w:szCs w:val="16"/>
                <w:color w:val="auto"/>
              </w:rPr>
            </w:pPr>
          </w:p>
        </w:tc>
        <w:tc>
          <w:tcPr>
            <w:tcW w:w="22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200" w:type="dxa"/>
            <w:vAlign w:val="bottom"/>
            <w:shd w:val="clear" w:color="auto" w:fill="B8CDE8"/>
          </w:tcPr>
          <w:p>
            <w:pPr>
              <w:spacing w:after="0"/>
              <w:rPr>
                <w:sz w:val="16"/>
                <w:szCs w:val="16"/>
                <w:color w:val="auto"/>
              </w:rPr>
            </w:pPr>
          </w:p>
        </w:tc>
        <w:tc>
          <w:tcPr>
            <w:tcW w:w="960" w:type="dxa"/>
            <w:vAlign w:val="bottom"/>
            <w:shd w:val="clear" w:color="auto" w:fill="B8CDE8"/>
          </w:tcPr>
          <w:p>
            <w:pPr>
              <w:spacing w:after="0"/>
              <w:rPr>
                <w:sz w:val="16"/>
                <w:szCs w:val="16"/>
                <w:color w:val="auto"/>
              </w:rPr>
            </w:pPr>
          </w:p>
        </w:tc>
        <w:tc>
          <w:tcPr>
            <w:tcW w:w="86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18,750</w:t>
            </w:r>
          </w:p>
        </w:tc>
        <w:tc>
          <w:tcPr>
            <w:tcW w:w="180" w:type="dxa"/>
            <w:vAlign w:val="bottom"/>
            <w:shd w:val="clear" w:color="auto" w:fill="B8CDE8"/>
          </w:tcPr>
          <w:p>
            <w:pPr>
              <w:jc w:val="right"/>
              <w:spacing w:after="0"/>
              <w:rPr>
                <w:sz w:val="20"/>
                <w:szCs w:val="20"/>
                <w:color w:val="auto"/>
              </w:rPr>
            </w:pPr>
            <w:r>
              <w:rPr>
                <w:rFonts w:ascii="Arial" w:cs="Arial" w:eastAsia="Arial" w:hAnsi="Arial"/>
                <w:sz w:val="12"/>
                <w:szCs w:val="12"/>
                <w:color w:val="auto"/>
                <w:w w:val="95"/>
              </w:rPr>
              <w:t>(3)</w:t>
            </w:r>
          </w:p>
        </w:tc>
        <w:tc>
          <w:tcPr>
            <w:tcW w:w="1100" w:type="dxa"/>
            <w:vAlign w:val="bottom"/>
            <w:gridSpan w:val="4"/>
            <w:shd w:val="clear" w:color="auto" w:fill="B8CDE8"/>
          </w:tcPr>
          <w:p>
            <w:pPr>
              <w:jc w:val="right"/>
              <w:ind w:right="60"/>
              <w:spacing w:after="0"/>
              <w:rPr>
                <w:sz w:val="20"/>
                <w:szCs w:val="20"/>
                <w:color w:val="auto"/>
              </w:rPr>
            </w:pPr>
            <w:r>
              <w:rPr>
                <w:rFonts w:ascii="Arial" w:cs="Arial" w:eastAsia="Arial" w:hAnsi="Arial"/>
                <w:sz w:val="14"/>
                <w:szCs w:val="14"/>
                <w:color w:val="auto"/>
              </w:rPr>
              <w:t>37,500</w:t>
            </w:r>
          </w:p>
        </w:tc>
        <w:tc>
          <w:tcPr>
            <w:tcW w:w="100" w:type="dxa"/>
            <w:vAlign w:val="bottom"/>
            <w:shd w:val="clear" w:color="auto" w:fill="B8CDE8"/>
          </w:tcPr>
          <w:p>
            <w:pPr>
              <w:spacing w:after="0"/>
              <w:rPr>
                <w:sz w:val="16"/>
                <w:szCs w:val="16"/>
                <w:color w:val="auto"/>
              </w:rPr>
            </w:pPr>
          </w:p>
        </w:tc>
        <w:tc>
          <w:tcPr>
            <w:tcW w:w="1000" w:type="dxa"/>
            <w:vAlign w:val="bottom"/>
            <w:shd w:val="clear" w:color="auto" w:fill="B8CDE8"/>
          </w:tcPr>
          <w:p>
            <w:pPr>
              <w:spacing w:after="0"/>
              <w:rPr>
                <w:sz w:val="16"/>
                <w:szCs w:val="16"/>
                <w:color w:val="auto"/>
              </w:rPr>
            </w:pPr>
          </w:p>
        </w:tc>
        <w:tc>
          <w:tcPr>
            <w:tcW w:w="1400" w:type="dxa"/>
            <w:vAlign w:val="bottom"/>
            <w:gridSpan w:val="3"/>
            <w:shd w:val="clear" w:color="auto" w:fill="B8CDE8"/>
          </w:tcPr>
          <w:p>
            <w:pPr>
              <w:jc w:val="right"/>
              <w:ind w:right="140"/>
              <w:spacing w:after="0"/>
              <w:rPr>
                <w:sz w:val="20"/>
                <w:szCs w:val="20"/>
                <w:color w:val="auto"/>
              </w:rPr>
            </w:pPr>
            <w:r>
              <w:rPr>
                <w:rFonts w:ascii="Arial" w:cs="Arial" w:eastAsia="Arial" w:hAnsi="Arial"/>
                <w:sz w:val="14"/>
                <w:szCs w:val="14"/>
                <w:color w:val="auto"/>
              </w:rPr>
              <w:t>1,024,313</w:t>
            </w:r>
          </w:p>
        </w:tc>
        <w:tc>
          <w:tcPr>
            <w:tcW w:w="0" w:type="dxa"/>
            <w:vAlign w:val="bottom"/>
          </w:tcPr>
          <w:p>
            <w:pPr>
              <w:spacing w:after="0"/>
              <w:rPr>
                <w:sz w:val="1"/>
                <w:szCs w:val="1"/>
                <w:color w:val="auto"/>
              </w:rPr>
            </w:pPr>
          </w:p>
        </w:tc>
      </w:tr>
      <w:tr>
        <w:trPr>
          <w:trHeight w:val="189"/>
        </w:trPr>
        <w:tc>
          <w:tcPr>
            <w:tcW w:w="150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960" w:type="dxa"/>
            <w:vAlign w:val="bottom"/>
            <w:gridSpan w:val="3"/>
            <w:shd w:val="clear" w:color="auto" w:fill="B8CDE8"/>
          </w:tcPr>
          <w:p>
            <w:pPr>
              <w:jc w:val="right"/>
              <w:ind w:right="100"/>
              <w:spacing w:after="0"/>
              <w:rPr>
                <w:sz w:val="20"/>
                <w:szCs w:val="20"/>
                <w:color w:val="auto"/>
              </w:rPr>
            </w:pPr>
            <w:r>
              <w:rPr>
                <w:rFonts w:ascii="Arial" w:cs="Arial" w:eastAsia="Arial" w:hAnsi="Arial"/>
                <w:sz w:val="14"/>
                <w:szCs w:val="14"/>
                <w:color w:val="auto"/>
              </w:rPr>
              <w:t>4/29/2015</w:t>
            </w:r>
          </w:p>
        </w:tc>
        <w:tc>
          <w:tcPr>
            <w:tcW w:w="100" w:type="dxa"/>
            <w:vAlign w:val="bottom"/>
            <w:shd w:val="clear" w:color="auto" w:fill="B8CDE8"/>
          </w:tcPr>
          <w:p>
            <w:pPr>
              <w:spacing w:after="0"/>
              <w:rPr>
                <w:sz w:val="16"/>
                <w:szCs w:val="16"/>
                <w:color w:val="auto"/>
              </w:rPr>
            </w:pPr>
          </w:p>
        </w:tc>
        <w:tc>
          <w:tcPr>
            <w:tcW w:w="960" w:type="dxa"/>
            <w:vAlign w:val="bottom"/>
            <w:shd w:val="clear" w:color="auto" w:fill="B8CDE8"/>
          </w:tcPr>
          <w:p>
            <w:pPr>
              <w:spacing w:after="0"/>
              <w:rPr>
                <w:sz w:val="16"/>
                <w:szCs w:val="16"/>
                <w:color w:val="auto"/>
              </w:rPr>
            </w:pPr>
          </w:p>
        </w:tc>
        <w:tc>
          <w:tcPr>
            <w:tcW w:w="220" w:type="dxa"/>
            <w:vAlign w:val="bottom"/>
            <w:shd w:val="clear" w:color="auto" w:fill="B8CDE8"/>
          </w:tcPr>
          <w:p>
            <w:pPr>
              <w:spacing w:after="0"/>
              <w:rPr>
                <w:sz w:val="16"/>
                <w:szCs w:val="16"/>
                <w:color w:val="auto"/>
              </w:rPr>
            </w:pPr>
          </w:p>
        </w:tc>
        <w:tc>
          <w:tcPr>
            <w:tcW w:w="620" w:type="dxa"/>
            <w:vAlign w:val="bottom"/>
            <w:shd w:val="clear" w:color="auto" w:fill="B8CDE8"/>
          </w:tcPr>
          <w:p>
            <w:pPr>
              <w:spacing w:after="0"/>
              <w:rPr>
                <w:sz w:val="16"/>
                <w:szCs w:val="16"/>
                <w:color w:val="auto"/>
              </w:rPr>
            </w:pPr>
          </w:p>
        </w:tc>
        <w:tc>
          <w:tcPr>
            <w:tcW w:w="22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200" w:type="dxa"/>
            <w:vAlign w:val="bottom"/>
            <w:shd w:val="clear" w:color="auto" w:fill="B8CDE8"/>
          </w:tcPr>
          <w:p>
            <w:pPr>
              <w:spacing w:after="0"/>
              <w:rPr>
                <w:sz w:val="16"/>
                <w:szCs w:val="16"/>
                <w:color w:val="auto"/>
              </w:rPr>
            </w:pPr>
          </w:p>
        </w:tc>
        <w:tc>
          <w:tcPr>
            <w:tcW w:w="960" w:type="dxa"/>
            <w:vAlign w:val="bottom"/>
            <w:shd w:val="clear" w:color="auto" w:fill="B8CDE8"/>
          </w:tcPr>
          <w:p>
            <w:pPr>
              <w:spacing w:after="0"/>
              <w:rPr>
                <w:sz w:val="16"/>
                <w:szCs w:val="16"/>
                <w:color w:val="auto"/>
              </w:rPr>
            </w:pPr>
          </w:p>
        </w:tc>
        <w:tc>
          <w:tcPr>
            <w:tcW w:w="86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100,000</w:t>
            </w:r>
          </w:p>
        </w:tc>
        <w:tc>
          <w:tcPr>
            <w:tcW w:w="180" w:type="dxa"/>
            <w:vAlign w:val="bottom"/>
            <w:shd w:val="clear" w:color="auto" w:fill="B8CDE8"/>
          </w:tcPr>
          <w:p>
            <w:pPr>
              <w:jc w:val="right"/>
              <w:spacing w:after="0"/>
              <w:rPr>
                <w:sz w:val="20"/>
                <w:szCs w:val="20"/>
                <w:color w:val="auto"/>
              </w:rPr>
            </w:pPr>
            <w:r>
              <w:rPr>
                <w:rFonts w:ascii="Arial" w:cs="Arial" w:eastAsia="Arial" w:hAnsi="Arial"/>
                <w:sz w:val="12"/>
                <w:szCs w:val="12"/>
                <w:color w:val="auto"/>
                <w:w w:val="95"/>
              </w:rPr>
              <w:t>(4)</w:t>
            </w:r>
          </w:p>
        </w:tc>
        <w:tc>
          <w:tcPr>
            <w:tcW w:w="1100" w:type="dxa"/>
            <w:vAlign w:val="bottom"/>
            <w:gridSpan w:val="4"/>
            <w:shd w:val="clear" w:color="auto" w:fill="B8CDE8"/>
          </w:tcPr>
          <w:p>
            <w:pPr>
              <w:jc w:val="right"/>
              <w:ind w:right="60"/>
              <w:spacing w:after="0"/>
              <w:rPr>
                <w:sz w:val="20"/>
                <w:szCs w:val="20"/>
                <w:color w:val="auto"/>
              </w:rPr>
            </w:pPr>
            <w:r>
              <w:rPr>
                <w:rFonts w:ascii="Arial" w:cs="Arial" w:eastAsia="Arial" w:hAnsi="Arial"/>
                <w:sz w:val="14"/>
                <w:szCs w:val="14"/>
                <w:color w:val="auto"/>
              </w:rPr>
              <w:t>200,000</w:t>
            </w:r>
          </w:p>
        </w:tc>
        <w:tc>
          <w:tcPr>
            <w:tcW w:w="100" w:type="dxa"/>
            <w:vAlign w:val="bottom"/>
            <w:shd w:val="clear" w:color="auto" w:fill="B8CDE8"/>
          </w:tcPr>
          <w:p>
            <w:pPr>
              <w:spacing w:after="0"/>
              <w:rPr>
                <w:sz w:val="16"/>
                <w:szCs w:val="16"/>
                <w:color w:val="auto"/>
              </w:rPr>
            </w:pPr>
          </w:p>
        </w:tc>
        <w:tc>
          <w:tcPr>
            <w:tcW w:w="1000" w:type="dxa"/>
            <w:vAlign w:val="bottom"/>
            <w:shd w:val="clear" w:color="auto" w:fill="B8CDE8"/>
          </w:tcPr>
          <w:p>
            <w:pPr>
              <w:spacing w:after="0"/>
              <w:rPr>
                <w:sz w:val="16"/>
                <w:szCs w:val="16"/>
                <w:color w:val="auto"/>
              </w:rPr>
            </w:pPr>
          </w:p>
        </w:tc>
        <w:tc>
          <w:tcPr>
            <w:tcW w:w="1400" w:type="dxa"/>
            <w:vAlign w:val="bottom"/>
            <w:gridSpan w:val="3"/>
            <w:shd w:val="clear" w:color="auto" w:fill="B8CDE8"/>
          </w:tcPr>
          <w:p>
            <w:pPr>
              <w:jc w:val="right"/>
              <w:ind w:right="140"/>
              <w:spacing w:after="0"/>
              <w:rPr>
                <w:sz w:val="20"/>
                <w:szCs w:val="20"/>
                <w:color w:val="auto"/>
              </w:rPr>
            </w:pPr>
            <w:r>
              <w:rPr>
                <w:rFonts w:ascii="Arial" w:cs="Arial" w:eastAsia="Arial" w:hAnsi="Arial"/>
                <w:sz w:val="14"/>
                <w:szCs w:val="14"/>
                <w:color w:val="auto"/>
              </w:rPr>
              <w:t>3,140,000</w:t>
            </w:r>
          </w:p>
        </w:tc>
        <w:tc>
          <w:tcPr>
            <w:tcW w:w="0" w:type="dxa"/>
            <w:vAlign w:val="bottom"/>
          </w:tcPr>
          <w:p>
            <w:pPr>
              <w:spacing w:after="0"/>
              <w:rPr>
                <w:sz w:val="1"/>
                <w:szCs w:val="1"/>
                <w:color w:val="auto"/>
              </w:rPr>
            </w:pPr>
          </w:p>
        </w:tc>
      </w:tr>
      <w:tr>
        <w:trPr>
          <w:trHeight w:val="189"/>
        </w:trPr>
        <w:tc>
          <w:tcPr>
            <w:tcW w:w="150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960" w:type="dxa"/>
            <w:vAlign w:val="bottom"/>
            <w:gridSpan w:val="3"/>
            <w:shd w:val="clear" w:color="auto" w:fill="B8CDE8"/>
          </w:tcPr>
          <w:p>
            <w:pPr>
              <w:jc w:val="right"/>
              <w:ind w:right="100"/>
              <w:spacing w:after="0"/>
              <w:rPr>
                <w:sz w:val="20"/>
                <w:szCs w:val="20"/>
                <w:color w:val="auto"/>
              </w:rPr>
            </w:pPr>
            <w:r>
              <w:rPr>
                <w:rFonts w:ascii="Arial" w:cs="Arial" w:eastAsia="Arial" w:hAnsi="Arial"/>
                <w:sz w:val="14"/>
                <w:szCs w:val="14"/>
                <w:color w:val="auto"/>
              </w:rPr>
              <w:t>2/26/2015</w:t>
            </w:r>
          </w:p>
        </w:tc>
        <w:tc>
          <w:tcPr>
            <w:tcW w:w="100" w:type="dxa"/>
            <w:vAlign w:val="bottom"/>
            <w:shd w:val="clear" w:color="auto" w:fill="B8CDE8"/>
          </w:tcPr>
          <w:p>
            <w:pPr>
              <w:spacing w:after="0"/>
              <w:rPr>
                <w:sz w:val="16"/>
                <w:szCs w:val="16"/>
                <w:color w:val="auto"/>
              </w:rPr>
            </w:pPr>
          </w:p>
        </w:tc>
        <w:tc>
          <w:tcPr>
            <w:tcW w:w="960" w:type="dxa"/>
            <w:vAlign w:val="bottom"/>
            <w:shd w:val="clear" w:color="auto" w:fill="B8CDE8"/>
          </w:tcPr>
          <w:p>
            <w:pPr>
              <w:spacing w:after="0"/>
              <w:rPr>
                <w:sz w:val="16"/>
                <w:szCs w:val="16"/>
                <w:color w:val="auto"/>
              </w:rPr>
            </w:pPr>
          </w:p>
        </w:tc>
        <w:tc>
          <w:tcPr>
            <w:tcW w:w="220" w:type="dxa"/>
            <w:vAlign w:val="bottom"/>
            <w:shd w:val="clear" w:color="auto" w:fill="B8CDE8"/>
          </w:tcPr>
          <w:p>
            <w:pPr>
              <w:spacing w:after="0"/>
              <w:rPr>
                <w:sz w:val="16"/>
                <w:szCs w:val="16"/>
                <w:color w:val="auto"/>
              </w:rPr>
            </w:pPr>
          </w:p>
        </w:tc>
        <w:tc>
          <w:tcPr>
            <w:tcW w:w="620" w:type="dxa"/>
            <w:vAlign w:val="bottom"/>
            <w:shd w:val="clear" w:color="auto" w:fill="B8CDE8"/>
          </w:tcPr>
          <w:p>
            <w:pPr>
              <w:spacing w:after="0"/>
              <w:rPr>
                <w:sz w:val="16"/>
                <w:szCs w:val="16"/>
                <w:color w:val="auto"/>
              </w:rPr>
            </w:pPr>
          </w:p>
        </w:tc>
        <w:tc>
          <w:tcPr>
            <w:tcW w:w="22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200" w:type="dxa"/>
            <w:vAlign w:val="bottom"/>
            <w:shd w:val="clear" w:color="auto" w:fill="B8CDE8"/>
          </w:tcPr>
          <w:p>
            <w:pPr>
              <w:spacing w:after="0"/>
              <w:rPr>
                <w:sz w:val="16"/>
                <w:szCs w:val="16"/>
                <w:color w:val="auto"/>
              </w:rPr>
            </w:pPr>
          </w:p>
        </w:tc>
        <w:tc>
          <w:tcPr>
            <w:tcW w:w="960" w:type="dxa"/>
            <w:vAlign w:val="bottom"/>
            <w:shd w:val="clear" w:color="auto" w:fill="B8CDE8"/>
          </w:tcPr>
          <w:p>
            <w:pPr>
              <w:spacing w:after="0"/>
              <w:rPr>
                <w:sz w:val="16"/>
                <w:szCs w:val="16"/>
                <w:color w:val="auto"/>
              </w:rPr>
            </w:pPr>
          </w:p>
        </w:tc>
        <w:tc>
          <w:tcPr>
            <w:tcW w:w="220" w:type="dxa"/>
            <w:vAlign w:val="bottom"/>
            <w:shd w:val="clear" w:color="auto" w:fill="B8CDE8"/>
          </w:tcPr>
          <w:p>
            <w:pPr>
              <w:spacing w:after="0"/>
              <w:rPr>
                <w:sz w:val="16"/>
                <w:szCs w:val="16"/>
                <w:color w:val="auto"/>
              </w:rPr>
            </w:pPr>
          </w:p>
        </w:tc>
        <w:tc>
          <w:tcPr>
            <w:tcW w:w="640" w:type="dxa"/>
            <w:vAlign w:val="bottom"/>
            <w:shd w:val="clear" w:color="auto" w:fill="B8CDE8"/>
          </w:tcPr>
          <w:p>
            <w:pPr>
              <w:spacing w:after="0"/>
              <w:rPr>
                <w:sz w:val="16"/>
                <w:szCs w:val="16"/>
                <w:color w:val="auto"/>
              </w:rPr>
            </w:pPr>
          </w:p>
        </w:tc>
        <w:tc>
          <w:tcPr>
            <w:tcW w:w="180" w:type="dxa"/>
            <w:vAlign w:val="bottom"/>
            <w:shd w:val="clear" w:color="auto" w:fill="B8CDE8"/>
          </w:tcPr>
          <w:p>
            <w:pPr>
              <w:spacing w:after="0"/>
              <w:rPr>
                <w:sz w:val="16"/>
                <w:szCs w:val="16"/>
                <w:color w:val="auto"/>
              </w:rPr>
            </w:pPr>
          </w:p>
        </w:tc>
        <w:tc>
          <w:tcPr>
            <w:tcW w:w="160" w:type="dxa"/>
            <w:vAlign w:val="bottom"/>
            <w:shd w:val="clear" w:color="auto" w:fill="B8CDE8"/>
          </w:tcPr>
          <w:p>
            <w:pPr>
              <w:spacing w:after="0"/>
              <w:rPr>
                <w:sz w:val="16"/>
                <w:szCs w:val="16"/>
                <w:color w:val="auto"/>
              </w:rPr>
            </w:pPr>
          </w:p>
        </w:tc>
        <w:tc>
          <w:tcPr>
            <w:tcW w:w="84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100" w:type="dxa"/>
            <w:vAlign w:val="bottom"/>
            <w:gridSpan w:val="2"/>
            <w:shd w:val="clear" w:color="auto" w:fill="B8CDE8"/>
          </w:tcPr>
          <w:p>
            <w:pPr>
              <w:jc w:val="right"/>
              <w:ind w:right="48"/>
              <w:spacing w:after="0" w:line="189" w:lineRule="exact"/>
              <w:rPr>
                <w:sz w:val="20"/>
                <w:szCs w:val="20"/>
                <w:color w:val="auto"/>
              </w:rPr>
            </w:pPr>
            <w:r>
              <w:rPr>
                <w:rFonts w:ascii="Arial" w:cs="Arial" w:eastAsia="Arial" w:hAnsi="Arial"/>
                <w:sz w:val="13"/>
                <w:szCs w:val="13"/>
                <w:color w:val="auto"/>
              </w:rPr>
              <w:t xml:space="preserve">37,500 </w:t>
            </w:r>
            <w:r>
              <w:rPr>
                <w:rFonts w:ascii="Arial" w:cs="Arial" w:eastAsia="Arial" w:hAnsi="Arial"/>
                <w:sz w:val="21"/>
                <w:szCs w:val="21"/>
                <w:color w:val="auto"/>
                <w:vertAlign w:val="superscript"/>
              </w:rPr>
              <w:t>(5)</w:t>
            </w:r>
          </w:p>
        </w:tc>
        <w:tc>
          <w:tcPr>
            <w:tcW w:w="1400" w:type="dxa"/>
            <w:vAlign w:val="bottom"/>
            <w:gridSpan w:val="3"/>
            <w:shd w:val="clear" w:color="auto" w:fill="B8CDE8"/>
          </w:tcPr>
          <w:p>
            <w:pPr>
              <w:jc w:val="right"/>
              <w:ind w:right="140"/>
              <w:spacing w:after="0"/>
              <w:rPr>
                <w:sz w:val="20"/>
                <w:szCs w:val="20"/>
                <w:color w:val="auto"/>
              </w:rPr>
            </w:pPr>
            <w:r>
              <w:rPr>
                <w:rFonts w:ascii="Arial" w:cs="Arial" w:eastAsia="Arial" w:hAnsi="Arial"/>
                <w:sz w:val="14"/>
                <w:szCs w:val="14"/>
                <w:color w:val="auto"/>
              </w:rPr>
              <w:t>1,303,125</w:t>
            </w:r>
          </w:p>
        </w:tc>
        <w:tc>
          <w:tcPr>
            <w:tcW w:w="0" w:type="dxa"/>
            <w:vAlign w:val="bottom"/>
          </w:tcPr>
          <w:p>
            <w:pPr>
              <w:spacing w:after="0"/>
              <w:rPr>
                <w:sz w:val="1"/>
                <w:szCs w:val="1"/>
                <w:color w:val="auto"/>
              </w:rPr>
            </w:pPr>
          </w:p>
        </w:tc>
      </w:tr>
      <w:tr>
        <w:trPr>
          <w:trHeight w:val="191"/>
        </w:trPr>
        <w:tc>
          <w:tcPr>
            <w:tcW w:w="1620" w:type="dxa"/>
            <w:vAlign w:val="bottom"/>
            <w:gridSpan w:val="2"/>
          </w:tcPr>
          <w:p>
            <w:pPr>
              <w:ind w:left="100"/>
              <w:spacing w:after="0"/>
              <w:rPr>
                <w:sz w:val="20"/>
                <w:szCs w:val="20"/>
                <w:color w:val="auto"/>
              </w:rPr>
            </w:pPr>
            <w:r>
              <w:rPr>
                <w:rFonts w:ascii="Arial" w:cs="Arial" w:eastAsia="Arial" w:hAnsi="Arial"/>
                <w:sz w:val="14"/>
                <w:szCs w:val="14"/>
                <w:color w:val="auto"/>
              </w:rPr>
              <w:t>Vishal Chhibbar</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4"/>
                <w:szCs w:val="14"/>
                <w:color w:val="auto"/>
              </w:rPr>
              <w:t>145,529</w:t>
            </w: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291,057</w:t>
            </w: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4"/>
                <w:szCs w:val="14"/>
                <w:color w:val="auto"/>
              </w:rPr>
              <w:t>2/26/2015</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3,750</w:t>
            </w:r>
          </w:p>
        </w:tc>
        <w:tc>
          <w:tcPr>
            <w:tcW w:w="180" w:type="dxa"/>
            <w:vAlign w:val="bottom"/>
          </w:tcPr>
          <w:p>
            <w:pPr>
              <w:jc w:val="right"/>
              <w:spacing w:after="0"/>
              <w:rPr>
                <w:sz w:val="20"/>
                <w:szCs w:val="20"/>
                <w:color w:val="auto"/>
              </w:rPr>
            </w:pPr>
            <w:r>
              <w:rPr>
                <w:rFonts w:ascii="Arial" w:cs="Arial" w:eastAsia="Arial" w:hAnsi="Arial"/>
                <w:sz w:val="12"/>
                <w:szCs w:val="12"/>
                <w:color w:val="auto"/>
                <w:w w:val="95"/>
              </w:rPr>
              <w:t>(2)</w:t>
            </w:r>
          </w:p>
        </w:tc>
        <w:tc>
          <w:tcPr>
            <w:tcW w:w="1100" w:type="dxa"/>
            <w:vAlign w:val="bottom"/>
            <w:gridSpan w:val="4"/>
          </w:tcPr>
          <w:p>
            <w:pPr>
              <w:jc w:val="right"/>
              <w:ind w:right="60"/>
              <w:spacing w:after="0"/>
              <w:rPr>
                <w:sz w:val="20"/>
                <w:szCs w:val="20"/>
                <w:color w:val="auto"/>
              </w:rPr>
            </w:pPr>
            <w:r>
              <w:rPr>
                <w:rFonts w:ascii="Arial" w:cs="Arial" w:eastAsia="Arial" w:hAnsi="Arial"/>
                <w:sz w:val="14"/>
                <w:szCs w:val="14"/>
                <w:color w:val="auto"/>
              </w:rPr>
              <w:t>7,500</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0" w:type="dxa"/>
            <w:vAlign w:val="bottom"/>
            <w:gridSpan w:val="3"/>
          </w:tcPr>
          <w:p>
            <w:pPr>
              <w:jc w:val="right"/>
              <w:ind w:right="140"/>
              <w:spacing w:after="0"/>
              <w:rPr>
                <w:sz w:val="20"/>
                <w:szCs w:val="20"/>
                <w:color w:val="auto"/>
              </w:rPr>
            </w:pPr>
            <w:r>
              <w:rPr>
                <w:rFonts w:ascii="Arial" w:cs="Arial" w:eastAsia="Arial" w:hAnsi="Arial"/>
                <w:sz w:val="14"/>
                <w:szCs w:val="14"/>
                <w:color w:val="auto"/>
              </w:rPr>
              <w:t>130,313</w:t>
            </w:r>
          </w:p>
        </w:tc>
        <w:tc>
          <w:tcPr>
            <w:tcW w:w="0" w:type="dxa"/>
            <w:vAlign w:val="bottom"/>
          </w:tcPr>
          <w:p>
            <w:pPr>
              <w:spacing w:after="0"/>
              <w:rPr>
                <w:sz w:val="1"/>
                <w:szCs w:val="1"/>
                <w:color w:val="auto"/>
              </w:rPr>
            </w:pPr>
          </w:p>
        </w:tc>
      </w:tr>
      <w:tr>
        <w:trPr>
          <w:trHeight w:val="189"/>
        </w:trPr>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4"/>
                <w:szCs w:val="14"/>
                <w:color w:val="auto"/>
              </w:rPr>
              <w:t>2/26/2015</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3,750</w:t>
            </w:r>
          </w:p>
        </w:tc>
        <w:tc>
          <w:tcPr>
            <w:tcW w:w="180" w:type="dxa"/>
            <w:vAlign w:val="bottom"/>
          </w:tcPr>
          <w:p>
            <w:pPr>
              <w:jc w:val="right"/>
              <w:spacing w:after="0"/>
              <w:rPr>
                <w:sz w:val="20"/>
                <w:szCs w:val="20"/>
                <w:color w:val="auto"/>
              </w:rPr>
            </w:pPr>
            <w:r>
              <w:rPr>
                <w:rFonts w:ascii="Arial" w:cs="Arial" w:eastAsia="Arial" w:hAnsi="Arial"/>
                <w:sz w:val="12"/>
                <w:szCs w:val="12"/>
                <w:color w:val="auto"/>
                <w:w w:val="95"/>
              </w:rPr>
              <w:t>(3)</w:t>
            </w:r>
          </w:p>
        </w:tc>
        <w:tc>
          <w:tcPr>
            <w:tcW w:w="1100" w:type="dxa"/>
            <w:vAlign w:val="bottom"/>
            <w:gridSpan w:val="4"/>
          </w:tcPr>
          <w:p>
            <w:pPr>
              <w:jc w:val="right"/>
              <w:ind w:right="60"/>
              <w:spacing w:after="0"/>
              <w:rPr>
                <w:sz w:val="20"/>
                <w:szCs w:val="20"/>
                <w:color w:val="auto"/>
              </w:rPr>
            </w:pPr>
            <w:r>
              <w:rPr>
                <w:rFonts w:ascii="Arial" w:cs="Arial" w:eastAsia="Arial" w:hAnsi="Arial"/>
                <w:sz w:val="14"/>
                <w:szCs w:val="14"/>
                <w:color w:val="auto"/>
              </w:rPr>
              <w:t>7,500</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0" w:type="dxa"/>
            <w:vAlign w:val="bottom"/>
            <w:gridSpan w:val="3"/>
          </w:tcPr>
          <w:p>
            <w:pPr>
              <w:jc w:val="right"/>
              <w:ind w:right="140"/>
              <w:spacing w:after="0"/>
              <w:rPr>
                <w:sz w:val="20"/>
                <w:szCs w:val="20"/>
                <w:color w:val="auto"/>
              </w:rPr>
            </w:pPr>
            <w:r>
              <w:rPr>
                <w:rFonts w:ascii="Arial" w:cs="Arial" w:eastAsia="Arial" w:hAnsi="Arial"/>
                <w:sz w:val="14"/>
                <w:szCs w:val="14"/>
                <w:color w:val="auto"/>
              </w:rPr>
              <w:t>204,863</w:t>
            </w:r>
          </w:p>
        </w:tc>
        <w:tc>
          <w:tcPr>
            <w:tcW w:w="0" w:type="dxa"/>
            <w:vAlign w:val="bottom"/>
          </w:tcPr>
          <w:p>
            <w:pPr>
              <w:spacing w:after="0"/>
              <w:rPr>
                <w:sz w:val="1"/>
                <w:szCs w:val="1"/>
                <w:color w:val="auto"/>
              </w:rPr>
            </w:pPr>
          </w:p>
        </w:tc>
      </w:tr>
      <w:tr>
        <w:trPr>
          <w:trHeight w:val="188"/>
        </w:trPr>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4"/>
                <w:szCs w:val="14"/>
                <w:color w:val="auto"/>
              </w:rPr>
              <w:t>2/26/2015</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gridSpan w:val="2"/>
          </w:tcPr>
          <w:p>
            <w:pPr>
              <w:jc w:val="right"/>
              <w:ind w:right="48"/>
              <w:spacing w:after="0" w:line="188" w:lineRule="exact"/>
              <w:rPr>
                <w:sz w:val="20"/>
                <w:szCs w:val="20"/>
                <w:color w:val="auto"/>
              </w:rPr>
            </w:pPr>
            <w:r>
              <w:rPr>
                <w:rFonts w:ascii="Arial" w:cs="Arial" w:eastAsia="Arial" w:hAnsi="Arial"/>
                <w:sz w:val="13"/>
                <w:szCs w:val="13"/>
                <w:color w:val="auto"/>
              </w:rPr>
              <w:t xml:space="preserve">7,500 </w:t>
            </w:r>
            <w:r>
              <w:rPr>
                <w:rFonts w:ascii="Arial" w:cs="Arial" w:eastAsia="Arial" w:hAnsi="Arial"/>
                <w:sz w:val="21"/>
                <w:szCs w:val="21"/>
                <w:color w:val="auto"/>
                <w:vertAlign w:val="superscript"/>
              </w:rPr>
              <w:t>(5)</w:t>
            </w:r>
          </w:p>
        </w:tc>
        <w:tc>
          <w:tcPr>
            <w:tcW w:w="1400" w:type="dxa"/>
            <w:vAlign w:val="bottom"/>
            <w:gridSpan w:val="3"/>
          </w:tcPr>
          <w:p>
            <w:pPr>
              <w:jc w:val="right"/>
              <w:ind w:right="140"/>
              <w:spacing w:after="0"/>
              <w:rPr>
                <w:sz w:val="20"/>
                <w:szCs w:val="20"/>
                <w:color w:val="auto"/>
              </w:rPr>
            </w:pPr>
            <w:r>
              <w:rPr>
                <w:rFonts w:ascii="Arial" w:cs="Arial" w:eastAsia="Arial" w:hAnsi="Arial"/>
                <w:sz w:val="14"/>
                <w:szCs w:val="14"/>
                <w:color w:val="auto"/>
              </w:rPr>
              <w:t>260,625</w:t>
            </w:r>
          </w:p>
        </w:tc>
        <w:tc>
          <w:tcPr>
            <w:tcW w:w="0" w:type="dxa"/>
            <w:vAlign w:val="bottom"/>
          </w:tcPr>
          <w:p>
            <w:pPr>
              <w:spacing w:after="0"/>
              <w:rPr>
                <w:sz w:val="1"/>
                <w:szCs w:val="1"/>
                <w:color w:val="auto"/>
              </w:rPr>
            </w:pPr>
          </w:p>
        </w:tc>
      </w:tr>
      <w:tr>
        <w:trPr>
          <w:trHeight w:val="189"/>
        </w:trPr>
        <w:tc>
          <w:tcPr>
            <w:tcW w:w="1620" w:type="dxa"/>
            <w:vAlign w:val="bottom"/>
            <w:gridSpan w:val="2"/>
            <w:shd w:val="clear" w:color="auto" w:fill="B8CDE8"/>
          </w:tcPr>
          <w:p>
            <w:pPr>
              <w:ind w:left="100"/>
              <w:spacing w:after="0"/>
              <w:rPr>
                <w:sz w:val="20"/>
                <w:szCs w:val="20"/>
                <w:color w:val="auto"/>
              </w:rPr>
            </w:pPr>
            <w:r>
              <w:rPr>
                <w:rFonts w:ascii="Arial" w:cs="Arial" w:eastAsia="Arial" w:hAnsi="Arial"/>
                <w:sz w:val="14"/>
                <w:szCs w:val="14"/>
                <w:color w:val="auto"/>
              </w:rPr>
              <w:t>Pavan Bagai</w:t>
            </w:r>
          </w:p>
        </w:tc>
        <w:tc>
          <w:tcPr>
            <w:tcW w:w="100" w:type="dxa"/>
            <w:vAlign w:val="bottom"/>
            <w:shd w:val="clear" w:color="auto" w:fill="B8CDE8"/>
          </w:tcPr>
          <w:p>
            <w:pPr>
              <w:spacing w:after="0"/>
              <w:rPr>
                <w:sz w:val="16"/>
                <w:szCs w:val="16"/>
                <w:color w:val="auto"/>
              </w:rPr>
            </w:pPr>
          </w:p>
        </w:tc>
        <w:tc>
          <w:tcPr>
            <w:tcW w:w="74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960" w:type="dxa"/>
            <w:vAlign w:val="bottom"/>
            <w:shd w:val="clear" w:color="auto" w:fill="B8CDE8"/>
          </w:tcPr>
          <w:p>
            <w:pPr>
              <w:spacing w:after="0"/>
              <w:rPr>
                <w:sz w:val="16"/>
                <w:szCs w:val="16"/>
                <w:color w:val="auto"/>
              </w:rPr>
            </w:pPr>
          </w:p>
        </w:tc>
        <w:tc>
          <w:tcPr>
            <w:tcW w:w="1060" w:type="dxa"/>
            <w:vAlign w:val="bottom"/>
            <w:gridSpan w:val="3"/>
            <w:shd w:val="clear" w:color="auto" w:fill="B8CDE8"/>
          </w:tcPr>
          <w:p>
            <w:pPr>
              <w:jc w:val="right"/>
              <w:ind w:right="200"/>
              <w:spacing w:after="0"/>
              <w:rPr>
                <w:sz w:val="20"/>
                <w:szCs w:val="20"/>
                <w:color w:val="auto"/>
              </w:rPr>
            </w:pPr>
            <w:r>
              <w:rPr>
                <w:rFonts w:ascii="Arial" w:cs="Arial" w:eastAsia="Arial" w:hAnsi="Arial"/>
                <w:sz w:val="14"/>
                <w:szCs w:val="14"/>
                <w:color w:val="auto"/>
              </w:rPr>
              <w:t>237,862</w:t>
            </w:r>
          </w:p>
        </w:tc>
        <w:tc>
          <w:tcPr>
            <w:tcW w:w="1120" w:type="dxa"/>
            <w:vAlign w:val="bottom"/>
            <w:gridSpan w:val="2"/>
            <w:shd w:val="clear" w:color="auto" w:fill="B8CDE8"/>
          </w:tcPr>
          <w:p>
            <w:pPr>
              <w:jc w:val="right"/>
              <w:ind w:right="180"/>
              <w:spacing w:after="0"/>
              <w:rPr>
                <w:sz w:val="20"/>
                <w:szCs w:val="20"/>
                <w:color w:val="auto"/>
              </w:rPr>
            </w:pPr>
            <w:r>
              <w:rPr>
                <w:rFonts w:ascii="Arial" w:cs="Arial" w:eastAsia="Arial" w:hAnsi="Arial"/>
                <w:sz w:val="14"/>
                <w:szCs w:val="14"/>
                <w:color w:val="auto"/>
              </w:rPr>
              <w:t>475,725</w:t>
            </w:r>
          </w:p>
        </w:tc>
        <w:tc>
          <w:tcPr>
            <w:tcW w:w="960" w:type="dxa"/>
            <w:vAlign w:val="bottom"/>
            <w:shd w:val="clear" w:color="auto" w:fill="B8CDE8"/>
          </w:tcPr>
          <w:p>
            <w:pPr>
              <w:spacing w:after="0"/>
              <w:rPr>
                <w:sz w:val="16"/>
                <w:szCs w:val="16"/>
                <w:color w:val="auto"/>
              </w:rPr>
            </w:pPr>
          </w:p>
        </w:tc>
        <w:tc>
          <w:tcPr>
            <w:tcW w:w="220" w:type="dxa"/>
            <w:vAlign w:val="bottom"/>
            <w:shd w:val="clear" w:color="auto" w:fill="B8CDE8"/>
          </w:tcPr>
          <w:p>
            <w:pPr>
              <w:spacing w:after="0"/>
              <w:rPr>
                <w:sz w:val="16"/>
                <w:szCs w:val="16"/>
                <w:color w:val="auto"/>
              </w:rPr>
            </w:pPr>
          </w:p>
        </w:tc>
        <w:tc>
          <w:tcPr>
            <w:tcW w:w="640" w:type="dxa"/>
            <w:vAlign w:val="bottom"/>
            <w:shd w:val="clear" w:color="auto" w:fill="B8CDE8"/>
          </w:tcPr>
          <w:p>
            <w:pPr>
              <w:spacing w:after="0"/>
              <w:rPr>
                <w:sz w:val="16"/>
                <w:szCs w:val="16"/>
                <w:color w:val="auto"/>
              </w:rPr>
            </w:pPr>
          </w:p>
        </w:tc>
        <w:tc>
          <w:tcPr>
            <w:tcW w:w="180" w:type="dxa"/>
            <w:vAlign w:val="bottom"/>
            <w:shd w:val="clear" w:color="auto" w:fill="B8CDE8"/>
          </w:tcPr>
          <w:p>
            <w:pPr>
              <w:spacing w:after="0"/>
              <w:rPr>
                <w:sz w:val="16"/>
                <w:szCs w:val="16"/>
                <w:color w:val="auto"/>
              </w:rPr>
            </w:pPr>
          </w:p>
        </w:tc>
        <w:tc>
          <w:tcPr>
            <w:tcW w:w="160" w:type="dxa"/>
            <w:vAlign w:val="bottom"/>
            <w:shd w:val="clear" w:color="auto" w:fill="B8CDE8"/>
          </w:tcPr>
          <w:p>
            <w:pPr>
              <w:spacing w:after="0"/>
              <w:rPr>
                <w:sz w:val="16"/>
                <w:szCs w:val="16"/>
                <w:color w:val="auto"/>
              </w:rPr>
            </w:pPr>
          </w:p>
        </w:tc>
        <w:tc>
          <w:tcPr>
            <w:tcW w:w="84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1000" w:type="dxa"/>
            <w:vAlign w:val="bottom"/>
            <w:shd w:val="clear" w:color="auto" w:fill="B8CDE8"/>
          </w:tcPr>
          <w:p>
            <w:pPr>
              <w:spacing w:after="0"/>
              <w:rPr>
                <w:sz w:val="16"/>
                <w:szCs w:val="16"/>
                <w:color w:val="auto"/>
              </w:rPr>
            </w:pPr>
          </w:p>
        </w:tc>
        <w:tc>
          <w:tcPr>
            <w:tcW w:w="220" w:type="dxa"/>
            <w:vAlign w:val="bottom"/>
            <w:shd w:val="clear" w:color="auto" w:fill="B8CDE8"/>
          </w:tcPr>
          <w:p>
            <w:pPr>
              <w:spacing w:after="0"/>
              <w:rPr>
                <w:sz w:val="16"/>
                <w:szCs w:val="16"/>
                <w:color w:val="auto"/>
              </w:rPr>
            </w:pPr>
          </w:p>
        </w:tc>
        <w:tc>
          <w:tcPr>
            <w:tcW w:w="1020" w:type="dxa"/>
            <w:vAlign w:val="bottom"/>
            <w:shd w:val="clear" w:color="auto" w:fill="B8CDE8"/>
          </w:tcPr>
          <w:p>
            <w:pPr>
              <w:spacing w:after="0"/>
              <w:rPr>
                <w:sz w:val="16"/>
                <w:szCs w:val="16"/>
                <w:color w:val="auto"/>
              </w:rPr>
            </w:pPr>
          </w:p>
        </w:tc>
        <w:tc>
          <w:tcPr>
            <w:tcW w:w="160" w:type="dxa"/>
            <w:vAlign w:val="bottom"/>
            <w:shd w:val="clear" w:color="auto" w:fill="B8CDE8"/>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0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960" w:type="dxa"/>
            <w:vAlign w:val="bottom"/>
            <w:gridSpan w:val="3"/>
            <w:shd w:val="clear" w:color="auto" w:fill="B8CDE8"/>
          </w:tcPr>
          <w:p>
            <w:pPr>
              <w:jc w:val="right"/>
              <w:ind w:right="100"/>
              <w:spacing w:after="0"/>
              <w:rPr>
                <w:sz w:val="20"/>
                <w:szCs w:val="20"/>
                <w:color w:val="auto"/>
              </w:rPr>
            </w:pPr>
            <w:r>
              <w:rPr>
                <w:rFonts w:ascii="Arial" w:cs="Arial" w:eastAsia="Arial" w:hAnsi="Arial"/>
                <w:sz w:val="14"/>
                <w:szCs w:val="14"/>
                <w:color w:val="auto"/>
              </w:rPr>
              <w:t>2/26/2015</w:t>
            </w:r>
          </w:p>
        </w:tc>
        <w:tc>
          <w:tcPr>
            <w:tcW w:w="100" w:type="dxa"/>
            <w:vAlign w:val="bottom"/>
            <w:shd w:val="clear" w:color="auto" w:fill="B8CDE8"/>
          </w:tcPr>
          <w:p>
            <w:pPr>
              <w:spacing w:after="0"/>
              <w:rPr>
                <w:sz w:val="16"/>
                <w:szCs w:val="16"/>
                <w:color w:val="auto"/>
              </w:rPr>
            </w:pPr>
          </w:p>
        </w:tc>
        <w:tc>
          <w:tcPr>
            <w:tcW w:w="960" w:type="dxa"/>
            <w:vAlign w:val="bottom"/>
            <w:shd w:val="clear" w:color="auto" w:fill="B8CDE8"/>
          </w:tcPr>
          <w:p>
            <w:pPr>
              <w:spacing w:after="0"/>
              <w:rPr>
                <w:sz w:val="16"/>
                <w:szCs w:val="16"/>
                <w:color w:val="auto"/>
              </w:rPr>
            </w:pPr>
          </w:p>
        </w:tc>
        <w:tc>
          <w:tcPr>
            <w:tcW w:w="220" w:type="dxa"/>
            <w:vAlign w:val="bottom"/>
            <w:shd w:val="clear" w:color="auto" w:fill="B8CDE8"/>
          </w:tcPr>
          <w:p>
            <w:pPr>
              <w:spacing w:after="0"/>
              <w:rPr>
                <w:sz w:val="16"/>
                <w:szCs w:val="16"/>
                <w:color w:val="auto"/>
              </w:rPr>
            </w:pPr>
          </w:p>
        </w:tc>
        <w:tc>
          <w:tcPr>
            <w:tcW w:w="620" w:type="dxa"/>
            <w:vAlign w:val="bottom"/>
            <w:shd w:val="clear" w:color="auto" w:fill="B8CDE8"/>
          </w:tcPr>
          <w:p>
            <w:pPr>
              <w:spacing w:after="0"/>
              <w:rPr>
                <w:sz w:val="16"/>
                <w:szCs w:val="16"/>
                <w:color w:val="auto"/>
              </w:rPr>
            </w:pPr>
          </w:p>
        </w:tc>
        <w:tc>
          <w:tcPr>
            <w:tcW w:w="22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200" w:type="dxa"/>
            <w:vAlign w:val="bottom"/>
            <w:shd w:val="clear" w:color="auto" w:fill="B8CDE8"/>
          </w:tcPr>
          <w:p>
            <w:pPr>
              <w:spacing w:after="0"/>
              <w:rPr>
                <w:sz w:val="16"/>
                <w:szCs w:val="16"/>
                <w:color w:val="auto"/>
              </w:rPr>
            </w:pPr>
          </w:p>
        </w:tc>
        <w:tc>
          <w:tcPr>
            <w:tcW w:w="960" w:type="dxa"/>
            <w:vAlign w:val="bottom"/>
            <w:shd w:val="clear" w:color="auto" w:fill="B8CDE8"/>
          </w:tcPr>
          <w:p>
            <w:pPr>
              <w:spacing w:after="0"/>
              <w:rPr>
                <w:sz w:val="16"/>
                <w:szCs w:val="16"/>
                <w:color w:val="auto"/>
              </w:rPr>
            </w:pPr>
          </w:p>
        </w:tc>
        <w:tc>
          <w:tcPr>
            <w:tcW w:w="86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6,250</w:t>
            </w:r>
          </w:p>
        </w:tc>
        <w:tc>
          <w:tcPr>
            <w:tcW w:w="180" w:type="dxa"/>
            <w:vAlign w:val="bottom"/>
            <w:shd w:val="clear" w:color="auto" w:fill="B8CDE8"/>
          </w:tcPr>
          <w:p>
            <w:pPr>
              <w:jc w:val="right"/>
              <w:spacing w:after="0"/>
              <w:rPr>
                <w:sz w:val="20"/>
                <w:szCs w:val="20"/>
                <w:color w:val="auto"/>
              </w:rPr>
            </w:pPr>
            <w:r>
              <w:rPr>
                <w:rFonts w:ascii="Arial" w:cs="Arial" w:eastAsia="Arial" w:hAnsi="Arial"/>
                <w:sz w:val="12"/>
                <w:szCs w:val="12"/>
                <w:color w:val="auto"/>
                <w:w w:val="95"/>
              </w:rPr>
              <w:t>(2)</w:t>
            </w:r>
          </w:p>
        </w:tc>
        <w:tc>
          <w:tcPr>
            <w:tcW w:w="1100" w:type="dxa"/>
            <w:vAlign w:val="bottom"/>
            <w:gridSpan w:val="4"/>
            <w:shd w:val="clear" w:color="auto" w:fill="B8CDE8"/>
          </w:tcPr>
          <w:p>
            <w:pPr>
              <w:jc w:val="right"/>
              <w:ind w:right="60"/>
              <w:spacing w:after="0"/>
              <w:rPr>
                <w:sz w:val="20"/>
                <w:szCs w:val="20"/>
                <w:color w:val="auto"/>
              </w:rPr>
            </w:pPr>
            <w:r>
              <w:rPr>
                <w:rFonts w:ascii="Arial" w:cs="Arial" w:eastAsia="Arial" w:hAnsi="Arial"/>
                <w:sz w:val="14"/>
                <w:szCs w:val="14"/>
                <w:color w:val="auto"/>
              </w:rPr>
              <w:t>12,500</w:t>
            </w:r>
          </w:p>
        </w:tc>
        <w:tc>
          <w:tcPr>
            <w:tcW w:w="100" w:type="dxa"/>
            <w:vAlign w:val="bottom"/>
            <w:shd w:val="clear" w:color="auto" w:fill="B8CDE8"/>
          </w:tcPr>
          <w:p>
            <w:pPr>
              <w:spacing w:after="0"/>
              <w:rPr>
                <w:sz w:val="16"/>
                <w:szCs w:val="16"/>
                <w:color w:val="auto"/>
              </w:rPr>
            </w:pPr>
          </w:p>
        </w:tc>
        <w:tc>
          <w:tcPr>
            <w:tcW w:w="1000" w:type="dxa"/>
            <w:vAlign w:val="bottom"/>
            <w:shd w:val="clear" w:color="auto" w:fill="B8CDE8"/>
          </w:tcPr>
          <w:p>
            <w:pPr>
              <w:spacing w:after="0"/>
              <w:rPr>
                <w:sz w:val="16"/>
                <w:szCs w:val="16"/>
                <w:color w:val="auto"/>
              </w:rPr>
            </w:pPr>
          </w:p>
        </w:tc>
        <w:tc>
          <w:tcPr>
            <w:tcW w:w="1400" w:type="dxa"/>
            <w:vAlign w:val="bottom"/>
            <w:gridSpan w:val="3"/>
            <w:shd w:val="clear" w:color="auto" w:fill="B8CDE8"/>
          </w:tcPr>
          <w:p>
            <w:pPr>
              <w:jc w:val="right"/>
              <w:ind w:right="140"/>
              <w:spacing w:after="0"/>
              <w:rPr>
                <w:sz w:val="20"/>
                <w:szCs w:val="20"/>
                <w:color w:val="auto"/>
              </w:rPr>
            </w:pPr>
            <w:r>
              <w:rPr>
                <w:rFonts w:ascii="Arial" w:cs="Arial" w:eastAsia="Arial" w:hAnsi="Arial"/>
                <w:sz w:val="14"/>
                <w:szCs w:val="14"/>
                <w:color w:val="auto"/>
              </w:rPr>
              <w:t>217,188</w:t>
            </w:r>
          </w:p>
        </w:tc>
        <w:tc>
          <w:tcPr>
            <w:tcW w:w="0" w:type="dxa"/>
            <w:vAlign w:val="bottom"/>
          </w:tcPr>
          <w:p>
            <w:pPr>
              <w:spacing w:after="0"/>
              <w:rPr>
                <w:sz w:val="1"/>
                <w:szCs w:val="1"/>
                <w:color w:val="auto"/>
              </w:rPr>
            </w:pPr>
          </w:p>
        </w:tc>
      </w:tr>
      <w:tr>
        <w:trPr>
          <w:trHeight w:val="189"/>
        </w:trPr>
        <w:tc>
          <w:tcPr>
            <w:tcW w:w="150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960" w:type="dxa"/>
            <w:vAlign w:val="bottom"/>
            <w:gridSpan w:val="3"/>
            <w:shd w:val="clear" w:color="auto" w:fill="B8CDE8"/>
          </w:tcPr>
          <w:p>
            <w:pPr>
              <w:jc w:val="right"/>
              <w:ind w:right="100"/>
              <w:spacing w:after="0"/>
              <w:rPr>
                <w:sz w:val="20"/>
                <w:szCs w:val="20"/>
                <w:color w:val="auto"/>
              </w:rPr>
            </w:pPr>
            <w:r>
              <w:rPr>
                <w:rFonts w:ascii="Arial" w:cs="Arial" w:eastAsia="Arial" w:hAnsi="Arial"/>
                <w:sz w:val="14"/>
                <w:szCs w:val="14"/>
                <w:color w:val="auto"/>
              </w:rPr>
              <w:t>2/26/2015</w:t>
            </w:r>
          </w:p>
        </w:tc>
        <w:tc>
          <w:tcPr>
            <w:tcW w:w="100" w:type="dxa"/>
            <w:vAlign w:val="bottom"/>
            <w:shd w:val="clear" w:color="auto" w:fill="B8CDE8"/>
          </w:tcPr>
          <w:p>
            <w:pPr>
              <w:spacing w:after="0"/>
              <w:rPr>
                <w:sz w:val="16"/>
                <w:szCs w:val="16"/>
                <w:color w:val="auto"/>
              </w:rPr>
            </w:pPr>
          </w:p>
        </w:tc>
        <w:tc>
          <w:tcPr>
            <w:tcW w:w="960" w:type="dxa"/>
            <w:vAlign w:val="bottom"/>
            <w:shd w:val="clear" w:color="auto" w:fill="B8CDE8"/>
          </w:tcPr>
          <w:p>
            <w:pPr>
              <w:spacing w:after="0"/>
              <w:rPr>
                <w:sz w:val="16"/>
                <w:szCs w:val="16"/>
                <w:color w:val="auto"/>
              </w:rPr>
            </w:pPr>
          </w:p>
        </w:tc>
        <w:tc>
          <w:tcPr>
            <w:tcW w:w="220" w:type="dxa"/>
            <w:vAlign w:val="bottom"/>
            <w:shd w:val="clear" w:color="auto" w:fill="B8CDE8"/>
          </w:tcPr>
          <w:p>
            <w:pPr>
              <w:spacing w:after="0"/>
              <w:rPr>
                <w:sz w:val="16"/>
                <w:szCs w:val="16"/>
                <w:color w:val="auto"/>
              </w:rPr>
            </w:pPr>
          </w:p>
        </w:tc>
        <w:tc>
          <w:tcPr>
            <w:tcW w:w="620" w:type="dxa"/>
            <w:vAlign w:val="bottom"/>
            <w:shd w:val="clear" w:color="auto" w:fill="B8CDE8"/>
          </w:tcPr>
          <w:p>
            <w:pPr>
              <w:spacing w:after="0"/>
              <w:rPr>
                <w:sz w:val="16"/>
                <w:szCs w:val="16"/>
                <w:color w:val="auto"/>
              </w:rPr>
            </w:pPr>
          </w:p>
        </w:tc>
        <w:tc>
          <w:tcPr>
            <w:tcW w:w="22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200" w:type="dxa"/>
            <w:vAlign w:val="bottom"/>
            <w:shd w:val="clear" w:color="auto" w:fill="B8CDE8"/>
          </w:tcPr>
          <w:p>
            <w:pPr>
              <w:spacing w:after="0"/>
              <w:rPr>
                <w:sz w:val="16"/>
                <w:szCs w:val="16"/>
                <w:color w:val="auto"/>
              </w:rPr>
            </w:pPr>
          </w:p>
        </w:tc>
        <w:tc>
          <w:tcPr>
            <w:tcW w:w="960" w:type="dxa"/>
            <w:vAlign w:val="bottom"/>
            <w:shd w:val="clear" w:color="auto" w:fill="B8CDE8"/>
          </w:tcPr>
          <w:p>
            <w:pPr>
              <w:spacing w:after="0"/>
              <w:rPr>
                <w:sz w:val="16"/>
                <w:szCs w:val="16"/>
                <w:color w:val="auto"/>
              </w:rPr>
            </w:pPr>
          </w:p>
        </w:tc>
        <w:tc>
          <w:tcPr>
            <w:tcW w:w="86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6,250</w:t>
            </w:r>
          </w:p>
        </w:tc>
        <w:tc>
          <w:tcPr>
            <w:tcW w:w="180" w:type="dxa"/>
            <w:vAlign w:val="bottom"/>
            <w:shd w:val="clear" w:color="auto" w:fill="B8CDE8"/>
          </w:tcPr>
          <w:p>
            <w:pPr>
              <w:jc w:val="right"/>
              <w:spacing w:after="0"/>
              <w:rPr>
                <w:sz w:val="20"/>
                <w:szCs w:val="20"/>
                <w:color w:val="auto"/>
              </w:rPr>
            </w:pPr>
            <w:r>
              <w:rPr>
                <w:rFonts w:ascii="Arial" w:cs="Arial" w:eastAsia="Arial" w:hAnsi="Arial"/>
                <w:sz w:val="12"/>
                <w:szCs w:val="12"/>
                <w:color w:val="auto"/>
                <w:w w:val="95"/>
              </w:rPr>
              <w:t>(3)</w:t>
            </w:r>
          </w:p>
        </w:tc>
        <w:tc>
          <w:tcPr>
            <w:tcW w:w="1100" w:type="dxa"/>
            <w:vAlign w:val="bottom"/>
            <w:gridSpan w:val="4"/>
            <w:shd w:val="clear" w:color="auto" w:fill="B8CDE8"/>
          </w:tcPr>
          <w:p>
            <w:pPr>
              <w:jc w:val="right"/>
              <w:ind w:right="60"/>
              <w:spacing w:after="0"/>
              <w:rPr>
                <w:sz w:val="20"/>
                <w:szCs w:val="20"/>
                <w:color w:val="auto"/>
              </w:rPr>
            </w:pPr>
            <w:r>
              <w:rPr>
                <w:rFonts w:ascii="Arial" w:cs="Arial" w:eastAsia="Arial" w:hAnsi="Arial"/>
                <w:sz w:val="14"/>
                <w:szCs w:val="14"/>
                <w:color w:val="auto"/>
              </w:rPr>
              <w:t>12,500</w:t>
            </w:r>
          </w:p>
        </w:tc>
        <w:tc>
          <w:tcPr>
            <w:tcW w:w="100" w:type="dxa"/>
            <w:vAlign w:val="bottom"/>
            <w:shd w:val="clear" w:color="auto" w:fill="B8CDE8"/>
          </w:tcPr>
          <w:p>
            <w:pPr>
              <w:spacing w:after="0"/>
              <w:rPr>
                <w:sz w:val="16"/>
                <w:szCs w:val="16"/>
                <w:color w:val="auto"/>
              </w:rPr>
            </w:pPr>
          </w:p>
        </w:tc>
        <w:tc>
          <w:tcPr>
            <w:tcW w:w="1000" w:type="dxa"/>
            <w:vAlign w:val="bottom"/>
            <w:shd w:val="clear" w:color="auto" w:fill="B8CDE8"/>
          </w:tcPr>
          <w:p>
            <w:pPr>
              <w:spacing w:after="0"/>
              <w:rPr>
                <w:sz w:val="16"/>
                <w:szCs w:val="16"/>
                <w:color w:val="auto"/>
              </w:rPr>
            </w:pPr>
          </w:p>
        </w:tc>
        <w:tc>
          <w:tcPr>
            <w:tcW w:w="1400" w:type="dxa"/>
            <w:vAlign w:val="bottom"/>
            <w:gridSpan w:val="3"/>
            <w:shd w:val="clear" w:color="auto" w:fill="B8CDE8"/>
          </w:tcPr>
          <w:p>
            <w:pPr>
              <w:jc w:val="right"/>
              <w:ind w:right="140"/>
              <w:spacing w:after="0"/>
              <w:rPr>
                <w:sz w:val="20"/>
                <w:szCs w:val="20"/>
                <w:color w:val="auto"/>
              </w:rPr>
            </w:pPr>
            <w:r>
              <w:rPr>
                <w:rFonts w:ascii="Arial" w:cs="Arial" w:eastAsia="Arial" w:hAnsi="Arial"/>
                <w:sz w:val="14"/>
                <w:szCs w:val="14"/>
                <w:color w:val="auto"/>
              </w:rPr>
              <w:t>341,438</w:t>
            </w:r>
          </w:p>
        </w:tc>
        <w:tc>
          <w:tcPr>
            <w:tcW w:w="0" w:type="dxa"/>
            <w:vAlign w:val="bottom"/>
          </w:tcPr>
          <w:p>
            <w:pPr>
              <w:spacing w:after="0"/>
              <w:rPr>
                <w:sz w:val="1"/>
                <w:szCs w:val="1"/>
                <w:color w:val="auto"/>
              </w:rPr>
            </w:pPr>
          </w:p>
        </w:tc>
      </w:tr>
      <w:tr>
        <w:trPr>
          <w:trHeight w:val="189"/>
        </w:trPr>
        <w:tc>
          <w:tcPr>
            <w:tcW w:w="150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960" w:type="dxa"/>
            <w:vAlign w:val="bottom"/>
            <w:gridSpan w:val="3"/>
            <w:shd w:val="clear" w:color="auto" w:fill="B8CDE8"/>
          </w:tcPr>
          <w:p>
            <w:pPr>
              <w:jc w:val="right"/>
              <w:ind w:right="100"/>
              <w:spacing w:after="0"/>
              <w:rPr>
                <w:sz w:val="20"/>
                <w:szCs w:val="20"/>
                <w:color w:val="auto"/>
              </w:rPr>
            </w:pPr>
            <w:r>
              <w:rPr>
                <w:rFonts w:ascii="Arial" w:cs="Arial" w:eastAsia="Arial" w:hAnsi="Arial"/>
                <w:sz w:val="14"/>
                <w:szCs w:val="14"/>
                <w:color w:val="auto"/>
              </w:rPr>
              <w:t>2/26/2015</w:t>
            </w:r>
          </w:p>
        </w:tc>
        <w:tc>
          <w:tcPr>
            <w:tcW w:w="100" w:type="dxa"/>
            <w:vAlign w:val="bottom"/>
            <w:shd w:val="clear" w:color="auto" w:fill="B8CDE8"/>
          </w:tcPr>
          <w:p>
            <w:pPr>
              <w:spacing w:after="0"/>
              <w:rPr>
                <w:sz w:val="16"/>
                <w:szCs w:val="16"/>
                <w:color w:val="auto"/>
              </w:rPr>
            </w:pPr>
          </w:p>
        </w:tc>
        <w:tc>
          <w:tcPr>
            <w:tcW w:w="960" w:type="dxa"/>
            <w:vAlign w:val="bottom"/>
            <w:shd w:val="clear" w:color="auto" w:fill="B8CDE8"/>
          </w:tcPr>
          <w:p>
            <w:pPr>
              <w:spacing w:after="0"/>
              <w:rPr>
                <w:sz w:val="16"/>
                <w:szCs w:val="16"/>
                <w:color w:val="auto"/>
              </w:rPr>
            </w:pPr>
          </w:p>
        </w:tc>
        <w:tc>
          <w:tcPr>
            <w:tcW w:w="220" w:type="dxa"/>
            <w:vAlign w:val="bottom"/>
            <w:shd w:val="clear" w:color="auto" w:fill="B8CDE8"/>
          </w:tcPr>
          <w:p>
            <w:pPr>
              <w:spacing w:after="0"/>
              <w:rPr>
                <w:sz w:val="16"/>
                <w:szCs w:val="16"/>
                <w:color w:val="auto"/>
              </w:rPr>
            </w:pPr>
          </w:p>
        </w:tc>
        <w:tc>
          <w:tcPr>
            <w:tcW w:w="620" w:type="dxa"/>
            <w:vAlign w:val="bottom"/>
            <w:shd w:val="clear" w:color="auto" w:fill="B8CDE8"/>
          </w:tcPr>
          <w:p>
            <w:pPr>
              <w:spacing w:after="0"/>
              <w:rPr>
                <w:sz w:val="16"/>
                <w:szCs w:val="16"/>
                <w:color w:val="auto"/>
              </w:rPr>
            </w:pPr>
          </w:p>
        </w:tc>
        <w:tc>
          <w:tcPr>
            <w:tcW w:w="22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200" w:type="dxa"/>
            <w:vAlign w:val="bottom"/>
            <w:shd w:val="clear" w:color="auto" w:fill="B8CDE8"/>
          </w:tcPr>
          <w:p>
            <w:pPr>
              <w:spacing w:after="0"/>
              <w:rPr>
                <w:sz w:val="16"/>
                <w:szCs w:val="16"/>
                <w:color w:val="auto"/>
              </w:rPr>
            </w:pPr>
          </w:p>
        </w:tc>
        <w:tc>
          <w:tcPr>
            <w:tcW w:w="960" w:type="dxa"/>
            <w:vAlign w:val="bottom"/>
            <w:shd w:val="clear" w:color="auto" w:fill="B8CDE8"/>
          </w:tcPr>
          <w:p>
            <w:pPr>
              <w:spacing w:after="0"/>
              <w:rPr>
                <w:sz w:val="16"/>
                <w:szCs w:val="16"/>
                <w:color w:val="auto"/>
              </w:rPr>
            </w:pPr>
          </w:p>
        </w:tc>
        <w:tc>
          <w:tcPr>
            <w:tcW w:w="220" w:type="dxa"/>
            <w:vAlign w:val="bottom"/>
            <w:shd w:val="clear" w:color="auto" w:fill="B8CDE8"/>
          </w:tcPr>
          <w:p>
            <w:pPr>
              <w:spacing w:after="0"/>
              <w:rPr>
                <w:sz w:val="16"/>
                <w:szCs w:val="16"/>
                <w:color w:val="auto"/>
              </w:rPr>
            </w:pPr>
          </w:p>
        </w:tc>
        <w:tc>
          <w:tcPr>
            <w:tcW w:w="640" w:type="dxa"/>
            <w:vAlign w:val="bottom"/>
            <w:shd w:val="clear" w:color="auto" w:fill="B8CDE8"/>
          </w:tcPr>
          <w:p>
            <w:pPr>
              <w:spacing w:after="0"/>
              <w:rPr>
                <w:sz w:val="16"/>
                <w:szCs w:val="16"/>
                <w:color w:val="auto"/>
              </w:rPr>
            </w:pPr>
          </w:p>
        </w:tc>
        <w:tc>
          <w:tcPr>
            <w:tcW w:w="180" w:type="dxa"/>
            <w:vAlign w:val="bottom"/>
            <w:shd w:val="clear" w:color="auto" w:fill="B8CDE8"/>
          </w:tcPr>
          <w:p>
            <w:pPr>
              <w:spacing w:after="0"/>
              <w:rPr>
                <w:sz w:val="16"/>
                <w:szCs w:val="16"/>
                <w:color w:val="auto"/>
              </w:rPr>
            </w:pPr>
          </w:p>
        </w:tc>
        <w:tc>
          <w:tcPr>
            <w:tcW w:w="160" w:type="dxa"/>
            <w:vAlign w:val="bottom"/>
            <w:shd w:val="clear" w:color="auto" w:fill="B8CDE8"/>
          </w:tcPr>
          <w:p>
            <w:pPr>
              <w:spacing w:after="0"/>
              <w:rPr>
                <w:sz w:val="16"/>
                <w:szCs w:val="16"/>
                <w:color w:val="auto"/>
              </w:rPr>
            </w:pPr>
          </w:p>
        </w:tc>
        <w:tc>
          <w:tcPr>
            <w:tcW w:w="84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100" w:type="dxa"/>
            <w:vAlign w:val="bottom"/>
            <w:gridSpan w:val="2"/>
            <w:shd w:val="clear" w:color="auto" w:fill="B8CDE8"/>
          </w:tcPr>
          <w:p>
            <w:pPr>
              <w:jc w:val="right"/>
              <w:ind w:right="48"/>
              <w:spacing w:after="0" w:line="189" w:lineRule="exact"/>
              <w:rPr>
                <w:sz w:val="20"/>
                <w:szCs w:val="20"/>
                <w:color w:val="auto"/>
              </w:rPr>
            </w:pPr>
            <w:r>
              <w:rPr>
                <w:rFonts w:ascii="Arial" w:cs="Arial" w:eastAsia="Arial" w:hAnsi="Arial"/>
                <w:sz w:val="13"/>
                <w:szCs w:val="13"/>
                <w:color w:val="auto"/>
              </w:rPr>
              <w:t xml:space="preserve">12,500 </w:t>
            </w:r>
            <w:r>
              <w:rPr>
                <w:rFonts w:ascii="Arial" w:cs="Arial" w:eastAsia="Arial" w:hAnsi="Arial"/>
                <w:sz w:val="21"/>
                <w:szCs w:val="21"/>
                <w:color w:val="auto"/>
                <w:vertAlign w:val="superscript"/>
              </w:rPr>
              <w:t>(5)</w:t>
            </w:r>
          </w:p>
        </w:tc>
        <w:tc>
          <w:tcPr>
            <w:tcW w:w="1400" w:type="dxa"/>
            <w:vAlign w:val="bottom"/>
            <w:gridSpan w:val="3"/>
            <w:shd w:val="clear" w:color="auto" w:fill="B8CDE8"/>
          </w:tcPr>
          <w:p>
            <w:pPr>
              <w:jc w:val="right"/>
              <w:ind w:right="140"/>
              <w:spacing w:after="0"/>
              <w:rPr>
                <w:sz w:val="20"/>
                <w:szCs w:val="20"/>
                <w:color w:val="auto"/>
              </w:rPr>
            </w:pPr>
            <w:r>
              <w:rPr>
                <w:rFonts w:ascii="Arial" w:cs="Arial" w:eastAsia="Arial" w:hAnsi="Arial"/>
                <w:sz w:val="14"/>
                <w:szCs w:val="14"/>
                <w:color w:val="auto"/>
              </w:rPr>
              <w:t>434,375</w:t>
            </w:r>
          </w:p>
        </w:tc>
        <w:tc>
          <w:tcPr>
            <w:tcW w:w="0" w:type="dxa"/>
            <w:vAlign w:val="bottom"/>
          </w:tcPr>
          <w:p>
            <w:pPr>
              <w:spacing w:after="0"/>
              <w:rPr>
                <w:sz w:val="1"/>
                <w:szCs w:val="1"/>
                <w:color w:val="auto"/>
              </w:rPr>
            </w:pPr>
          </w:p>
        </w:tc>
      </w:tr>
      <w:tr>
        <w:trPr>
          <w:trHeight w:val="191"/>
        </w:trPr>
        <w:tc>
          <w:tcPr>
            <w:tcW w:w="1620" w:type="dxa"/>
            <w:vAlign w:val="bottom"/>
            <w:gridSpan w:val="2"/>
          </w:tcPr>
          <w:p>
            <w:pPr>
              <w:ind w:left="100"/>
              <w:spacing w:after="0"/>
              <w:rPr>
                <w:sz w:val="20"/>
                <w:szCs w:val="20"/>
                <w:color w:val="auto"/>
              </w:rPr>
            </w:pPr>
            <w:r>
              <w:rPr>
                <w:rFonts w:ascii="Arial" w:cs="Arial" w:eastAsia="Arial" w:hAnsi="Arial"/>
                <w:sz w:val="14"/>
                <w:szCs w:val="14"/>
                <w:color w:val="auto"/>
              </w:rPr>
              <w:t>Nalin Miglani</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4"/>
                <w:szCs w:val="14"/>
                <w:color w:val="auto"/>
              </w:rPr>
              <w:t>240,000</w:t>
            </w: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480,000</w:t>
            </w: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4"/>
                <w:szCs w:val="14"/>
                <w:color w:val="auto"/>
              </w:rPr>
              <w:t>2/26/2015</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3,000</w:t>
            </w:r>
          </w:p>
        </w:tc>
        <w:tc>
          <w:tcPr>
            <w:tcW w:w="180" w:type="dxa"/>
            <w:vAlign w:val="bottom"/>
          </w:tcPr>
          <w:p>
            <w:pPr>
              <w:jc w:val="right"/>
              <w:spacing w:after="0"/>
              <w:rPr>
                <w:sz w:val="20"/>
                <w:szCs w:val="20"/>
                <w:color w:val="auto"/>
              </w:rPr>
            </w:pPr>
            <w:r>
              <w:rPr>
                <w:rFonts w:ascii="Arial" w:cs="Arial" w:eastAsia="Arial" w:hAnsi="Arial"/>
                <w:sz w:val="12"/>
                <w:szCs w:val="12"/>
                <w:color w:val="auto"/>
                <w:w w:val="95"/>
              </w:rPr>
              <w:t>(2)</w:t>
            </w:r>
          </w:p>
        </w:tc>
        <w:tc>
          <w:tcPr>
            <w:tcW w:w="1100" w:type="dxa"/>
            <w:vAlign w:val="bottom"/>
            <w:gridSpan w:val="4"/>
          </w:tcPr>
          <w:p>
            <w:pPr>
              <w:jc w:val="right"/>
              <w:ind w:right="60"/>
              <w:spacing w:after="0"/>
              <w:rPr>
                <w:sz w:val="20"/>
                <w:szCs w:val="20"/>
                <w:color w:val="auto"/>
              </w:rPr>
            </w:pPr>
            <w:r>
              <w:rPr>
                <w:rFonts w:ascii="Arial" w:cs="Arial" w:eastAsia="Arial" w:hAnsi="Arial"/>
                <w:sz w:val="14"/>
                <w:szCs w:val="14"/>
                <w:color w:val="auto"/>
              </w:rPr>
              <w:t>6,000</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0" w:type="dxa"/>
            <w:vAlign w:val="bottom"/>
            <w:gridSpan w:val="3"/>
          </w:tcPr>
          <w:p>
            <w:pPr>
              <w:jc w:val="right"/>
              <w:ind w:right="140"/>
              <w:spacing w:after="0"/>
              <w:rPr>
                <w:sz w:val="20"/>
                <w:szCs w:val="20"/>
                <w:color w:val="auto"/>
              </w:rPr>
            </w:pPr>
            <w:r>
              <w:rPr>
                <w:rFonts w:ascii="Arial" w:cs="Arial" w:eastAsia="Arial" w:hAnsi="Arial"/>
                <w:sz w:val="14"/>
                <w:szCs w:val="14"/>
                <w:color w:val="auto"/>
              </w:rPr>
              <w:t>104,250</w:t>
            </w:r>
          </w:p>
        </w:tc>
        <w:tc>
          <w:tcPr>
            <w:tcW w:w="0" w:type="dxa"/>
            <w:vAlign w:val="bottom"/>
          </w:tcPr>
          <w:p>
            <w:pPr>
              <w:spacing w:after="0"/>
              <w:rPr>
                <w:sz w:val="1"/>
                <w:szCs w:val="1"/>
                <w:color w:val="auto"/>
              </w:rPr>
            </w:pPr>
          </w:p>
        </w:tc>
      </w:tr>
      <w:tr>
        <w:trPr>
          <w:trHeight w:val="189"/>
        </w:trPr>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4"/>
                <w:szCs w:val="14"/>
                <w:color w:val="auto"/>
              </w:rPr>
              <w:t>2/26/2015</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3,000</w:t>
            </w:r>
          </w:p>
        </w:tc>
        <w:tc>
          <w:tcPr>
            <w:tcW w:w="180" w:type="dxa"/>
            <w:vAlign w:val="bottom"/>
          </w:tcPr>
          <w:p>
            <w:pPr>
              <w:jc w:val="right"/>
              <w:spacing w:after="0"/>
              <w:rPr>
                <w:sz w:val="20"/>
                <w:szCs w:val="20"/>
                <w:color w:val="auto"/>
              </w:rPr>
            </w:pPr>
            <w:r>
              <w:rPr>
                <w:rFonts w:ascii="Arial" w:cs="Arial" w:eastAsia="Arial" w:hAnsi="Arial"/>
                <w:sz w:val="12"/>
                <w:szCs w:val="12"/>
                <w:color w:val="auto"/>
                <w:w w:val="95"/>
              </w:rPr>
              <w:t>(3)</w:t>
            </w:r>
          </w:p>
        </w:tc>
        <w:tc>
          <w:tcPr>
            <w:tcW w:w="1100" w:type="dxa"/>
            <w:vAlign w:val="bottom"/>
            <w:gridSpan w:val="4"/>
          </w:tcPr>
          <w:p>
            <w:pPr>
              <w:jc w:val="right"/>
              <w:ind w:right="60"/>
              <w:spacing w:after="0"/>
              <w:rPr>
                <w:sz w:val="20"/>
                <w:szCs w:val="20"/>
                <w:color w:val="auto"/>
              </w:rPr>
            </w:pPr>
            <w:r>
              <w:rPr>
                <w:rFonts w:ascii="Arial" w:cs="Arial" w:eastAsia="Arial" w:hAnsi="Arial"/>
                <w:sz w:val="14"/>
                <w:szCs w:val="14"/>
                <w:color w:val="auto"/>
              </w:rPr>
              <w:t>6,000</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0" w:type="dxa"/>
            <w:vAlign w:val="bottom"/>
            <w:gridSpan w:val="3"/>
          </w:tcPr>
          <w:p>
            <w:pPr>
              <w:jc w:val="right"/>
              <w:ind w:right="140"/>
              <w:spacing w:after="0"/>
              <w:rPr>
                <w:sz w:val="20"/>
                <w:szCs w:val="20"/>
                <w:color w:val="auto"/>
              </w:rPr>
            </w:pPr>
            <w:r>
              <w:rPr>
                <w:rFonts w:ascii="Arial" w:cs="Arial" w:eastAsia="Arial" w:hAnsi="Arial"/>
                <w:sz w:val="14"/>
                <w:szCs w:val="14"/>
                <w:color w:val="auto"/>
              </w:rPr>
              <w:t>163,890</w:t>
            </w:r>
          </w:p>
        </w:tc>
        <w:tc>
          <w:tcPr>
            <w:tcW w:w="0" w:type="dxa"/>
            <w:vAlign w:val="bottom"/>
          </w:tcPr>
          <w:p>
            <w:pPr>
              <w:spacing w:after="0"/>
              <w:rPr>
                <w:sz w:val="1"/>
                <w:szCs w:val="1"/>
                <w:color w:val="auto"/>
              </w:rPr>
            </w:pPr>
          </w:p>
        </w:tc>
      </w:tr>
      <w:tr>
        <w:trPr>
          <w:trHeight w:val="188"/>
        </w:trPr>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4"/>
                <w:szCs w:val="14"/>
                <w:color w:val="auto"/>
              </w:rPr>
              <w:t>2/26/2015</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gridSpan w:val="2"/>
          </w:tcPr>
          <w:p>
            <w:pPr>
              <w:jc w:val="right"/>
              <w:ind w:right="48"/>
              <w:spacing w:after="0" w:line="188" w:lineRule="exact"/>
              <w:rPr>
                <w:sz w:val="20"/>
                <w:szCs w:val="20"/>
                <w:color w:val="auto"/>
              </w:rPr>
            </w:pPr>
            <w:r>
              <w:rPr>
                <w:rFonts w:ascii="Arial" w:cs="Arial" w:eastAsia="Arial" w:hAnsi="Arial"/>
                <w:sz w:val="13"/>
                <w:szCs w:val="13"/>
                <w:color w:val="auto"/>
              </w:rPr>
              <w:t xml:space="preserve">6,000 </w:t>
            </w:r>
            <w:r>
              <w:rPr>
                <w:rFonts w:ascii="Arial" w:cs="Arial" w:eastAsia="Arial" w:hAnsi="Arial"/>
                <w:sz w:val="21"/>
                <w:szCs w:val="21"/>
                <w:color w:val="auto"/>
                <w:vertAlign w:val="superscript"/>
              </w:rPr>
              <w:t>(5)</w:t>
            </w:r>
          </w:p>
        </w:tc>
        <w:tc>
          <w:tcPr>
            <w:tcW w:w="1400" w:type="dxa"/>
            <w:vAlign w:val="bottom"/>
            <w:gridSpan w:val="3"/>
          </w:tcPr>
          <w:p>
            <w:pPr>
              <w:jc w:val="right"/>
              <w:ind w:right="140"/>
              <w:spacing w:after="0"/>
              <w:rPr>
                <w:sz w:val="20"/>
                <w:szCs w:val="20"/>
                <w:color w:val="auto"/>
              </w:rPr>
            </w:pPr>
            <w:r>
              <w:rPr>
                <w:rFonts w:ascii="Arial" w:cs="Arial" w:eastAsia="Arial" w:hAnsi="Arial"/>
                <w:sz w:val="14"/>
                <w:szCs w:val="14"/>
                <w:color w:val="auto"/>
              </w:rPr>
              <w:t>208,500</w:t>
            </w:r>
          </w:p>
        </w:tc>
        <w:tc>
          <w:tcPr>
            <w:tcW w:w="0" w:type="dxa"/>
            <w:vAlign w:val="bottom"/>
          </w:tcPr>
          <w:p>
            <w:pPr>
              <w:spacing w:after="0"/>
              <w:rPr>
                <w:sz w:val="1"/>
                <w:szCs w:val="1"/>
                <w:color w:val="auto"/>
              </w:rPr>
            </w:pPr>
          </w:p>
        </w:tc>
      </w:tr>
      <w:tr>
        <w:trPr>
          <w:trHeight w:val="189"/>
        </w:trPr>
        <w:tc>
          <w:tcPr>
            <w:tcW w:w="1620" w:type="dxa"/>
            <w:vAlign w:val="bottom"/>
            <w:gridSpan w:val="2"/>
            <w:shd w:val="clear" w:color="auto" w:fill="B8CDE8"/>
          </w:tcPr>
          <w:p>
            <w:pPr>
              <w:ind w:left="100"/>
              <w:spacing w:after="0"/>
              <w:rPr>
                <w:sz w:val="20"/>
                <w:szCs w:val="20"/>
                <w:color w:val="auto"/>
              </w:rPr>
            </w:pPr>
            <w:r>
              <w:rPr>
                <w:rFonts w:ascii="Arial" w:cs="Arial" w:eastAsia="Arial" w:hAnsi="Arial"/>
                <w:sz w:val="14"/>
                <w:szCs w:val="14"/>
                <w:color w:val="auto"/>
              </w:rPr>
              <w:t>Henry Schweppe</w:t>
            </w:r>
          </w:p>
        </w:tc>
        <w:tc>
          <w:tcPr>
            <w:tcW w:w="100" w:type="dxa"/>
            <w:vAlign w:val="bottom"/>
            <w:shd w:val="clear" w:color="auto" w:fill="B8CDE8"/>
          </w:tcPr>
          <w:p>
            <w:pPr>
              <w:spacing w:after="0"/>
              <w:rPr>
                <w:sz w:val="16"/>
                <w:szCs w:val="16"/>
                <w:color w:val="auto"/>
              </w:rPr>
            </w:pPr>
          </w:p>
        </w:tc>
        <w:tc>
          <w:tcPr>
            <w:tcW w:w="74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960" w:type="dxa"/>
            <w:vAlign w:val="bottom"/>
            <w:shd w:val="clear" w:color="auto" w:fill="B8CDE8"/>
          </w:tcPr>
          <w:p>
            <w:pPr>
              <w:spacing w:after="0"/>
              <w:rPr>
                <w:sz w:val="16"/>
                <w:szCs w:val="16"/>
                <w:color w:val="auto"/>
              </w:rPr>
            </w:pPr>
          </w:p>
        </w:tc>
        <w:tc>
          <w:tcPr>
            <w:tcW w:w="1060" w:type="dxa"/>
            <w:vAlign w:val="bottom"/>
            <w:gridSpan w:val="3"/>
            <w:shd w:val="clear" w:color="auto" w:fill="B8CDE8"/>
          </w:tcPr>
          <w:p>
            <w:pPr>
              <w:jc w:val="right"/>
              <w:ind w:right="200"/>
              <w:spacing w:after="0"/>
              <w:rPr>
                <w:sz w:val="20"/>
                <w:szCs w:val="20"/>
                <w:color w:val="auto"/>
              </w:rPr>
            </w:pPr>
            <w:r>
              <w:rPr>
                <w:rFonts w:ascii="Arial" w:cs="Arial" w:eastAsia="Arial" w:hAnsi="Arial"/>
                <w:sz w:val="14"/>
                <w:szCs w:val="14"/>
                <w:color w:val="auto"/>
              </w:rPr>
              <w:t>337,500</w:t>
            </w:r>
          </w:p>
        </w:tc>
        <w:tc>
          <w:tcPr>
            <w:tcW w:w="1120" w:type="dxa"/>
            <w:vAlign w:val="bottom"/>
            <w:gridSpan w:val="2"/>
            <w:shd w:val="clear" w:color="auto" w:fill="B8CDE8"/>
          </w:tcPr>
          <w:p>
            <w:pPr>
              <w:jc w:val="right"/>
              <w:ind w:right="180"/>
              <w:spacing w:after="0"/>
              <w:rPr>
                <w:sz w:val="20"/>
                <w:szCs w:val="20"/>
                <w:color w:val="auto"/>
              </w:rPr>
            </w:pPr>
            <w:r>
              <w:rPr>
                <w:rFonts w:ascii="Arial" w:cs="Arial" w:eastAsia="Arial" w:hAnsi="Arial"/>
                <w:sz w:val="14"/>
                <w:szCs w:val="14"/>
                <w:color w:val="auto"/>
              </w:rPr>
              <w:t>675,000</w:t>
            </w:r>
          </w:p>
        </w:tc>
        <w:tc>
          <w:tcPr>
            <w:tcW w:w="960" w:type="dxa"/>
            <w:vAlign w:val="bottom"/>
            <w:shd w:val="clear" w:color="auto" w:fill="B8CDE8"/>
          </w:tcPr>
          <w:p>
            <w:pPr>
              <w:spacing w:after="0"/>
              <w:rPr>
                <w:sz w:val="16"/>
                <w:szCs w:val="16"/>
                <w:color w:val="auto"/>
              </w:rPr>
            </w:pPr>
          </w:p>
        </w:tc>
        <w:tc>
          <w:tcPr>
            <w:tcW w:w="220" w:type="dxa"/>
            <w:vAlign w:val="bottom"/>
            <w:shd w:val="clear" w:color="auto" w:fill="B8CDE8"/>
          </w:tcPr>
          <w:p>
            <w:pPr>
              <w:spacing w:after="0"/>
              <w:rPr>
                <w:sz w:val="16"/>
                <w:szCs w:val="16"/>
                <w:color w:val="auto"/>
              </w:rPr>
            </w:pPr>
          </w:p>
        </w:tc>
        <w:tc>
          <w:tcPr>
            <w:tcW w:w="640" w:type="dxa"/>
            <w:vAlign w:val="bottom"/>
            <w:shd w:val="clear" w:color="auto" w:fill="B8CDE8"/>
          </w:tcPr>
          <w:p>
            <w:pPr>
              <w:spacing w:after="0"/>
              <w:rPr>
                <w:sz w:val="16"/>
                <w:szCs w:val="16"/>
                <w:color w:val="auto"/>
              </w:rPr>
            </w:pPr>
          </w:p>
        </w:tc>
        <w:tc>
          <w:tcPr>
            <w:tcW w:w="180" w:type="dxa"/>
            <w:vAlign w:val="bottom"/>
            <w:shd w:val="clear" w:color="auto" w:fill="B8CDE8"/>
          </w:tcPr>
          <w:p>
            <w:pPr>
              <w:spacing w:after="0"/>
              <w:rPr>
                <w:sz w:val="16"/>
                <w:szCs w:val="16"/>
                <w:color w:val="auto"/>
              </w:rPr>
            </w:pPr>
          </w:p>
        </w:tc>
        <w:tc>
          <w:tcPr>
            <w:tcW w:w="160" w:type="dxa"/>
            <w:vAlign w:val="bottom"/>
            <w:shd w:val="clear" w:color="auto" w:fill="B8CDE8"/>
          </w:tcPr>
          <w:p>
            <w:pPr>
              <w:spacing w:after="0"/>
              <w:rPr>
                <w:sz w:val="16"/>
                <w:szCs w:val="16"/>
                <w:color w:val="auto"/>
              </w:rPr>
            </w:pPr>
          </w:p>
        </w:tc>
        <w:tc>
          <w:tcPr>
            <w:tcW w:w="84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1000" w:type="dxa"/>
            <w:vAlign w:val="bottom"/>
            <w:shd w:val="clear" w:color="auto" w:fill="B8CDE8"/>
          </w:tcPr>
          <w:p>
            <w:pPr>
              <w:spacing w:after="0"/>
              <w:rPr>
                <w:sz w:val="16"/>
                <w:szCs w:val="16"/>
                <w:color w:val="auto"/>
              </w:rPr>
            </w:pPr>
          </w:p>
        </w:tc>
        <w:tc>
          <w:tcPr>
            <w:tcW w:w="220" w:type="dxa"/>
            <w:vAlign w:val="bottom"/>
            <w:shd w:val="clear" w:color="auto" w:fill="B8CDE8"/>
          </w:tcPr>
          <w:p>
            <w:pPr>
              <w:spacing w:after="0"/>
              <w:rPr>
                <w:sz w:val="16"/>
                <w:szCs w:val="16"/>
                <w:color w:val="auto"/>
              </w:rPr>
            </w:pPr>
          </w:p>
        </w:tc>
        <w:tc>
          <w:tcPr>
            <w:tcW w:w="1020" w:type="dxa"/>
            <w:vAlign w:val="bottom"/>
            <w:shd w:val="clear" w:color="auto" w:fill="B8CDE8"/>
          </w:tcPr>
          <w:p>
            <w:pPr>
              <w:spacing w:after="0"/>
              <w:rPr>
                <w:sz w:val="16"/>
                <w:szCs w:val="16"/>
                <w:color w:val="auto"/>
              </w:rPr>
            </w:pPr>
          </w:p>
        </w:tc>
        <w:tc>
          <w:tcPr>
            <w:tcW w:w="160" w:type="dxa"/>
            <w:vAlign w:val="bottom"/>
            <w:shd w:val="clear" w:color="auto" w:fill="B8CDE8"/>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0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960" w:type="dxa"/>
            <w:vAlign w:val="bottom"/>
            <w:gridSpan w:val="3"/>
            <w:shd w:val="clear" w:color="auto" w:fill="B8CDE8"/>
          </w:tcPr>
          <w:p>
            <w:pPr>
              <w:jc w:val="right"/>
              <w:ind w:right="100"/>
              <w:spacing w:after="0"/>
              <w:rPr>
                <w:sz w:val="20"/>
                <w:szCs w:val="20"/>
                <w:color w:val="auto"/>
              </w:rPr>
            </w:pPr>
            <w:r>
              <w:rPr>
                <w:rFonts w:ascii="Arial" w:cs="Arial" w:eastAsia="Arial" w:hAnsi="Arial"/>
                <w:sz w:val="14"/>
                <w:szCs w:val="14"/>
                <w:color w:val="auto"/>
              </w:rPr>
              <w:t>2/26/2015</w:t>
            </w:r>
          </w:p>
        </w:tc>
        <w:tc>
          <w:tcPr>
            <w:tcW w:w="100" w:type="dxa"/>
            <w:vAlign w:val="bottom"/>
            <w:shd w:val="clear" w:color="auto" w:fill="B8CDE8"/>
          </w:tcPr>
          <w:p>
            <w:pPr>
              <w:spacing w:after="0"/>
              <w:rPr>
                <w:sz w:val="16"/>
                <w:szCs w:val="16"/>
                <w:color w:val="auto"/>
              </w:rPr>
            </w:pPr>
          </w:p>
        </w:tc>
        <w:tc>
          <w:tcPr>
            <w:tcW w:w="960" w:type="dxa"/>
            <w:vAlign w:val="bottom"/>
            <w:shd w:val="clear" w:color="auto" w:fill="B8CDE8"/>
          </w:tcPr>
          <w:p>
            <w:pPr>
              <w:spacing w:after="0"/>
              <w:rPr>
                <w:sz w:val="16"/>
                <w:szCs w:val="16"/>
                <w:color w:val="auto"/>
              </w:rPr>
            </w:pPr>
          </w:p>
        </w:tc>
        <w:tc>
          <w:tcPr>
            <w:tcW w:w="220" w:type="dxa"/>
            <w:vAlign w:val="bottom"/>
            <w:shd w:val="clear" w:color="auto" w:fill="B8CDE8"/>
          </w:tcPr>
          <w:p>
            <w:pPr>
              <w:spacing w:after="0"/>
              <w:rPr>
                <w:sz w:val="16"/>
                <w:szCs w:val="16"/>
                <w:color w:val="auto"/>
              </w:rPr>
            </w:pPr>
          </w:p>
        </w:tc>
        <w:tc>
          <w:tcPr>
            <w:tcW w:w="620" w:type="dxa"/>
            <w:vAlign w:val="bottom"/>
            <w:shd w:val="clear" w:color="auto" w:fill="B8CDE8"/>
          </w:tcPr>
          <w:p>
            <w:pPr>
              <w:spacing w:after="0"/>
              <w:rPr>
                <w:sz w:val="16"/>
                <w:szCs w:val="16"/>
                <w:color w:val="auto"/>
              </w:rPr>
            </w:pPr>
          </w:p>
        </w:tc>
        <w:tc>
          <w:tcPr>
            <w:tcW w:w="22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200" w:type="dxa"/>
            <w:vAlign w:val="bottom"/>
            <w:shd w:val="clear" w:color="auto" w:fill="B8CDE8"/>
          </w:tcPr>
          <w:p>
            <w:pPr>
              <w:spacing w:after="0"/>
              <w:rPr>
                <w:sz w:val="16"/>
                <w:szCs w:val="16"/>
                <w:color w:val="auto"/>
              </w:rPr>
            </w:pPr>
          </w:p>
        </w:tc>
        <w:tc>
          <w:tcPr>
            <w:tcW w:w="960" w:type="dxa"/>
            <w:vAlign w:val="bottom"/>
            <w:shd w:val="clear" w:color="auto" w:fill="B8CDE8"/>
          </w:tcPr>
          <w:p>
            <w:pPr>
              <w:spacing w:after="0"/>
              <w:rPr>
                <w:sz w:val="16"/>
                <w:szCs w:val="16"/>
                <w:color w:val="auto"/>
              </w:rPr>
            </w:pPr>
          </w:p>
        </w:tc>
        <w:tc>
          <w:tcPr>
            <w:tcW w:w="86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3,750</w:t>
            </w:r>
          </w:p>
        </w:tc>
        <w:tc>
          <w:tcPr>
            <w:tcW w:w="180" w:type="dxa"/>
            <w:vAlign w:val="bottom"/>
            <w:shd w:val="clear" w:color="auto" w:fill="B8CDE8"/>
          </w:tcPr>
          <w:p>
            <w:pPr>
              <w:jc w:val="right"/>
              <w:spacing w:after="0"/>
              <w:rPr>
                <w:sz w:val="20"/>
                <w:szCs w:val="20"/>
                <w:color w:val="auto"/>
              </w:rPr>
            </w:pPr>
            <w:r>
              <w:rPr>
                <w:rFonts w:ascii="Arial" w:cs="Arial" w:eastAsia="Arial" w:hAnsi="Arial"/>
                <w:sz w:val="12"/>
                <w:szCs w:val="12"/>
                <w:color w:val="auto"/>
                <w:w w:val="95"/>
              </w:rPr>
              <w:t>(2)</w:t>
            </w:r>
          </w:p>
        </w:tc>
        <w:tc>
          <w:tcPr>
            <w:tcW w:w="1100" w:type="dxa"/>
            <w:vAlign w:val="bottom"/>
            <w:gridSpan w:val="4"/>
            <w:shd w:val="clear" w:color="auto" w:fill="B8CDE8"/>
          </w:tcPr>
          <w:p>
            <w:pPr>
              <w:jc w:val="right"/>
              <w:ind w:right="60"/>
              <w:spacing w:after="0"/>
              <w:rPr>
                <w:sz w:val="20"/>
                <w:szCs w:val="20"/>
                <w:color w:val="auto"/>
              </w:rPr>
            </w:pPr>
            <w:r>
              <w:rPr>
                <w:rFonts w:ascii="Arial" w:cs="Arial" w:eastAsia="Arial" w:hAnsi="Arial"/>
                <w:sz w:val="14"/>
                <w:szCs w:val="14"/>
                <w:color w:val="auto"/>
              </w:rPr>
              <w:t>7,500</w:t>
            </w:r>
          </w:p>
        </w:tc>
        <w:tc>
          <w:tcPr>
            <w:tcW w:w="100" w:type="dxa"/>
            <w:vAlign w:val="bottom"/>
            <w:shd w:val="clear" w:color="auto" w:fill="B8CDE8"/>
          </w:tcPr>
          <w:p>
            <w:pPr>
              <w:spacing w:after="0"/>
              <w:rPr>
                <w:sz w:val="16"/>
                <w:szCs w:val="16"/>
                <w:color w:val="auto"/>
              </w:rPr>
            </w:pPr>
          </w:p>
        </w:tc>
        <w:tc>
          <w:tcPr>
            <w:tcW w:w="1000" w:type="dxa"/>
            <w:vAlign w:val="bottom"/>
            <w:shd w:val="clear" w:color="auto" w:fill="B8CDE8"/>
          </w:tcPr>
          <w:p>
            <w:pPr>
              <w:spacing w:after="0"/>
              <w:rPr>
                <w:sz w:val="16"/>
                <w:szCs w:val="16"/>
                <w:color w:val="auto"/>
              </w:rPr>
            </w:pPr>
          </w:p>
        </w:tc>
        <w:tc>
          <w:tcPr>
            <w:tcW w:w="1400" w:type="dxa"/>
            <w:vAlign w:val="bottom"/>
            <w:gridSpan w:val="3"/>
            <w:shd w:val="clear" w:color="auto" w:fill="B8CDE8"/>
          </w:tcPr>
          <w:p>
            <w:pPr>
              <w:jc w:val="right"/>
              <w:ind w:right="140"/>
              <w:spacing w:after="0"/>
              <w:rPr>
                <w:sz w:val="20"/>
                <w:szCs w:val="20"/>
                <w:color w:val="auto"/>
              </w:rPr>
            </w:pPr>
            <w:r>
              <w:rPr>
                <w:rFonts w:ascii="Arial" w:cs="Arial" w:eastAsia="Arial" w:hAnsi="Arial"/>
                <w:sz w:val="14"/>
                <w:szCs w:val="14"/>
                <w:color w:val="auto"/>
              </w:rPr>
              <w:t>130,313</w:t>
            </w:r>
          </w:p>
        </w:tc>
        <w:tc>
          <w:tcPr>
            <w:tcW w:w="0" w:type="dxa"/>
            <w:vAlign w:val="bottom"/>
          </w:tcPr>
          <w:p>
            <w:pPr>
              <w:spacing w:after="0"/>
              <w:rPr>
                <w:sz w:val="1"/>
                <w:szCs w:val="1"/>
                <w:color w:val="auto"/>
              </w:rPr>
            </w:pPr>
          </w:p>
        </w:tc>
      </w:tr>
      <w:tr>
        <w:trPr>
          <w:trHeight w:val="189"/>
        </w:trPr>
        <w:tc>
          <w:tcPr>
            <w:tcW w:w="150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960" w:type="dxa"/>
            <w:vAlign w:val="bottom"/>
            <w:gridSpan w:val="3"/>
            <w:shd w:val="clear" w:color="auto" w:fill="B8CDE8"/>
          </w:tcPr>
          <w:p>
            <w:pPr>
              <w:jc w:val="right"/>
              <w:ind w:right="100"/>
              <w:spacing w:after="0"/>
              <w:rPr>
                <w:sz w:val="20"/>
                <w:szCs w:val="20"/>
                <w:color w:val="auto"/>
              </w:rPr>
            </w:pPr>
            <w:r>
              <w:rPr>
                <w:rFonts w:ascii="Arial" w:cs="Arial" w:eastAsia="Arial" w:hAnsi="Arial"/>
                <w:sz w:val="14"/>
                <w:szCs w:val="14"/>
                <w:color w:val="auto"/>
              </w:rPr>
              <w:t>2/26/2015</w:t>
            </w:r>
          </w:p>
        </w:tc>
        <w:tc>
          <w:tcPr>
            <w:tcW w:w="100" w:type="dxa"/>
            <w:vAlign w:val="bottom"/>
            <w:shd w:val="clear" w:color="auto" w:fill="B8CDE8"/>
          </w:tcPr>
          <w:p>
            <w:pPr>
              <w:spacing w:after="0"/>
              <w:rPr>
                <w:sz w:val="16"/>
                <w:szCs w:val="16"/>
                <w:color w:val="auto"/>
              </w:rPr>
            </w:pPr>
          </w:p>
        </w:tc>
        <w:tc>
          <w:tcPr>
            <w:tcW w:w="960" w:type="dxa"/>
            <w:vAlign w:val="bottom"/>
            <w:shd w:val="clear" w:color="auto" w:fill="B8CDE8"/>
          </w:tcPr>
          <w:p>
            <w:pPr>
              <w:spacing w:after="0"/>
              <w:rPr>
                <w:sz w:val="16"/>
                <w:szCs w:val="16"/>
                <w:color w:val="auto"/>
              </w:rPr>
            </w:pPr>
          </w:p>
        </w:tc>
        <w:tc>
          <w:tcPr>
            <w:tcW w:w="220" w:type="dxa"/>
            <w:vAlign w:val="bottom"/>
            <w:shd w:val="clear" w:color="auto" w:fill="B8CDE8"/>
          </w:tcPr>
          <w:p>
            <w:pPr>
              <w:spacing w:after="0"/>
              <w:rPr>
                <w:sz w:val="16"/>
                <w:szCs w:val="16"/>
                <w:color w:val="auto"/>
              </w:rPr>
            </w:pPr>
          </w:p>
        </w:tc>
        <w:tc>
          <w:tcPr>
            <w:tcW w:w="620" w:type="dxa"/>
            <w:vAlign w:val="bottom"/>
            <w:shd w:val="clear" w:color="auto" w:fill="B8CDE8"/>
          </w:tcPr>
          <w:p>
            <w:pPr>
              <w:spacing w:after="0"/>
              <w:rPr>
                <w:sz w:val="16"/>
                <w:szCs w:val="16"/>
                <w:color w:val="auto"/>
              </w:rPr>
            </w:pPr>
          </w:p>
        </w:tc>
        <w:tc>
          <w:tcPr>
            <w:tcW w:w="22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200" w:type="dxa"/>
            <w:vAlign w:val="bottom"/>
            <w:shd w:val="clear" w:color="auto" w:fill="B8CDE8"/>
          </w:tcPr>
          <w:p>
            <w:pPr>
              <w:spacing w:after="0"/>
              <w:rPr>
                <w:sz w:val="16"/>
                <w:szCs w:val="16"/>
                <w:color w:val="auto"/>
              </w:rPr>
            </w:pPr>
          </w:p>
        </w:tc>
        <w:tc>
          <w:tcPr>
            <w:tcW w:w="960" w:type="dxa"/>
            <w:vAlign w:val="bottom"/>
            <w:shd w:val="clear" w:color="auto" w:fill="B8CDE8"/>
          </w:tcPr>
          <w:p>
            <w:pPr>
              <w:spacing w:after="0"/>
              <w:rPr>
                <w:sz w:val="16"/>
                <w:szCs w:val="16"/>
                <w:color w:val="auto"/>
              </w:rPr>
            </w:pPr>
          </w:p>
        </w:tc>
        <w:tc>
          <w:tcPr>
            <w:tcW w:w="86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3,750</w:t>
            </w:r>
          </w:p>
        </w:tc>
        <w:tc>
          <w:tcPr>
            <w:tcW w:w="180" w:type="dxa"/>
            <w:vAlign w:val="bottom"/>
            <w:shd w:val="clear" w:color="auto" w:fill="B8CDE8"/>
          </w:tcPr>
          <w:p>
            <w:pPr>
              <w:jc w:val="right"/>
              <w:spacing w:after="0"/>
              <w:rPr>
                <w:sz w:val="20"/>
                <w:szCs w:val="20"/>
                <w:color w:val="auto"/>
              </w:rPr>
            </w:pPr>
            <w:r>
              <w:rPr>
                <w:rFonts w:ascii="Arial" w:cs="Arial" w:eastAsia="Arial" w:hAnsi="Arial"/>
                <w:sz w:val="12"/>
                <w:szCs w:val="12"/>
                <w:color w:val="auto"/>
                <w:w w:val="95"/>
              </w:rPr>
              <w:t>(3)</w:t>
            </w:r>
          </w:p>
        </w:tc>
        <w:tc>
          <w:tcPr>
            <w:tcW w:w="1100" w:type="dxa"/>
            <w:vAlign w:val="bottom"/>
            <w:gridSpan w:val="4"/>
            <w:shd w:val="clear" w:color="auto" w:fill="B8CDE8"/>
          </w:tcPr>
          <w:p>
            <w:pPr>
              <w:jc w:val="right"/>
              <w:ind w:right="60"/>
              <w:spacing w:after="0"/>
              <w:rPr>
                <w:sz w:val="20"/>
                <w:szCs w:val="20"/>
                <w:color w:val="auto"/>
              </w:rPr>
            </w:pPr>
            <w:r>
              <w:rPr>
                <w:rFonts w:ascii="Arial" w:cs="Arial" w:eastAsia="Arial" w:hAnsi="Arial"/>
                <w:sz w:val="14"/>
                <w:szCs w:val="14"/>
                <w:color w:val="auto"/>
              </w:rPr>
              <w:t>7,500</w:t>
            </w:r>
          </w:p>
        </w:tc>
        <w:tc>
          <w:tcPr>
            <w:tcW w:w="100" w:type="dxa"/>
            <w:vAlign w:val="bottom"/>
            <w:shd w:val="clear" w:color="auto" w:fill="B8CDE8"/>
          </w:tcPr>
          <w:p>
            <w:pPr>
              <w:spacing w:after="0"/>
              <w:rPr>
                <w:sz w:val="16"/>
                <w:szCs w:val="16"/>
                <w:color w:val="auto"/>
              </w:rPr>
            </w:pPr>
          </w:p>
        </w:tc>
        <w:tc>
          <w:tcPr>
            <w:tcW w:w="1000" w:type="dxa"/>
            <w:vAlign w:val="bottom"/>
            <w:shd w:val="clear" w:color="auto" w:fill="B8CDE8"/>
          </w:tcPr>
          <w:p>
            <w:pPr>
              <w:spacing w:after="0"/>
              <w:rPr>
                <w:sz w:val="16"/>
                <w:szCs w:val="16"/>
                <w:color w:val="auto"/>
              </w:rPr>
            </w:pPr>
          </w:p>
        </w:tc>
        <w:tc>
          <w:tcPr>
            <w:tcW w:w="1400" w:type="dxa"/>
            <w:vAlign w:val="bottom"/>
            <w:gridSpan w:val="3"/>
            <w:shd w:val="clear" w:color="auto" w:fill="B8CDE8"/>
          </w:tcPr>
          <w:p>
            <w:pPr>
              <w:jc w:val="right"/>
              <w:ind w:right="140"/>
              <w:spacing w:after="0"/>
              <w:rPr>
                <w:sz w:val="20"/>
                <w:szCs w:val="20"/>
                <w:color w:val="auto"/>
              </w:rPr>
            </w:pPr>
            <w:r>
              <w:rPr>
                <w:rFonts w:ascii="Arial" w:cs="Arial" w:eastAsia="Arial" w:hAnsi="Arial"/>
                <w:sz w:val="14"/>
                <w:szCs w:val="14"/>
                <w:color w:val="auto"/>
              </w:rPr>
              <w:t>204,863</w:t>
            </w:r>
          </w:p>
        </w:tc>
        <w:tc>
          <w:tcPr>
            <w:tcW w:w="0" w:type="dxa"/>
            <w:vAlign w:val="bottom"/>
          </w:tcPr>
          <w:p>
            <w:pPr>
              <w:spacing w:after="0"/>
              <w:rPr>
                <w:sz w:val="1"/>
                <w:szCs w:val="1"/>
                <w:color w:val="auto"/>
              </w:rPr>
            </w:pPr>
          </w:p>
        </w:tc>
      </w:tr>
      <w:tr>
        <w:trPr>
          <w:trHeight w:val="189"/>
        </w:trPr>
        <w:tc>
          <w:tcPr>
            <w:tcW w:w="150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960" w:type="dxa"/>
            <w:vAlign w:val="bottom"/>
            <w:gridSpan w:val="3"/>
            <w:shd w:val="clear" w:color="auto" w:fill="B8CDE8"/>
          </w:tcPr>
          <w:p>
            <w:pPr>
              <w:jc w:val="right"/>
              <w:ind w:right="100"/>
              <w:spacing w:after="0"/>
              <w:rPr>
                <w:sz w:val="20"/>
                <w:szCs w:val="20"/>
                <w:color w:val="auto"/>
              </w:rPr>
            </w:pPr>
            <w:r>
              <w:rPr>
                <w:rFonts w:ascii="Arial" w:cs="Arial" w:eastAsia="Arial" w:hAnsi="Arial"/>
                <w:sz w:val="14"/>
                <w:szCs w:val="14"/>
                <w:color w:val="auto"/>
              </w:rPr>
              <w:t>2/26/2015</w:t>
            </w:r>
          </w:p>
        </w:tc>
        <w:tc>
          <w:tcPr>
            <w:tcW w:w="100" w:type="dxa"/>
            <w:vAlign w:val="bottom"/>
            <w:shd w:val="clear" w:color="auto" w:fill="B8CDE8"/>
          </w:tcPr>
          <w:p>
            <w:pPr>
              <w:spacing w:after="0"/>
              <w:rPr>
                <w:sz w:val="16"/>
                <w:szCs w:val="16"/>
                <w:color w:val="auto"/>
              </w:rPr>
            </w:pPr>
          </w:p>
        </w:tc>
        <w:tc>
          <w:tcPr>
            <w:tcW w:w="960" w:type="dxa"/>
            <w:vAlign w:val="bottom"/>
            <w:shd w:val="clear" w:color="auto" w:fill="B8CDE8"/>
          </w:tcPr>
          <w:p>
            <w:pPr>
              <w:spacing w:after="0"/>
              <w:rPr>
                <w:sz w:val="16"/>
                <w:szCs w:val="16"/>
                <w:color w:val="auto"/>
              </w:rPr>
            </w:pPr>
          </w:p>
        </w:tc>
        <w:tc>
          <w:tcPr>
            <w:tcW w:w="220" w:type="dxa"/>
            <w:vAlign w:val="bottom"/>
            <w:shd w:val="clear" w:color="auto" w:fill="B8CDE8"/>
          </w:tcPr>
          <w:p>
            <w:pPr>
              <w:spacing w:after="0"/>
              <w:rPr>
                <w:sz w:val="16"/>
                <w:szCs w:val="16"/>
                <w:color w:val="auto"/>
              </w:rPr>
            </w:pPr>
          </w:p>
        </w:tc>
        <w:tc>
          <w:tcPr>
            <w:tcW w:w="620" w:type="dxa"/>
            <w:vAlign w:val="bottom"/>
            <w:shd w:val="clear" w:color="auto" w:fill="B8CDE8"/>
          </w:tcPr>
          <w:p>
            <w:pPr>
              <w:spacing w:after="0"/>
              <w:rPr>
                <w:sz w:val="16"/>
                <w:szCs w:val="16"/>
                <w:color w:val="auto"/>
              </w:rPr>
            </w:pPr>
          </w:p>
        </w:tc>
        <w:tc>
          <w:tcPr>
            <w:tcW w:w="22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200" w:type="dxa"/>
            <w:vAlign w:val="bottom"/>
            <w:shd w:val="clear" w:color="auto" w:fill="B8CDE8"/>
          </w:tcPr>
          <w:p>
            <w:pPr>
              <w:spacing w:after="0"/>
              <w:rPr>
                <w:sz w:val="16"/>
                <w:szCs w:val="16"/>
                <w:color w:val="auto"/>
              </w:rPr>
            </w:pPr>
          </w:p>
        </w:tc>
        <w:tc>
          <w:tcPr>
            <w:tcW w:w="960" w:type="dxa"/>
            <w:vAlign w:val="bottom"/>
            <w:shd w:val="clear" w:color="auto" w:fill="B8CDE8"/>
          </w:tcPr>
          <w:p>
            <w:pPr>
              <w:spacing w:after="0"/>
              <w:rPr>
                <w:sz w:val="16"/>
                <w:szCs w:val="16"/>
                <w:color w:val="auto"/>
              </w:rPr>
            </w:pPr>
          </w:p>
        </w:tc>
        <w:tc>
          <w:tcPr>
            <w:tcW w:w="220" w:type="dxa"/>
            <w:vAlign w:val="bottom"/>
            <w:shd w:val="clear" w:color="auto" w:fill="B8CDE8"/>
          </w:tcPr>
          <w:p>
            <w:pPr>
              <w:spacing w:after="0"/>
              <w:rPr>
                <w:sz w:val="16"/>
                <w:szCs w:val="16"/>
                <w:color w:val="auto"/>
              </w:rPr>
            </w:pPr>
          </w:p>
        </w:tc>
        <w:tc>
          <w:tcPr>
            <w:tcW w:w="640" w:type="dxa"/>
            <w:vAlign w:val="bottom"/>
            <w:shd w:val="clear" w:color="auto" w:fill="B8CDE8"/>
          </w:tcPr>
          <w:p>
            <w:pPr>
              <w:spacing w:after="0"/>
              <w:rPr>
                <w:sz w:val="16"/>
                <w:szCs w:val="16"/>
                <w:color w:val="auto"/>
              </w:rPr>
            </w:pPr>
          </w:p>
        </w:tc>
        <w:tc>
          <w:tcPr>
            <w:tcW w:w="180" w:type="dxa"/>
            <w:vAlign w:val="bottom"/>
            <w:shd w:val="clear" w:color="auto" w:fill="B8CDE8"/>
          </w:tcPr>
          <w:p>
            <w:pPr>
              <w:spacing w:after="0"/>
              <w:rPr>
                <w:sz w:val="16"/>
                <w:szCs w:val="16"/>
                <w:color w:val="auto"/>
              </w:rPr>
            </w:pPr>
          </w:p>
        </w:tc>
        <w:tc>
          <w:tcPr>
            <w:tcW w:w="160" w:type="dxa"/>
            <w:vAlign w:val="bottom"/>
            <w:shd w:val="clear" w:color="auto" w:fill="B8CDE8"/>
          </w:tcPr>
          <w:p>
            <w:pPr>
              <w:spacing w:after="0"/>
              <w:rPr>
                <w:sz w:val="16"/>
                <w:szCs w:val="16"/>
                <w:color w:val="auto"/>
              </w:rPr>
            </w:pPr>
          </w:p>
        </w:tc>
        <w:tc>
          <w:tcPr>
            <w:tcW w:w="84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100" w:type="dxa"/>
            <w:vAlign w:val="bottom"/>
            <w:gridSpan w:val="2"/>
            <w:shd w:val="clear" w:color="auto" w:fill="B8CDE8"/>
          </w:tcPr>
          <w:p>
            <w:pPr>
              <w:jc w:val="right"/>
              <w:ind w:right="48"/>
              <w:spacing w:after="0" w:line="189" w:lineRule="exact"/>
              <w:rPr>
                <w:sz w:val="20"/>
                <w:szCs w:val="20"/>
                <w:color w:val="auto"/>
              </w:rPr>
            </w:pPr>
            <w:r>
              <w:rPr>
                <w:rFonts w:ascii="Arial" w:cs="Arial" w:eastAsia="Arial" w:hAnsi="Arial"/>
                <w:sz w:val="13"/>
                <w:szCs w:val="13"/>
                <w:color w:val="auto"/>
              </w:rPr>
              <w:t xml:space="preserve">7,500 </w:t>
            </w:r>
            <w:r>
              <w:rPr>
                <w:rFonts w:ascii="Arial" w:cs="Arial" w:eastAsia="Arial" w:hAnsi="Arial"/>
                <w:sz w:val="21"/>
                <w:szCs w:val="21"/>
                <w:color w:val="auto"/>
                <w:vertAlign w:val="superscript"/>
              </w:rPr>
              <w:t>(5)</w:t>
            </w:r>
          </w:p>
        </w:tc>
        <w:tc>
          <w:tcPr>
            <w:tcW w:w="1400" w:type="dxa"/>
            <w:vAlign w:val="bottom"/>
            <w:gridSpan w:val="3"/>
            <w:shd w:val="clear" w:color="auto" w:fill="B8CDE8"/>
          </w:tcPr>
          <w:p>
            <w:pPr>
              <w:jc w:val="right"/>
              <w:ind w:right="140"/>
              <w:spacing w:after="0"/>
              <w:rPr>
                <w:sz w:val="20"/>
                <w:szCs w:val="20"/>
                <w:color w:val="auto"/>
              </w:rPr>
            </w:pPr>
            <w:r>
              <w:rPr>
                <w:rFonts w:ascii="Arial" w:cs="Arial" w:eastAsia="Arial" w:hAnsi="Arial"/>
                <w:sz w:val="14"/>
                <w:szCs w:val="14"/>
                <w:color w:val="auto"/>
              </w:rPr>
              <w:t>260,625</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660" w:right="100" w:hanging="652"/>
        <w:spacing w:after="0" w:line="241" w:lineRule="auto"/>
        <w:tabs>
          <w:tab w:leader="none" w:pos="6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These amounts reflect the target and maximum cash incentive bonuses set for 2015. For details of our annual incentive bonus program, see “Compensation Discussion and Analysis – Incentive Bonus” beginning on page 32.</w:t>
      </w:r>
    </w:p>
    <w:p>
      <w:pPr>
        <w:ind w:left="660" w:hanging="652"/>
        <w:spacing w:after="0"/>
        <w:tabs>
          <w:tab w:leader="none" w:pos="6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Represents annual awards of Revenue-Linked PRSUs granted under the 2015 Plan, subject to the vesting set forth in footnote 7.</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Represents annual awards of Relative TSR-Linked PRSUs granted under the 2015 Plan, subject to the vesting set forth in footnote 7.</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Represents one-time Stock Price Performance Award granted under the 2006 Plan, subject to the vesting set forth in footnote 7.</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Represents annual awards of restricted stock units granted under the 2015 Plan, subject to the vesting set forth in footnote 7.</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9" w:right="239" w:bottom="1440" w:gutter="0" w:footer="0" w:header="0"/>
        </w:sectPr>
      </w:pPr>
    </w:p>
    <w:bookmarkStart w:id="48" w:name="page49"/>
    <w:bookmarkEnd w:id="48"/>
    <w:p>
      <w:pPr>
        <w:ind w:left="660" w:hanging="652"/>
        <w:spacing w:after="0"/>
        <w:tabs>
          <w:tab w:leader="none" w:pos="6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grant date fair value of the estimated future payouts under equity incentive plan awards are based on the Monte Carlo value.</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vesting schedules of the stock grants mentioned in the table are as follows (subject to continued employment through each applicable vesting date):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128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42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Vesting</w:t>
            </w:r>
          </w:p>
        </w:tc>
        <w:tc>
          <w:tcPr>
            <w:tcW w:w="100" w:type="dxa"/>
            <w:vAlign w:val="bottom"/>
            <w:shd w:val="clear" w:color="auto" w:fill="5591C7"/>
          </w:tcPr>
          <w:p>
            <w:pPr>
              <w:spacing w:after="0"/>
              <w:rPr>
                <w:sz w:val="14"/>
                <w:szCs w:val="14"/>
                <w:color w:val="auto"/>
              </w:rPr>
            </w:pPr>
          </w:p>
        </w:tc>
        <w:tc>
          <w:tcPr>
            <w:tcW w:w="596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r>
      <w:tr>
        <w:trPr>
          <w:trHeight w:val="182"/>
        </w:trPr>
        <w:tc>
          <w:tcPr>
            <w:tcW w:w="2300" w:type="dxa"/>
            <w:vAlign w:val="bottom"/>
            <w:tcBorders>
              <w:bottom w:val="single" w:sz="8" w:color="auto"/>
            </w:tcBorders>
            <w:shd w:val="clear" w:color="auto" w:fill="5591C7"/>
          </w:tcPr>
          <w:p>
            <w:pPr>
              <w:ind w:left="96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5591C7"/>
            </w:tcBorders>
            <w:shd w:val="clear" w:color="auto" w:fill="5591C7"/>
          </w:tcPr>
          <w:p>
            <w:pPr>
              <w:spacing w:after="0"/>
              <w:rPr>
                <w:sz w:val="15"/>
                <w:szCs w:val="15"/>
                <w:color w:val="auto"/>
              </w:rPr>
            </w:pPr>
          </w:p>
        </w:tc>
        <w:tc>
          <w:tcPr>
            <w:tcW w:w="40" w:type="dxa"/>
            <w:vAlign w:val="bottom"/>
            <w:tcBorders>
              <w:bottom w:val="single" w:sz="8" w:color="5591C7"/>
            </w:tcBorders>
            <w:shd w:val="clear" w:color="auto" w:fill="5591C7"/>
          </w:tcPr>
          <w:p>
            <w:pPr>
              <w:spacing w:after="0"/>
              <w:rPr>
                <w:sz w:val="15"/>
                <w:szCs w:val="15"/>
                <w:color w:val="auto"/>
              </w:rPr>
            </w:pPr>
          </w:p>
        </w:tc>
        <w:tc>
          <w:tcPr>
            <w:tcW w:w="128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Grant Date</w:t>
            </w:r>
          </w:p>
        </w:tc>
        <w:tc>
          <w:tcPr>
            <w:tcW w:w="40" w:type="dxa"/>
            <w:vAlign w:val="bottom"/>
            <w:tcBorders>
              <w:bottom w:val="single" w:sz="8" w:color="5591C7"/>
            </w:tcBorders>
            <w:shd w:val="clear" w:color="auto" w:fill="5591C7"/>
          </w:tcPr>
          <w:p>
            <w:pPr>
              <w:spacing w:after="0"/>
              <w:rPr>
                <w:sz w:val="15"/>
                <w:szCs w:val="15"/>
                <w:color w:val="auto"/>
              </w:rPr>
            </w:pPr>
          </w:p>
        </w:tc>
        <w:tc>
          <w:tcPr>
            <w:tcW w:w="60" w:type="dxa"/>
            <w:vAlign w:val="bottom"/>
            <w:tcBorders>
              <w:bottom w:val="single" w:sz="8" w:color="5591C7"/>
            </w:tcBorders>
            <w:shd w:val="clear" w:color="auto" w:fill="5591C7"/>
          </w:tcPr>
          <w:p>
            <w:pPr>
              <w:spacing w:after="0"/>
              <w:rPr>
                <w:sz w:val="15"/>
                <w:szCs w:val="15"/>
                <w:color w:val="auto"/>
              </w:rPr>
            </w:pPr>
          </w:p>
        </w:tc>
        <w:tc>
          <w:tcPr>
            <w:tcW w:w="136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Start Date</w:t>
            </w:r>
          </w:p>
        </w:tc>
        <w:tc>
          <w:tcPr>
            <w:tcW w:w="60" w:type="dxa"/>
            <w:vAlign w:val="bottom"/>
            <w:tcBorders>
              <w:bottom w:val="single" w:sz="8" w:color="5591C7"/>
            </w:tcBorders>
            <w:shd w:val="clear" w:color="auto" w:fill="5591C7"/>
          </w:tcPr>
          <w:p>
            <w:pPr>
              <w:spacing w:after="0"/>
              <w:rPr>
                <w:sz w:val="15"/>
                <w:szCs w:val="15"/>
                <w:color w:val="auto"/>
              </w:rPr>
            </w:pPr>
          </w:p>
        </w:tc>
        <w:tc>
          <w:tcPr>
            <w:tcW w:w="100" w:type="dxa"/>
            <w:vAlign w:val="bottom"/>
            <w:tcBorders>
              <w:bottom w:val="single" w:sz="8" w:color="5591C7"/>
            </w:tcBorders>
            <w:shd w:val="clear" w:color="auto" w:fill="5591C7"/>
          </w:tcPr>
          <w:p>
            <w:pPr>
              <w:spacing w:after="0"/>
              <w:rPr>
                <w:sz w:val="15"/>
                <w:szCs w:val="15"/>
                <w:color w:val="auto"/>
              </w:rPr>
            </w:pPr>
          </w:p>
        </w:tc>
        <w:tc>
          <w:tcPr>
            <w:tcW w:w="5960" w:type="dxa"/>
            <w:vAlign w:val="bottom"/>
            <w:tcBorders>
              <w:bottom w:val="single" w:sz="8" w:color="auto"/>
            </w:tcBorders>
            <w:shd w:val="clear" w:color="auto" w:fill="5591C7"/>
          </w:tcPr>
          <w:p>
            <w:pPr>
              <w:ind w:left="2380"/>
              <w:spacing w:after="0"/>
              <w:rPr>
                <w:sz w:val="20"/>
                <w:szCs w:val="20"/>
                <w:color w:val="auto"/>
              </w:rPr>
            </w:pPr>
            <w:r>
              <w:rPr>
                <w:rFonts w:ascii="Arial" w:cs="Arial" w:eastAsia="Arial" w:hAnsi="Arial"/>
                <w:sz w:val="14"/>
                <w:szCs w:val="14"/>
                <w:b w:val="1"/>
                <w:bCs w:val="1"/>
                <w:color w:val="auto"/>
              </w:rPr>
              <w:t>Vesting Schedule</w:t>
            </w:r>
          </w:p>
        </w:tc>
        <w:tc>
          <w:tcPr>
            <w:tcW w:w="100" w:type="dxa"/>
            <w:vAlign w:val="bottom"/>
            <w:tcBorders>
              <w:bottom w:val="single" w:sz="8" w:color="5591C7"/>
            </w:tcBorders>
            <w:shd w:val="clear" w:color="auto" w:fill="5591C7"/>
          </w:tcPr>
          <w:p>
            <w:pPr>
              <w:spacing w:after="0"/>
              <w:rPr>
                <w:sz w:val="15"/>
                <w:szCs w:val="15"/>
                <w:color w:val="auto"/>
              </w:rPr>
            </w:pPr>
          </w:p>
        </w:tc>
      </w:tr>
      <w:tr>
        <w:trPr>
          <w:trHeight w:val="189"/>
        </w:trPr>
        <w:tc>
          <w:tcPr>
            <w:tcW w:w="2420" w:type="dxa"/>
            <w:vAlign w:val="bottom"/>
            <w:gridSpan w:val="2"/>
            <w:shd w:val="clear" w:color="auto" w:fill="B8CDE8"/>
          </w:tcPr>
          <w:p>
            <w:pPr>
              <w:ind w:left="120"/>
              <w:spacing w:after="0"/>
              <w:rPr>
                <w:sz w:val="20"/>
                <w:szCs w:val="20"/>
                <w:color w:val="auto"/>
              </w:rPr>
            </w:pPr>
            <w:r>
              <w:rPr>
                <w:rFonts w:ascii="Arial" w:cs="Arial" w:eastAsia="Arial" w:hAnsi="Arial"/>
                <w:sz w:val="14"/>
                <w:szCs w:val="14"/>
                <w:color w:val="auto"/>
              </w:rPr>
              <w:t>Rohit Kapoor</w:t>
            </w:r>
          </w:p>
        </w:tc>
        <w:tc>
          <w:tcPr>
            <w:tcW w:w="1320" w:type="dxa"/>
            <w:vAlign w:val="bottom"/>
            <w:gridSpan w:val="2"/>
            <w:shd w:val="clear" w:color="auto" w:fill="B8CDE8"/>
          </w:tcPr>
          <w:p>
            <w:pPr>
              <w:jc w:val="center"/>
              <w:spacing w:after="0"/>
              <w:rPr>
                <w:sz w:val="20"/>
                <w:szCs w:val="20"/>
                <w:color w:val="auto"/>
              </w:rPr>
            </w:pPr>
            <w:r>
              <w:rPr>
                <w:rFonts w:ascii="Arial" w:cs="Arial" w:eastAsia="Arial" w:hAnsi="Arial"/>
                <w:sz w:val="14"/>
                <w:szCs w:val="14"/>
                <w:color w:val="auto"/>
              </w:rPr>
              <w:t>2/26/2015</w:t>
            </w:r>
          </w:p>
        </w:tc>
        <w:tc>
          <w:tcPr>
            <w:tcW w:w="40" w:type="dxa"/>
            <w:vAlign w:val="bottom"/>
            <w:shd w:val="clear" w:color="auto" w:fill="B8CDE8"/>
          </w:tcPr>
          <w:p>
            <w:pPr>
              <w:spacing w:after="0"/>
              <w:rPr>
                <w:sz w:val="16"/>
                <w:szCs w:val="16"/>
                <w:color w:val="auto"/>
              </w:rPr>
            </w:pPr>
          </w:p>
        </w:tc>
        <w:tc>
          <w:tcPr>
            <w:tcW w:w="1420" w:type="dxa"/>
            <w:vAlign w:val="bottom"/>
            <w:gridSpan w:val="2"/>
            <w:shd w:val="clear" w:color="auto" w:fill="B8CDE8"/>
          </w:tcPr>
          <w:p>
            <w:pPr>
              <w:jc w:val="center"/>
              <w:spacing w:after="0"/>
              <w:rPr>
                <w:sz w:val="20"/>
                <w:szCs w:val="20"/>
                <w:color w:val="auto"/>
              </w:rPr>
            </w:pPr>
            <w:r>
              <w:rPr>
                <w:rFonts w:ascii="Arial" w:cs="Arial" w:eastAsia="Arial" w:hAnsi="Arial"/>
                <w:sz w:val="14"/>
                <w:szCs w:val="14"/>
                <w:color w:val="auto"/>
              </w:rPr>
              <w:t>2/26/2015</w:t>
            </w:r>
          </w:p>
        </w:tc>
        <w:tc>
          <w:tcPr>
            <w:tcW w:w="60" w:type="dxa"/>
            <w:vAlign w:val="bottom"/>
            <w:shd w:val="clear" w:color="auto" w:fill="B8CDE8"/>
          </w:tcPr>
          <w:p>
            <w:pPr>
              <w:spacing w:after="0"/>
              <w:rPr>
                <w:sz w:val="16"/>
                <w:szCs w:val="16"/>
                <w:color w:val="auto"/>
              </w:rPr>
            </w:pPr>
          </w:p>
        </w:tc>
        <w:tc>
          <w:tcPr>
            <w:tcW w:w="6160" w:type="dxa"/>
            <w:vAlign w:val="bottom"/>
            <w:gridSpan w:val="3"/>
            <w:shd w:val="clear" w:color="auto" w:fill="B8CDE8"/>
          </w:tcPr>
          <w:p>
            <w:pPr>
              <w:ind w:left="100"/>
              <w:spacing w:after="0"/>
              <w:rPr>
                <w:sz w:val="20"/>
                <w:szCs w:val="20"/>
                <w:color w:val="auto"/>
              </w:rPr>
            </w:pPr>
            <w:r>
              <w:rPr>
                <w:rFonts w:ascii="Arial" w:cs="Arial" w:eastAsia="Arial" w:hAnsi="Arial"/>
                <w:sz w:val="14"/>
                <w:szCs w:val="14"/>
                <w:i w:val="1"/>
                <w:iCs w:val="1"/>
                <w:color w:val="auto"/>
              </w:rPr>
              <w:t>Restricted Stock Units</w:t>
            </w:r>
            <w:r>
              <w:rPr>
                <w:rFonts w:ascii="Arial" w:cs="Arial" w:eastAsia="Arial" w:hAnsi="Arial"/>
                <w:sz w:val="14"/>
                <w:szCs w:val="14"/>
                <w:color w:val="auto"/>
              </w:rPr>
              <w:t>: Vesting over 4 years – 25% each year</w:t>
            </w:r>
          </w:p>
        </w:tc>
      </w:tr>
      <w:tr>
        <w:trPr>
          <w:trHeight w:val="180"/>
        </w:trPr>
        <w:tc>
          <w:tcPr>
            <w:tcW w:w="2300" w:type="dxa"/>
            <w:vAlign w:val="bottom"/>
            <w:shd w:val="clear" w:color="auto" w:fill="B8CDE8"/>
          </w:tcPr>
          <w:p>
            <w:pPr>
              <w:spacing w:after="0"/>
              <w:rPr>
                <w:sz w:val="15"/>
                <w:szCs w:val="15"/>
                <w:color w:val="auto"/>
              </w:rPr>
            </w:pPr>
          </w:p>
        </w:tc>
        <w:tc>
          <w:tcPr>
            <w:tcW w:w="120" w:type="dxa"/>
            <w:vAlign w:val="bottom"/>
            <w:shd w:val="clear" w:color="auto" w:fill="B8CDE8"/>
          </w:tcPr>
          <w:p>
            <w:pPr>
              <w:spacing w:after="0"/>
              <w:rPr>
                <w:sz w:val="15"/>
                <w:szCs w:val="15"/>
                <w:color w:val="auto"/>
              </w:rPr>
            </w:pPr>
          </w:p>
        </w:tc>
        <w:tc>
          <w:tcPr>
            <w:tcW w:w="1320" w:type="dxa"/>
            <w:vAlign w:val="bottom"/>
            <w:gridSpan w:val="2"/>
            <w:shd w:val="clear" w:color="auto" w:fill="B8CDE8"/>
          </w:tcPr>
          <w:p>
            <w:pPr>
              <w:jc w:val="center"/>
              <w:spacing w:after="0"/>
              <w:rPr>
                <w:sz w:val="20"/>
                <w:szCs w:val="20"/>
                <w:color w:val="auto"/>
              </w:rPr>
            </w:pPr>
            <w:r>
              <w:rPr>
                <w:rFonts w:ascii="Arial" w:cs="Arial" w:eastAsia="Arial" w:hAnsi="Arial"/>
                <w:sz w:val="14"/>
                <w:szCs w:val="14"/>
                <w:color w:val="auto"/>
              </w:rPr>
              <w:t>2/26/2015</w:t>
            </w:r>
          </w:p>
        </w:tc>
        <w:tc>
          <w:tcPr>
            <w:tcW w:w="40" w:type="dxa"/>
            <w:vAlign w:val="bottom"/>
            <w:shd w:val="clear" w:color="auto" w:fill="B8CDE8"/>
          </w:tcPr>
          <w:p>
            <w:pPr>
              <w:spacing w:after="0"/>
              <w:rPr>
                <w:sz w:val="15"/>
                <w:szCs w:val="15"/>
                <w:color w:val="auto"/>
              </w:rPr>
            </w:pPr>
          </w:p>
        </w:tc>
        <w:tc>
          <w:tcPr>
            <w:tcW w:w="1420" w:type="dxa"/>
            <w:vAlign w:val="bottom"/>
            <w:gridSpan w:val="2"/>
            <w:shd w:val="clear" w:color="auto" w:fill="B8CDE8"/>
          </w:tcPr>
          <w:p>
            <w:pPr>
              <w:jc w:val="center"/>
              <w:spacing w:after="0"/>
              <w:rPr>
                <w:sz w:val="20"/>
                <w:szCs w:val="20"/>
                <w:color w:val="auto"/>
              </w:rPr>
            </w:pPr>
            <w:r>
              <w:rPr>
                <w:rFonts w:ascii="Arial" w:cs="Arial" w:eastAsia="Arial" w:hAnsi="Arial"/>
                <w:sz w:val="14"/>
                <w:szCs w:val="14"/>
                <w:color w:val="auto"/>
              </w:rPr>
              <w:t>2/26/2015</w:t>
            </w:r>
          </w:p>
        </w:tc>
        <w:tc>
          <w:tcPr>
            <w:tcW w:w="60" w:type="dxa"/>
            <w:vAlign w:val="bottom"/>
            <w:shd w:val="clear" w:color="auto" w:fill="B8CDE8"/>
          </w:tcPr>
          <w:p>
            <w:pPr>
              <w:spacing w:after="0"/>
              <w:rPr>
                <w:sz w:val="15"/>
                <w:szCs w:val="15"/>
                <w:color w:val="auto"/>
              </w:rPr>
            </w:pPr>
          </w:p>
        </w:tc>
        <w:tc>
          <w:tcPr>
            <w:tcW w:w="6160" w:type="dxa"/>
            <w:vAlign w:val="bottom"/>
            <w:gridSpan w:val="3"/>
            <w:shd w:val="clear" w:color="auto" w:fill="B8CDE8"/>
          </w:tcPr>
          <w:p>
            <w:pPr>
              <w:ind w:left="100"/>
              <w:spacing w:after="0"/>
              <w:rPr>
                <w:sz w:val="20"/>
                <w:szCs w:val="20"/>
                <w:color w:val="auto"/>
              </w:rPr>
            </w:pPr>
            <w:r>
              <w:rPr>
                <w:rFonts w:ascii="Arial" w:cs="Arial" w:eastAsia="Arial" w:hAnsi="Arial"/>
                <w:sz w:val="14"/>
                <w:szCs w:val="14"/>
                <w:i w:val="1"/>
                <w:iCs w:val="1"/>
                <w:color w:val="auto"/>
              </w:rPr>
              <w:t>Revenue Linked PRSUs</w:t>
            </w:r>
            <w:r>
              <w:rPr>
                <w:rFonts w:ascii="Arial" w:cs="Arial" w:eastAsia="Arial" w:hAnsi="Arial"/>
                <w:sz w:val="14"/>
                <w:szCs w:val="14"/>
                <w:color w:val="auto"/>
              </w:rPr>
              <w:t>: 100% vesting on 12/31/2017, subject to the banking feature</w:t>
            </w:r>
          </w:p>
        </w:tc>
      </w:tr>
      <w:tr>
        <w:trPr>
          <w:trHeight w:val="162"/>
        </w:trPr>
        <w:tc>
          <w:tcPr>
            <w:tcW w:w="230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40" w:type="dxa"/>
            <w:vAlign w:val="bottom"/>
            <w:shd w:val="clear" w:color="auto" w:fill="B8CDE8"/>
          </w:tcPr>
          <w:p>
            <w:pPr>
              <w:spacing w:after="0"/>
              <w:rPr>
                <w:sz w:val="14"/>
                <w:szCs w:val="14"/>
                <w:color w:val="auto"/>
              </w:rPr>
            </w:pPr>
          </w:p>
        </w:tc>
        <w:tc>
          <w:tcPr>
            <w:tcW w:w="1280" w:type="dxa"/>
            <w:vAlign w:val="bottom"/>
            <w:shd w:val="clear" w:color="auto" w:fill="B8CDE8"/>
          </w:tcPr>
          <w:p>
            <w:pPr>
              <w:spacing w:after="0"/>
              <w:rPr>
                <w:sz w:val="14"/>
                <w:szCs w:val="14"/>
                <w:color w:val="auto"/>
              </w:rPr>
            </w:pPr>
          </w:p>
        </w:tc>
        <w:tc>
          <w:tcPr>
            <w:tcW w:w="40" w:type="dxa"/>
            <w:vAlign w:val="bottom"/>
            <w:shd w:val="clear" w:color="auto" w:fill="B8CDE8"/>
          </w:tcPr>
          <w:p>
            <w:pPr>
              <w:spacing w:after="0"/>
              <w:rPr>
                <w:sz w:val="14"/>
                <w:szCs w:val="14"/>
                <w:color w:val="auto"/>
              </w:rPr>
            </w:pPr>
          </w:p>
        </w:tc>
        <w:tc>
          <w:tcPr>
            <w:tcW w:w="60" w:type="dxa"/>
            <w:vAlign w:val="bottom"/>
            <w:shd w:val="clear" w:color="auto" w:fill="B8CDE8"/>
          </w:tcPr>
          <w:p>
            <w:pPr>
              <w:spacing w:after="0"/>
              <w:rPr>
                <w:sz w:val="14"/>
                <w:szCs w:val="14"/>
                <w:color w:val="auto"/>
              </w:rPr>
            </w:pPr>
          </w:p>
        </w:tc>
        <w:tc>
          <w:tcPr>
            <w:tcW w:w="1360" w:type="dxa"/>
            <w:vAlign w:val="bottom"/>
            <w:shd w:val="clear" w:color="auto" w:fill="B8CDE8"/>
          </w:tcPr>
          <w:p>
            <w:pPr>
              <w:spacing w:after="0"/>
              <w:rPr>
                <w:sz w:val="14"/>
                <w:szCs w:val="14"/>
                <w:color w:val="auto"/>
              </w:rPr>
            </w:pPr>
          </w:p>
        </w:tc>
        <w:tc>
          <w:tcPr>
            <w:tcW w:w="60" w:type="dxa"/>
            <w:vAlign w:val="bottom"/>
            <w:shd w:val="clear" w:color="auto" w:fill="B8CDE8"/>
          </w:tcPr>
          <w:p>
            <w:pPr>
              <w:spacing w:after="0"/>
              <w:rPr>
                <w:sz w:val="14"/>
                <w:szCs w:val="14"/>
                <w:color w:val="auto"/>
              </w:rPr>
            </w:pPr>
          </w:p>
        </w:tc>
        <w:tc>
          <w:tcPr>
            <w:tcW w:w="616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described in “Compensation Discussion and Analysis – Long-Term Equity Incentives” on</w:t>
            </w:r>
          </w:p>
        </w:tc>
      </w:tr>
      <w:tr>
        <w:trPr>
          <w:trHeight w:val="171"/>
        </w:trPr>
        <w:tc>
          <w:tcPr>
            <w:tcW w:w="230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40" w:type="dxa"/>
            <w:vAlign w:val="bottom"/>
            <w:shd w:val="clear" w:color="auto" w:fill="B8CDE8"/>
          </w:tcPr>
          <w:p>
            <w:pPr>
              <w:spacing w:after="0"/>
              <w:rPr>
                <w:sz w:val="14"/>
                <w:szCs w:val="14"/>
                <w:color w:val="auto"/>
              </w:rPr>
            </w:pPr>
          </w:p>
        </w:tc>
        <w:tc>
          <w:tcPr>
            <w:tcW w:w="1280" w:type="dxa"/>
            <w:vAlign w:val="bottom"/>
            <w:shd w:val="clear" w:color="auto" w:fill="B8CDE8"/>
          </w:tcPr>
          <w:p>
            <w:pPr>
              <w:spacing w:after="0"/>
              <w:rPr>
                <w:sz w:val="14"/>
                <w:szCs w:val="14"/>
                <w:color w:val="auto"/>
              </w:rPr>
            </w:pPr>
          </w:p>
        </w:tc>
        <w:tc>
          <w:tcPr>
            <w:tcW w:w="40" w:type="dxa"/>
            <w:vAlign w:val="bottom"/>
            <w:shd w:val="clear" w:color="auto" w:fill="B8CDE8"/>
          </w:tcPr>
          <w:p>
            <w:pPr>
              <w:spacing w:after="0"/>
              <w:rPr>
                <w:sz w:val="14"/>
                <w:szCs w:val="14"/>
                <w:color w:val="auto"/>
              </w:rPr>
            </w:pPr>
          </w:p>
        </w:tc>
        <w:tc>
          <w:tcPr>
            <w:tcW w:w="60" w:type="dxa"/>
            <w:vAlign w:val="bottom"/>
            <w:shd w:val="clear" w:color="auto" w:fill="B8CDE8"/>
          </w:tcPr>
          <w:p>
            <w:pPr>
              <w:spacing w:after="0"/>
              <w:rPr>
                <w:sz w:val="14"/>
                <w:szCs w:val="14"/>
                <w:color w:val="auto"/>
              </w:rPr>
            </w:pPr>
          </w:p>
        </w:tc>
        <w:tc>
          <w:tcPr>
            <w:tcW w:w="1360" w:type="dxa"/>
            <w:vAlign w:val="bottom"/>
            <w:shd w:val="clear" w:color="auto" w:fill="B8CDE8"/>
          </w:tcPr>
          <w:p>
            <w:pPr>
              <w:spacing w:after="0"/>
              <w:rPr>
                <w:sz w:val="14"/>
                <w:szCs w:val="14"/>
                <w:color w:val="auto"/>
              </w:rPr>
            </w:pPr>
          </w:p>
        </w:tc>
        <w:tc>
          <w:tcPr>
            <w:tcW w:w="60" w:type="dxa"/>
            <w:vAlign w:val="bottom"/>
            <w:shd w:val="clear" w:color="auto" w:fill="B8CDE8"/>
          </w:tcPr>
          <w:p>
            <w:pPr>
              <w:spacing w:after="0"/>
              <w:rPr>
                <w:sz w:val="14"/>
                <w:szCs w:val="14"/>
                <w:color w:val="auto"/>
              </w:rPr>
            </w:pPr>
          </w:p>
        </w:tc>
        <w:tc>
          <w:tcPr>
            <w:tcW w:w="616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page 36.</w:t>
            </w:r>
          </w:p>
        </w:tc>
      </w:tr>
      <w:tr>
        <w:trPr>
          <w:trHeight w:val="189"/>
        </w:trPr>
        <w:tc>
          <w:tcPr>
            <w:tcW w:w="230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1320" w:type="dxa"/>
            <w:vAlign w:val="bottom"/>
            <w:gridSpan w:val="2"/>
            <w:shd w:val="clear" w:color="auto" w:fill="B8CDE8"/>
          </w:tcPr>
          <w:p>
            <w:pPr>
              <w:jc w:val="center"/>
              <w:spacing w:after="0"/>
              <w:rPr>
                <w:sz w:val="20"/>
                <w:szCs w:val="20"/>
                <w:color w:val="auto"/>
              </w:rPr>
            </w:pPr>
            <w:r>
              <w:rPr>
                <w:rFonts w:ascii="Arial" w:cs="Arial" w:eastAsia="Arial" w:hAnsi="Arial"/>
                <w:sz w:val="14"/>
                <w:szCs w:val="14"/>
                <w:color w:val="auto"/>
              </w:rPr>
              <w:t>2/26/2015</w:t>
            </w:r>
          </w:p>
        </w:tc>
        <w:tc>
          <w:tcPr>
            <w:tcW w:w="40" w:type="dxa"/>
            <w:vAlign w:val="bottom"/>
            <w:shd w:val="clear" w:color="auto" w:fill="B8CDE8"/>
          </w:tcPr>
          <w:p>
            <w:pPr>
              <w:spacing w:after="0"/>
              <w:rPr>
                <w:sz w:val="16"/>
                <w:szCs w:val="16"/>
                <w:color w:val="auto"/>
              </w:rPr>
            </w:pPr>
          </w:p>
        </w:tc>
        <w:tc>
          <w:tcPr>
            <w:tcW w:w="1420" w:type="dxa"/>
            <w:vAlign w:val="bottom"/>
            <w:gridSpan w:val="2"/>
            <w:shd w:val="clear" w:color="auto" w:fill="B8CDE8"/>
          </w:tcPr>
          <w:p>
            <w:pPr>
              <w:jc w:val="center"/>
              <w:spacing w:after="0"/>
              <w:rPr>
                <w:sz w:val="20"/>
                <w:szCs w:val="20"/>
                <w:color w:val="auto"/>
              </w:rPr>
            </w:pPr>
            <w:r>
              <w:rPr>
                <w:rFonts w:ascii="Arial" w:cs="Arial" w:eastAsia="Arial" w:hAnsi="Arial"/>
                <w:sz w:val="14"/>
                <w:szCs w:val="14"/>
                <w:color w:val="auto"/>
              </w:rPr>
              <w:t>2/26/2015</w:t>
            </w:r>
          </w:p>
        </w:tc>
        <w:tc>
          <w:tcPr>
            <w:tcW w:w="60" w:type="dxa"/>
            <w:vAlign w:val="bottom"/>
            <w:shd w:val="clear" w:color="auto" w:fill="B8CDE8"/>
          </w:tcPr>
          <w:p>
            <w:pPr>
              <w:spacing w:after="0"/>
              <w:rPr>
                <w:sz w:val="16"/>
                <w:szCs w:val="16"/>
                <w:color w:val="auto"/>
              </w:rPr>
            </w:pPr>
          </w:p>
        </w:tc>
        <w:tc>
          <w:tcPr>
            <w:tcW w:w="6160" w:type="dxa"/>
            <w:vAlign w:val="bottom"/>
            <w:gridSpan w:val="3"/>
            <w:shd w:val="clear" w:color="auto" w:fill="B8CDE8"/>
          </w:tcPr>
          <w:p>
            <w:pPr>
              <w:ind w:left="100"/>
              <w:spacing w:after="0"/>
              <w:rPr>
                <w:sz w:val="20"/>
                <w:szCs w:val="20"/>
                <w:color w:val="auto"/>
              </w:rPr>
            </w:pPr>
            <w:r>
              <w:rPr>
                <w:rFonts w:ascii="Arial" w:cs="Arial" w:eastAsia="Arial" w:hAnsi="Arial"/>
                <w:sz w:val="14"/>
                <w:szCs w:val="14"/>
                <w:i w:val="1"/>
                <w:iCs w:val="1"/>
                <w:color w:val="auto"/>
              </w:rPr>
              <w:t>Relative TSR-Linked PRSUs</w:t>
            </w:r>
            <w:r>
              <w:rPr>
                <w:rFonts w:ascii="Arial" w:cs="Arial" w:eastAsia="Arial" w:hAnsi="Arial"/>
                <w:sz w:val="14"/>
                <w:szCs w:val="14"/>
                <w:color w:val="auto"/>
              </w:rPr>
              <w:t>: 100% vesting on 12/31/2017</w:t>
            </w:r>
          </w:p>
        </w:tc>
      </w:tr>
      <w:tr>
        <w:trPr>
          <w:trHeight w:val="189"/>
        </w:trPr>
        <w:tc>
          <w:tcPr>
            <w:tcW w:w="230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1320" w:type="dxa"/>
            <w:vAlign w:val="bottom"/>
            <w:gridSpan w:val="2"/>
            <w:shd w:val="clear" w:color="auto" w:fill="B8CDE8"/>
          </w:tcPr>
          <w:p>
            <w:pPr>
              <w:jc w:val="center"/>
              <w:spacing w:after="0"/>
              <w:rPr>
                <w:sz w:val="20"/>
                <w:szCs w:val="20"/>
                <w:color w:val="auto"/>
              </w:rPr>
            </w:pPr>
            <w:r>
              <w:rPr>
                <w:rFonts w:ascii="Arial" w:cs="Arial" w:eastAsia="Arial" w:hAnsi="Arial"/>
                <w:sz w:val="14"/>
                <w:szCs w:val="14"/>
                <w:color w:val="auto"/>
              </w:rPr>
              <w:t>4/29/2015</w:t>
            </w:r>
          </w:p>
        </w:tc>
        <w:tc>
          <w:tcPr>
            <w:tcW w:w="40" w:type="dxa"/>
            <w:vAlign w:val="bottom"/>
            <w:shd w:val="clear" w:color="auto" w:fill="B8CDE8"/>
          </w:tcPr>
          <w:p>
            <w:pPr>
              <w:spacing w:after="0"/>
              <w:rPr>
                <w:sz w:val="16"/>
                <w:szCs w:val="16"/>
                <w:color w:val="auto"/>
              </w:rPr>
            </w:pPr>
          </w:p>
        </w:tc>
        <w:tc>
          <w:tcPr>
            <w:tcW w:w="1420" w:type="dxa"/>
            <w:vAlign w:val="bottom"/>
            <w:gridSpan w:val="2"/>
            <w:shd w:val="clear" w:color="auto" w:fill="B8CDE8"/>
          </w:tcPr>
          <w:p>
            <w:pPr>
              <w:jc w:val="center"/>
              <w:spacing w:after="0"/>
              <w:rPr>
                <w:sz w:val="20"/>
                <w:szCs w:val="20"/>
                <w:color w:val="auto"/>
              </w:rPr>
            </w:pPr>
            <w:r>
              <w:rPr>
                <w:rFonts w:ascii="Arial" w:cs="Arial" w:eastAsia="Arial" w:hAnsi="Arial"/>
                <w:sz w:val="14"/>
                <w:szCs w:val="14"/>
                <w:color w:val="auto"/>
              </w:rPr>
              <w:t>4/29/2015</w:t>
            </w:r>
          </w:p>
        </w:tc>
        <w:tc>
          <w:tcPr>
            <w:tcW w:w="60" w:type="dxa"/>
            <w:vAlign w:val="bottom"/>
            <w:shd w:val="clear" w:color="auto" w:fill="B8CDE8"/>
          </w:tcPr>
          <w:p>
            <w:pPr>
              <w:spacing w:after="0"/>
              <w:rPr>
                <w:sz w:val="16"/>
                <w:szCs w:val="16"/>
                <w:color w:val="auto"/>
              </w:rPr>
            </w:pPr>
          </w:p>
        </w:tc>
        <w:tc>
          <w:tcPr>
            <w:tcW w:w="6160" w:type="dxa"/>
            <w:vAlign w:val="bottom"/>
            <w:gridSpan w:val="3"/>
            <w:shd w:val="clear" w:color="auto" w:fill="B8CDE8"/>
          </w:tcPr>
          <w:p>
            <w:pPr>
              <w:ind w:left="100"/>
              <w:spacing w:after="0"/>
              <w:rPr>
                <w:sz w:val="20"/>
                <w:szCs w:val="20"/>
                <w:color w:val="auto"/>
              </w:rPr>
            </w:pPr>
            <w:r>
              <w:rPr>
                <w:rFonts w:ascii="Arial" w:cs="Arial" w:eastAsia="Arial" w:hAnsi="Arial"/>
                <w:sz w:val="14"/>
                <w:szCs w:val="14"/>
                <w:i w:val="1"/>
                <w:iCs w:val="1"/>
                <w:color w:val="auto"/>
              </w:rPr>
              <w:t>Stock Price Performance Award</w:t>
            </w:r>
            <w:r>
              <w:rPr>
                <w:rFonts w:ascii="Arial" w:cs="Arial" w:eastAsia="Arial" w:hAnsi="Arial"/>
                <w:sz w:val="14"/>
                <w:szCs w:val="14"/>
                <w:color w:val="auto"/>
              </w:rPr>
              <w:t>: 100% vesting on 12/31/2017</w:t>
            </w:r>
          </w:p>
        </w:tc>
      </w:tr>
      <w:tr>
        <w:trPr>
          <w:trHeight w:val="191"/>
        </w:trPr>
        <w:tc>
          <w:tcPr>
            <w:tcW w:w="2420" w:type="dxa"/>
            <w:vAlign w:val="bottom"/>
            <w:gridSpan w:val="2"/>
          </w:tcPr>
          <w:p>
            <w:pPr>
              <w:ind w:left="120"/>
              <w:spacing w:after="0"/>
              <w:rPr>
                <w:sz w:val="20"/>
                <w:szCs w:val="20"/>
                <w:color w:val="auto"/>
              </w:rPr>
            </w:pPr>
            <w:r>
              <w:rPr>
                <w:rFonts w:ascii="Arial" w:cs="Arial" w:eastAsia="Arial" w:hAnsi="Arial"/>
                <w:sz w:val="14"/>
                <w:szCs w:val="14"/>
                <w:color w:val="auto"/>
              </w:rPr>
              <w:t>Vishal Chhibbar</w:t>
            </w:r>
          </w:p>
        </w:tc>
        <w:tc>
          <w:tcPr>
            <w:tcW w:w="1320" w:type="dxa"/>
            <w:vAlign w:val="bottom"/>
            <w:gridSpan w:val="2"/>
          </w:tcPr>
          <w:p>
            <w:pPr>
              <w:jc w:val="center"/>
              <w:spacing w:after="0"/>
              <w:rPr>
                <w:sz w:val="20"/>
                <w:szCs w:val="20"/>
                <w:color w:val="auto"/>
              </w:rPr>
            </w:pPr>
            <w:r>
              <w:rPr>
                <w:rFonts w:ascii="Arial" w:cs="Arial" w:eastAsia="Arial" w:hAnsi="Arial"/>
                <w:sz w:val="14"/>
                <w:szCs w:val="14"/>
                <w:color w:val="auto"/>
              </w:rPr>
              <w:t>2/26/2015</w:t>
            </w:r>
          </w:p>
        </w:tc>
        <w:tc>
          <w:tcPr>
            <w:tcW w:w="40" w:type="dxa"/>
            <w:vAlign w:val="bottom"/>
          </w:tcPr>
          <w:p>
            <w:pPr>
              <w:spacing w:after="0"/>
              <w:rPr>
                <w:sz w:val="16"/>
                <w:szCs w:val="16"/>
                <w:color w:val="auto"/>
              </w:rPr>
            </w:pPr>
          </w:p>
        </w:tc>
        <w:tc>
          <w:tcPr>
            <w:tcW w:w="1420" w:type="dxa"/>
            <w:vAlign w:val="bottom"/>
            <w:gridSpan w:val="2"/>
          </w:tcPr>
          <w:p>
            <w:pPr>
              <w:jc w:val="center"/>
              <w:spacing w:after="0"/>
              <w:rPr>
                <w:sz w:val="20"/>
                <w:szCs w:val="20"/>
                <w:color w:val="auto"/>
              </w:rPr>
            </w:pPr>
            <w:r>
              <w:rPr>
                <w:rFonts w:ascii="Arial" w:cs="Arial" w:eastAsia="Arial" w:hAnsi="Arial"/>
                <w:sz w:val="14"/>
                <w:szCs w:val="14"/>
                <w:color w:val="auto"/>
              </w:rPr>
              <w:t>2/26/2015</w:t>
            </w:r>
          </w:p>
        </w:tc>
        <w:tc>
          <w:tcPr>
            <w:tcW w:w="60" w:type="dxa"/>
            <w:vAlign w:val="bottom"/>
          </w:tcPr>
          <w:p>
            <w:pPr>
              <w:spacing w:after="0"/>
              <w:rPr>
                <w:sz w:val="16"/>
                <w:szCs w:val="16"/>
                <w:color w:val="auto"/>
              </w:rPr>
            </w:pPr>
          </w:p>
        </w:tc>
        <w:tc>
          <w:tcPr>
            <w:tcW w:w="6160" w:type="dxa"/>
            <w:vAlign w:val="bottom"/>
            <w:gridSpan w:val="3"/>
          </w:tcPr>
          <w:p>
            <w:pPr>
              <w:ind w:left="100"/>
              <w:spacing w:after="0"/>
              <w:rPr>
                <w:sz w:val="20"/>
                <w:szCs w:val="20"/>
                <w:color w:val="auto"/>
              </w:rPr>
            </w:pPr>
            <w:r>
              <w:rPr>
                <w:rFonts w:ascii="Arial" w:cs="Arial" w:eastAsia="Arial" w:hAnsi="Arial"/>
                <w:sz w:val="14"/>
                <w:szCs w:val="14"/>
                <w:i w:val="1"/>
                <w:iCs w:val="1"/>
                <w:color w:val="auto"/>
              </w:rPr>
              <w:t>Restricted Stock Units</w:t>
            </w:r>
            <w:r>
              <w:rPr>
                <w:rFonts w:ascii="Arial" w:cs="Arial" w:eastAsia="Arial" w:hAnsi="Arial"/>
                <w:sz w:val="14"/>
                <w:szCs w:val="14"/>
                <w:color w:val="auto"/>
              </w:rPr>
              <w:t>: Vesting over 4 years – 10%, 20%, 30% and 40%</w:t>
            </w:r>
          </w:p>
        </w:tc>
      </w:tr>
      <w:tr>
        <w:trPr>
          <w:trHeight w:val="179"/>
        </w:trPr>
        <w:tc>
          <w:tcPr>
            <w:tcW w:w="2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center"/>
              <w:spacing w:after="0"/>
              <w:rPr>
                <w:sz w:val="20"/>
                <w:szCs w:val="20"/>
                <w:color w:val="auto"/>
              </w:rPr>
            </w:pPr>
            <w:r>
              <w:rPr>
                <w:rFonts w:ascii="Arial" w:cs="Arial" w:eastAsia="Arial" w:hAnsi="Arial"/>
                <w:sz w:val="14"/>
                <w:szCs w:val="14"/>
                <w:color w:val="auto"/>
              </w:rPr>
              <w:t>2/26/2015</w:t>
            </w:r>
          </w:p>
        </w:tc>
        <w:tc>
          <w:tcPr>
            <w:tcW w:w="40" w:type="dxa"/>
            <w:vAlign w:val="bottom"/>
          </w:tcPr>
          <w:p>
            <w:pPr>
              <w:spacing w:after="0"/>
              <w:rPr>
                <w:sz w:val="15"/>
                <w:szCs w:val="15"/>
                <w:color w:val="auto"/>
              </w:rPr>
            </w:pPr>
          </w:p>
        </w:tc>
        <w:tc>
          <w:tcPr>
            <w:tcW w:w="1420" w:type="dxa"/>
            <w:vAlign w:val="bottom"/>
            <w:gridSpan w:val="2"/>
          </w:tcPr>
          <w:p>
            <w:pPr>
              <w:jc w:val="center"/>
              <w:spacing w:after="0"/>
              <w:rPr>
                <w:sz w:val="20"/>
                <w:szCs w:val="20"/>
                <w:color w:val="auto"/>
              </w:rPr>
            </w:pPr>
            <w:r>
              <w:rPr>
                <w:rFonts w:ascii="Arial" w:cs="Arial" w:eastAsia="Arial" w:hAnsi="Arial"/>
                <w:sz w:val="14"/>
                <w:szCs w:val="14"/>
                <w:color w:val="auto"/>
              </w:rPr>
              <w:t>2/26/2015</w:t>
            </w:r>
          </w:p>
        </w:tc>
        <w:tc>
          <w:tcPr>
            <w:tcW w:w="60" w:type="dxa"/>
            <w:vAlign w:val="bottom"/>
          </w:tcPr>
          <w:p>
            <w:pPr>
              <w:spacing w:after="0"/>
              <w:rPr>
                <w:sz w:val="15"/>
                <w:szCs w:val="15"/>
                <w:color w:val="auto"/>
              </w:rPr>
            </w:pPr>
          </w:p>
        </w:tc>
        <w:tc>
          <w:tcPr>
            <w:tcW w:w="6160" w:type="dxa"/>
            <w:vAlign w:val="bottom"/>
            <w:gridSpan w:val="3"/>
          </w:tcPr>
          <w:p>
            <w:pPr>
              <w:ind w:left="100"/>
              <w:spacing w:after="0"/>
              <w:rPr>
                <w:sz w:val="20"/>
                <w:szCs w:val="20"/>
                <w:color w:val="auto"/>
              </w:rPr>
            </w:pPr>
            <w:r>
              <w:rPr>
                <w:rFonts w:ascii="Arial" w:cs="Arial" w:eastAsia="Arial" w:hAnsi="Arial"/>
                <w:sz w:val="14"/>
                <w:szCs w:val="14"/>
                <w:i w:val="1"/>
                <w:iCs w:val="1"/>
                <w:color w:val="auto"/>
              </w:rPr>
              <w:t>Revenue Linked PRSUs</w:t>
            </w:r>
            <w:r>
              <w:rPr>
                <w:rFonts w:ascii="Arial" w:cs="Arial" w:eastAsia="Arial" w:hAnsi="Arial"/>
                <w:sz w:val="14"/>
                <w:szCs w:val="14"/>
                <w:color w:val="auto"/>
              </w:rPr>
              <w:t>: 100% vesting on 12/31/2017, subject to the banking feature</w:t>
            </w:r>
          </w:p>
        </w:tc>
      </w:tr>
      <w:tr>
        <w:trPr>
          <w:trHeight w:val="162"/>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160" w:type="dxa"/>
            <w:vAlign w:val="bottom"/>
            <w:gridSpan w:val="3"/>
          </w:tcPr>
          <w:p>
            <w:pPr>
              <w:ind w:left="100"/>
              <w:spacing w:after="0"/>
              <w:rPr>
                <w:sz w:val="20"/>
                <w:szCs w:val="20"/>
                <w:color w:val="auto"/>
              </w:rPr>
            </w:pPr>
            <w:r>
              <w:rPr>
                <w:rFonts w:ascii="Arial" w:cs="Arial" w:eastAsia="Arial" w:hAnsi="Arial"/>
                <w:sz w:val="14"/>
                <w:szCs w:val="14"/>
                <w:color w:val="auto"/>
              </w:rPr>
              <w:t>described in “Compensation Discussion and Analysis – Long-Term Equity Incentives” on</w:t>
            </w:r>
          </w:p>
        </w:tc>
      </w:tr>
      <w:tr>
        <w:trPr>
          <w:trHeight w:val="172"/>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160" w:type="dxa"/>
            <w:vAlign w:val="bottom"/>
            <w:gridSpan w:val="3"/>
          </w:tcPr>
          <w:p>
            <w:pPr>
              <w:ind w:left="100"/>
              <w:spacing w:after="0"/>
              <w:rPr>
                <w:sz w:val="20"/>
                <w:szCs w:val="20"/>
                <w:color w:val="auto"/>
              </w:rPr>
            </w:pPr>
            <w:r>
              <w:rPr>
                <w:rFonts w:ascii="Arial" w:cs="Arial" w:eastAsia="Arial" w:hAnsi="Arial"/>
                <w:sz w:val="14"/>
                <w:szCs w:val="14"/>
                <w:color w:val="auto"/>
              </w:rPr>
              <w:t>page 36.</w:t>
            </w:r>
          </w:p>
        </w:tc>
      </w:tr>
      <w:tr>
        <w:trPr>
          <w:trHeight w:val="188"/>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spacing w:after="0"/>
              <w:rPr>
                <w:sz w:val="20"/>
                <w:szCs w:val="20"/>
                <w:color w:val="auto"/>
              </w:rPr>
            </w:pPr>
            <w:r>
              <w:rPr>
                <w:rFonts w:ascii="Arial" w:cs="Arial" w:eastAsia="Arial" w:hAnsi="Arial"/>
                <w:sz w:val="14"/>
                <w:szCs w:val="14"/>
                <w:color w:val="auto"/>
              </w:rPr>
              <w:t>2/26/2015</w:t>
            </w:r>
          </w:p>
        </w:tc>
        <w:tc>
          <w:tcPr>
            <w:tcW w:w="40" w:type="dxa"/>
            <w:vAlign w:val="bottom"/>
          </w:tcPr>
          <w:p>
            <w:pPr>
              <w:spacing w:after="0"/>
              <w:rPr>
                <w:sz w:val="16"/>
                <w:szCs w:val="16"/>
                <w:color w:val="auto"/>
              </w:rPr>
            </w:pPr>
          </w:p>
        </w:tc>
        <w:tc>
          <w:tcPr>
            <w:tcW w:w="1420" w:type="dxa"/>
            <w:vAlign w:val="bottom"/>
            <w:gridSpan w:val="2"/>
          </w:tcPr>
          <w:p>
            <w:pPr>
              <w:jc w:val="center"/>
              <w:spacing w:after="0"/>
              <w:rPr>
                <w:sz w:val="20"/>
                <w:szCs w:val="20"/>
                <w:color w:val="auto"/>
              </w:rPr>
            </w:pPr>
            <w:r>
              <w:rPr>
                <w:rFonts w:ascii="Arial" w:cs="Arial" w:eastAsia="Arial" w:hAnsi="Arial"/>
                <w:sz w:val="14"/>
                <w:szCs w:val="14"/>
                <w:color w:val="auto"/>
              </w:rPr>
              <w:t>2/26/2015</w:t>
            </w:r>
          </w:p>
        </w:tc>
        <w:tc>
          <w:tcPr>
            <w:tcW w:w="60" w:type="dxa"/>
            <w:vAlign w:val="bottom"/>
          </w:tcPr>
          <w:p>
            <w:pPr>
              <w:spacing w:after="0"/>
              <w:rPr>
                <w:sz w:val="16"/>
                <w:szCs w:val="16"/>
                <w:color w:val="auto"/>
              </w:rPr>
            </w:pPr>
          </w:p>
        </w:tc>
        <w:tc>
          <w:tcPr>
            <w:tcW w:w="6160" w:type="dxa"/>
            <w:vAlign w:val="bottom"/>
            <w:gridSpan w:val="3"/>
          </w:tcPr>
          <w:p>
            <w:pPr>
              <w:ind w:left="100"/>
              <w:spacing w:after="0"/>
              <w:rPr>
                <w:sz w:val="20"/>
                <w:szCs w:val="20"/>
                <w:color w:val="auto"/>
              </w:rPr>
            </w:pPr>
            <w:r>
              <w:rPr>
                <w:rFonts w:ascii="Arial" w:cs="Arial" w:eastAsia="Arial" w:hAnsi="Arial"/>
                <w:sz w:val="14"/>
                <w:szCs w:val="14"/>
                <w:i w:val="1"/>
                <w:iCs w:val="1"/>
                <w:color w:val="auto"/>
              </w:rPr>
              <w:t>Relative TSR-Linked PRSUs</w:t>
            </w:r>
            <w:r>
              <w:rPr>
                <w:rFonts w:ascii="Arial" w:cs="Arial" w:eastAsia="Arial" w:hAnsi="Arial"/>
                <w:sz w:val="14"/>
                <w:szCs w:val="14"/>
                <w:color w:val="auto"/>
              </w:rPr>
              <w:t>: 100% vesting on 12/31/2017</w:t>
            </w:r>
          </w:p>
        </w:tc>
      </w:tr>
      <w:tr>
        <w:trPr>
          <w:trHeight w:val="189"/>
        </w:trPr>
        <w:tc>
          <w:tcPr>
            <w:tcW w:w="2420" w:type="dxa"/>
            <w:vAlign w:val="bottom"/>
            <w:gridSpan w:val="2"/>
            <w:shd w:val="clear" w:color="auto" w:fill="B8CDE8"/>
          </w:tcPr>
          <w:p>
            <w:pPr>
              <w:ind w:left="120"/>
              <w:spacing w:after="0"/>
              <w:rPr>
                <w:sz w:val="20"/>
                <w:szCs w:val="20"/>
                <w:color w:val="auto"/>
              </w:rPr>
            </w:pPr>
            <w:r>
              <w:rPr>
                <w:rFonts w:ascii="Arial" w:cs="Arial" w:eastAsia="Arial" w:hAnsi="Arial"/>
                <w:sz w:val="14"/>
                <w:szCs w:val="14"/>
                <w:color w:val="auto"/>
              </w:rPr>
              <w:t>Pavan Bagai</w:t>
            </w:r>
          </w:p>
        </w:tc>
        <w:tc>
          <w:tcPr>
            <w:tcW w:w="1320" w:type="dxa"/>
            <w:vAlign w:val="bottom"/>
            <w:gridSpan w:val="2"/>
            <w:shd w:val="clear" w:color="auto" w:fill="B8CDE8"/>
          </w:tcPr>
          <w:p>
            <w:pPr>
              <w:jc w:val="center"/>
              <w:spacing w:after="0"/>
              <w:rPr>
                <w:sz w:val="20"/>
                <w:szCs w:val="20"/>
                <w:color w:val="auto"/>
              </w:rPr>
            </w:pPr>
            <w:r>
              <w:rPr>
                <w:rFonts w:ascii="Arial" w:cs="Arial" w:eastAsia="Arial" w:hAnsi="Arial"/>
                <w:sz w:val="14"/>
                <w:szCs w:val="14"/>
                <w:color w:val="auto"/>
              </w:rPr>
              <w:t>2/26/2015</w:t>
            </w:r>
          </w:p>
        </w:tc>
        <w:tc>
          <w:tcPr>
            <w:tcW w:w="40" w:type="dxa"/>
            <w:vAlign w:val="bottom"/>
            <w:shd w:val="clear" w:color="auto" w:fill="B8CDE8"/>
          </w:tcPr>
          <w:p>
            <w:pPr>
              <w:spacing w:after="0"/>
              <w:rPr>
                <w:sz w:val="16"/>
                <w:szCs w:val="16"/>
                <w:color w:val="auto"/>
              </w:rPr>
            </w:pPr>
          </w:p>
        </w:tc>
        <w:tc>
          <w:tcPr>
            <w:tcW w:w="1420" w:type="dxa"/>
            <w:vAlign w:val="bottom"/>
            <w:gridSpan w:val="2"/>
            <w:shd w:val="clear" w:color="auto" w:fill="B8CDE8"/>
          </w:tcPr>
          <w:p>
            <w:pPr>
              <w:jc w:val="center"/>
              <w:spacing w:after="0"/>
              <w:rPr>
                <w:sz w:val="20"/>
                <w:szCs w:val="20"/>
                <w:color w:val="auto"/>
              </w:rPr>
            </w:pPr>
            <w:r>
              <w:rPr>
                <w:rFonts w:ascii="Arial" w:cs="Arial" w:eastAsia="Arial" w:hAnsi="Arial"/>
                <w:sz w:val="14"/>
                <w:szCs w:val="14"/>
                <w:color w:val="auto"/>
              </w:rPr>
              <w:t>2/26/2015</w:t>
            </w:r>
          </w:p>
        </w:tc>
        <w:tc>
          <w:tcPr>
            <w:tcW w:w="60" w:type="dxa"/>
            <w:vAlign w:val="bottom"/>
            <w:shd w:val="clear" w:color="auto" w:fill="B8CDE8"/>
          </w:tcPr>
          <w:p>
            <w:pPr>
              <w:spacing w:after="0"/>
              <w:rPr>
                <w:sz w:val="16"/>
                <w:szCs w:val="16"/>
                <w:color w:val="auto"/>
              </w:rPr>
            </w:pPr>
          </w:p>
        </w:tc>
        <w:tc>
          <w:tcPr>
            <w:tcW w:w="6160" w:type="dxa"/>
            <w:vAlign w:val="bottom"/>
            <w:gridSpan w:val="3"/>
            <w:shd w:val="clear" w:color="auto" w:fill="B8CDE8"/>
          </w:tcPr>
          <w:p>
            <w:pPr>
              <w:ind w:left="100"/>
              <w:spacing w:after="0"/>
              <w:rPr>
                <w:sz w:val="20"/>
                <w:szCs w:val="20"/>
                <w:color w:val="auto"/>
              </w:rPr>
            </w:pPr>
            <w:r>
              <w:rPr>
                <w:rFonts w:ascii="Arial" w:cs="Arial" w:eastAsia="Arial" w:hAnsi="Arial"/>
                <w:sz w:val="14"/>
                <w:szCs w:val="14"/>
                <w:i w:val="1"/>
                <w:iCs w:val="1"/>
                <w:color w:val="auto"/>
              </w:rPr>
              <w:t>Restricted Stock Units</w:t>
            </w:r>
            <w:r>
              <w:rPr>
                <w:rFonts w:ascii="Arial" w:cs="Arial" w:eastAsia="Arial" w:hAnsi="Arial"/>
                <w:sz w:val="14"/>
                <w:szCs w:val="14"/>
                <w:color w:val="auto"/>
              </w:rPr>
              <w:t>: Vesting over 4 years – 10%, 20%, 30% and 40%</w:t>
            </w:r>
          </w:p>
        </w:tc>
      </w:tr>
      <w:tr>
        <w:trPr>
          <w:trHeight w:val="180"/>
        </w:trPr>
        <w:tc>
          <w:tcPr>
            <w:tcW w:w="2300" w:type="dxa"/>
            <w:vAlign w:val="bottom"/>
            <w:shd w:val="clear" w:color="auto" w:fill="B8CDE8"/>
          </w:tcPr>
          <w:p>
            <w:pPr>
              <w:spacing w:after="0"/>
              <w:rPr>
                <w:sz w:val="15"/>
                <w:szCs w:val="15"/>
                <w:color w:val="auto"/>
              </w:rPr>
            </w:pPr>
          </w:p>
        </w:tc>
        <w:tc>
          <w:tcPr>
            <w:tcW w:w="120" w:type="dxa"/>
            <w:vAlign w:val="bottom"/>
            <w:shd w:val="clear" w:color="auto" w:fill="B8CDE8"/>
          </w:tcPr>
          <w:p>
            <w:pPr>
              <w:spacing w:after="0"/>
              <w:rPr>
                <w:sz w:val="15"/>
                <w:szCs w:val="15"/>
                <w:color w:val="auto"/>
              </w:rPr>
            </w:pPr>
          </w:p>
        </w:tc>
        <w:tc>
          <w:tcPr>
            <w:tcW w:w="1320" w:type="dxa"/>
            <w:vAlign w:val="bottom"/>
            <w:gridSpan w:val="2"/>
            <w:shd w:val="clear" w:color="auto" w:fill="B8CDE8"/>
          </w:tcPr>
          <w:p>
            <w:pPr>
              <w:jc w:val="center"/>
              <w:spacing w:after="0"/>
              <w:rPr>
                <w:sz w:val="20"/>
                <w:szCs w:val="20"/>
                <w:color w:val="auto"/>
              </w:rPr>
            </w:pPr>
            <w:r>
              <w:rPr>
                <w:rFonts w:ascii="Arial" w:cs="Arial" w:eastAsia="Arial" w:hAnsi="Arial"/>
                <w:sz w:val="14"/>
                <w:szCs w:val="14"/>
                <w:color w:val="auto"/>
              </w:rPr>
              <w:t>2/26/2015</w:t>
            </w:r>
          </w:p>
        </w:tc>
        <w:tc>
          <w:tcPr>
            <w:tcW w:w="40" w:type="dxa"/>
            <w:vAlign w:val="bottom"/>
            <w:shd w:val="clear" w:color="auto" w:fill="B8CDE8"/>
          </w:tcPr>
          <w:p>
            <w:pPr>
              <w:spacing w:after="0"/>
              <w:rPr>
                <w:sz w:val="15"/>
                <w:szCs w:val="15"/>
                <w:color w:val="auto"/>
              </w:rPr>
            </w:pPr>
          </w:p>
        </w:tc>
        <w:tc>
          <w:tcPr>
            <w:tcW w:w="1420" w:type="dxa"/>
            <w:vAlign w:val="bottom"/>
            <w:gridSpan w:val="2"/>
            <w:shd w:val="clear" w:color="auto" w:fill="B8CDE8"/>
          </w:tcPr>
          <w:p>
            <w:pPr>
              <w:jc w:val="center"/>
              <w:spacing w:after="0"/>
              <w:rPr>
                <w:sz w:val="20"/>
                <w:szCs w:val="20"/>
                <w:color w:val="auto"/>
              </w:rPr>
            </w:pPr>
            <w:r>
              <w:rPr>
                <w:rFonts w:ascii="Arial" w:cs="Arial" w:eastAsia="Arial" w:hAnsi="Arial"/>
                <w:sz w:val="14"/>
                <w:szCs w:val="14"/>
                <w:color w:val="auto"/>
              </w:rPr>
              <w:t>2/26/2015</w:t>
            </w:r>
          </w:p>
        </w:tc>
        <w:tc>
          <w:tcPr>
            <w:tcW w:w="60" w:type="dxa"/>
            <w:vAlign w:val="bottom"/>
            <w:shd w:val="clear" w:color="auto" w:fill="B8CDE8"/>
          </w:tcPr>
          <w:p>
            <w:pPr>
              <w:spacing w:after="0"/>
              <w:rPr>
                <w:sz w:val="15"/>
                <w:szCs w:val="15"/>
                <w:color w:val="auto"/>
              </w:rPr>
            </w:pPr>
          </w:p>
        </w:tc>
        <w:tc>
          <w:tcPr>
            <w:tcW w:w="6160" w:type="dxa"/>
            <w:vAlign w:val="bottom"/>
            <w:gridSpan w:val="3"/>
            <w:shd w:val="clear" w:color="auto" w:fill="B8CDE8"/>
          </w:tcPr>
          <w:p>
            <w:pPr>
              <w:ind w:left="100"/>
              <w:spacing w:after="0"/>
              <w:rPr>
                <w:sz w:val="20"/>
                <w:szCs w:val="20"/>
                <w:color w:val="auto"/>
              </w:rPr>
            </w:pPr>
            <w:r>
              <w:rPr>
                <w:rFonts w:ascii="Arial" w:cs="Arial" w:eastAsia="Arial" w:hAnsi="Arial"/>
                <w:sz w:val="14"/>
                <w:szCs w:val="14"/>
                <w:i w:val="1"/>
                <w:iCs w:val="1"/>
                <w:color w:val="auto"/>
              </w:rPr>
              <w:t>Revenue Linked PRSUs</w:t>
            </w:r>
            <w:r>
              <w:rPr>
                <w:rFonts w:ascii="Arial" w:cs="Arial" w:eastAsia="Arial" w:hAnsi="Arial"/>
                <w:sz w:val="14"/>
                <w:szCs w:val="14"/>
                <w:color w:val="auto"/>
              </w:rPr>
              <w:t>: 100% vesting on 12/31/2017, subject to the banking feature</w:t>
            </w:r>
          </w:p>
        </w:tc>
      </w:tr>
      <w:tr>
        <w:trPr>
          <w:trHeight w:val="162"/>
        </w:trPr>
        <w:tc>
          <w:tcPr>
            <w:tcW w:w="230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40" w:type="dxa"/>
            <w:vAlign w:val="bottom"/>
            <w:shd w:val="clear" w:color="auto" w:fill="B8CDE8"/>
          </w:tcPr>
          <w:p>
            <w:pPr>
              <w:spacing w:after="0"/>
              <w:rPr>
                <w:sz w:val="14"/>
                <w:szCs w:val="14"/>
                <w:color w:val="auto"/>
              </w:rPr>
            </w:pPr>
          </w:p>
        </w:tc>
        <w:tc>
          <w:tcPr>
            <w:tcW w:w="1280" w:type="dxa"/>
            <w:vAlign w:val="bottom"/>
            <w:shd w:val="clear" w:color="auto" w:fill="B8CDE8"/>
          </w:tcPr>
          <w:p>
            <w:pPr>
              <w:spacing w:after="0"/>
              <w:rPr>
                <w:sz w:val="14"/>
                <w:szCs w:val="14"/>
                <w:color w:val="auto"/>
              </w:rPr>
            </w:pPr>
          </w:p>
        </w:tc>
        <w:tc>
          <w:tcPr>
            <w:tcW w:w="40" w:type="dxa"/>
            <w:vAlign w:val="bottom"/>
            <w:shd w:val="clear" w:color="auto" w:fill="B8CDE8"/>
          </w:tcPr>
          <w:p>
            <w:pPr>
              <w:spacing w:after="0"/>
              <w:rPr>
                <w:sz w:val="14"/>
                <w:szCs w:val="14"/>
                <w:color w:val="auto"/>
              </w:rPr>
            </w:pPr>
          </w:p>
        </w:tc>
        <w:tc>
          <w:tcPr>
            <w:tcW w:w="60" w:type="dxa"/>
            <w:vAlign w:val="bottom"/>
            <w:shd w:val="clear" w:color="auto" w:fill="B8CDE8"/>
          </w:tcPr>
          <w:p>
            <w:pPr>
              <w:spacing w:after="0"/>
              <w:rPr>
                <w:sz w:val="14"/>
                <w:szCs w:val="14"/>
                <w:color w:val="auto"/>
              </w:rPr>
            </w:pPr>
          </w:p>
        </w:tc>
        <w:tc>
          <w:tcPr>
            <w:tcW w:w="1360" w:type="dxa"/>
            <w:vAlign w:val="bottom"/>
            <w:shd w:val="clear" w:color="auto" w:fill="B8CDE8"/>
          </w:tcPr>
          <w:p>
            <w:pPr>
              <w:spacing w:after="0"/>
              <w:rPr>
                <w:sz w:val="14"/>
                <w:szCs w:val="14"/>
                <w:color w:val="auto"/>
              </w:rPr>
            </w:pPr>
          </w:p>
        </w:tc>
        <w:tc>
          <w:tcPr>
            <w:tcW w:w="60" w:type="dxa"/>
            <w:vAlign w:val="bottom"/>
            <w:shd w:val="clear" w:color="auto" w:fill="B8CDE8"/>
          </w:tcPr>
          <w:p>
            <w:pPr>
              <w:spacing w:after="0"/>
              <w:rPr>
                <w:sz w:val="14"/>
                <w:szCs w:val="14"/>
                <w:color w:val="auto"/>
              </w:rPr>
            </w:pPr>
          </w:p>
        </w:tc>
        <w:tc>
          <w:tcPr>
            <w:tcW w:w="616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described in “Compensation Discussion and Analysis – Long-Term Equity Incentives” on</w:t>
            </w:r>
          </w:p>
        </w:tc>
      </w:tr>
      <w:tr>
        <w:trPr>
          <w:trHeight w:val="171"/>
        </w:trPr>
        <w:tc>
          <w:tcPr>
            <w:tcW w:w="230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40" w:type="dxa"/>
            <w:vAlign w:val="bottom"/>
            <w:shd w:val="clear" w:color="auto" w:fill="B8CDE8"/>
          </w:tcPr>
          <w:p>
            <w:pPr>
              <w:spacing w:after="0"/>
              <w:rPr>
                <w:sz w:val="14"/>
                <w:szCs w:val="14"/>
                <w:color w:val="auto"/>
              </w:rPr>
            </w:pPr>
          </w:p>
        </w:tc>
        <w:tc>
          <w:tcPr>
            <w:tcW w:w="1280" w:type="dxa"/>
            <w:vAlign w:val="bottom"/>
            <w:shd w:val="clear" w:color="auto" w:fill="B8CDE8"/>
          </w:tcPr>
          <w:p>
            <w:pPr>
              <w:spacing w:after="0"/>
              <w:rPr>
                <w:sz w:val="14"/>
                <w:szCs w:val="14"/>
                <w:color w:val="auto"/>
              </w:rPr>
            </w:pPr>
          </w:p>
        </w:tc>
        <w:tc>
          <w:tcPr>
            <w:tcW w:w="40" w:type="dxa"/>
            <w:vAlign w:val="bottom"/>
            <w:shd w:val="clear" w:color="auto" w:fill="B8CDE8"/>
          </w:tcPr>
          <w:p>
            <w:pPr>
              <w:spacing w:after="0"/>
              <w:rPr>
                <w:sz w:val="14"/>
                <w:szCs w:val="14"/>
                <w:color w:val="auto"/>
              </w:rPr>
            </w:pPr>
          </w:p>
        </w:tc>
        <w:tc>
          <w:tcPr>
            <w:tcW w:w="60" w:type="dxa"/>
            <w:vAlign w:val="bottom"/>
            <w:shd w:val="clear" w:color="auto" w:fill="B8CDE8"/>
          </w:tcPr>
          <w:p>
            <w:pPr>
              <w:spacing w:after="0"/>
              <w:rPr>
                <w:sz w:val="14"/>
                <w:szCs w:val="14"/>
                <w:color w:val="auto"/>
              </w:rPr>
            </w:pPr>
          </w:p>
        </w:tc>
        <w:tc>
          <w:tcPr>
            <w:tcW w:w="1360" w:type="dxa"/>
            <w:vAlign w:val="bottom"/>
            <w:shd w:val="clear" w:color="auto" w:fill="B8CDE8"/>
          </w:tcPr>
          <w:p>
            <w:pPr>
              <w:spacing w:after="0"/>
              <w:rPr>
                <w:sz w:val="14"/>
                <w:szCs w:val="14"/>
                <w:color w:val="auto"/>
              </w:rPr>
            </w:pPr>
          </w:p>
        </w:tc>
        <w:tc>
          <w:tcPr>
            <w:tcW w:w="60" w:type="dxa"/>
            <w:vAlign w:val="bottom"/>
            <w:shd w:val="clear" w:color="auto" w:fill="B8CDE8"/>
          </w:tcPr>
          <w:p>
            <w:pPr>
              <w:spacing w:after="0"/>
              <w:rPr>
                <w:sz w:val="14"/>
                <w:szCs w:val="14"/>
                <w:color w:val="auto"/>
              </w:rPr>
            </w:pPr>
          </w:p>
        </w:tc>
        <w:tc>
          <w:tcPr>
            <w:tcW w:w="616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page 36.</w:t>
            </w:r>
          </w:p>
        </w:tc>
      </w:tr>
      <w:tr>
        <w:trPr>
          <w:trHeight w:val="189"/>
        </w:trPr>
        <w:tc>
          <w:tcPr>
            <w:tcW w:w="230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1320" w:type="dxa"/>
            <w:vAlign w:val="bottom"/>
            <w:gridSpan w:val="2"/>
            <w:shd w:val="clear" w:color="auto" w:fill="B8CDE8"/>
          </w:tcPr>
          <w:p>
            <w:pPr>
              <w:jc w:val="center"/>
              <w:spacing w:after="0"/>
              <w:rPr>
                <w:sz w:val="20"/>
                <w:szCs w:val="20"/>
                <w:color w:val="auto"/>
              </w:rPr>
            </w:pPr>
            <w:r>
              <w:rPr>
                <w:rFonts w:ascii="Arial" w:cs="Arial" w:eastAsia="Arial" w:hAnsi="Arial"/>
                <w:sz w:val="14"/>
                <w:szCs w:val="14"/>
                <w:color w:val="auto"/>
              </w:rPr>
              <w:t>2/26/2015</w:t>
            </w:r>
          </w:p>
        </w:tc>
        <w:tc>
          <w:tcPr>
            <w:tcW w:w="40" w:type="dxa"/>
            <w:vAlign w:val="bottom"/>
            <w:shd w:val="clear" w:color="auto" w:fill="B8CDE8"/>
          </w:tcPr>
          <w:p>
            <w:pPr>
              <w:spacing w:after="0"/>
              <w:rPr>
                <w:sz w:val="16"/>
                <w:szCs w:val="16"/>
                <w:color w:val="auto"/>
              </w:rPr>
            </w:pPr>
          </w:p>
        </w:tc>
        <w:tc>
          <w:tcPr>
            <w:tcW w:w="1420" w:type="dxa"/>
            <w:vAlign w:val="bottom"/>
            <w:gridSpan w:val="2"/>
            <w:shd w:val="clear" w:color="auto" w:fill="B8CDE8"/>
          </w:tcPr>
          <w:p>
            <w:pPr>
              <w:jc w:val="center"/>
              <w:spacing w:after="0"/>
              <w:rPr>
                <w:sz w:val="20"/>
                <w:szCs w:val="20"/>
                <w:color w:val="auto"/>
              </w:rPr>
            </w:pPr>
            <w:r>
              <w:rPr>
                <w:rFonts w:ascii="Arial" w:cs="Arial" w:eastAsia="Arial" w:hAnsi="Arial"/>
                <w:sz w:val="14"/>
                <w:szCs w:val="14"/>
                <w:color w:val="auto"/>
              </w:rPr>
              <w:t>2/26/2015</w:t>
            </w:r>
          </w:p>
        </w:tc>
        <w:tc>
          <w:tcPr>
            <w:tcW w:w="60" w:type="dxa"/>
            <w:vAlign w:val="bottom"/>
            <w:shd w:val="clear" w:color="auto" w:fill="B8CDE8"/>
          </w:tcPr>
          <w:p>
            <w:pPr>
              <w:spacing w:after="0"/>
              <w:rPr>
                <w:sz w:val="16"/>
                <w:szCs w:val="16"/>
                <w:color w:val="auto"/>
              </w:rPr>
            </w:pPr>
          </w:p>
        </w:tc>
        <w:tc>
          <w:tcPr>
            <w:tcW w:w="6160" w:type="dxa"/>
            <w:vAlign w:val="bottom"/>
            <w:gridSpan w:val="3"/>
            <w:shd w:val="clear" w:color="auto" w:fill="B8CDE8"/>
          </w:tcPr>
          <w:p>
            <w:pPr>
              <w:ind w:left="100"/>
              <w:spacing w:after="0"/>
              <w:rPr>
                <w:sz w:val="20"/>
                <w:szCs w:val="20"/>
                <w:color w:val="auto"/>
              </w:rPr>
            </w:pPr>
            <w:r>
              <w:rPr>
                <w:rFonts w:ascii="Arial" w:cs="Arial" w:eastAsia="Arial" w:hAnsi="Arial"/>
                <w:sz w:val="14"/>
                <w:szCs w:val="14"/>
                <w:i w:val="1"/>
                <w:iCs w:val="1"/>
                <w:color w:val="auto"/>
              </w:rPr>
              <w:t>Relative TSR-Linked PRSUs</w:t>
            </w:r>
            <w:r>
              <w:rPr>
                <w:rFonts w:ascii="Arial" w:cs="Arial" w:eastAsia="Arial" w:hAnsi="Arial"/>
                <w:sz w:val="14"/>
                <w:szCs w:val="14"/>
                <w:color w:val="auto"/>
              </w:rPr>
              <w:t>: 100% vesting on 12/31/2017</w:t>
            </w:r>
          </w:p>
        </w:tc>
      </w:tr>
      <w:tr>
        <w:trPr>
          <w:trHeight w:val="191"/>
        </w:trPr>
        <w:tc>
          <w:tcPr>
            <w:tcW w:w="2420" w:type="dxa"/>
            <w:vAlign w:val="bottom"/>
            <w:gridSpan w:val="2"/>
          </w:tcPr>
          <w:p>
            <w:pPr>
              <w:ind w:left="120"/>
              <w:spacing w:after="0"/>
              <w:rPr>
                <w:sz w:val="20"/>
                <w:szCs w:val="20"/>
                <w:color w:val="auto"/>
              </w:rPr>
            </w:pPr>
            <w:r>
              <w:rPr>
                <w:rFonts w:ascii="Arial" w:cs="Arial" w:eastAsia="Arial" w:hAnsi="Arial"/>
                <w:sz w:val="14"/>
                <w:szCs w:val="14"/>
                <w:color w:val="auto"/>
              </w:rPr>
              <w:t>Nalin Miglani</w:t>
            </w:r>
          </w:p>
        </w:tc>
        <w:tc>
          <w:tcPr>
            <w:tcW w:w="1320" w:type="dxa"/>
            <w:vAlign w:val="bottom"/>
            <w:gridSpan w:val="2"/>
          </w:tcPr>
          <w:p>
            <w:pPr>
              <w:jc w:val="center"/>
              <w:spacing w:after="0"/>
              <w:rPr>
                <w:sz w:val="20"/>
                <w:szCs w:val="20"/>
                <w:color w:val="auto"/>
              </w:rPr>
            </w:pPr>
            <w:r>
              <w:rPr>
                <w:rFonts w:ascii="Arial" w:cs="Arial" w:eastAsia="Arial" w:hAnsi="Arial"/>
                <w:sz w:val="14"/>
                <w:szCs w:val="14"/>
                <w:color w:val="auto"/>
              </w:rPr>
              <w:t>2/26/2015</w:t>
            </w:r>
          </w:p>
        </w:tc>
        <w:tc>
          <w:tcPr>
            <w:tcW w:w="40" w:type="dxa"/>
            <w:vAlign w:val="bottom"/>
          </w:tcPr>
          <w:p>
            <w:pPr>
              <w:spacing w:after="0"/>
              <w:rPr>
                <w:sz w:val="16"/>
                <w:szCs w:val="16"/>
                <w:color w:val="auto"/>
              </w:rPr>
            </w:pPr>
          </w:p>
        </w:tc>
        <w:tc>
          <w:tcPr>
            <w:tcW w:w="1420" w:type="dxa"/>
            <w:vAlign w:val="bottom"/>
            <w:gridSpan w:val="2"/>
          </w:tcPr>
          <w:p>
            <w:pPr>
              <w:jc w:val="center"/>
              <w:spacing w:after="0"/>
              <w:rPr>
                <w:sz w:val="20"/>
                <w:szCs w:val="20"/>
                <w:color w:val="auto"/>
              </w:rPr>
            </w:pPr>
            <w:r>
              <w:rPr>
                <w:rFonts w:ascii="Arial" w:cs="Arial" w:eastAsia="Arial" w:hAnsi="Arial"/>
                <w:sz w:val="14"/>
                <w:szCs w:val="14"/>
                <w:color w:val="auto"/>
              </w:rPr>
              <w:t>2/26/2015</w:t>
            </w:r>
          </w:p>
        </w:tc>
        <w:tc>
          <w:tcPr>
            <w:tcW w:w="60" w:type="dxa"/>
            <w:vAlign w:val="bottom"/>
          </w:tcPr>
          <w:p>
            <w:pPr>
              <w:spacing w:after="0"/>
              <w:rPr>
                <w:sz w:val="16"/>
                <w:szCs w:val="16"/>
                <w:color w:val="auto"/>
              </w:rPr>
            </w:pPr>
          </w:p>
        </w:tc>
        <w:tc>
          <w:tcPr>
            <w:tcW w:w="6160" w:type="dxa"/>
            <w:vAlign w:val="bottom"/>
            <w:gridSpan w:val="3"/>
          </w:tcPr>
          <w:p>
            <w:pPr>
              <w:ind w:left="100"/>
              <w:spacing w:after="0"/>
              <w:rPr>
                <w:sz w:val="20"/>
                <w:szCs w:val="20"/>
                <w:color w:val="auto"/>
              </w:rPr>
            </w:pPr>
            <w:r>
              <w:rPr>
                <w:rFonts w:ascii="Arial" w:cs="Arial" w:eastAsia="Arial" w:hAnsi="Arial"/>
                <w:sz w:val="14"/>
                <w:szCs w:val="14"/>
                <w:i w:val="1"/>
                <w:iCs w:val="1"/>
                <w:color w:val="auto"/>
              </w:rPr>
              <w:t>Restricted Stock Units</w:t>
            </w:r>
            <w:r>
              <w:rPr>
                <w:rFonts w:ascii="Arial" w:cs="Arial" w:eastAsia="Arial" w:hAnsi="Arial"/>
                <w:sz w:val="14"/>
                <w:szCs w:val="14"/>
                <w:color w:val="auto"/>
              </w:rPr>
              <w:t>: Vesting over 4 years – 10%, 20%, 30% and 40%</w:t>
            </w:r>
          </w:p>
        </w:tc>
      </w:tr>
      <w:tr>
        <w:trPr>
          <w:trHeight w:val="179"/>
        </w:trPr>
        <w:tc>
          <w:tcPr>
            <w:tcW w:w="2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center"/>
              <w:spacing w:after="0"/>
              <w:rPr>
                <w:sz w:val="20"/>
                <w:szCs w:val="20"/>
                <w:color w:val="auto"/>
              </w:rPr>
            </w:pPr>
            <w:r>
              <w:rPr>
                <w:rFonts w:ascii="Arial" w:cs="Arial" w:eastAsia="Arial" w:hAnsi="Arial"/>
                <w:sz w:val="14"/>
                <w:szCs w:val="14"/>
                <w:color w:val="auto"/>
              </w:rPr>
              <w:t>2/26/2015</w:t>
            </w:r>
          </w:p>
        </w:tc>
        <w:tc>
          <w:tcPr>
            <w:tcW w:w="40" w:type="dxa"/>
            <w:vAlign w:val="bottom"/>
          </w:tcPr>
          <w:p>
            <w:pPr>
              <w:spacing w:after="0"/>
              <w:rPr>
                <w:sz w:val="15"/>
                <w:szCs w:val="15"/>
                <w:color w:val="auto"/>
              </w:rPr>
            </w:pPr>
          </w:p>
        </w:tc>
        <w:tc>
          <w:tcPr>
            <w:tcW w:w="1420" w:type="dxa"/>
            <w:vAlign w:val="bottom"/>
            <w:gridSpan w:val="2"/>
          </w:tcPr>
          <w:p>
            <w:pPr>
              <w:jc w:val="center"/>
              <w:spacing w:after="0"/>
              <w:rPr>
                <w:sz w:val="20"/>
                <w:szCs w:val="20"/>
                <w:color w:val="auto"/>
              </w:rPr>
            </w:pPr>
            <w:r>
              <w:rPr>
                <w:rFonts w:ascii="Arial" w:cs="Arial" w:eastAsia="Arial" w:hAnsi="Arial"/>
                <w:sz w:val="14"/>
                <w:szCs w:val="14"/>
                <w:color w:val="auto"/>
              </w:rPr>
              <w:t>2/26/2015</w:t>
            </w:r>
          </w:p>
        </w:tc>
        <w:tc>
          <w:tcPr>
            <w:tcW w:w="60" w:type="dxa"/>
            <w:vAlign w:val="bottom"/>
          </w:tcPr>
          <w:p>
            <w:pPr>
              <w:spacing w:after="0"/>
              <w:rPr>
                <w:sz w:val="15"/>
                <w:szCs w:val="15"/>
                <w:color w:val="auto"/>
              </w:rPr>
            </w:pPr>
          </w:p>
        </w:tc>
        <w:tc>
          <w:tcPr>
            <w:tcW w:w="6160" w:type="dxa"/>
            <w:vAlign w:val="bottom"/>
            <w:gridSpan w:val="3"/>
          </w:tcPr>
          <w:p>
            <w:pPr>
              <w:ind w:left="100"/>
              <w:spacing w:after="0"/>
              <w:rPr>
                <w:sz w:val="20"/>
                <w:szCs w:val="20"/>
                <w:color w:val="auto"/>
              </w:rPr>
            </w:pPr>
            <w:r>
              <w:rPr>
                <w:rFonts w:ascii="Arial" w:cs="Arial" w:eastAsia="Arial" w:hAnsi="Arial"/>
                <w:sz w:val="14"/>
                <w:szCs w:val="14"/>
                <w:i w:val="1"/>
                <w:iCs w:val="1"/>
                <w:color w:val="auto"/>
              </w:rPr>
              <w:t>Revenue Linked PRSUs</w:t>
            </w:r>
            <w:r>
              <w:rPr>
                <w:rFonts w:ascii="Arial" w:cs="Arial" w:eastAsia="Arial" w:hAnsi="Arial"/>
                <w:sz w:val="14"/>
                <w:szCs w:val="14"/>
                <w:color w:val="auto"/>
              </w:rPr>
              <w:t>: 100% vesting on 12/31/2017, subject to the banking feature</w:t>
            </w:r>
          </w:p>
        </w:tc>
      </w:tr>
      <w:tr>
        <w:trPr>
          <w:trHeight w:val="162"/>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160" w:type="dxa"/>
            <w:vAlign w:val="bottom"/>
            <w:gridSpan w:val="3"/>
          </w:tcPr>
          <w:p>
            <w:pPr>
              <w:ind w:left="100"/>
              <w:spacing w:after="0"/>
              <w:rPr>
                <w:sz w:val="20"/>
                <w:szCs w:val="20"/>
                <w:color w:val="auto"/>
              </w:rPr>
            </w:pPr>
            <w:r>
              <w:rPr>
                <w:rFonts w:ascii="Arial" w:cs="Arial" w:eastAsia="Arial" w:hAnsi="Arial"/>
                <w:sz w:val="14"/>
                <w:szCs w:val="14"/>
                <w:color w:val="auto"/>
              </w:rPr>
              <w:t>described in “Compensation Discussion and Analysis – Long-Term Equity Incentives” on</w:t>
            </w:r>
          </w:p>
        </w:tc>
      </w:tr>
      <w:tr>
        <w:trPr>
          <w:trHeight w:val="172"/>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160" w:type="dxa"/>
            <w:vAlign w:val="bottom"/>
            <w:gridSpan w:val="3"/>
          </w:tcPr>
          <w:p>
            <w:pPr>
              <w:ind w:left="100"/>
              <w:spacing w:after="0"/>
              <w:rPr>
                <w:sz w:val="20"/>
                <w:szCs w:val="20"/>
                <w:color w:val="auto"/>
              </w:rPr>
            </w:pPr>
            <w:r>
              <w:rPr>
                <w:rFonts w:ascii="Arial" w:cs="Arial" w:eastAsia="Arial" w:hAnsi="Arial"/>
                <w:sz w:val="14"/>
                <w:szCs w:val="14"/>
                <w:color w:val="auto"/>
              </w:rPr>
              <w:t>page 36.</w:t>
            </w:r>
          </w:p>
        </w:tc>
      </w:tr>
      <w:tr>
        <w:trPr>
          <w:trHeight w:val="188"/>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spacing w:after="0"/>
              <w:rPr>
                <w:sz w:val="20"/>
                <w:szCs w:val="20"/>
                <w:color w:val="auto"/>
              </w:rPr>
            </w:pPr>
            <w:r>
              <w:rPr>
                <w:rFonts w:ascii="Arial" w:cs="Arial" w:eastAsia="Arial" w:hAnsi="Arial"/>
                <w:sz w:val="14"/>
                <w:szCs w:val="14"/>
                <w:color w:val="auto"/>
              </w:rPr>
              <w:t>2/26/2015</w:t>
            </w:r>
          </w:p>
        </w:tc>
        <w:tc>
          <w:tcPr>
            <w:tcW w:w="40" w:type="dxa"/>
            <w:vAlign w:val="bottom"/>
          </w:tcPr>
          <w:p>
            <w:pPr>
              <w:spacing w:after="0"/>
              <w:rPr>
                <w:sz w:val="16"/>
                <w:szCs w:val="16"/>
                <w:color w:val="auto"/>
              </w:rPr>
            </w:pPr>
          </w:p>
        </w:tc>
        <w:tc>
          <w:tcPr>
            <w:tcW w:w="1420" w:type="dxa"/>
            <w:vAlign w:val="bottom"/>
            <w:gridSpan w:val="2"/>
          </w:tcPr>
          <w:p>
            <w:pPr>
              <w:jc w:val="center"/>
              <w:spacing w:after="0"/>
              <w:rPr>
                <w:sz w:val="20"/>
                <w:szCs w:val="20"/>
                <w:color w:val="auto"/>
              </w:rPr>
            </w:pPr>
            <w:r>
              <w:rPr>
                <w:rFonts w:ascii="Arial" w:cs="Arial" w:eastAsia="Arial" w:hAnsi="Arial"/>
                <w:sz w:val="14"/>
                <w:szCs w:val="14"/>
                <w:color w:val="auto"/>
              </w:rPr>
              <w:t>2/26/2015</w:t>
            </w:r>
          </w:p>
        </w:tc>
        <w:tc>
          <w:tcPr>
            <w:tcW w:w="60" w:type="dxa"/>
            <w:vAlign w:val="bottom"/>
          </w:tcPr>
          <w:p>
            <w:pPr>
              <w:spacing w:after="0"/>
              <w:rPr>
                <w:sz w:val="16"/>
                <w:szCs w:val="16"/>
                <w:color w:val="auto"/>
              </w:rPr>
            </w:pPr>
          </w:p>
        </w:tc>
        <w:tc>
          <w:tcPr>
            <w:tcW w:w="6160" w:type="dxa"/>
            <w:vAlign w:val="bottom"/>
            <w:gridSpan w:val="3"/>
          </w:tcPr>
          <w:p>
            <w:pPr>
              <w:ind w:left="100"/>
              <w:spacing w:after="0"/>
              <w:rPr>
                <w:sz w:val="20"/>
                <w:szCs w:val="20"/>
                <w:color w:val="auto"/>
              </w:rPr>
            </w:pPr>
            <w:r>
              <w:rPr>
                <w:rFonts w:ascii="Arial" w:cs="Arial" w:eastAsia="Arial" w:hAnsi="Arial"/>
                <w:sz w:val="14"/>
                <w:szCs w:val="14"/>
                <w:i w:val="1"/>
                <w:iCs w:val="1"/>
                <w:color w:val="auto"/>
              </w:rPr>
              <w:t>Relative TSR-Linked PRSUs</w:t>
            </w:r>
            <w:r>
              <w:rPr>
                <w:rFonts w:ascii="Arial" w:cs="Arial" w:eastAsia="Arial" w:hAnsi="Arial"/>
                <w:sz w:val="14"/>
                <w:szCs w:val="14"/>
                <w:color w:val="auto"/>
              </w:rPr>
              <w:t>: 100% vesting on 12/31/2017</w:t>
            </w:r>
          </w:p>
        </w:tc>
      </w:tr>
      <w:tr>
        <w:trPr>
          <w:trHeight w:val="189"/>
        </w:trPr>
        <w:tc>
          <w:tcPr>
            <w:tcW w:w="2420" w:type="dxa"/>
            <w:vAlign w:val="bottom"/>
            <w:gridSpan w:val="2"/>
            <w:shd w:val="clear" w:color="auto" w:fill="B8CDE8"/>
          </w:tcPr>
          <w:p>
            <w:pPr>
              <w:ind w:left="120"/>
              <w:spacing w:after="0"/>
              <w:rPr>
                <w:sz w:val="20"/>
                <w:szCs w:val="20"/>
                <w:color w:val="auto"/>
              </w:rPr>
            </w:pPr>
            <w:r>
              <w:rPr>
                <w:rFonts w:ascii="Arial" w:cs="Arial" w:eastAsia="Arial" w:hAnsi="Arial"/>
                <w:sz w:val="14"/>
                <w:szCs w:val="14"/>
                <w:color w:val="auto"/>
              </w:rPr>
              <w:t>Henry Schweppe</w:t>
            </w:r>
          </w:p>
        </w:tc>
        <w:tc>
          <w:tcPr>
            <w:tcW w:w="1320" w:type="dxa"/>
            <w:vAlign w:val="bottom"/>
            <w:gridSpan w:val="2"/>
            <w:shd w:val="clear" w:color="auto" w:fill="B8CDE8"/>
          </w:tcPr>
          <w:p>
            <w:pPr>
              <w:jc w:val="center"/>
              <w:spacing w:after="0"/>
              <w:rPr>
                <w:sz w:val="20"/>
                <w:szCs w:val="20"/>
                <w:color w:val="auto"/>
              </w:rPr>
            </w:pPr>
            <w:r>
              <w:rPr>
                <w:rFonts w:ascii="Arial" w:cs="Arial" w:eastAsia="Arial" w:hAnsi="Arial"/>
                <w:sz w:val="14"/>
                <w:szCs w:val="14"/>
                <w:color w:val="auto"/>
              </w:rPr>
              <w:t>2/26/2015</w:t>
            </w:r>
          </w:p>
        </w:tc>
        <w:tc>
          <w:tcPr>
            <w:tcW w:w="40" w:type="dxa"/>
            <w:vAlign w:val="bottom"/>
            <w:shd w:val="clear" w:color="auto" w:fill="B8CDE8"/>
          </w:tcPr>
          <w:p>
            <w:pPr>
              <w:spacing w:after="0"/>
              <w:rPr>
                <w:sz w:val="16"/>
                <w:szCs w:val="16"/>
                <w:color w:val="auto"/>
              </w:rPr>
            </w:pPr>
          </w:p>
        </w:tc>
        <w:tc>
          <w:tcPr>
            <w:tcW w:w="1420" w:type="dxa"/>
            <w:vAlign w:val="bottom"/>
            <w:gridSpan w:val="2"/>
            <w:shd w:val="clear" w:color="auto" w:fill="B8CDE8"/>
          </w:tcPr>
          <w:p>
            <w:pPr>
              <w:jc w:val="center"/>
              <w:spacing w:after="0"/>
              <w:rPr>
                <w:sz w:val="20"/>
                <w:szCs w:val="20"/>
                <w:color w:val="auto"/>
              </w:rPr>
            </w:pPr>
            <w:r>
              <w:rPr>
                <w:rFonts w:ascii="Arial" w:cs="Arial" w:eastAsia="Arial" w:hAnsi="Arial"/>
                <w:sz w:val="14"/>
                <w:szCs w:val="14"/>
                <w:color w:val="auto"/>
              </w:rPr>
              <w:t>2/26/2015</w:t>
            </w:r>
          </w:p>
        </w:tc>
        <w:tc>
          <w:tcPr>
            <w:tcW w:w="60" w:type="dxa"/>
            <w:vAlign w:val="bottom"/>
            <w:shd w:val="clear" w:color="auto" w:fill="B8CDE8"/>
          </w:tcPr>
          <w:p>
            <w:pPr>
              <w:spacing w:after="0"/>
              <w:rPr>
                <w:sz w:val="16"/>
                <w:szCs w:val="16"/>
                <w:color w:val="auto"/>
              </w:rPr>
            </w:pPr>
          </w:p>
        </w:tc>
        <w:tc>
          <w:tcPr>
            <w:tcW w:w="6160" w:type="dxa"/>
            <w:vAlign w:val="bottom"/>
            <w:gridSpan w:val="3"/>
            <w:shd w:val="clear" w:color="auto" w:fill="B8CDE8"/>
          </w:tcPr>
          <w:p>
            <w:pPr>
              <w:ind w:left="100"/>
              <w:spacing w:after="0"/>
              <w:rPr>
                <w:sz w:val="20"/>
                <w:szCs w:val="20"/>
                <w:color w:val="auto"/>
              </w:rPr>
            </w:pPr>
            <w:r>
              <w:rPr>
                <w:rFonts w:ascii="Arial" w:cs="Arial" w:eastAsia="Arial" w:hAnsi="Arial"/>
                <w:sz w:val="14"/>
                <w:szCs w:val="14"/>
                <w:i w:val="1"/>
                <w:iCs w:val="1"/>
                <w:color w:val="auto"/>
              </w:rPr>
              <w:t>Restricted Stock Units</w:t>
            </w:r>
            <w:r>
              <w:rPr>
                <w:rFonts w:ascii="Arial" w:cs="Arial" w:eastAsia="Arial" w:hAnsi="Arial"/>
                <w:sz w:val="14"/>
                <w:szCs w:val="14"/>
                <w:color w:val="auto"/>
              </w:rPr>
              <w:t>: Vesting over 4 years – 10%, 20%, 30% and 40%</w:t>
            </w:r>
          </w:p>
        </w:tc>
      </w:tr>
      <w:tr>
        <w:trPr>
          <w:trHeight w:val="180"/>
        </w:trPr>
        <w:tc>
          <w:tcPr>
            <w:tcW w:w="2300" w:type="dxa"/>
            <w:vAlign w:val="bottom"/>
            <w:shd w:val="clear" w:color="auto" w:fill="B8CCE4"/>
          </w:tcPr>
          <w:p>
            <w:pPr>
              <w:spacing w:after="0"/>
              <w:rPr>
                <w:sz w:val="15"/>
                <w:szCs w:val="15"/>
                <w:color w:val="auto"/>
              </w:rPr>
            </w:pPr>
          </w:p>
        </w:tc>
        <w:tc>
          <w:tcPr>
            <w:tcW w:w="120" w:type="dxa"/>
            <w:vAlign w:val="bottom"/>
            <w:shd w:val="clear" w:color="auto" w:fill="B8CCE4"/>
          </w:tcPr>
          <w:p>
            <w:pPr>
              <w:spacing w:after="0"/>
              <w:rPr>
                <w:sz w:val="15"/>
                <w:szCs w:val="15"/>
                <w:color w:val="auto"/>
              </w:rPr>
            </w:pPr>
          </w:p>
        </w:tc>
        <w:tc>
          <w:tcPr>
            <w:tcW w:w="1320" w:type="dxa"/>
            <w:vAlign w:val="bottom"/>
            <w:gridSpan w:val="2"/>
            <w:shd w:val="clear" w:color="auto" w:fill="B8CCE4"/>
          </w:tcPr>
          <w:p>
            <w:pPr>
              <w:jc w:val="center"/>
              <w:spacing w:after="0"/>
              <w:rPr>
                <w:sz w:val="20"/>
                <w:szCs w:val="20"/>
                <w:color w:val="auto"/>
              </w:rPr>
            </w:pPr>
            <w:r>
              <w:rPr>
                <w:rFonts w:ascii="Arial" w:cs="Arial" w:eastAsia="Arial" w:hAnsi="Arial"/>
                <w:sz w:val="14"/>
                <w:szCs w:val="14"/>
                <w:color w:val="auto"/>
              </w:rPr>
              <w:t>2/26/2015</w:t>
            </w:r>
          </w:p>
        </w:tc>
        <w:tc>
          <w:tcPr>
            <w:tcW w:w="40" w:type="dxa"/>
            <w:vAlign w:val="bottom"/>
            <w:shd w:val="clear" w:color="auto" w:fill="B8CCE4"/>
          </w:tcPr>
          <w:p>
            <w:pPr>
              <w:spacing w:after="0"/>
              <w:rPr>
                <w:sz w:val="15"/>
                <w:szCs w:val="15"/>
                <w:color w:val="auto"/>
              </w:rPr>
            </w:pPr>
          </w:p>
        </w:tc>
        <w:tc>
          <w:tcPr>
            <w:tcW w:w="1420" w:type="dxa"/>
            <w:vAlign w:val="bottom"/>
            <w:gridSpan w:val="2"/>
            <w:shd w:val="clear" w:color="auto" w:fill="B8CCE4"/>
          </w:tcPr>
          <w:p>
            <w:pPr>
              <w:jc w:val="center"/>
              <w:spacing w:after="0"/>
              <w:rPr>
                <w:sz w:val="20"/>
                <w:szCs w:val="20"/>
                <w:color w:val="auto"/>
              </w:rPr>
            </w:pPr>
            <w:r>
              <w:rPr>
                <w:rFonts w:ascii="Arial" w:cs="Arial" w:eastAsia="Arial" w:hAnsi="Arial"/>
                <w:sz w:val="14"/>
                <w:szCs w:val="14"/>
                <w:color w:val="auto"/>
              </w:rPr>
              <w:t>2/26/2015</w:t>
            </w:r>
          </w:p>
        </w:tc>
        <w:tc>
          <w:tcPr>
            <w:tcW w:w="60" w:type="dxa"/>
            <w:vAlign w:val="bottom"/>
            <w:shd w:val="clear" w:color="auto" w:fill="B8CCE4"/>
          </w:tcPr>
          <w:p>
            <w:pPr>
              <w:spacing w:after="0"/>
              <w:rPr>
                <w:sz w:val="15"/>
                <w:szCs w:val="15"/>
                <w:color w:val="auto"/>
              </w:rPr>
            </w:pPr>
          </w:p>
        </w:tc>
        <w:tc>
          <w:tcPr>
            <w:tcW w:w="6160" w:type="dxa"/>
            <w:vAlign w:val="bottom"/>
            <w:gridSpan w:val="3"/>
            <w:shd w:val="clear" w:color="auto" w:fill="B8CCE4"/>
          </w:tcPr>
          <w:p>
            <w:pPr>
              <w:ind w:left="100"/>
              <w:spacing w:after="0"/>
              <w:rPr>
                <w:sz w:val="20"/>
                <w:szCs w:val="20"/>
                <w:color w:val="auto"/>
              </w:rPr>
            </w:pPr>
            <w:r>
              <w:rPr>
                <w:rFonts w:ascii="Arial" w:cs="Arial" w:eastAsia="Arial" w:hAnsi="Arial"/>
                <w:sz w:val="14"/>
                <w:szCs w:val="14"/>
                <w:i w:val="1"/>
                <w:iCs w:val="1"/>
                <w:color w:val="auto"/>
              </w:rPr>
              <w:t>Revenue Linked PRSUs</w:t>
            </w:r>
            <w:r>
              <w:rPr>
                <w:rFonts w:ascii="Arial" w:cs="Arial" w:eastAsia="Arial" w:hAnsi="Arial"/>
                <w:sz w:val="14"/>
                <w:szCs w:val="14"/>
                <w:color w:val="auto"/>
              </w:rPr>
              <w:t>: 100% vesting on 12/31/2017, subject to the banking feature</w:t>
            </w:r>
          </w:p>
        </w:tc>
      </w:tr>
      <w:tr>
        <w:trPr>
          <w:trHeight w:val="162"/>
        </w:trPr>
        <w:tc>
          <w:tcPr>
            <w:tcW w:w="2300" w:type="dxa"/>
            <w:vAlign w:val="bottom"/>
            <w:shd w:val="clear" w:color="auto" w:fill="B8CCE4"/>
          </w:tcPr>
          <w:p>
            <w:pPr>
              <w:spacing w:after="0"/>
              <w:rPr>
                <w:sz w:val="14"/>
                <w:szCs w:val="14"/>
                <w:color w:val="auto"/>
              </w:rPr>
            </w:pPr>
          </w:p>
        </w:tc>
        <w:tc>
          <w:tcPr>
            <w:tcW w:w="120" w:type="dxa"/>
            <w:vAlign w:val="bottom"/>
            <w:shd w:val="clear" w:color="auto" w:fill="B8CCE4"/>
          </w:tcPr>
          <w:p>
            <w:pPr>
              <w:spacing w:after="0"/>
              <w:rPr>
                <w:sz w:val="14"/>
                <w:szCs w:val="14"/>
                <w:color w:val="auto"/>
              </w:rPr>
            </w:pPr>
          </w:p>
        </w:tc>
        <w:tc>
          <w:tcPr>
            <w:tcW w:w="40" w:type="dxa"/>
            <w:vAlign w:val="bottom"/>
            <w:shd w:val="clear" w:color="auto" w:fill="B8CCE4"/>
          </w:tcPr>
          <w:p>
            <w:pPr>
              <w:spacing w:after="0"/>
              <w:rPr>
                <w:sz w:val="14"/>
                <w:szCs w:val="14"/>
                <w:color w:val="auto"/>
              </w:rPr>
            </w:pPr>
          </w:p>
        </w:tc>
        <w:tc>
          <w:tcPr>
            <w:tcW w:w="1280" w:type="dxa"/>
            <w:vAlign w:val="bottom"/>
            <w:shd w:val="clear" w:color="auto" w:fill="B8CCE4"/>
          </w:tcPr>
          <w:p>
            <w:pPr>
              <w:spacing w:after="0"/>
              <w:rPr>
                <w:sz w:val="14"/>
                <w:szCs w:val="14"/>
                <w:color w:val="auto"/>
              </w:rPr>
            </w:pPr>
          </w:p>
        </w:tc>
        <w:tc>
          <w:tcPr>
            <w:tcW w:w="40" w:type="dxa"/>
            <w:vAlign w:val="bottom"/>
            <w:shd w:val="clear" w:color="auto" w:fill="B8CCE4"/>
          </w:tcPr>
          <w:p>
            <w:pPr>
              <w:spacing w:after="0"/>
              <w:rPr>
                <w:sz w:val="14"/>
                <w:szCs w:val="14"/>
                <w:color w:val="auto"/>
              </w:rPr>
            </w:pPr>
          </w:p>
        </w:tc>
        <w:tc>
          <w:tcPr>
            <w:tcW w:w="60" w:type="dxa"/>
            <w:vAlign w:val="bottom"/>
            <w:shd w:val="clear" w:color="auto" w:fill="B8CCE4"/>
          </w:tcPr>
          <w:p>
            <w:pPr>
              <w:spacing w:after="0"/>
              <w:rPr>
                <w:sz w:val="14"/>
                <w:szCs w:val="14"/>
                <w:color w:val="auto"/>
              </w:rPr>
            </w:pPr>
          </w:p>
        </w:tc>
        <w:tc>
          <w:tcPr>
            <w:tcW w:w="1360" w:type="dxa"/>
            <w:vAlign w:val="bottom"/>
            <w:shd w:val="clear" w:color="auto" w:fill="B8CCE4"/>
          </w:tcPr>
          <w:p>
            <w:pPr>
              <w:spacing w:after="0"/>
              <w:rPr>
                <w:sz w:val="14"/>
                <w:szCs w:val="14"/>
                <w:color w:val="auto"/>
              </w:rPr>
            </w:pPr>
          </w:p>
        </w:tc>
        <w:tc>
          <w:tcPr>
            <w:tcW w:w="60" w:type="dxa"/>
            <w:vAlign w:val="bottom"/>
            <w:shd w:val="clear" w:color="auto" w:fill="B8CCE4"/>
          </w:tcPr>
          <w:p>
            <w:pPr>
              <w:spacing w:after="0"/>
              <w:rPr>
                <w:sz w:val="14"/>
                <w:szCs w:val="14"/>
                <w:color w:val="auto"/>
              </w:rPr>
            </w:pPr>
          </w:p>
        </w:tc>
        <w:tc>
          <w:tcPr>
            <w:tcW w:w="6160" w:type="dxa"/>
            <w:vAlign w:val="bottom"/>
            <w:gridSpan w:val="3"/>
            <w:shd w:val="clear" w:color="auto" w:fill="B8CCE4"/>
          </w:tcPr>
          <w:p>
            <w:pPr>
              <w:ind w:left="100"/>
              <w:spacing w:after="0"/>
              <w:rPr>
                <w:sz w:val="20"/>
                <w:szCs w:val="20"/>
                <w:color w:val="auto"/>
              </w:rPr>
            </w:pPr>
            <w:r>
              <w:rPr>
                <w:rFonts w:ascii="Arial" w:cs="Arial" w:eastAsia="Arial" w:hAnsi="Arial"/>
                <w:sz w:val="14"/>
                <w:szCs w:val="14"/>
                <w:color w:val="auto"/>
              </w:rPr>
              <w:t>described in “Compensation Discussion and Analysis – Long-Term Equity Incentives” on</w:t>
            </w:r>
          </w:p>
        </w:tc>
      </w:tr>
      <w:tr>
        <w:trPr>
          <w:trHeight w:val="171"/>
        </w:trPr>
        <w:tc>
          <w:tcPr>
            <w:tcW w:w="2300" w:type="dxa"/>
            <w:vAlign w:val="bottom"/>
            <w:shd w:val="clear" w:color="auto" w:fill="B8CCE4"/>
          </w:tcPr>
          <w:p>
            <w:pPr>
              <w:spacing w:after="0"/>
              <w:rPr>
                <w:sz w:val="14"/>
                <w:szCs w:val="14"/>
                <w:color w:val="auto"/>
              </w:rPr>
            </w:pPr>
          </w:p>
        </w:tc>
        <w:tc>
          <w:tcPr>
            <w:tcW w:w="120" w:type="dxa"/>
            <w:vAlign w:val="bottom"/>
            <w:shd w:val="clear" w:color="auto" w:fill="B8CCE4"/>
          </w:tcPr>
          <w:p>
            <w:pPr>
              <w:spacing w:after="0"/>
              <w:rPr>
                <w:sz w:val="14"/>
                <w:szCs w:val="14"/>
                <w:color w:val="auto"/>
              </w:rPr>
            </w:pPr>
          </w:p>
        </w:tc>
        <w:tc>
          <w:tcPr>
            <w:tcW w:w="40" w:type="dxa"/>
            <w:vAlign w:val="bottom"/>
            <w:shd w:val="clear" w:color="auto" w:fill="B8CCE4"/>
          </w:tcPr>
          <w:p>
            <w:pPr>
              <w:spacing w:after="0"/>
              <w:rPr>
                <w:sz w:val="14"/>
                <w:szCs w:val="14"/>
                <w:color w:val="auto"/>
              </w:rPr>
            </w:pPr>
          </w:p>
        </w:tc>
        <w:tc>
          <w:tcPr>
            <w:tcW w:w="1280" w:type="dxa"/>
            <w:vAlign w:val="bottom"/>
            <w:shd w:val="clear" w:color="auto" w:fill="B8CCE4"/>
          </w:tcPr>
          <w:p>
            <w:pPr>
              <w:spacing w:after="0"/>
              <w:rPr>
                <w:sz w:val="14"/>
                <w:szCs w:val="14"/>
                <w:color w:val="auto"/>
              </w:rPr>
            </w:pPr>
          </w:p>
        </w:tc>
        <w:tc>
          <w:tcPr>
            <w:tcW w:w="40" w:type="dxa"/>
            <w:vAlign w:val="bottom"/>
            <w:shd w:val="clear" w:color="auto" w:fill="B8CCE4"/>
          </w:tcPr>
          <w:p>
            <w:pPr>
              <w:spacing w:after="0"/>
              <w:rPr>
                <w:sz w:val="14"/>
                <w:szCs w:val="14"/>
                <w:color w:val="auto"/>
              </w:rPr>
            </w:pPr>
          </w:p>
        </w:tc>
        <w:tc>
          <w:tcPr>
            <w:tcW w:w="60" w:type="dxa"/>
            <w:vAlign w:val="bottom"/>
            <w:shd w:val="clear" w:color="auto" w:fill="B8CCE4"/>
          </w:tcPr>
          <w:p>
            <w:pPr>
              <w:spacing w:after="0"/>
              <w:rPr>
                <w:sz w:val="14"/>
                <w:szCs w:val="14"/>
                <w:color w:val="auto"/>
              </w:rPr>
            </w:pPr>
          </w:p>
        </w:tc>
        <w:tc>
          <w:tcPr>
            <w:tcW w:w="1360" w:type="dxa"/>
            <w:vAlign w:val="bottom"/>
            <w:shd w:val="clear" w:color="auto" w:fill="B8CCE4"/>
          </w:tcPr>
          <w:p>
            <w:pPr>
              <w:spacing w:after="0"/>
              <w:rPr>
                <w:sz w:val="14"/>
                <w:szCs w:val="14"/>
                <w:color w:val="auto"/>
              </w:rPr>
            </w:pPr>
          </w:p>
        </w:tc>
        <w:tc>
          <w:tcPr>
            <w:tcW w:w="60" w:type="dxa"/>
            <w:vAlign w:val="bottom"/>
            <w:shd w:val="clear" w:color="auto" w:fill="B8CCE4"/>
          </w:tcPr>
          <w:p>
            <w:pPr>
              <w:spacing w:after="0"/>
              <w:rPr>
                <w:sz w:val="14"/>
                <w:szCs w:val="14"/>
                <w:color w:val="auto"/>
              </w:rPr>
            </w:pPr>
          </w:p>
        </w:tc>
        <w:tc>
          <w:tcPr>
            <w:tcW w:w="6160" w:type="dxa"/>
            <w:vAlign w:val="bottom"/>
            <w:gridSpan w:val="3"/>
            <w:shd w:val="clear" w:color="auto" w:fill="B8CCE4"/>
          </w:tcPr>
          <w:p>
            <w:pPr>
              <w:ind w:left="100"/>
              <w:spacing w:after="0"/>
              <w:rPr>
                <w:sz w:val="20"/>
                <w:szCs w:val="20"/>
                <w:color w:val="auto"/>
              </w:rPr>
            </w:pPr>
            <w:r>
              <w:rPr>
                <w:rFonts w:ascii="Arial" w:cs="Arial" w:eastAsia="Arial" w:hAnsi="Arial"/>
                <w:sz w:val="14"/>
                <w:szCs w:val="14"/>
                <w:color w:val="auto"/>
              </w:rPr>
              <w:t>page 36.</w:t>
            </w:r>
          </w:p>
        </w:tc>
      </w:tr>
      <w:tr>
        <w:trPr>
          <w:trHeight w:val="189"/>
        </w:trPr>
        <w:tc>
          <w:tcPr>
            <w:tcW w:w="2300" w:type="dxa"/>
            <w:vAlign w:val="bottom"/>
            <w:shd w:val="clear" w:color="auto" w:fill="B8CCE4"/>
          </w:tcPr>
          <w:p>
            <w:pPr>
              <w:spacing w:after="0"/>
              <w:rPr>
                <w:sz w:val="16"/>
                <w:szCs w:val="16"/>
                <w:color w:val="auto"/>
              </w:rPr>
            </w:pPr>
          </w:p>
        </w:tc>
        <w:tc>
          <w:tcPr>
            <w:tcW w:w="120" w:type="dxa"/>
            <w:vAlign w:val="bottom"/>
            <w:shd w:val="clear" w:color="auto" w:fill="B8CCE4"/>
          </w:tcPr>
          <w:p>
            <w:pPr>
              <w:spacing w:after="0"/>
              <w:rPr>
                <w:sz w:val="16"/>
                <w:szCs w:val="16"/>
                <w:color w:val="auto"/>
              </w:rPr>
            </w:pPr>
          </w:p>
        </w:tc>
        <w:tc>
          <w:tcPr>
            <w:tcW w:w="1320" w:type="dxa"/>
            <w:vAlign w:val="bottom"/>
            <w:gridSpan w:val="2"/>
            <w:shd w:val="clear" w:color="auto" w:fill="B8CCE4"/>
          </w:tcPr>
          <w:p>
            <w:pPr>
              <w:jc w:val="center"/>
              <w:spacing w:after="0"/>
              <w:rPr>
                <w:sz w:val="20"/>
                <w:szCs w:val="20"/>
                <w:color w:val="auto"/>
              </w:rPr>
            </w:pPr>
            <w:r>
              <w:rPr>
                <w:rFonts w:ascii="Arial" w:cs="Arial" w:eastAsia="Arial" w:hAnsi="Arial"/>
                <w:sz w:val="14"/>
                <w:szCs w:val="14"/>
                <w:color w:val="auto"/>
              </w:rPr>
              <w:t>2/26/2015</w:t>
            </w:r>
          </w:p>
        </w:tc>
        <w:tc>
          <w:tcPr>
            <w:tcW w:w="40" w:type="dxa"/>
            <w:vAlign w:val="bottom"/>
            <w:shd w:val="clear" w:color="auto" w:fill="B8CCE4"/>
          </w:tcPr>
          <w:p>
            <w:pPr>
              <w:spacing w:after="0"/>
              <w:rPr>
                <w:sz w:val="16"/>
                <w:szCs w:val="16"/>
                <w:color w:val="auto"/>
              </w:rPr>
            </w:pPr>
          </w:p>
        </w:tc>
        <w:tc>
          <w:tcPr>
            <w:tcW w:w="1420" w:type="dxa"/>
            <w:vAlign w:val="bottom"/>
            <w:gridSpan w:val="2"/>
            <w:shd w:val="clear" w:color="auto" w:fill="B8CCE4"/>
          </w:tcPr>
          <w:p>
            <w:pPr>
              <w:jc w:val="center"/>
              <w:spacing w:after="0"/>
              <w:rPr>
                <w:sz w:val="20"/>
                <w:szCs w:val="20"/>
                <w:color w:val="auto"/>
              </w:rPr>
            </w:pPr>
            <w:r>
              <w:rPr>
                <w:rFonts w:ascii="Arial" w:cs="Arial" w:eastAsia="Arial" w:hAnsi="Arial"/>
                <w:sz w:val="14"/>
                <w:szCs w:val="14"/>
                <w:color w:val="auto"/>
              </w:rPr>
              <w:t>2/26/2015</w:t>
            </w:r>
          </w:p>
        </w:tc>
        <w:tc>
          <w:tcPr>
            <w:tcW w:w="60" w:type="dxa"/>
            <w:vAlign w:val="bottom"/>
            <w:shd w:val="clear" w:color="auto" w:fill="B8CCE4"/>
          </w:tcPr>
          <w:p>
            <w:pPr>
              <w:spacing w:after="0"/>
              <w:rPr>
                <w:sz w:val="16"/>
                <w:szCs w:val="16"/>
                <w:color w:val="auto"/>
              </w:rPr>
            </w:pPr>
          </w:p>
        </w:tc>
        <w:tc>
          <w:tcPr>
            <w:tcW w:w="6160" w:type="dxa"/>
            <w:vAlign w:val="bottom"/>
            <w:gridSpan w:val="3"/>
            <w:shd w:val="clear" w:color="auto" w:fill="B8CCE4"/>
          </w:tcPr>
          <w:p>
            <w:pPr>
              <w:ind w:left="100"/>
              <w:spacing w:after="0"/>
              <w:rPr>
                <w:sz w:val="20"/>
                <w:szCs w:val="20"/>
                <w:color w:val="auto"/>
              </w:rPr>
            </w:pPr>
            <w:r>
              <w:rPr>
                <w:rFonts w:ascii="Arial" w:cs="Arial" w:eastAsia="Arial" w:hAnsi="Arial"/>
                <w:sz w:val="14"/>
                <w:szCs w:val="14"/>
                <w:i w:val="1"/>
                <w:iCs w:val="1"/>
                <w:color w:val="auto"/>
              </w:rPr>
              <w:t>Relative TSR-Linked PRSUs</w:t>
            </w:r>
            <w:r>
              <w:rPr>
                <w:rFonts w:ascii="Arial" w:cs="Arial" w:eastAsia="Arial" w:hAnsi="Arial"/>
                <w:sz w:val="14"/>
                <w:szCs w:val="14"/>
                <w:color w:val="auto"/>
              </w:rPr>
              <w:t>: 100% vesting on 12/31/2017</w:t>
            </w: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7"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Employment Agreements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Rohit Kapoor</w:t>
      </w:r>
    </w:p>
    <w:p>
      <w:pPr>
        <w:spacing w:after="0" w:line="216" w:lineRule="exact"/>
        <w:rPr>
          <w:sz w:val="20"/>
          <w:szCs w:val="20"/>
          <w:color w:val="auto"/>
        </w:rPr>
      </w:pPr>
    </w:p>
    <w:p>
      <w:pPr>
        <w:ind w:right="200" w:firstLine="648"/>
        <w:spacing w:after="0" w:line="239" w:lineRule="auto"/>
        <w:rPr>
          <w:sz w:val="20"/>
          <w:szCs w:val="20"/>
          <w:color w:val="auto"/>
        </w:rPr>
      </w:pPr>
      <w:r>
        <w:rPr>
          <w:rFonts w:ascii="Arial" w:cs="Arial" w:eastAsia="Arial" w:hAnsi="Arial"/>
          <w:sz w:val="18"/>
          <w:szCs w:val="18"/>
          <w:color w:val="auto"/>
        </w:rPr>
        <w:t>Mr. Kapoor serves as our Vice Chairman and CEO, and is based at our executive offices in New York, New York. We entered into an employment agreement with him, dated April 29, 2015. Mr. Kapoor’s employment agreement provides for an initial term that commences January 1, 2015 and extends until December 31, 2017 and automatically renews for successive one-year periods unless terminated with 120 days prior notice.</w:t>
      </w:r>
    </w:p>
    <w:p>
      <w:pPr>
        <w:spacing w:after="0" w:line="170" w:lineRule="exact"/>
        <w:rPr>
          <w:sz w:val="20"/>
          <w:szCs w:val="20"/>
          <w:color w:val="auto"/>
        </w:rPr>
      </w:pPr>
    </w:p>
    <w:p>
      <w:pPr>
        <w:ind w:firstLine="648"/>
        <w:spacing w:after="0" w:line="241" w:lineRule="auto"/>
        <w:rPr>
          <w:sz w:val="20"/>
          <w:szCs w:val="20"/>
          <w:color w:val="auto"/>
        </w:rPr>
      </w:pPr>
      <w:r>
        <w:rPr>
          <w:rFonts w:ascii="Arial" w:cs="Arial" w:eastAsia="Arial" w:hAnsi="Arial"/>
          <w:sz w:val="18"/>
          <w:szCs w:val="18"/>
          <w:i w:val="1"/>
          <w:iCs w:val="1"/>
          <w:color w:val="auto"/>
        </w:rPr>
        <w:t>Salary, Bonus and Equity</w:t>
      </w:r>
      <w:r>
        <w:rPr>
          <w:rFonts w:ascii="Arial" w:cs="Arial" w:eastAsia="Arial" w:hAnsi="Arial"/>
          <w:sz w:val="18"/>
          <w:szCs w:val="18"/>
          <w:color w:val="auto"/>
        </w:rPr>
        <w:t>. Mr. Kapoor’s base salary was increased to $600,000, effective January 1, 2015. Mr. Kapoor’s base salary</w:t>
      </w:r>
      <w:r>
        <w:rPr>
          <w:rFonts w:ascii="Arial" w:cs="Arial" w:eastAsia="Arial" w:hAnsi="Arial"/>
          <w:sz w:val="18"/>
          <w:szCs w:val="18"/>
          <w:i w:val="1"/>
          <w:iCs w:val="1"/>
          <w:color w:val="auto"/>
        </w:rPr>
        <w:t xml:space="preserve"> </w:t>
      </w:r>
      <w:r>
        <w:rPr>
          <w:rFonts w:ascii="Arial" w:cs="Arial" w:eastAsia="Arial" w:hAnsi="Arial"/>
          <w:sz w:val="18"/>
          <w:szCs w:val="18"/>
          <w:color w:val="auto"/>
        </w:rPr>
        <w:t>can be increased at our sole discretion and cannot be decreased unless a Company-wide decrease in pay is implemented. Mr. Kapoor can earn an annual cash bonus, with a target of 100% of base salary and a maximum of 200% of base salary, based upon the attainment of performance criteria determined by our Compensation Committee. Mr. Kapoor remains eligible to receive equity-based awards annually during the term, in amounts and forms determined by the Compensation Committee, but with vesting terms no less favorable than ratable vesting over four years from the date of grant.</w:t>
      </w:r>
    </w:p>
    <w:p>
      <w:pPr>
        <w:spacing w:after="0" w:line="189" w:lineRule="exact"/>
        <w:rPr>
          <w:sz w:val="20"/>
          <w:szCs w:val="20"/>
          <w:color w:val="auto"/>
        </w:rPr>
      </w:pPr>
    </w:p>
    <w:p>
      <w:pPr>
        <w:ind w:right="140" w:firstLine="648"/>
        <w:spacing w:after="0" w:line="239" w:lineRule="auto"/>
        <w:rPr>
          <w:sz w:val="20"/>
          <w:szCs w:val="20"/>
          <w:color w:val="auto"/>
        </w:rPr>
      </w:pPr>
      <w:r>
        <w:rPr>
          <w:rFonts w:ascii="Arial" w:cs="Arial" w:eastAsia="Arial" w:hAnsi="Arial"/>
          <w:sz w:val="18"/>
          <w:szCs w:val="18"/>
          <w:color w:val="auto"/>
        </w:rPr>
        <w:t>Pursuant to the terms of our 2006 Omnibus Award Plan (the “2006 Plan”), Mr. Kapoor received a Stock Price Performance Award in the second quarter of 2015 that he may earn based on the Company’s average stock price exceeding certain targets during the 60 day period prior to December 31, 2017 and contingent upon his continuous service through that date. The amount of PRUSs Mr. Kapoor ultimately receives may be between 0% and 200% of his Target Award, based on actual performance.</w:t>
      </w:r>
    </w:p>
    <w:p>
      <w:pPr>
        <w:spacing w:after="0" w:line="170" w:lineRule="exact"/>
        <w:rPr>
          <w:sz w:val="20"/>
          <w:szCs w:val="20"/>
          <w:color w:val="auto"/>
        </w:rPr>
      </w:pPr>
    </w:p>
    <w:p>
      <w:pPr>
        <w:ind w:firstLine="324"/>
        <w:spacing w:after="0" w:line="241" w:lineRule="auto"/>
        <w:rPr>
          <w:sz w:val="20"/>
          <w:szCs w:val="20"/>
          <w:color w:val="auto"/>
        </w:rPr>
      </w:pPr>
      <w:r>
        <w:rPr>
          <w:rFonts w:ascii="Arial" w:cs="Arial" w:eastAsia="Arial" w:hAnsi="Arial"/>
          <w:sz w:val="18"/>
          <w:szCs w:val="18"/>
          <w:i w:val="1"/>
          <w:iCs w:val="1"/>
          <w:color w:val="auto"/>
        </w:rPr>
        <w:t xml:space="preserve">Personal Benefits. </w:t>
      </w:r>
      <w:r>
        <w:rPr>
          <w:rFonts w:ascii="Arial" w:cs="Arial" w:eastAsia="Arial" w:hAnsi="Arial"/>
          <w:sz w:val="18"/>
          <w:szCs w:val="18"/>
          <w:color w:val="auto"/>
        </w:rPr>
        <w:t>We provide Mr. Kapoor with certain personal benefits, including certain club memberships, term life insurance policy</w:t>
      </w:r>
      <w:r>
        <w:rPr>
          <w:rFonts w:ascii="Arial" w:cs="Arial" w:eastAsia="Arial" w:hAnsi="Arial"/>
          <w:sz w:val="18"/>
          <w:szCs w:val="18"/>
          <w:i w:val="1"/>
          <w:iCs w:val="1"/>
          <w:color w:val="auto"/>
        </w:rPr>
        <w:t xml:space="preserve"> </w:t>
      </w:r>
      <w:r>
        <w:rPr>
          <w:rFonts w:ascii="Arial" w:cs="Arial" w:eastAsia="Arial" w:hAnsi="Arial"/>
          <w:sz w:val="18"/>
          <w:szCs w:val="18"/>
          <w:color w:val="auto"/>
        </w:rPr>
        <w:t>(with a face value of $500,000), once-a-year business class airfare between the United States and India for the executive and his family, up to $12,000 for personal tax and estate planning expenses, up to $1,400 per month car allowance, up to $12,000 per year for expenses associated with maintaining an automobile in India (including cost of a driver), personal security for the executive and his family while in India, reimbursement for first-class business travel, and a per diem allowance for certain trips. In addition, his employment agreement entitles him to certain other benefits in the event he is relocated to India, but which are not applicable currently as he maintains a U.S. residency.</w:t>
      </w:r>
    </w:p>
    <w:p>
      <w:pPr>
        <w:spacing w:after="0" w:line="189" w:lineRule="exact"/>
        <w:rPr>
          <w:sz w:val="20"/>
          <w:szCs w:val="20"/>
          <w:color w:val="auto"/>
        </w:rPr>
      </w:pPr>
    </w:p>
    <w:p>
      <w:pPr>
        <w:ind w:right="180" w:firstLine="648"/>
        <w:spacing w:after="0" w:line="246" w:lineRule="auto"/>
        <w:rPr>
          <w:sz w:val="20"/>
          <w:szCs w:val="20"/>
          <w:color w:val="auto"/>
        </w:rPr>
      </w:pPr>
      <w:r>
        <w:rPr>
          <w:rFonts w:ascii="Arial" w:cs="Arial" w:eastAsia="Arial" w:hAnsi="Arial"/>
          <w:sz w:val="18"/>
          <w:szCs w:val="18"/>
          <w:color w:val="auto"/>
        </w:rPr>
        <w:t>Mr. Kapoor’s employment agreement also includes severance, termination and noncompetition provisions which are described below under “Potential Payments upon Termination or Change in Control at Fiscal 2015 Year-End” beginning on page 56.</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Vishal Chhibbar</w:t>
      </w:r>
    </w:p>
    <w:p>
      <w:pPr>
        <w:spacing w:after="0" w:line="216" w:lineRule="exact"/>
        <w:rPr>
          <w:sz w:val="20"/>
          <w:szCs w:val="20"/>
          <w:color w:val="auto"/>
        </w:rPr>
      </w:pPr>
    </w:p>
    <w:p>
      <w:pPr>
        <w:ind w:right="200" w:firstLine="648"/>
        <w:spacing w:after="0" w:line="246" w:lineRule="auto"/>
        <w:rPr>
          <w:sz w:val="20"/>
          <w:szCs w:val="20"/>
          <w:color w:val="auto"/>
        </w:rPr>
      </w:pPr>
      <w:r>
        <w:rPr>
          <w:rFonts w:ascii="Arial" w:cs="Arial" w:eastAsia="Arial" w:hAnsi="Arial"/>
          <w:sz w:val="18"/>
          <w:szCs w:val="18"/>
          <w:color w:val="auto"/>
        </w:rPr>
        <w:t>Mr. Chhibbar serves as our Executive Vice President and CFO, and was based in India until December 31, 2015. We entered into an employment agreement with him, effective May 1, 2009, which was in effect until December 31, 2015.</w:t>
      </w:r>
    </w:p>
    <w:p>
      <w:pPr>
        <w:spacing w:after="0" w:line="165" w:lineRule="exact"/>
        <w:rPr>
          <w:sz w:val="20"/>
          <w:szCs w:val="20"/>
          <w:color w:val="auto"/>
        </w:rPr>
      </w:pPr>
    </w:p>
    <w:p>
      <w:pPr>
        <w:ind w:right="80" w:firstLine="648"/>
        <w:spacing w:after="0" w:line="245" w:lineRule="auto"/>
        <w:rPr>
          <w:sz w:val="20"/>
          <w:szCs w:val="20"/>
          <w:color w:val="auto"/>
        </w:rPr>
      </w:pPr>
      <w:r>
        <w:rPr>
          <w:rFonts w:ascii="Arial" w:cs="Arial" w:eastAsia="Arial" w:hAnsi="Arial"/>
          <w:sz w:val="18"/>
          <w:szCs w:val="18"/>
          <w:i w:val="1"/>
          <w:iCs w:val="1"/>
          <w:color w:val="auto"/>
        </w:rPr>
        <w:t>Salary, Bonus and Equity</w:t>
      </w:r>
      <w:r>
        <w:rPr>
          <w:rFonts w:ascii="Arial" w:cs="Arial" w:eastAsia="Arial" w:hAnsi="Arial"/>
          <w:sz w:val="18"/>
          <w:szCs w:val="18"/>
          <w:color w:val="auto"/>
        </w:rPr>
        <w:t>. Mr. Chhibbar’s annual fixed compensation, measured in his home currency of Indian rupees, was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by 5.4% effective April 1, 2015. Mr. Chhibbar’s annual fixed compensation includes base salary, as well as amounts available as a leave travel allowance, a housing allowance, an automobile allowance, a medical allowance and a cash supplementary allowance. In addition, under his agreement, Mr. Chhibbar can earn an annual cash bonus, with a target of 50% of annual fixed</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0" w:right="259" w:bottom="1440" w:gutter="0" w:footer="0" w:header="0"/>
        </w:sectPr>
      </w:pPr>
    </w:p>
    <w:bookmarkStart w:id="50" w:name="page51"/>
    <w:bookmarkEnd w:id="50"/>
    <w:p>
      <w:pPr>
        <w:jc w:val="both"/>
        <w:ind w:right="240"/>
        <w:spacing w:after="0"/>
        <w:rPr>
          <w:sz w:val="20"/>
          <w:szCs w:val="20"/>
          <w:color w:val="auto"/>
        </w:rPr>
      </w:pPr>
      <w:r>
        <w:rPr>
          <w:rFonts w:ascii="Arial" w:cs="Arial" w:eastAsia="Arial" w:hAnsi="Arial"/>
          <w:sz w:val="18"/>
          <w:szCs w:val="18"/>
          <w:color w:val="auto"/>
        </w:rPr>
        <w:t>compensation and a maximum of 100% of annual fixed compensation, based upon the attainment of performance criteria determined by our Compensation Committee. Mr. Chhibbar is also eligible, subject to performance and other conditions, to receive annual equity awards at the discretion of the Compensation Committee.</w:t>
      </w:r>
    </w:p>
    <w:p>
      <w:pPr>
        <w:spacing w:after="0" w:line="189"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Mr. Chhibbar’s employment agreement also includes severance, termination and noncompetition provisions which are described below under “Potential Payments upon Termination or Change in Control at Fiscal 2015 Year-End” beginning on page 56.</w:t>
      </w:r>
    </w:p>
    <w:p>
      <w:pPr>
        <w:spacing w:after="0" w:line="183" w:lineRule="exact"/>
        <w:rPr>
          <w:sz w:val="20"/>
          <w:szCs w:val="20"/>
          <w:color w:val="auto"/>
        </w:rPr>
      </w:pPr>
    </w:p>
    <w:p>
      <w:pPr>
        <w:ind w:right="300" w:firstLine="571"/>
        <w:spacing w:after="0" w:line="246" w:lineRule="auto"/>
        <w:rPr>
          <w:sz w:val="20"/>
          <w:szCs w:val="20"/>
          <w:color w:val="auto"/>
        </w:rPr>
      </w:pPr>
      <w:r>
        <w:rPr>
          <w:rFonts w:ascii="Arial" w:cs="Arial" w:eastAsia="Arial" w:hAnsi="Arial"/>
          <w:sz w:val="18"/>
          <w:szCs w:val="18"/>
          <w:color w:val="auto"/>
        </w:rPr>
        <w:t>Please refer to page 40 of the Compensation Discussion and Analysis for a summary of the material terms of Mr. Chhibbar’s revised employment agreement effective January 1, 2016.</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Pavan Bagai</w:t>
      </w:r>
    </w:p>
    <w:p>
      <w:pPr>
        <w:spacing w:after="0" w:line="216" w:lineRule="exact"/>
        <w:rPr>
          <w:sz w:val="20"/>
          <w:szCs w:val="20"/>
          <w:color w:val="auto"/>
        </w:rPr>
      </w:pPr>
    </w:p>
    <w:p>
      <w:pPr>
        <w:ind w:right="120" w:firstLine="648"/>
        <w:spacing w:after="0"/>
        <w:rPr>
          <w:sz w:val="20"/>
          <w:szCs w:val="20"/>
          <w:color w:val="auto"/>
        </w:rPr>
      </w:pPr>
      <w:r>
        <w:rPr>
          <w:rFonts w:ascii="Arial" w:cs="Arial" w:eastAsia="Arial" w:hAnsi="Arial"/>
          <w:sz w:val="18"/>
          <w:szCs w:val="18"/>
          <w:color w:val="auto"/>
        </w:rPr>
        <w:t>Mr. Bagai serves as our President and Chief Operating Officer, and is based in India. We entered into an employment agreement with him, effective July 31, 2002 and a severance agreement, effective March 15, 2011, each of which will continue throughout Mr. Bagai’s employment with the Company.</w:t>
      </w:r>
    </w:p>
    <w:p>
      <w:pPr>
        <w:spacing w:after="0" w:line="171" w:lineRule="exact"/>
        <w:rPr>
          <w:sz w:val="20"/>
          <w:szCs w:val="20"/>
          <w:color w:val="auto"/>
        </w:rPr>
      </w:pPr>
    </w:p>
    <w:p>
      <w:pPr>
        <w:ind w:right="100" w:firstLine="648"/>
        <w:spacing w:after="0" w:line="241" w:lineRule="auto"/>
        <w:rPr>
          <w:sz w:val="20"/>
          <w:szCs w:val="20"/>
          <w:color w:val="auto"/>
        </w:rPr>
      </w:pPr>
      <w:r>
        <w:rPr>
          <w:rFonts w:ascii="Arial" w:cs="Arial" w:eastAsia="Arial" w:hAnsi="Arial"/>
          <w:sz w:val="18"/>
          <w:szCs w:val="18"/>
          <w:i w:val="1"/>
          <w:iCs w:val="1"/>
          <w:color w:val="auto"/>
        </w:rPr>
        <w:t>Salary, Bonus and Equity</w:t>
      </w:r>
      <w:r>
        <w:rPr>
          <w:rFonts w:ascii="Arial" w:cs="Arial" w:eastAsia="Arial" w:hAnsi="Arial"/>
          <w:sz w:val="18"/>
          <w:szCs w:val="18"/>
          <w:color w:val="auto"/>
        </w:rPr>
        <w:t>. Mr. Bagai’s annual fixed compensation, measured in his home currency of Indian rupees, was increased by</w:t>
      </w:r>
      <w:r>
        <w:rPr>
          <w:rFonts w:ascii="Arial" w:cs="Arial" w:eastAsia="Arial" w:hAnsi="Arial"/>
          <w:sz w:val="18"/>
          <w:szCs w:val="18"/>
          <w:i w:val="1"/>
          <w:iCs w:val="1"/>
          <w:color w:val="auto"/>
        </w:rPr>
        <w:t xml:space="preserve"> </w:t>
      </w:r>
      <w:r>
        <w:rPr>
          <w:rFonts w:ascii="Arial" w:cs="Arial" w:eastAsia="Arial" w:hAnsi="Arial"/>
          <w:sz w:val="18"/>
          <w:szCs w:val="18"/>
          <w:color w:val="auto"/>
        </w:rPr>
        <w:t>6.5% effective April 1, 2015. Mr. Bagai’s annual fixed compensation includes base salary, as well as amounts available as a leave travel allowance, a housing allowance, an automobile allowance, a medical allowance and a cash supplementary allowance. In addition, Mr. Bagai can earn an annual cash bonus, with a target of 75% of annual fixed compensation and a maximum of 150% of annual fixed compensation in 2015, based upon the attainment of performance criteria determined by our Compensation Committee. Mr. Bagai is also eligible, subject to performance and other conditions, to receive annual equity awards at the discretion of the Compensation Committee.</w:t>
      </w:r>
    </w:p>
    <w:p>
      <w:pPr>
        <w:spacing w:after="0" w:line="189" w:lineRule="exact"/>
        <w:rPr>
          <w:sz w:val="20"/>
          <w:szCs w:val="20"/>
          <w:color w:val="auto"/>
        </w:rPr>
      </w:pPr>
    </w:p>
    <w:p>
      <w:pPr>
        <w:ind w:right="400" w:firstLine="648"/>
        <w:spacing w:after="0" w:line="246" w:lineRule="auto"/>
        <w:rPr>
          <w:sz w:val="20"/>
          <w:szCs w:val="20"/>
          <w:color w:val="auto"/>
        </w:rPr>
      </w:pPr>
      <w:r>
        <w:rPr>
          <w:rFonts w:ascii="Arial" w:cs="Arial" w:eastAsia="Arial" w:hAnsi="Arial"/>
          <w:sz w:val="18"/>
          <w:szCs w:val="18"/>
          <w:color w:val="auto"/>
        </w:rPr>
        <w:t>Mr. Bagai’s employment and severance agreements also include severance, termination and noncompetition provisions which are described below under “Potential Payments upon Termination or Change in Control at Fiscal 2015 Year-End” beginning on page 56.</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Nalin Miglani</w:t>
      </w:r>
    </w:p>
    <w:p>
      <w:pPr>
        <w:spacing w:after="0" w:line="216"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Mr. Miglani serves as our Executive Vice President, Global Head of Human Resources, and is based at our executive offices in New York, New York. We entered into an employment agreement with him, effective December 1, 2014, which will continue throughout Mr. Miglani’s employment with the Company.</w:t>
      </w:r>
    </w:p>
    <w:p>
      <w:pPr>
        <w:spacing w:after="0" w:line="171" w:lineRule="exact"/>
        <w:rPr>
          <w:sz w:val="20"/>
          <w:szCs w:val="20"/>
          <w:color w:val="auto"/>
        </w:rPr>
      </w:pPr>
    </w:p>
    <w:p>
      <w:pPr>
        <w:ind w:right="180" w:firstLine="648"/>
        <w:spacing w:after="0" w:line="239" w:lineRule="auto"/>
        <w:rPr>
          <w:sz w:val="20"/>
          <w:szCs w:val="20"/>
          <w:color w:val="auto"/>
        </w:rPr>
      </w:pPr>
      <w:r>
        <w:rPr>
          <w:rFonts w:ascii="Arial" w:cs="Arial" w:eastAsia="Arial" w:hAnsi="Arial"/>
          <w:sz w:val="18"/>
          <w:szCs w:val="18"/>
          <w:i w:val="1"/>
          <w:iCs w:val="1"/>
          <w:color w:val="auto"/>
        </w:rPr>
        <w:t>Salary, Bonus and Equity</w:t>
      </w:r>
      <w:r>
        <w:rPr>
          <w:rFonts w:ascii="Arial" w:cs="Arial" w:eastAsia="Arial" w:hAnsi="Arial"/>
          <w:sz w:val="18"/>
          <w:szCs w:val="18"/>
          <w:color w:val="auto"/>
        </w:rPr>
        <w:t>. Mr. Miglani’s base salary is $400,000, which may be increased from time to time by our Board. While,</w:t>
      </w:r>
      <w:r>
        <w:rPr>
          <w:rFonts w:ascii="Arial" w:cs="Arial" w:eastAsia="Arial" w:hAnsi="Arial"/>
          <w:sz w:val="18"/>
          <w:szCs w:val="18"/>
          <w:i w:val="1"/>
          <w:iCs w:val="1"/>
          <w:color w:val="auto"/>
        </w:rPr>
        <w:t xml:space="preserve"> </w:t>
      </w:r>
      <w:r>
        <w:rPr>
          <w:rFonts w:ascii="Arial" w:cs="Arial" w:eastAsia="Arial" w:hAnsi="Arial"/>
          <w:sz w:val="18"/>
          <w:szCs w:val="18"/>
          <w:color w:val="auto"/>
        </w:rPr>
        <w:t>employed, Mr. Miglani can earn an annual cash bonus, with a target of 60% of base salary and a maximum of 120% of base salary, based upon attainment of performance criteria determined by our Compensation Committee. Mr. Miglani is also eligible, subject to performance and other conditions, to receive annual equity awards at the discretion of the Compensation Committee. Mr. Miglani’s employment agreement provided for: (i) an initial equity award of 20,000 restricted stock units that will vest according to the schedule described below under “Outstanding Equity Awards at Fiscal 2015 Year-End” beginning on page 49 and (ii) a one-time joining bonus of $200,000 half of which was paid on the commencement of his employment and the other half paid in March 2015, based on his continued service with the Company. Mr. Miglani is entitled to receive $100,000 in connection with his relocation from Amsterdam to New York.</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51" w:name="page52"/>
    <w:bookmarkEnd w:id="51"/>
    <w:p>
      <w:pPr>
        <w:ind w:right="220" w:firstLine="648"/>
        <w:spacing w:after="0" w:line="246" w:lineRule="auto"/>
        <w:rPr>
          <w:sz w:val="20"/>
          <w:szCs w:val="20"/>
          <w:color w:val="auto"/>
        </w:rPr>
      </w:pPr>
      <w:r>
        <w:rPr>
          <w:rFonts w:ascii="Arial" w:cs="Arial" w:eastAsia="Arial" w:hAnsi="Arial"/>
          <w:sz w:val="18"/>
          <w:szCs w:val="18"/>
          <w:color w:val="auto"/>
        </w:rPr>
        <w:t>Mr. Miglani’s employment agreement also includes severance, termination and noncompetition provisions which are described below under “Potential Payments upon Termination or Change in Control at Fiscal 2015 Year-End” beginning on page 56.</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Henry Schweppe</w:t>
      </w:r>
    </w:p>
    <w:p>
      <w:pPr>
        <w:spacing w:after="0" w:line="216"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Mr. Schweppe is our former President, Global Business and Marketing of Holdings, and was based at our executive offices in New York, New York. We entered into an employment agreement with him, effective October 6, 2014. His employment with the Company terminated as of March 18, 2016.</w:t>
      </w:r>
    </w:p>
    <w:p>
      <w:pPr>
        <w:spacing w:after="0" w:line="171"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i w:val="1"/>
          <w:iCs w:val="1"/>
          <w:color w:val="auto"/>
        </w:rPr>
        <w:t>Salary, Bonus and Equity</w:t>
      </w:r>
      <w:r>
        <w:rPr>
          <w:rFonts w:ascii="Arial" w:cs="Arial" w:eastAsia="Arial" w:hAnsi="Arial"/>
          <w:sz w:val="18"/>
          <w:szCs w:val="18"/>
          <w:color w:val="auto"/>
        </w:rPr>
        <w:t>. Mr. Schweppe’s base salary was $450,000. While employed, Mr. Schweppe was eligible to earn an annual</w:t>
      </w:r>
      <w:r>
        <w:rPr>
          <w:rFonts w:ascii="Arial" w:cs="Arial" w:eastAsia="Arial" w:hAnsi="Arial"/>
          <w:sz w:val="18"/>
          <w:szCs w:val="18"/>
          <w:i w:val="1"/>
          <w:iCs w:val="1"/>
          <w:color w:val="auto"/>
        </w:rPr>
        <w:t xml:space="preserve"> </w:t>
      </w:r>
      <w:r>
        <w:rPr>
          <w:rFonts w:ascii="Arial" w:cs="Arial" w:eastAsia="Arial" w:hAnsi="Arial"/>
          <w:sz w:val="18"/>
          <w:szCs w:val="18"/>
          <w:color w:val="auto"/>
        </w:rPr>
        <w:t>cash bonus, with a target of 75% of base salary and a maximum of 150% of base salary, based upon attainment of performance criteria determined by our Compensation Committee. Mr. Schweppe was also eligible, subject to performance and other conditions, to receive annual equity awards at the discretion of the Compensation Committee. Mr. Schweppe’s employment agreement provided for: (i) an initial equity award of restricted stock units valued at $500,000 as of the date of grant that vest according to the schedule described below under “Outstanding Equity Awards at Fiscal 2015 Year-End” beginning on page 49 and (ii) a one-time joining bonus of $ 350,000 half of which was paid on the commencement of his employment and the other half of which was paid in March 2015. We agreed to pay up to $200,000 in legal fees on behalf of Mr. Schweppe in connection with his resignation from his prior employer should he have to resolve any matters concerning his noncompetition agreement with his prior employer.</w:t>
      </w:r>
    </w:p>
    <w:p>
      <w:pPr>
        <w:spacing w:after="0" w:line="189" w:lineRule="exact"/>
        <w:rPr>
          <w:sz w:val="20"/>
          <w:szCs w:val="20"/>
          <w:color w:val="auto"/>
        </w:rPr>
      </w:pPr>
    </w:p>
    <w:p>
      <w:pPr>
        <w:ind w:right="460" w:firstLine="648"/>
        <w:spacing w:after="0" w:line="246" w:lineRule="auto"/>
        <w:rPr>
          <w:sz w:val="20"/>
          <w:szCs w:val="20"/>
          <w:color w:val="auto"/>
        </w:rPr>
      </w:pPr>
      <w:r>
        <w:rPr>
          <w:rFonts w:ascii="Arial" w:cs="Arial" w:eastAsia="Arial" w:hAnsi="Arial"/>
          <w:sz w:val="18"/>
          <w:szCs w:val="18"/>
          <w:color w:val="auto"/>
        </w:rPr>
        <w:t>Mr. Schweppe’s employment agreement also included severance, termination and noncompetition provisions which are described below under “Potential Payments upon Termination or Change in Control at Fiscal 2015 Year-End” beginning on page 56.</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Outstanding Equity Awards at Fiscal 2015 Year-End</w:t>
      </w:r>
    </w:p>
    <w:p>
      <w:pPr>
        <w:spacing w:after="0" w:line="220" w:lineRule="exact"/>
        <w:rPr>
          <w:sz w:val="20"/>
          <w:szCs w:val="20"/>
          <w:color w:val="auto"/>
        </w:rPr>
      </w:pPr>
    </w:p>
    <w:p>
      <w:pPr>
        <w:ind w:right="160" w:firstLine="648"/>
        <w:spacing w:after="0" w:line="246" w:lineRule="auto"/>
        <w:rPr>
          <w:sz w:val="20"/>
          <w:szCs w:val="20"/>
          <w:color w:val="auto"/>
        </w:rPr>
      </w:pPr>
      <w:r>
        <w:rPr>
          <w:rFonts w:ascii="Arial" w:cs="Arial" w:eastAsia="Arial" w:hAnsi="Arial"/>
          <w:sz w:val="18"/>
          <w:szCs w:val="18"/>
          <w:color w:val="auto"/>
        </w:rPr>
        <w:t>The following table sets forth the equity awards we have made to our named executive officers that were outstanding as of December 31, 2015:</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300" w:type="dxa"/>
            <w:vAlign w:val="bottom"/>
            <w:tcBorders>
              <w:bottom w:val="single" w:sz="8" w:color="5591C7"/>
            </w:tcBorders>
            <w:shd w:val="clear" w:color="auto" w:fill="5591C7"/>
          </w:tcPr>
          <w:p>
            <w:pPr>
              <w:spacing w:after="0"/>
              <w:rPr>
                <w:sz w:val="15"/>
                <w:szCs w:val="15"/>
                <w:color w:val="auto"/>
              </w:rPr>
            </w:pPr>
          </w:p>
        </w:tc>
        <w:tc>
          <w:tcPr>
            <w:tcW w:w="60" w:type="dxa"/>
            <w:vAlign w:val="bottom"/>
            <w:tcBorders>
              <w:bottom w:val="single" w:sz="8" w:color="5591C7"/>
            </w:tcBorders>
            <w:shd w:val="clear" w:color="auto" w:fill="5591C7"/>
          </w:tcPr>
          <w:p>
            <w:pPr>
              <w:spacing w:after="0"/>
              <w:rPr>
                <w:sz w:val="15"/>
                <w:szCs w:val="15"/>
                <w:color w:val="auto"/>
              </w:rPr>
            </w:pPr>
          </w:p>
        </w:tc>
        <w:tc>
          <w:tcPr>
            <w:tcW w:w="60" w:type="dxa"/>
            <w:vAlign w:val="bottom"/>
            <w:tcBorders>
              <w:bottom w:val="single" w:sz="8" w:color="5591C7"/>
            </w:tcBorders>
            <w:shd w:val="clear" w:color="auto" w:fill="5591C7"/>
          </w:tcPr>
          <w:p>
            <w:pPr>
              <w:spacing w:after="0"/>
              <w:rPr>
                <w:sz w:val="15"/>
                <w:szCs w:val="15"/>
                <w:color w:val="auto"/>
              </w:rPr>
            </w:pPr>
          </w:p>
        </w:tc>
        <w:tc>
          <w:tcPr>
            <w:tcW w:w="1200" w:type="dxa"/>
            <w:vAlign w:val="bottom"/>
            <w:tcBorders>
              <w:bottom w:val="single" w:sz="8" w:color="auto"/>
            </w:tcBorders>
            <w:shd w:val="clear" w:color="auto" w:fill="5591C7"/>
          </w:tcPr>
          <w:p>
            <w:pPr>
              <w:spacing w:after="0"/>
              <w:rPr>
                <w:sz w:val="15"/>
                <w:szCs w:val="15"/>
                <w:color w:val="auto"/>
              </w:rPr>
            </w:pPr>
          </w:p>
        </w:tc>
        <w:tc>
          <w:tcPr>
            <w:tcW w:w="60" w:type="dxa"/>
            <w:vAlign w:val="bottom"/>
            <w:tcBorders>
              <w:bottom w:val="single" w:sz="8" w:color="auto"/>
            </w:tcBorders>
            <w:shd w:val="clear" w:color="auto" w:fill="5591C7"/>
          </w:tcPr>
          <w:p>
            <w:pPr>
              <w:spacing w:after="0"/>
              <w:rPr>
                <w:sz w:val="15"/>
                <w:szCs w:val="15"/>
                <w:color w:val="auto"/>
              </w:rPr>
            </w:pPr>
          </w:p>
        </w:tc>
        <w:tc>
          <w:tcPr>
            <w:tcW w:w="60" w:type="dxa"/>
            <w:vAlign w:val="bottom"/>
            <w:tcBorders>
              <w:bottom w:val="single" w:sz="8" w:color="auto"/>
            </w:tcBorders>
            <w:shd w:val="clear" w:color="auto" w:fill="5591C7"/>
          </w:tcPr>
          <w:p>
            <w:pPr>
              <w:spacing w:after="0"/>
              <w:rPr>
                <w:sz w:val="15"/>
                <w:szCs w:val="15"/>
                <w:color w:val="auto"/>
              </w:rPr>
            </w:pPr>
          </w:p>
        </w:tc>
        <w:tc>
          <w:tcPr>
            <w:tcW w:w="1600" w:type="dxa"/>
            <w:vAlign w:val="bottom"/>
            <w:tcBorders>
              <w:bottom w:val="single" w:sz="8" w:color="auto"/>
            </w:tcBorders>
            <w:gridSpan w:val="2"/>
            <w:shd w:val="clear" w:color="auto" w:fill="5591C7"/>
          </w:tcPr>
          <w:p>
            <w:pPr>
              <w:ind w:left="540"/>
              <w:spacing w:after="0"/>
              <w:rPr>
                <w:sz w:val="20"/>
                <w:szCs w:val="20"/>
                <w:color w:val="auto"/>
              </w:rPr>
            </w:pPr>
            <w:r>
              <w:rPr>
                <w:rFonts w:ascii="Arial" w:cs="Arial" w:eastAsia="Arial" w:hAnsi="Arial"/>
                <w:sz w:val="14"/>
                <w:szCs w:val="14"/>
                <w:b w:val="1"/>
                <w:bCs w:val="1"/>
                <w:color w:val="auto"/>
              </w:rPr>
              <w:t>Option Awards</w:t>
            </w:r>
          </w:p>
        </w:tc>
        <w:tc>
          <w:tcPr>
            <w:tcW w:w="800" w:type="dxa"/>
            <w:vAlign w:val="bottom"/>
            <w:tcBorders>
              <w:bottom w:val="single" w:sz="8" w:color="auto"/>
            </w:tcBorders>
            <w:shd w:val="clear" w:color="auto" w:fill="5591C7"/>
          </w:tcPr>
          <w:p>
            <w:pPr>
              <w:spacing w:after="0"/>
              <w:rPr>
                <w:sz w:val="15"/>
                <w:szCs w:val="15"/>
                <w:color w:val="auto"/>
              </w:rPr>
            </w:pPr>
          </w:p>
        </w:tc>
        <w:tc>
          <w:tcPr>
            <w:tcW w:w="60" w:type="dxa"/>
            <w:vAlign w:val="bottom"/>
            <w:tcBorders>
              <w:bottom w:val="single" w:sz="8" w:color="auto"/>
            </w:tcBorders>
            <w:shd w:val="clear" w:color="auto" w:fill="5591C7"/>
          </w:tcPr>
          <w:p>
            <w:pPr>
              <w:spacing w:after="0"/>
              <w:rPr>
                <w:sz w:val="15"/>
                <w:szCs w:val="15"/>
                <w:color w:val="auto"/>
              </w:rPr>
            </w:pPr>
          </w:p>
        </w:tc>
        <w:tc>
          <w:tcPr>
            <w:tcW w:w="40" w:type="dxa"/>
            <w:vAlign w:val="bottom"/>
            <w:tcBorders>
              <w:bottom w:val="single" w:sz="8" w:color="auto"/>
            </w:tcBorders>
            <w:shd w:val="clear" w:color="auto" w:fill="5591C7"/>
          </w:tcPr>
          <w:p>
            <w:pPr>
              <w:spacing w:after="0"/>
              <w:rPr>
                <w:sz w:val="15"/>
                <w:szCs w:val="15"/>
                <w:color w:val="auto"/>
              </w:rPr>
            </w:pPr>
          </w:p>
        </w:tc>
        <w:tc>
          <w:tcPr>
            <w:tcW w:w="980" w:type="dxa"/>
            <w:vAlign w:val="bottom"/>
            <w:tcBorders>
              <w:bottom w:val="single" w:sz="8" w:color="auto"/>
            </w:tcBorders>
            <w:shd w:val="clear" w:color="auto" w:fill="5591C7"/>
          </w:tcPr>
          <w:p>
            <w:pPr>
              <w:spacing w:after="0"/>
              <w:rPr>
                <w:sz w:val="15"/>
                <w:szCs w:val="15"/>
                <w:color w:val="auto"/>
              </w:rPr>
            </w:pPr>
          </w:p>
        </w:tc>
        <w:tc>
          <w:tcPr>
            <w:tcW w:w="60" w:type="dxa"/>
            <w:vAlign w:val="bottom"/>
            <w:tcBorders>
              <w:bottom w:val="single" w:sz="8" w:color="5591C7"/>
            </w:tcBorders>
            <w:shd w:val="clear" w:color="auto" w:fill="5591C7"/>
          </w:tcPr>
          <w:p>
            <w:pPr>
              <w:spacing w:after="0"/>
              <w:rPr>
                <w:sz w:val="15"/>
                <w:szCs w:val="15"/>
                <w:color w:val="auto"/>
              </w:rPr>
            </w:pPr>
          </w:p>
        </w:tc>
        <w:tc>
          <w:tcPr>
            <w:tcW w:w="40" w:type="dxa"/>
            <w:vAlign w:val="bottom"/>
            <w:tcBorders>
              <w:bottom w:val="single" w:sz="8" w:color="5591C7"/>
            </w:tcBorders>
            <w:shd w:val="clear" w:color="auto" w:fill="5591C7"/>
          </w:tcPr>
          <w:p>
            <w:pPr>
              <w:spacing w:after="0"/>
              <w:rPr>
                <w:sz w:val="15"/>
                <w:szCs w:val="15"/>
                <w:color w:val="auto"/>
              </w:rPr>
            </w:pPr>
          </w:p>
        </w:tc>
        <w:tc>
          <w:tcPr>
            <w:tcW w:w="60" w:type="dxa"/>
            <w:vAlign w:val="bottom"/>
            <w:tcBorders>
              <w:bottom w:val="single" w:sz="8" w:color="5591C7"/>
            </w:tcBorders>
            <w:shd w:val="clear" w:color="auto" w:fill="5591C7"/>
          </w:tcPr>
          <w:p>
            <w:pPr>
              <w:spacing w:after="0"/>
              <w:rPr>
                <w:sz w:val="15"/>
                <w:szCs w:val="15"/>
                <w:color w:val="auto"/>
              </w:rPr>
            </w:pPr>
          </w:p>
        </w:tc>
        <w:tc>
          <w:tcPr>
            <w:tcW w:w="60" w:type="dxa"/>
            <w:vAlign w:val="bottom"/>
            <w:tcBorders>
              <w:bottom w:val="single" w:sz="8" w:color="5591C7"/>
            </w:tcBorders>
            <w:shd w:val="clear" w:color="auto" w:fill="5591C7"/>
          </w:tcPr>
          <w:p>
            <w:pPr>
              <w:spacing w:after="0"/>
              <w:rPr>
                <w:sz w:val="15"/>
                <w:szCs w:val="15"/>
                <w:color w:val="auto"/>
              </w:rPr>
            </w:pPr>
          </w:p>
        </w:tc>
        <w:tc>
          <w:tcPr>
            <w:tcW w:w="640" w:type="dxa"/>
            <w:vAlign w:val="bottom"/>
            <w:tcBorders>
              <w:bottom w:val="single" w:sz="8" w:color="auto"/>
            </w:tcBorders>
            <w:shd w:val="clear" w:color="auto" w:fill="5591C7"/>
          </w:tcPr>
          <w:p>
            <w:pPr>
              <w:spacing w:after="0"/>
              <w:rPr>
                <w:sz w:val="15"/>
                <w:szCs w:val="15"/>
                <w:color w:val="auto"/>
              </w:rPr>
            </w:pPr>
          </w:p>
        </w:tc>
        <w:tc>
          <w:tcPr>
            <w:tcW w:w="40" w:type="dxa"/>
            <w:vAlign w:val="bottom"/>
            <w:tcBorders>
              <w:bottom w:val="single" w:sz="8" w:color="auto"/>
            </w:tcBorders>
            <w:shd w:val="clear" w:color="auto" w:fill="5591C7"/>
          </w:tcPr>
          <w:p>
            <w:pPr>
              <w:spacing w:after="0"/>
              <w:rPr>
                <w:sz w:val="15"/>
                <w:szCs w:val="15"/>
                <w:color w:val="auto"/>
              </w:rPr>
            </w:pPr>
          </w:p>
        </w:tc>
        <w:tc>
          <w:tcPr>
            <w:tcW w:w="60" w:type="dxa"/>
            <w:vAlign w:val="bottom"/>
            <w:tcBorders>
              <w:bottom w:val="single" w:sz="8" w:color="auto"/>
            </w:tcBorders>
            <w:shd w:val="clear" w:color="auto" w:fill="5591C7"/>
          </w:tcPr>
          <w:p>
            <w:pPr>
              <w:spacing w:after="0"/>
              <w:rPr>
                <w:sz w:val="15"/>
                <w:szCs w:val="15"/>
                <w:color w:val="auto"/>
              </w:rPr>
            </w:pPr>
          </w:p>
        </w:tc>
        <w:tc>
          <w:tcPr>
            <w:tcW w:w="2100" w:type="dxa"/>
            <w:vAlign w:val="bottom"/>
            <w:tcBorders>
              <w:bottom w:val="single" w:sz="8" w:color="auto"/>
            </w:tcBorders>
            <w:gridSpan w:val="5"/>
            <w:shd w:val="clear" w:color="auto" w:fill="5591C7"/>
          </w:tcPr>
          <w:p>
            <w:pPr>
              <w:ind w:left="700"/>
              <w:spacing w:after="0"/>
              <w:rPr>
                <w:sz w:val="20"/>
                <w:szCs w:val="20"/>
                <w:color w:val="auto"/>
              </w:rPr>
            </w:pPr>
            <w:r>
              <w:rPr>
                <w:rFonts w:ascii="Arial" w:cs="Arial" w:eastAsia="Arial" w:hAnsi="Arial"/>
                <w:sz w:val="14"/>
                <w:szCs w:val="14"/>
                <w:b w:val="1"/>
                <w:bCs w:val="1"/>
                <w:color w:val="auto"/>
              </w:rPr>
              <w:t>Stock Awards</w:t>
            </w:r>
          </w:p>
        </w:tc>
        <w:tc>
          <w:tcPr>
            <w:tcW w:w="120" w:type="dxa"/>
            <w:vAlign w:val="bottom"/>
            <w:tcBorders>
              <w:bottom w:val="single" w:sz="8" w:color="auto"/>
            </w:tcBorders>
            <w:shd w:val="clear" w:color="auto" w:fill="5591C7"/>
          </w:tcPr>
          <w:p>
            <w:pPr>
              <w:spacing w:after="0"/>
              <w:rPr>
                <w:sz w:val="15"/>
                <w:szCs w:val="15"/>
                <w:color w:val="auto"/>
              </w:rPr>
            </w:pPr>
          </w:p>
        </w:tc>
        <w:tc>
          <w:tcPr>
            <w:tcW w:w="920" w:type="dxa"/>
            <w:vAlign w:val="bottom"/>
            <w:tcBorders>
              <w:bottom w:val="single" w:sz="8" w:color="auto"/>
            </w:tcBorders>
            <w:shd w:val="clear" w:color="auto" w:fill="5591C7"/>
          </w:tcPr>
          <w:p>
            <w:pPr>
              <w:spacing w:after="0"/>
              <w:rPr>
                <w:sz w:val="15"/>
                <w:szCs w:val="15"/>
                <w:color w:val="auto"/>
              </w:rPr>
            </w:pPr>
          </w:p>
        </w:tc>
        <w:tc>
          <w:tcPr>
            <w:tcW w:w="100" w:type="dxa"/>
            <w:vAlign w:val="bottom"/>
            <w:tcBorders>
              <w:bottom w:val="single" w:sz="8" w:color="5591C7"/>
            </w:tcBorders>
            <w:shd w:val="clear" w:color="auto" w:fill="5591C7"/>
          </w:tcPr>
          <w:p>
            <w:pPr>
              <w:spacing w:after="0"/>
              <w:rPr>
                <w:sz w:val="15"/>
                <w:szCs w:val="15"/>
                <w:color w:val="auto"/>
              </w:rPr>
            </w:pPr>
          </w:p>
        </w:tc>
      </w:tr>
      <w:tr>
        <w:trPr>
          <w:trHeight w:val="169"/>
        </w:trPr>
        <w:tc>
          <w:tcPr>
            <w:tcW w:w="23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2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5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8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98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4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02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92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2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Equity</w:t>
            </w:r>
          </w:p>
        </w:tc>
      </w:tr>
      <w:tr>
        <w:trPr>
          <w:trHeight w:val="162"/>
        </w:trPr>
        <w:tc>
          <w:tcPr>
            <w:tcW w:w="23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2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5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8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98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4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02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92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2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Incentive</w:t>
            </w:r>
          </w:p>
        </w:tc>
      </w:tr>
      <w:tr>
        <w:trPr>
          <w:trHeight w:val="162"/>
        </w:trPr>
        <w:tc>
          <w:tcPr>
            <w:tcW w:w="23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2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5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8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98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4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02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92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2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Plan</w:t>
            </w:r>
          </w:p>
        </w:tc>
      </w:tr>
      <w:tr>
        <w:trPr>
          <w:trHeight w:val="162"/>
        </w:trPr>
        <w:tc>
          <w:tcPr>
            <w:tcW w:w="23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2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5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8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98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4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02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960" w:type="dxa"/>
            <w:vAlign w:val="bottom"/>
            <w:gridSpan w:val="2"/>
            <w:shd w:val="clear" w:color="auto" w:fill="5591C7"/>
          </w:tcPr>
          <w:p>
            <w:pPr>
              <w:jc w:val="center"/>
              <w:ind w:right="40"/>
              <w:spacing w:after="0"/>
              <w:rPr>
                <w:sz w:val="20"/>
                <w:szCs w:val="20"/>
                <w:color w:val="auto"/>
              </w:rPr>
            </w:pPr>
            <w:r>
              <w:rPr>
                <w:rFonts w:ascii="Arial" w:cs="Arial" w:eastAsia="Arial" w:hAnsi="Arial"/>
                <w:sz w:val="14"/>
                <w:szCs w:val="14"/>
                <w:b w:val="1"/>
                <w:bCs w:val="1"/>
                <w:color w:val="auto"/>
              </w:rPr>
              <w:t>Equity</w:t>
            </w:r>
          </w:p>
        </w:tc>
        <w:tc>
          <w:tcPr>
            <w:tcW w:w="120" w:type="dxa"/>
            <w:vAlign w:val="bottom"/>
            <w:shd w:val="clear" w:color="auto" w:fill="5591C7"/>
          </w:tcPr>
          <w:p>
            <w:pPr>
              <w:spacing w:after="0"/>
              <w:rPr>
                <w:sz w:val="14"/>
                <w:szCs w:val="14"/>
                <w:color w:val="auto"/>
              </w:rPr>
            </w:pPr>
          </w:p>
        </w:tc>
        <w:tc>
          <w:tcPr>
            <w:tcW w:w="102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Awards:</w:t>
            </w:r>
          </w:p>
        </w:tc>
      </w:tr>
      <w:tr>
        <w:trPr>
          <w:trHeight w:val="162"/>
        </w:trPr>
        <w:tc>
          <w:tcPr>
            <w:tcW w:w="23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2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5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8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98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4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02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96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Incentive</w:t>
            </w:r>
          </w:p>
        </w:tc>
        <w:tc>
          <w:tcPr>
            <w:tcW w:w="120" w:type="dxa"/>
            <w:vAlign w:val="bottom"/>
            <w:shd w:val="clear" w:color="auto" w:fill="5591C7"/>
          </w:tcPr>
          <w:p>
            <w:pPr>
              <w:spacing w:after="0"/>
              <w:rPr>
                <w:sz w:val="14"/>
                <w:szCs w:val="14"/>
                <w:color w:val="auto"/>
              </w:rPr>
            </w:pPr>
          </w:p>
        </w:tc>
        <w:tc>
          <w:tcPr>
            <w:tcW w:w="102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Market or</w:t>
            </w:r>
          </w:p>
        </w:tc>
      </w:tr>
      <w:tr>
        <w:trPr>
          <w:trHeight w:val="162"/>
        </w:trPr>
        <w:tc>
          <w:tcPr>
            <w:tcW w:w="23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2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5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8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98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4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02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96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Plan</w:t>
            </w:r>
          </w:p>
        </w:tc>
        <w:tc>
          <w:tcPr>
            <w:tcW w:w="120" w:type="dxa"/>
            <w:vAlign w:val="bottom"/>
            <w:shd w:val="clear" w:color="auto" w:fill="5591C7"/>
          </w:tcPr>
          <w:p>
            <w:pPr>
              <w:spacing w:after="0"/>
              <w:rPr>
                <w:sz w:val="14"/>
                <w:szCs w:val="14"/>
                <w:color w:val="auto"/>
              </w:rPr>
            </w:pPr>
          </w:p>
        </w:tc>
        <w:tc>
          <w:tcPr>
            <w:tcW w:w="102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Payout</w:t>
            </w:r>
          </w:p>
        </w:tc>
      </w:tr>
      <w:tr>
        <w:trPr>
          <w:trHeight w:val="162"/>
        </w:trPr>
        <w:tc>
          <w:tcPr>
            <w:tcW w:w="23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2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5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8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98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4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02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96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Awards:</w:t>
            </w:r>
          </w:p>
        </w:tc>
        <w:tc>
          <w:tcPr>
            <w:tcW w:w="120" w:type="dxa"/>
            <w:vAlign w:val="bottom"/>
            <w:shd w:val="clear" w:color="auto" w:fill="5591C7"/>
          </w:tcPr>
          <w:p>
            <w:pPr>
              <w:spacing w:after="0"/>
              <w:rPr>
                <w:sz w:val="14"/>
                <w:szCs w:val="14"/>
                <w:color w:val="auto"/>
              </w:rPr>
            </w:pPr>
          </w:p>
        </w:tc>
        <w:tc>
          <w:tcPr>
            <w:tcW w:w="102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w w:val="99"/>
              </w:rPr>
              <w:t>Value of</w:t>
            </w:r>
          </w:p>
        </w:tc>
      </w:tr>
      <w:tr>
        <w:trPr>
          <w:trHeight w:val="162"/>
        </w:trPr>
        <w:tc>
          <w:tcPr>
            <w:tcW w:w="23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2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5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8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98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4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02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960" w:type="dxa"/>
            <w:vAlign w:val="bottom"/>
            <w:gridSpan w:val="2"/>
            <w:shd w:val="clear" w:color="auto" w:fill="5591C7"/>
          </w:tcPr>
          <w:p>
            <w:pPr>
              <w:jc w:val="center"/>
              <w:ind w:right="40"/>
              <w:spacing w:after="0"/>
              <w:rPr>
                <w:sz w:val="20"/>
                <w:szCs w:val="20"/>
                <w:color w:val="auto"/>
              </w:rPr>
            </w:pPr>
            <w:r>
              <w:rPr>
                <w:rFonts w:ascii="Arial" w:cs="Arial" w:eastAsia="Arial" w:hAnsi="Arial"/>
                <w:sz w:val="14"/>
                <w:szCs w:val="14"/>
                <w:b w:val="1"/>
                <w:bCs w:val="1"/>
                <w:color w:val="auto"/>
              </w:rPr>
              <w:t>Number of</w:t>
            </w:r>
          </w:p>
        </w:tc>
        <w:tc>
          <w:tcPr>
            <w:tcW w:w="120" w:type="dxa"/>
            <w:vAlign w:val="bottom"/>
            <w:shd w:val="clear" w:color="auto" w:fill="5591C7"/>
          </w:tcPr>
          <w:p>
            <w:pPr>
              <w:spacing w:after="0"/>
              <w:rPr>
                <w:sz w:val="14"/>
                <w:szCs w:val="14"/>
                <w:color w:val="auto"/>
              </w:rPr>
            </w:pPr>
          </w:p>
        </w:tc>
        <w:tc>
          <w:tcPr>
            <w:tcW w:w="102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Unearned</w:t>
            </w:r>
          </w:p>
        </w:tc>
      </w:tr>
      <w:tr>
        <w:trPr>
          <w:trHeight w:val="162"/>
        </w:trPr>
        <w:tc>
          <w:tcPr>
            <w:tcW w:w="23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2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5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8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98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8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Number</w:t>
            </w:r>
          </w:p>
        </w:tc>
        <w:tc>
          <w:tcPr>
            <w:tcW w:w="60" w:type="dxa"/>
            <w:vAlign w:val="bottom"/>
            <w:shd w:val="clear" w:color="auto" w:fill="5591C7"/>
          </w:tcPr>
          <w:p>
            <w:pPr>
              <w:spacing w:after="0"/>
              <w:rPr>
                <w:sz w:val="14"/>
                <w:szCs w:val="14"/>
                <w:color w:val="auto"/>
              </w:rPr>
            </w:pPr>
          </w:p>
        </w:tc>
        <w:tc>
          <w:tcPr>
            <w:tcW w:w="108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Market</w:t>
            </w:r>
          </w:p>
        </w:tc>
        <w:tc>
          <w:tcPr>
            <w:tcW w:w="60" w:type="dxa"/>
            <w:vAlign w:val="bottom"/>
            <w:shd w:val="clear" w:color="auto" w:fill="5591C7"/>
          </w:tcPr>
          <w:p>
            <w:pPr>
              <w:spacing w:after="0"/>
              <w:rPr>
                <w:sz w:val="14"/>
                <w:szCs w:val="14"/>
                <w:color w:val="auto"/>
              </w:rPr>
            </w:pPr>
          </w:p>
        </w:tc>
        <w:tc>
          <w:tcPr>
            <w:tcW w:w="96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Unearned</w:t>
            </w:r>
          </w:p>
        </w:tc>
        <w:tc>
          <w:tcPr>
            <w:tcW w:w="120" w:type="dxa"/>
            <w:vAlign w:val="bottom"/>
            <w:shd w:val="clear" w:color="auto" w:fill="5591C7"/>
          </w:tcPr>
          <w:p>
            <w:pPr>
              <w:spacing w:after="0"/>
              <w:rPr>
                <w:sz w:val="14"/>
                <w:szCs w:val="14"/>
                <w:color w:val="auto"/>
              </w:rPr>
            </w:pPr>
          </w:p>
        </w:tc>
        <w:tc>
          <w:tcPr>
            <w:tcW w:w="102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Shares,</w:t>
            </w:r>
          </w:p>
        </w:tc>
      </w:tr>
      <w:tr>
        <w:trPr>
          <w:trHeight w:val="162"/>
        </w:trPr>
        <w:tc>
          <w:tcPr>
            <w:tcW w:w="23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2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5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8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98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740" w:type="dxa"/>
            <w:vAlign w:val="bottom"/>
            <w:gridSpan w:val="3"/>
            <w:shd w:val="clear" w:color="auto" w:fill="5591C7"/>
          </w:tcPr>
          <w:p>
            <w:pPr>
              <w:jc w:val="center"/>
              <w:ind w:right="40"/>
              <w:spacing w:after="0"/>
              <w:rPr>
                <w:sz w:val="20"/>
                <w:szCs w:val="20"/>
                <w:color w:val="auto"/>
              </w:rPr>
            </w:pPr>
            <w:r>
              <w:rPr>
                <w:rFonts w:ascii="Arial" w:cs="Arial" w:eastAsia="Arial" w:hAnsi="Arial"/>
                <w:sz w:val="14"/>
                <w:szCs w:val="14"/>
                <w:b w:val="1"/>
                <w:bCs w:val="1"/>
                <w:color w:val="auto"/>
              </w:rPr>
              <w:t>of Shares</w:t>
            </w:r>
          </w:p>
        </w:tc>
        <w:tc>
          <w:tcPr>
            <w:tcW w:w="60" w:type="dxa"/>
            <w:vAlign w:val="bottom"/>
            <w:shd w:val="clear" w:color="auto" w:fill="5591C7"/>
          </w:tcPr>
          <w:p>
            <w:pPr>
              <w:spacing w:after="0"/>
              <w:rPr>
                <w:sz w:val="14"/>
                <w:szCs w:val="14"/>
                <w:color w:val="auto"/>
              </w:rPr>
            </w:pPr>
          </w:p>
        </w:tc>
        <w:tc>
          <w:tcPr>
            <w:tcW w:w="108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w w:val="99"/>
              </w:rPr>
              <w:t>Value of</w:t>
            </w:r>
          </w:p>
        </w:tc>
        <w:tc>
          <w:tcPr>
            <w:tcW w:w="60" w:type="dxa"/>
            <w:vAlign w:val="bottom"/>
            <w:shd w:val="clear" w:color="auto" w:fill="5591C7"/>
          </w:tcPr>
          <w:p>
            <w:pPr>
              <w:spacing w:after="0"/>
              <w:rPr>
                <w:sz w:val="14"/>
                <w:szCs w:val="14"/>
                <w:color w:val="auto"/>
              </w:rPr>
            </w:pPr>
          </w:p>
        </w:tc>
        <w:tc>
          <w:tcPr>
            <w:tcW w:w="960" w:type="dxa"/>
            <w:vAlign w:val="bottom"/>
            <w:gridSpan w:val="2"/>
            <w:shd w:val="clear" w:color="auto" w:fill="5591C7"/>
          </w:tcPr>
          <w:p>
            <w:pPr>
              <w:jc w:val="center"/>
              <w:ind w:right="40"/>
              <w:spacing w:after="0"/>
              <w:rPr>
                <w:sz w:val="20"/>
                <w:szCs w:val="20"/>
                <w:color w:val="auto"/>
              </w:rPr>
            </w:pPr>
            <w:r>
              <w:rPr>
                <w:rFonts w:ascii="Arial" w:cs="Arial" w:eastAsia="Arial" w:hAnsi="Arial"/>
                <w:sz w:val="14"/>
                <w:szCs w:val="14"/>
                <w:b w:val="1"/>
                <w:bCs w:val="1"/>
                <w:color w:val="auto"/>
              </w:rPr>
              <w:t>Shares,</w:t>
            </w:r>
          </w:p>
        </w:tc>
        <w:tc>
          <w:tcPr>
            <w:tcW w:w="120" w:type="dxa"/>
            <w:vAlign w:val="bottom"/>
            <w:shd w:val="clear" w:color="auto" w:fill="5591C7"/>
          </w:tcPr>
          <w:p>
            <w:pPr>
              <w:spacing w:after="0"/>
              <w:rPr>
                <w:sz w:val="14"/>
                <w:szCs w:val="14"/>
                <w:color w:val="auto"/>
              </w:rPr>
            </w:pPr>
          </w:p>
        </w:tc>
        <w:tc>
          <w:tcPr>
            <w:tcW w:w="102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Units or</w:t>
            </w:r>
          </w:p>
        </w:tc>
      </w:tr>
      <w:tr>
        <w:trPr>
          <w:trHeight w:val="162"/>
        </w:trPr>
        <w:tc>
          <w:tcPr>
            <w:tcW w:w="23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2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Number of</w:t>
            </w:r>
          </w:p>
        </w:tc>
        <w:tc>
          <w:tcPr>
            <w:tcW w:w="60" w:type="dxa"/>
            <w:vAlign w:val="bottom"/>
            <w:shd w:val="clear" w:color="auto" w:fill="5591C7"/>
          </w:tcPr>
          <w:p>
            <w:pPr>
              <w:spacing w:after="0"/>
              <w:rPr>
                <w:sz w:val="14"/>
                <w:szCs w:val="14"/>
                <w:color w:val="auto"/>
              </w:rPr>
            </w:pPr>
          </w:p>
        </w:tc>
        <w:tc>
          <w:tcPr>
            <w:tcW w:w="160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Number of</w:t>
            </w:r>
          </w:p>
        </w:tc>
        <w:tc>
          <w:tcPr>
            <w:tcW w:w="8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98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8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or Units</w:t>
            </w:r>
          </w:p>
        </w:tc>
        <w:tc>
          <w:tcPr>
            <w:tcW w:w="60" w:type="dxa"/>
            <w:vAlign w:val="bottom"/>
            <w:shd w:val="clear" w:color="auto" w:fill="5591C7"/>
          </w:tcPr>
          <w:p>
            <w:pPr>
              <w:spacing w:after="0"/>
              <w:rPr>
                <w:sz w:val="14"/>
                <w:szCs w:val="14"/>
                <w:color w:val="auto"/>
              </w:rPr>
            </w:pPr>
          </w:p>
        </w:tc>
        <w:tc>
          <w:tcPr>
            <w:tcW w:w="108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Shares or</w:t>
            </w:r>
          </w:p>
        </w:tc>
        <w:tc>
          <w:tcPr>
            <w:tcW w:w="60" w:type="dxa"/>
            <w:vAlign w:val="bottom"/>
            <w:shd w:val="clear" w:color="auto" w:fill="5591C7"/>
          </w:tcPr>
          <w:p>
            <w:pPr>
              <w:spacing w:after="0"/>
              <w:rPr>
                <w:sz w:val="14"/>
                <w:szCs w:val="14"/>
                <w:color w:val="auto"/>
              </w:rPr>
            </w:pPr>
          </w:p>
        </w:tc>
        <w:tc>
          <w:tcPr>
            <w:tcW w:w="96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Units or</w:t>
            </w:r>
          </w:p>
        </w:tc>
        <w:tc>
          <w:tcPr>
            <w:tcW w:w="120" w:type="dxa"/>
            <w:vAlign w:val="bottom"/>
            <w:shd w:val="clear" w:color="auto" w:fill="5591C7"/>
          </w:tcPr>
          <w:p>
            <w:pPr>
              <w:spacing w:after="0"/>
              <w:rPr>
                <w:sz w:val="14"/>
                <w:szCs w:val="14"/>
                <w:color w:val="auto"/>
              </w:rPr>
            </w:pPr>
          </w:p>
        </w:tc>
        <w:tc>
          <w:tcPr>
            <w:tcW w:w="102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Other</w:t>
            </w:r>
          </w:p>
        </w:tc>
      </w:tr>
      <w:tr>
        <w:trPr>
          <w:trHeight w:val="162"/>
        </w:trPr>
        <w:tc>
          <w:tcPr>
            <w:tcW w:w="23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26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Securities</w:t>
            </w:r>
          </w:p>
        </w:tc>
        <w:tc>
          <w:tcPr>
            <w:tcW w:w="60" w:type="dxa"/>
            <w:vAlign w:val="bottom"/>
            <w:shd w:val="clear" w:color="auto" w:fill="5591C7"/>
          </w:tcPr>
          <w:p>
            <w:pPr>
              <w:spacing w:after="0"/>
              <w:rPr>
                <w:sz w:val="14"/>
                <w:szCs w:val="14"/>
                <w:color w:val="auto"/>
              </w:rPr>
            </w:pPr>
          </w:p>
        </w:tc>
        <w:tc>
          <w:tcPr>
            <w:tcW w:w="160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Securities</w:t>
            </w:r>
          </w:p>
        </w:tc>
        <w:tc>
          <w:tcPr>
            <w:tcW w:w="8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98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8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of Stock</w:t>
            </w:r>
          </w:p>
        </w:tc>
        <w:tc>
          <w:tcPr>
            <w:tcW w:w="60" w:type="dxa"/>
            <w:vAlign w:val="bottom"/>
            <w:shd w:val="clear" w:color="auto" w:fill="5591C7"/>
          </w:tcPr>
          <w:p>
            <w:pPr>
              <w:spacing w:after="0"/>
              <w:rPr>
                <w:sz w:val="14"/>
                <w:szCs w:val="14"/>
                <w:color w:val="auto"/>
              </w:rPr>
            </w:pPr>
          </w:p>
        </w:tc>
        <w:tc>
          <w:tcPr>
            <w:tcW w:w="108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Units of</w:t>
            </w:r>
          </w:p>
        </w:tc>
        <w:tc>
          <w:tcPr>
            <w:tcW w:w="60" w:type="dxa"/>
            <w:vAlign w:val="bottom"/>
            <w:shd w:val="clear" w:color="auto" w:fill="5591C7"/>
          </w:tcPr>
          <w:p>
            <w:pPr>
              <w:spacing w:after="0"/>
              <w:rPr>
                <w:sz w:val="14"/>
                <w:szCs w:val="14"/>
                <w:color w:val="auto"/>
              </w:rPr>
            </w:pPr>
          </w:p>
        </w:tc>
        <w:tc>
          <w:tcPr>
            <w:tcW w:w="96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Other</w:t>
            </w:r>
          </w:p>
        </w:tc>
        <w:tc>
          <w:tcPr>
            <w:tcW w:w="120" w:type="dxa"/>
            <w:vAlign w:val="bottom"/>
            <w:shd w:val="clear" w:color="auto" w:fill="5591C7"/>
          </w:tcPr>
          <w:p>
            <w:pPr>
              <w:spacing w:after="0"/>
              <w:rPr>
                <w:sz w:val="14"/>
                <w:szCs w:val="14"/>
                <w:color w:val="auto"/>
              </w:rPr>
            </w:pPr>
          </w:p>
        </w:tc>
        <w:tc>
          <w:tcPr>
            <w:tcW w:w="102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Rights That</w:t>
            </w:r>
          </w:p>
        </w:tc>
      </w:tr>
      <w:tr>
        <w:trPr>
          <w:trHeight w:val="162"/>
        </w:trPr>
        <w:tc>
          <w:tcPr>
            <w:tcW w:w="23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26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Underlying</w:t>
            </w:r>
          </w:p>
        </w:tc>
        <w:tc>
          <w:tcPr>
            <w:tcW w:w="60" w:type="dxa"/>
            <w:vAlign w:val="bottom"/>
            <w:shd w:val="clear" w:color="auto" w:fill="5591C7"/>
          </w:tcPr>
          <w:p>
            <w:pPr>
              <w:spacing w:after="0"/>
              <w:rPr>
                <w:sz w:val="14"/>
                <w:szCs w:val="14"/>
                <w:color w:val="auto"/>
              </w:rPr>
            </w:pPr>
          </w:p>
        </w:tc>
        <w:tc>
          <w:tcPr>
            <w:tcW w:w="160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Underlying</w:t>
            </w:r>
          </w:p>
        </w:tc>
        <w:tc>
          <w:tcPr>
            <w:tcW w:w="8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98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740" w:type="dxa"/>
            <w:vAlign w:val="bottom"/>
            <w:gridSpan w:val="3"/>
            <w:shd w:val="clear" w:color="auto" w:fill="5591C7"/>
          </w:tcPr>
          <w:p>
            <w:pPr>
              <w:jc w:val="center"/>
              <w:ind w:right="40"/>
              <w:spacing w:after="0"/>
              <w:rPr>
                <w:sz w:val="20"/>
                <w:szCs w:val="20"/>
                <w:color w:val="auto"/>
              </w:rPr>
            </w:pPr>
            <w:r>
              <w:rPr>
                <w:rFonts w:ascii="Arial" w:cs="Arial" w:eastAsia="Arial" w:hAnsi="Arial"/>
                <w:sz w:val="14"/>
                <w:szCs w:val="14"/>
                <w:b w:val="1"/>
                <w:bCs w:val="1"/>
                <w:color w:val="auto"/>
              </w:rPr>
              <w:t>That Have</w:t>
            </w:r>
          </w:p>
        </w:tc>
        <w:tc>
          <w:tcPr>
            <w:tcW w:w="60" w:type="dxa"/>
            <w:vAlign w:val="bottom"/>
            <w:shd w:val="clear" w:color="auto" w:fill="5591C7"/>
          </w:tcPr>
          <w:p>
            <w:pPr>
              <w:spacing w:after="0"/>
              <w:rPr>
                <w:sz w:val="14"/>
                <w:szCs w:val="14"/>
                <w:color w:val="auto"/>
              </w:rPr>
            </w:pPr>
          </w:p>
        </w:tc>
        <w:tc>
          <w:tcPr>
            <w:tcW w:w="108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Stock That</w:t>
            </w:r>
          </w:p>
        </w:tc>
        <w:tc>
          <w:tcPr>
            <w:tcW w:w="60" w:type="dxa"/>
            <w:vAlign w:val="bottom"/>
            <w:shd w:val="clear" w:color="auto" w:fill="5591C7"/>
          </w:tcPr>
          <w:p>
            <w:pPr>
              <w:spacing w:after="0"/>
              <w:rPr>
                <w:sz w:val="14"/>
                <w:szCs w:val="14"/>
                <w:color w:val="auto"/>
              </w:rPr>
            </w:pPr>
          </w:p>
        </w:tc>
        <w:tc>
          <w:tcPr>
            <w:tcW w:w="96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Rights That</w:t>
            </w:r>
          </w:p>
        </w:tc>
        <w:tc>
          <w:tcPr>
            <w:tcW w:w="120" w:type="dxa"/>
            <w:vAlign w:val="bottom"/>
            <w:shd w:val="clear" w:color="auto" w:fill="5591C7"/>
          </w:tcPr>
          <w:p>
            <w:pPr>
              <w:spacing w:after="0"/>
              <w:rPr>
                <w:sz w:val="14"/>
                <w:szCs w:val="14"/>
                <w:color w:val="auto"/>
              </w:rPr>
            </w:pPr>
          </w:p>
        </w:tc>
        <w:tc>
          <w:tcPr>
            <w:tcW w:w="102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Have</w:t>
            </w:r>
          </w:p>
        </w:tc>
      </w:tr>
      <w:tr>
        <w:trPr>
          <w:trHeight w:val="175"/>
        </w:trPr>
        <w:tc>
          <w:tcPr>
            <w:tcW w:w="2300" w:type="dxa"/>
            <w:vAlign w:val="bottom"/>
            <w:shd w:val="clear" w:color="auto" w:fill="5591C7"/>
          </w:tcPr>
          <w:p>
            <w:pPr>
              <w:spacing w:after="0"/>
              <w:rPr>
                <w:sz w:val="15"/>
                <w:szCs w:val="15"/>
                <w:color w:val="auto"/>
              </w:rPr>
            </w:pPr>
          </w:p>
        </w:tc>
        <w:tc>
          <w:tcPr>
            <w:tcW w:w="60" w:type="dxa"/>
            <w:vAlign w:val="bottom"/>
            <w:shd w:val="clear" w:color="auto" w:fill="5591C7"/>
          </w:tcPr>
          <w:p>
            <w:pPr>
              <w:spacing w:after="0"/>
              <w:rPr>
                <w:sz w:val="15"/>
                <w:szCs w:val="15"/>
                <w:color w:val="auto"/>
              </w:rPr>
            </w:pPr>
          </w:p>
        </w:tc>
        <w:tc>
          <w:tcPr>
            <w:tcW w:w="60" w:type="dxa"/>
            <w:vAlign w:val="bottom"/>
            <w:shd w:val="clear" w:color="auto" w:fill="5591C7"/>
          </w:tcPr>
          <w:p>
            <w:pPr>
              <w:spacing w:after="0"/>
              <w:rPr>
                <w:sz w:val="15"/>
                <w:szCs w:val="15"/>
                <w:color w:val="auto"/>
              </w:rPr>
            </w:pPr>
          </w:p>
        </w:tc>
        <w:tc>
          <w:tcPr>
            <w:tcW w:w="126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Unexercised</w:t>
            </w:r>
          </w:p>
        </w:tc>
        <w:tc>
          <w:tcPr>
            <w:tcW w:w="60" w:type="dxa"/>
            <w:vAlign w:val="bottom"/>
            <w:shd w:val="clear" w:color="auto" w:fill="5591C7"/>
          </w:tcPr>
          <w:p>
            <w:pPr>
              <w:spacing w:after="0"/>
              <w:rPr>
                <w:sz w:val="15"/>
                <w:szCs w:val="15"/>
                <w:color w:val="auto"/>
              </w:rPr>
            </w:pPr>
          </w:p>
        </w:tc>
        <w:tc>
          <w:tcPr>
            <w:tcW w:w="160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Unexercised</w:t>
            </w:r>
          </w:p>
        </w:tc>
        <w:tc>
          <w:tcPr>
            <w:tcW w:w="86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Option</w:t>
            </w:r>
          </w:p>
        </w:tc>
        <w:tc>
          <w:tcPr>
            <w:tcW w:w="40" w:type="dxa"/>
            <w:vAlign w:val="bottom"/>
            <w:shd w:val="clear" w:color="auto" w:fill="5591C7"/>
          </w:tcPr>
          <w:p>
            <w:pPr>
              <w:spacing w:after="0"/>
              <w:rPr>
                <w:sz w:val="15"/>
                <w:szCs w:val="15"/>
                <w:color w:val="auto"/>
              </w:rPr>
            </w:pPr>
          </w:p>
        </w:tc>
        <w:tc>
          <w:tcPr>
            <w:tcW w:w="1080" w:type="dxa"/>
            <w:vAlign w:val="bottom"/>
            <w:gridSpan w:val="3"/>
            <w:shd w:val="clear" w:color="auto" w:fill="5591C7"/>
          </w:tcPr>
          <w:p>
            <w:pPr>
              <w:jc w:val="center"/>
              <w:ind w:right="40"/>
              <w:spacing w:after="0"/>
              <w:rPr>
                <w:sz w:val="20"/>
                <w:szCs w:val="20"/>
                <w:color w:val="auto"/>
              </w:rPr>
            </w:pPr>
            <w:r>
              <w:rPr>
                <w:rFonts w:ascii="Arial" w:cs="Arial" w:eastAsia="Arial" w:hAnsi="Arial"/>
                <w:sz w:val="14"/>
                <w:szCs w:val="14"/>
                <w:b w:val="1"/>
                <w:bCs w:val="1"/>
                <w:color w:val="auto"/>
              </w:rPr>
              <w:t>Option</w:t>
            </w:r>
          </w:p>
        </w:tc>
        <w:tc>
          <w:tcPr>
            <w:tcW w:w="60" w:type="dxa"/>
            <w:vAlign w:val="bottom"/>
            <w:shd w:val="clear" w:color="auto" w:fill="5591C7"/>
          </w:tcPr>
          <w:p>
            <w:pPr>
              <w:spacing w:after="0"/>
              <w:rPr>
                <w:sz w:val="15"/>
                <w:szCs w:val="15"/>
                <w:color w:val="auto"/>
              </w:rPr>
            </w:pPr>
          </w:p>
        </w:tc>
        <w:tc>
          <w:tcPr>
            <w:tcW w:w="60" w:type="dxa"/>
            <w:vAlign w:val="bottom"/>
            <w:shd w:val="clear" w:color="auto" w:fill="5591C7"/>
          </w:tcPr>
          <w:p>
            <w:pPr>
              <w:spacing w:after="0"/>
              <w:rPr>
                <w:sz w:val="15"/>
                <w:szCs w:val="15"/>
                <w:color w:val="auto"/>
              </w:rPr>
            </w:pPr>
          </w:p>
        </w:tc>
        <w:tc>
          <w:tcPr>
            <w:tcW w:w="68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Not</w:t>
            </w:r>
          </w:p>
        </w:tc>
        <w:tc>
          <w:tcPr>
            <w:tcW w:w="60" w:type="dxa"/>
            <w:vAlign w:val="bottom"/>
            <w:shd w:val="clear" w:color="auto" w:fill="5591C7"/>
          </w:tcPr>
          <w:p>
            <w:pPr>
              <w:spacing w:after="0"/>
              <w:rPr>
                <w:sz w:val="15"/>
                <w:szCs w:val="15"/>
                <w:color w:val="auto"/>
              </w:rPr>
            </w:pPr>
          </w:p>
        </w:tc>
        <w:tc>
          <w:tcPr>
            <w:tcW w:w="108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Have Not</w:t>
            </w:r>
          </w:p>
        </w:tc>
        <w:tc>
          <w:tcPr>
            <w:tcW w:w="60" w:type="dxa"/>
            <w:vAlign w:val="bottom"/>
            <w:shd w:val="clear" w:color="auto" w:fill="5591C7"/>
          </w:tcPr>
          <w:p>
            <w:pPr>
              <w:spacing w:after="0"/>
              <w:rPr>
                <w:sz w:val="15"/>
                <w:szCs w:val="15"/>
                <w:color w:val="auto"/>
              </w:rPr>
            </w:pPr>
          </w:p>
        </w:tc>
        <w:tc>
          <w:tcPr>
            <w:tcW w:w="96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Have Not</w:t>
            </w:r>
          </w:p>
        </w:tc>
        <w:tc>
          <w:tcPr>
            <w:tcW w:w="120" w:type="dxa"/>
            <w:vAlign w:val="bottom"/>
            <w:shd w:val="clear" w:color="auto" w:fill="5591C7"/>
          </w:tcPr>
          <w:p>
            <w:pPr>
              <w:spacing w:after="0"/>
              <w:rPr>
                <w:sz w:val="15"/>
                <w:szCs w:val="15"/>
                <w:color w:val="auto"/>
              </w:rPr>
            </w:pPr>
          </w:p>
        </w:tc>
        <w:tc>
          <w:tcPr>
            <w:tcW w:w="102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Not</w:t>
            </w:r>
          </w:p>
        </w:tc>
      </w:tr>
      <w:tr>
        <w:trPr>
          <w:trHeight w:val="162"/>
        </w:trPr>
        <w:tc>
          <w:tcPr>
            <w:tcW w:w="23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2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Options (#)</w:t>
            </w:r>
          </w:p>
        </w:tc>
        <w:tc>
          <w:tcPr>
            <w:tcW w:w="60" w:type="dxa"/>
            <w:vAlign w:val="bottom"/>
            <w:shd w:val="clear" w:color="auto" w:fill="5591C7"/>
          </w:tcPr>
          <w:p>
            <w:pPr>
              <w:spacing w:after="0"/>
              <w:rPr>
                <w:sz w:val="14"/>
                <w:szCs w:val="14"/>
                <w:color w:val="auto"/>
              </w:rPr>
            </w:pPr>
          </w:p>
        </w:tc>
        <w:tc>
          <w:tcPr>
            <w:tcW w:w="160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Options (#)</w:t>
            </w:r>
          </w:p>
        </w:tc>
        <w:tc>
          <w:tcPr>
            <w:tcW w:w="86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Exercise</w:t>
            </w:r>
          </w:p>
        </w:tc>
        <w:tc>
          <w:tcPr>
            <w:tcW w:w="40" w:type="dxa"/>
            <w:vAlign w:val="bottom"/>
            <w:shd w:val="clear" w:color="auto" w:fill="5591C7"/>
          </w:tcPr>
          <w:p>
            <w:pPr>
              <w:spacing w:after="0"/>
              <w:rPr>
                <w:sz w:val="14"/>
                <w:szCs w:val="14"/>
                <w:color w:val="auto"/>
              </w:rPr>
            </w:pPr>
          </w:p>
        </w:tc>
        <w:tc>
          <w:tcPr>
            <w:tcW w:w="1080" w:type="dxa"/>
            <w:vAlign w:val="bottom"/>
            <w:gridSpan w:val="3"/>
            <w:shd w:val="clear" w:color="auto" w:fill="5591C7"/>
          </w:tcPr>
          <w:p>
            <w:pPr>
              <w:jc w:val="center"/>
              <w:ind w:right="40"/>
              <w:spacing w:after="0"/>
              <w:rPr>
                <w:sz w:val="20"/>
                <w:szCs w:val="20"/>
                <w:color w:val="auto"/>
              </w:rPr>
            </w:pPr>
            <w:r>
              <w:rPr>
                <w:rFonts w:ascii="Arial" w:cs="Arial" w:eastAsia="Arial" w:hAnsi="Arial"/>
                <w:sz w:val="14"/>
                <w:szCs w:val="14"/>
                <w:b w:val="1"/>
                <w:bCs w:val="1"/>
                <w:color w:val="auto"/>
              </w:rPr>
              <w:t>Expiration</w:t>
            </w: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8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Vested</w:t>
            </w:r>
          </w:p>
        </w:tc>
        <w:tc>
          <w:tcPr>
            <w:tcW w:w="60" w:type="dxa"/>
            <w:vAlign w:val="bottom"/>
            <w:shd w:val="clear" w:color="auto" w:fill="5591C7"/>
          </w:tcPr>
          <w:p>
            <w:pPr>
              <w:spacing w:after="0"/>
              <w:rPr>
                <w:sz w:val="14"/>
                <w:szCs w:val="14"/>
                <w:color w:val="auto"/>
              </w:rPr>
            </w:pPr>
          </w:p>
        </w:tc>
        <w:tc>
          <w:tcPr>
            <w:tcW w:w="108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Vested</w:t>
            </w:r>
          </w:p>
        </w:tc>
        <w:tc>
          <w:tcPr>
            <w:tcW w:w="60" w:type="dxa"/>
            <w:vAlign w:val="bottom"/>
            <w:shd w:val="clear" w:color="auto" w:fill="5591C7"/>
          </w:tcPr>
          <w:p>
            <w:pPr>
              <w:spacing w:after="0"/>
              <w:rPr>
                <w:sz w:val="14"/>
                <w:szCs w:val="14"/>
                <w:color w:val="auto"/>
              </w:rPr>
            </w:pPr>
          </w:p>
        </w:tc>
        <w:tc>
          <w:tcPr>
            <w:tcW w:w="96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Vested</w:t>
            </w:r>
          </w:p>
        </w:tc>
        <w:tc>
          <w:tcPr>
            <w:tcW w:w="120" w:type="dxa"/>
            <w:vAlign w:val="bottom"/>
            <w:shd w:val="clear" w:color="auto" w:fill="5591C7"/>
          </w:tcPr>
          <w:p>
            <w:pPr>
              <w:spacing w:after="0"/>
              <w:rPr>
                <w:sz w:val="14"/>
                <w:szCs w:val="14"/>
                <w:color w:val="auto"/>
              </w:rPr>
            </w:pPr>
          </w:p>
        </w:tc>
        <w:tc>
          <w:tcPr>
            <w:tcW w:w="102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Vested</w:t>
            </w:r>
          </w:p>
        </w:tc>
      </w:tr>
      <w:tr>
        <w:trPr>
          <w:trHeight w:val="196"/>
        </w:trPr>
        <w:tc>
          <w:tcPr>
            <w:tcW w:w="2300" w:type="dxa"/>
            <w:vAlign w:val="bottom"/>
            <w:tcBorders>
              <w:bottom w:val="single" w:sz="8" w:color="auto"/>
            </w:tcBorders>
            <w:shd w:val="clear" w:color="auto" w:fill="5591C7"/>
          </w:tcPr>
          <w:p>
            <w:pPr>
              <w:ind w:left="940"/>
              <w:spacing w:after="0"/>
              <w:rPr>
                <w:sz w:val="20"/>
                <w:szCs w:val="20"/>
                <w:color w:val="auto"/>
              </w:rPr>
            </w:pPr>
            <w:r>
              <w:rPr>
                <w:rFonts w:ascii="Arial" w:cs="Arial" w:eastAsia="Arial" w:hAnsi="Arial"/>
                <w:sz w:val="14"/>
                <w:szCs w:val="14"/>
                <w:b w:val="1"/>
                <w:bCs w:val="1"/>
                <w:color w:val="auto"/>
              </w:rPr>
              <w:t>Name</w:t>
            </w:r>
          </w:p>
        </w:tc>
        <w:tc>
          <w:tcPr>
            <w:tcW w:w="60" w:type="dxa"/>
            <w:vAlign w:val="bottom"/>
            <w:tcBorders>
              <w:bottom w:val="single" w:sz="8" w:color="5591C7"/>
            </w:tcBorders>
            <w:shd w:val="clear" w:color="auto" w:fill="5591C7"/>
          </w:tcPr>
          <w:p>
            <w:pPr>
              <w:spacing w:after="0"/>
              <w:rPr>
                <w:sz w:val="17"/>
                <w:szCs w:val="17"/>
                <w:color w:val="auto"/>
              </w:rPr>
            </w:pPr>
          </w:p>
        </w:tc>
        <w:tc>
          <w:tcPr>
            <w:tcW w:w="60" w:type="dxa"/>
            <w:vAlign w:val="bottom"/>
            <w:tcBorders>
              <w:bottom w:val="single" w:sz="8" w:color="auto"/>
            </w:tcBorders>
            <w:shd w:val="clear" w:color="auto" w:fill="5591C7"/>
          </w:tcPr>
          <w:p>
            <w:pPr>
              <w:spacing w:after="0"/>
              <w:rPr>
                <w:sz w:val="17"/>
                <w:szCs w:val="17"/>
                <w:color w:val="auto"/>
              </w:rPr>
            </w:pPr>
          </w:p>
        </w:tc>
        <w:tc>
          <w:tcPr>
            <w:tcW w:w="1200" w:type="dxa"/>
            <w:vAlign w:val="bottom"/>
            <w:tcBorders>
              <w:bottom w:val="single" w:sz="8" w:color="auto"/>
            </w:tcBorders>
            <w:shd w:val="clear" w:color="auto" w:fill="5591C7"/>
          </w:tcPr>
          <w:p>
            <w:pPr>
              <w:jc w:val="center"/>
              <w:spacing w:after="0" w:line="189" w:lineRule="exact"/>
              <w:rPr>
                <w:sz w:val="20"/>
                <w:szCs w:val="20"/>
                <w:color w:val="auto"/>
              </w:rPr>
            </w:pPr>
            <w:r>
              <w:rPr>
                <w:rFonts w:ascii="Arial" w:cs="Arial" w:eastAsia="Arial" w:hAnsi="Arial"/>
                <w:sz w:val="13"/>
                <w:szCs w:val="13"/>
                <w:b w:val="1"/>
                <w:bCs w:val="1"/>
                <w:color w:val="auto"/>
              </w:rPr>
              <w:t>Exercisable</w:t>
            </w:r>
            <w:r>
              <w:rPr>
                <w:rFonts w:ascii="Arial" w:cs="Arial" w:eastAsia="Arial" w:hAnsi="Arial"/>
                <w:sz w:val="21"/>
                <w:szCs w:val="21"/>
                <w:b w:val="1"/>
                <w:bCs w:val="1"/>
                <w:color w:val="auto"/>
                <w:vertAlign w:val="superscript"/>
              </w:rPr>
              <w:t>(1)</w:t>
            </w:r>
          </w:p>
        </w:tc>
        <w:tc>
          <w:tcPr>
            <w:tcW w:w="60" w:type="dxa"/>
            <w:vAlign w:val="bottom"/>
            <w:tcBorders>
              <w:bottom w:val="single" w:sz="8" w:color="5591C7"/>
            </w:tcBorders>
            <w:shd w:val="clear" w:color="auto" w:fill="5591C7"/>
          </w:tcPr>
          <w:p>
            <w:pPr>
              <w:spacing w:after="0"/>
              <w:rPr>
                <w:sz w:val="17"/>
                <w:szCs w:val="17"/>
                <w:color w:val="auto"/>
              </w:rPr>
            </w:pPr>
          </w:p>
        </w:tc>
        <w:tc>
          <w:tcPr>
            <w:tcW w:w="60" w:type="dxa"/>
            <w:vAlign w:val="bottom"/>
            <w:tcBorders>
              <w:bottom w:val="single" w:sz="8" w:color="5591C7"/>
            </w:tcBorders>
            <w:shd w:val="clear" w:color="auto" w:fill="5591C7"/>
          </w:tcPr>
          <w:p>
            <w:pPr>
              <w:spacing w:after="0"/>
              <w:rPr>
                <w:sz w:val="17"/>
                <w:szCs w:val="17"/>
                <w:color w:val="auto"/>
              </w:rPr>
            </w:pPr>
          </w:p>
        </w:tc>
        <w:tc>
          <w:tcPr>
            <w:tcW w:w="1500" w:type="dxa"/>
            <w:vAlign w:val="bottom"/>
            <w:tcBorders>
              <w:bottom w:val="single" w:sz="8" w:color="auto"/>
            </w:tcBorders>
            <w:shd w:val="clear" w:color="auto" w:fill="5591C7"/>
          </w:tcPr>
          <w:p>
            <w:pPr>
              <w:jc w:val="center"/>
              <w:spacing w:after="0" w:line="189" w:lineRule="exact"/>
              <w:rPr>
                <w:sz w:val="20"/>
                <w:szCs w:val="20"/>
                <w:color w:val="auto"/>
              </w:rPr>
            </w:pPr>
            <w:r>
              <w:rPr>
                <w:rFonts w:ascii="Arial" w:cs="Arial" w:eastAsia="Arial" w:hAnsi="Arial"/>
                <w:sz w:val="13"/>
                <w:szCs w:val="13"/>
                <w:b w:val="1"/>
                <w:bCs w:val="1"/>
                <w:color w:val="auto"/>
              </w:rPr>
              <w:t>Unexercisable</w:t>
            </w:r>
            <w:r>
              <w:rPr>
                <w:rFonts w:ascii="Arial" w:cs="Arial" w:eastAsia="Arial" w:hAnsi="Arial"/>
                <w:sz w:val="21"/>
                <w:szCs w:val="21"/>
                <w:b w:val="1"/>
                <w:bCs w:val="1"/>
                <w:color w:val="auto"/>
                <w:vertAlign w:val="superscript"/>
              </w:rPr>
              <w:t>(1)</w:t>
            </w:r>
          </w:p>
        </w:tc>
        <w:tc>
          <w:tcPr>
            <w:tcW w:w="100" w:type="dxa"/>
            <w:vAlign w:val="bottom"/>
            <w:tcBorders>
              <w:bottom w:val="single" w:sz="8" w:color="5591C7"/>
            </w:tcBorders>
            <w:shd w:val="clear" w:color="auto" w:fill="5591C7"/>
          </w:tcPr>
          <w:p>
            <w:pPr>
              <w:spacing w:after="0"/>
              <w:rPr>
                <w:sz w:val="17"/>
                <w:szCs w:val="17"/>
                <w:color w:val="auto"/>
              </w:rPr>
            </w:pPr>
          </w:p>
        </w:tc>
        <w:tc>
          <w:tcPr>
            <w:tcW w:w="80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Price ($)</w:t>
            </w:r>
          </w:p>
        </w:tc>
        <w:tc>
          <w:tcPr>
            <w:tcW w:w="60" w:type="dxa"/>
            <w:vAlign w:val="bottom"/>
            <w:tcBorders>
              <w:bottom w:val="single" w:sz="8" w:color="5591C7"/>
            </w:tcBorders>
            <w:shd w:val="clear" w:color="auto" w:fill="5591C7"/>
          </w:tcPr>
          <w:p>
            <w:pPr>
              <w:spacing w:after="0"/>
              <w:rPr>
                <w:sz w:val="17"/>
                <w:szCs w:val="17"/>
                <w:color w:val="auto"/>
              </w:rPr>
            </w:pPr>
          </w:p>
        </w:tc>
        <w:tc>
          <w:tcPr>
            <w:tcW w:w="40" w:type="dxa"/>
            <w:vAlign w:val="bottom"/>
            <w:tcBorders>
              <w:bottom w:val="single" w:sz="8" w:color="5591C7"/>
            </w:tcBorders>
            <w:shd w:val="clear" w:color="auto" w:fill="5591C7"/>
          </w:tcPr>
          <w:p>
            <w:pPr>
              <w:spacing w:after="0"/>
              <w:rPr>
                <w:sz w:val="17"/>
                <w:szCs w:val="17"/>
                <w:color w:val="auto"/>
              </w:rPr>
            </w:pPr>
          </w:p>
        </w:tc>
        <w:tc>
          <w:tcPr>
            <w:tcW w:w="1040" w:type="dxa"/>
            <w:vAlign w:val="bottom"/>
            <w:tcBorders>
              <w:bottom w:val="single" w:sz="8" w:color="auto"/>
            </w:tcBorders>
            <w:gridSpan w:val="2"/>
            <w:shd w:val="clear" w:color="auto" w:fill="5591C7"/>
          </w:tcPr>
          <w:p>
            <w:pPr>
              <w:jc w:val="right"/>
              <w:ind w:right="400"/>
              <w:spacing w:after="0"/>
              <w:rPr>
                <w:sz w:val="20"/>
                <w:szCs w:val="20"/>
                <w:color w:val="auto"/>
              </w:rPr>
            </w:pPr>
            <w:r>
              <w:rPr>
                <w:rFonts w:ascii="Arial" w:cs="Arial" w:eastAsia="Arial" w:hAnsi="Arial"/>
                <w:sz w:val="14"/>
                <w:szCs w:val="14"/>
                <w:b w:val="1"/>
                <w:bCs w:val="1"/>
                <w:color w:val="auto"/>
              </w:rPr>
              <w:t>Date</w:t>
            </w:r>
          </w:p>
        </w:tc>
        <w:tc>
          <w:tcPr>
            <w:tcW w:w="40" w:type="dxa"/>
            <w:vAlign w:val="bottom"/>
            <w:tcBorders>
              <w:bottom w:val="single" w:sz="8" w:color="5591C7"/>
            </w:tcBorders>
            <w:shd w:val="clear" w:color="auto" w:fill="5591C7"/>
          </w:tcPr>
          <w:p>
            <w:pPr>
              <w:spacing w:after="0"/>
              <w:rPr>
                <w:sz w:val="17"/>
                <w:szCs w:val="17"/>
                <w:color w:val="auto"/>
              </w:rPr>
            </w:pPr>
          </w:p>
        </w:tc>
        <w:tc>
          <w:tcPr>
            <w:tcW w:w="60" w:type="dxa"/>
            <w:vAlign w:val="bottom"/>
            <w:tcBorders>
              <w:bottom w:val="single" w:sz="8" w:color="5591C7"/>
            </w:tcBorders>
            <w:shd w:val="clear" w:color="auto" w:fill="5591C7"/>
          </w:tcPr>
          <w:p>
            <w:pPr>
              <w:spacing w:after="0"/>
              <w:rPr>
                <w:sz w:val="17"/>
                <w:szCs w:val="17"/>
                <w:color w:val="auto"/>
              </w:rPr>
            </w:pPr>
          </w:p>
        </w:tc>
        <w:tc>
          <w:tcPr>
            <w:tcW w:w="700" w:type="dxa"/>
            <w:vAlign w:val="bottom"/>
            <w:tcBorders>
              <w:bottom w:val="single" w:sz="8" w:color="auto"/>
            </w:tcBorders>
            <w:gridSpan w:val="2"/>
            <w:shd w:val="clear" w:color="auto" w:fill="5591C7"/>
          </w:tcPr>
          <w:p>
            <w:pPr>
              <w:jc w:val="center"/>
              <w:spacing w:after="0" w:line="189" w:lineRule="exact"/>
              <w:rPr>
                <w:sz w:val="20"/>
                <w:szCs w:val="20"/>
                <w:color w:val="auto"/>
              </w:rPr>
            </w:pPr>
            <w:r>
              <w:rPr>
                <w:rFonts w:ascii="Arial" w:cs="Arial" w:eastAsia="Arial" w:hAnsi="Arial"/>
                <w:sz w:val="13"/>
                <w:szCs w:val="13"/>
                <w:b w:val="1"/>
                <w:bCs w:val="1"/>
                <w:color w:val="auto"/>
                <w:w w:val="96"/>
              </w:rPr>
              <w:t>(#)</w:t>
            </w:r>
            <w:r>
              <w:rPr>
                <w:rFonts w:ascii="Arial" w:cs="Arial" w:eastAsia="Arial" w:hAnsi="Arial"/>
                <w:sz w:val="21"/>
                <w:szCs w:val="21"/>
                <w:b w:val="1"/>
                <w:bCs w:val="1"/>
                <w:color w:val="auto"/>
                <w:w w:val="96"/>
                <w:vertAlign w:val="superscript"/>
              </w:rPr>
              <w:t>(2)</w:t>
            </w:r>
          </w:p>
        </w:tc>
        <w:tc>
          <w:tcPr>
            <w:tcW w:w="40" w:type="dxa"/>
            <w:vAlign w:val="bottom"/>
            <w:tcBorders>
              <w:bottom w:val="single" w:sz="8" w:color="5591C7"/>
            </w:tcBorders>
            <w:shd w:val="clear" w:color="auto" w:fill="5591C7"/>
          </w:tcPr>
          <w:p>
            <w:pPr>
              <w:spacing w:after="0"/>
              <w:rPr>
                <w:sz w:val="17"/>
                <w:szCs w:val="17"/>
                <w:color w:val="auto"/>
              </w:rPr>
            </w:pPr>
          </w:p>
        </w:tc>
        <w:tc>
          <w:tcPr>
            <w:tcW w:w="60" w:type="dxa"/>
            <w:vAlign w:val="bottom"/>
            <w:tcBorders>
              <w:bottom w:val="single" w:sz="8" w:color="5591C7"/>
            </w:tcBorders>
            <w:shd w:val="clear" w:color="auto" w:fill="5591C7"/>
          </w:tcPr>
          <w:p>
            <w:pPr>
              <w:spacing w:after="0"/>
              <w:rPr>
                <w:sz w:val="17"/>
                <w:szCs w:val="17"/>
                <w:color w:val="auto"/>
              </w:rPr>
            </w:pPr>
          </w:p>
        </w:tc>
        <w:tc>
          <w:tcPr>
            <w:tcW w:w="1020" w:type="dxa"/>
            <w:vAlign w:val="bottom"/>
            <w:tcBorders>
              <w:bottom w:val="single" w:sz="8" w:color="auto"/>
            </w:tcBorders>
            <w:shd w:val="clear" w:color="auto" w:fill="5591C7"/>
          </w:tcPr>
          <w:p>
            <w:pPr>
              <w:jc w:val="center"/>
              <w:spacing w:after="0" w:line="189" w:lineRule="exact"/>
              <w:rPr>
                <w:sz w:val="20"/>
                <w:szCs w:val="20"/>
                <w:color w:val="auto"/>
              </w:rPr>
            </w:pPr>
            <w:r>
              <w:rPr>
                <w:rFonts w:ascii="Arial" w:cs="Arial" w:eastAsia="Arial" w:hAnsi="Arial"/>
                <w:sz w:val="13"/>
                <w:szCs w:val="13"/>
                <w:b w:val="1"/>
                <w:bCs w:val="1"/>
                <w:color w:val="auto"/>
                <w:w w:val="96"/>
              </w:rPr>
              <w:t>($)</w:t>
            </w:r>
            <w:r>
              <w:rPr>
                <w:rFonts w:ascii="Arial" w:cs="Arial" w:eastAsia="Arial" w:hAnsi="Arial"/>
                <w:sz w:val="21"/>
                <w:szCs w:val="21"/>
                <w:b w:val="1"/>
                <w:bCs w:val="1"/>
                <w:color w:val="auto"/>
                <w:w w:val="96"/>
                <w:vertAlign w:val="superscript"/>
              </w:rPr>
              <w:t>(4)</w:t>
            </w:r>
          </w:p>
        </w:tc>
        <w:tc>
          <w:tcPr>
            <w:tcW w:w="60" w:type="dxa"/>
            <w:vAlign w:val="bottom"/>
            <w:tcBorders>
              <w:bottom w:val="single" w:sz="8" w:color="5591C7"/>
            </w:tcBorders>
            <w:shd w:val="clear" w:color="auto" w:fill="5591C7"/>
          </w:tcPr>
          <w:p>
            <w:pPr>
              <w:spacing w:after="0"/>
              <w:rPr>
                <w:sz w:val="17"/>
                <w:szCs w:val="17"/>
                <w:color w:val="auto"/>
              </w:rPr>
            </w:pPr>
          </w:p>
        </w:tc>
        <w:tc>
          <w:tcPr>
            <w:tcW w:w="60" w:type="dxa"/>
            <w:vAlign w:val="bottom"/>
            <w:tcBorders>
              <w:bottom w:val="single" w:sz="8" w:color="5591C7"/>
            </w:tcBorders>
            <w:shd w:val="clear" w:color="auto" w:fill="5591C7"/>
          </w:tcPr>
          <w:p>
            <w:pPr>
              <w:spacing w:after="0"/>
              <w:rPr>
                <w:sz w:val="17"/>
                <w:szCs w:val="17"/>
                <w:color w:val="auto"/>
              </w:rPr>
            </w:pPr>
          </w:p>
        </w:tc>
        <w:tc>
          <w:tcPr>
            <w:tcW w:w="920" w:type="dxa"/>
            <w:vAlign w:val="bottom"/>
            <w:tcBorders>
              <w:bottom w:val="single" w:sz="8" w:color="auto"/>
            </w:tcBorders>
            <w:shd w:val="clear" w:color="auto" w:fill="5591C7"/>
          </w:tcPr>
          <w:p>
            <w:pPr>
              <w:jc w:val="center"/>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10"/>
                <w:szCs w:val="10"/>
                <w:b w:val="1"/>
                <w:bCs w:val="1"/>
                <w:color w:val="auto"/>
              </w:rPr>
              <w:t>(3)(5)</w:t>
            </w:r>
          </w:p>
        </w:tc>
        <w:tc>
          <w:tcPr>
            <w:tcW w:w="40" w:type="dxa"/>
            <w:vAlign w:val="bottom"/>
            <w:tcBorders>
              <w:bottom w:val="single" w:sz="8" w:color="5591C7"/>
            </w:tcBorders>
            <w:shd w:val="clear" w:color="auto" w:fill="5591C7"/>
          </w:tcPr>
          <w:p>
            <w:pPr>
              <w:spacing w:after="0"/>
              <w:rPr>
                <w:sz w:val="17"/>
                <w:szCs w:val="17"/>
                <w:color w:val="auto"/>
              </w:rPr>
            </w:pPr>
          </w:p>
        </w:tc>
        <w:tc>
          <w:tcPr>
            <w:tcW w:w="120" w:type="dxa"/>
            <w:vAlign w:val="bottom"/>
            <w:tcBorders>
              <w:bottom w:val="single" w:sz="8" w:color="5591C7"/>
            </w:tcBorders>
            <w:shd w:val="clear" w:color="auto" w:fill="5591C7"/>
          </w:tcPr>
          <w:p>
            <w:pPr>
              <w:spacing w:after="0"/>
              <w:rPr>
                <w:sz w:val="17"/>
                <w:szCs w:val="17"/>
                <w:color w:val="auto"/>
              </w:rPr>
            </w:pPr>
          </w:p>
        </w:tc>
        <w:tc>
          <w:tcPr>
            <w:tcW w:w="920" w:type="dxa"/>
            <w:vAlign w:val="bottom"/>
            <w:tcBorders>
              <w:bottom w:val="single" w:sz="8" w:color="auto"/>
            </w:tcBorders>
            <w:shd w:val="clear" w:color="auto" w:fill="5591C7"/>
          </w:tcPr>
          <w:p>
            <w:pPr>
              <w:jc w:val="center"/>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10"/>
                <w:szCs w:val="10"/>
                <w:b w:val="1"/>
                <w:bCs w:val="1"/>
                <w:color w:val="auto"/>
              </w:rPr>
              <w:t>(4)(5)</w:t>
            </w:r>
          </w:p>
        </w:tc>
        <w:tc>
          <w:tcPr>
            <w:tcW w:w="100" w:type="dxa"/>
            <w:vAlign w:val="bottom"/>
            <w:tcBorders>
              <w:bottom w:val="single" w:sz="8" w:color="5591C7"/>
            </w:tcBorders>
            <w:shd w:val="clear" w:color="auto" w:fill="5591C7"/>
          </w:tcPr>
          <w:p>
            <w:pPr>
              <w:spacing w:after="0"/>
              <w:rPr>
                <w:sz w:val="17"/>
                <w:szCs w:val="17"/>
                <w:color w:val="auto"/>
              </w:rPr>
            </w:pPr>
          </w:p>
        </w:tc>
      </w:tr>
      <w:tr>
        <w:trPr>
          <w:trHeight w:val="189"/>
        </w:trPr>
        <w:tc>
          <w:tcPr>
            <w:tcW w:w="2300" w:type="dxa"/>
            <w:vAlign w:val="bottom"/>
            <w:shd w:val="clear" w:color="auto" w:fill="B8CDE8"/>
          </w:tcPr>
          <w:p>
            <w:pPr>
              <w:ind w:left="100"/>
              <w:spacing w:after="0"/>
              <w:rPr>
                <w:sz w:val="20"/>
                <w:szCs w:val="20"/>
                <w:color w:val="auto"/>
              </w:rPr>
            </w:pPr>
            <w:r>
              <w:rPr>
                <w:rFonts w:ascii="Arial" w:cs="Arial" w:eastAsia="Arial" w:hAnsi="Arial"/>
                <w:sz w:val="14"/>
                <w:szCs w:val="14"/>
                <w:color w:val="auto"/>
              </w:rPr>
              <w:t>Rohit Kapoor</w:t>
            </w:r>
          </w:p>
        </w:tc>
        <w:tc>
          <w:tcPr>
            <w:tcW w:w="1320" w:type="dxa"/>
            <w:vAlign w:val="bottom"/>
            <w:gridSpan w:val="3"/>
            <w:shd w:val="clear" w:color="auto" w:fill="B8CDE8"/>
          </w:tcPr>
          <w:p>
            <w:pPr>
              <w:jc w:val="right"/>
              <w:spacing w:after="0"/>
              <w:rPr>
                <w:sz w:val="20"/>
                <w:szCs w:val="20"/>
                <w:color w:val="auto"/>
              </w:rPr>
            </w:pPr>
            <w:r>
              <w:rPr>
                <w:rFonts w:ascii="Arial" w:cs="Arial" w:eastAsia="Arial" w:hAnsi="Arial"/>
                <w:sz w:val="14"/>
                <w:szCs w:val="14"/>
                <w:color w:val="auto"/>
              </w:rPr>
              <w:t>150,000</w:t>
            </w: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600" w:type="dxa"/>
            <w:vAlign w:val="bottom"/>
            <w:gridSpan w:val="2"/>
            <w:shd w:val="clear" w:color="auto" w:fill="B8CDE8"/>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shd w:val="clear" w:color="auto" w:fill="B8CDE8"/>
          </w:tcPr>
          <w:p>
            <w:pPr>
              <w:jc w:val="right"/>
              <w:spacing w:after="0"/>
              <w:rPr>
                <w:sz w:val="20"/>
                <w:szCs w:val="20"/>
                <w:color w:val="auto"/>
              </w:rPr>
            </w:pPr>
            <w:r>
              <w:rPr>
                <w:rFonts w:ascii="Arial" w:cs="Arial" w:eastAsia="Arial" w:hAnsi="Arial"/>
                <w:sz w:val="14"/>
                <w:szCs w:val="14"/>
                <w:color w:val="auto"/>
              </w:rPr>
              <w:t>11.88</w:t>
            </w:r>
          </w:p>
        </w:tc>
        <w:tc>
          <w:tcPr>
            <w:tcW w:w="60" w:type="dxa"/>
            <w:vAlign w:val="bottom"/>
            <w:shd w:val="clear" w:color="auto" w:fill="B8CDE8"/>
          </w:tcPr>
          <w:p>
            <w:pPr>
              <w:spacing w:after="0"/>
              <w:rPr>
                <w:sz w:val="16"/>
                <w:szCs w:val="16"/>
                <w:color w:val="auto"/>
              </w:rPr>
            </w:pPr>
          </w:p>
        </w:tc>
        <w:tc>
          <w:tcPr>
            <w:tcW w:w="1080" w:type="dxa"/>
            <w:vAlign w:val="bottom"/>
            <w:gridSpan w:val="3"/>
            <w:shd w:val="clear" w:color="auto" w:fill="B8CDE8"/>
          </w:tcPr>
          <w:p>
            <w:pPr>
              <w:jc w:val="right"/>
              <w:ind w:right="60"/>
              <w:spacing w:after="0"/>
              <w:rPr>
                <w:sz w:val="20"/>
                <w:szCs w:val="20"/>
                <w:color w:val="auto"/>
              </w:rPr>
            </w:pPr>
            <w:r>
              <w:rPr>
                <w:rFonts w:ascii="Arial" w:cs="Arial" w:eastAsia="Arial" w:hAnsi="Arial"/>
                <w:sz w:val="14"/>
                <w:szCs w:val="14"/>
                <w:color w:val="auto"/>
              </w:rPr>
              <w:t>7/26/2016</w:t>
            </w:r>
          </w:p>
        </w:tc>
        <w:tc>
          <w:tcPr>
            <w:tcW w:w="4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4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02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r>
      <w:tr>
        <w:trPr>
          <w:trHeight w:val="189"/>
        </w:trPr>
        <w:tc>
          <w:tcPr>
            <w:tcW w:w="2300" w:type="dxa"/>
            <w:vAlign w:val="bottom"/>
            <w:shd w:val="clear" w:color="auto" w:fill="B8CDE8"/>
          </w:tcPr>
          <w:p>
            <w:pPr>
              <w:spacing w:after="0"/>
              <w:rPr>
                <w:sz w:val="16"/>
                <w:szCs w:val="16"/>
                <w:color w:val="auto"/>
              </w:rPr>
            </w:pPr>
          </w:p>
        </w:tc>
        <w:tc>
          <w:tcPr>
            <w:tcW w:w="1320" w:type="dxa"/>
            <w:vAlign w:val="bottom"/>
            <w:gridSpan w:val="3"/>
            <w:shd w:val="clear" w:color="auto" w:fill="B8CDE8"/>
          </w:tcPr>
          <w:p>
            <w:pPr>
              <w:jc w:val="right"/>
              <w:spacing w:after="0"/>
              <w:rPr>
                <w:sz w:val="20"/>
                <w:szCs w:val="20"/>
                <w:color w:val="auto"/>
              </w:rPr>
            </w:pPr>
            <w:r>
              <w:rPr>
                <w:rFonts w:ascii="Arial" w:cs="Arial" w:eastAsia="Arial" w:hAnsi="Arial"/>
                <w:sz w:val="14"/>
                <w:szCs w:val="14"/>
                <w:color w:val="auto"/>
              </w:rPr>
              <w:t>150,000</w:t>
            </w: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600" w:type="dxa"/>
            <w:vAlign w:val="bottom"/>
            <w:gridSpan w:val="2"/>
            <w:shd w:val="clear" w:color="auto" w:fill="B8CDE8"/>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shd w:val="clear" w:color="auto" w:fill="B8CDE8"/>
          </w:tcPr>
          <w:p>
            <w:pPr>
              <w:jc w:val="right"/>
              <w:spacing w:after="0"/>
              <w:rPr>
                <w:sz w:val="20"/>
                <w:szCs w:val="20"/>
                <w:color w:val="auto"/>
              </w:rPr>
            </w:pPr>
            <w:r>
              <w:rPr>
                <w:rFonts w:ascii="Arial" w:cs="Arial" w:eastAsia="Arial" w:hAnsi="Arial"/>
                <w:sz w:val="14"/>
                <w:szCs w:val="14"/>
                <w:color w:val="auto"/>
              </w:rPr>
              <w:t>16.96</w:t>
            </w:r>
          </w:p>
        </w:tc>
        <w:tc>
          <w:tcPr>
            <w:tcW w:w="60" w:type="dxa"/>
            <w:vAlign w:val="bottom"/>
            <w:shd w:val="clear" w:color="auto" w:fill="B8CDE8"/>
          </w:tcPr>
          <w:p>
            <w:pPr>
              <w:spacing w:after="0"/>
              <w:rPr>
                <w:sz w:val="16"/>
                <w:szCs w:val="16"/>
                <w:color w:val="auto"/>
              </w:rPr>
            </w:pPr>
          </w:p>
        </w:tc>
        <w:tc>
          <w:tcPr>
            <w:tcW w:w="1080" w:type="dxa"/>
            <w:vAlign w:val="bottom"/>
            <w:gridSpan w:val="3"/>
            <w:shd w:val="clear" w:color="auto" w:fill="B8CDE8"/>
          </w:tcPr>
          <w:p>
            <w:pPr>
              <w:jc w:val="right"/>
              <w:ind w:right="60"/>
              <w:spacing w:after="0"/>
              <w:rPr>
                <w:sz w:val="20"/>
                <w:szCs w:val="20"/>
                <w:color w:val="auto"/>
              </w:rPr>
            </w:pPr>
            <w:r>
              <w:rPr>
                <w:rFonts w:ascii="Arial" w:cs="Arial" w:eastAsia="Arial" w:hAnsi="Arial"/>
                <w:sz w:val="14"/>
                <w:szCs w:val="14"/>
                <w:color w:val="auto"/>
              </w:rPr>
              <w:t>1/23/2018</w:t>
            </w:r>
          </w:p>
        </w:tc>
        <w:tc>
          <w:tcPr>
            <w:tcW w:w="4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4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02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r>
      <w:tr>
        <w:trPr>
          <w:trHeight w:val="189"/>
        </w:trPr>
        <w:tc>
          <w:tcPr>
            <w:tcW w:w="2300" w:type="dxa"/>
            <w:vAlign w:val="bottom"/>
            <w:shd w:val="clear" w:color="auto" w:fill="B8CDE8"/>
          </w:tcPr>
          <w:p>
            <w:pPr>
              <w:spacing w:after="0"/>
              <w:rPr>
                <w:sz w:val="16"/>
                <w:szCs w:val="16"/>
                <w:color w:val="auto"/>
              </w:rPr>
            </w:pPr>
          </w:p>
        </w:tc>
        <w:tc>
          <w:tcPr>
            <w:tcW w:w="1320" w:type="dxa"/>
            <w:vAlign w:val="bottom"/>
            <w:gridSpan w:val="3"/>
            <w:shd w:val="clear" w:color="auto" w:fill="B8CDE8"/>
          </w:tcPr>
          <w:p>
            <w:pPr>
              <w:jc w:val="right"/>
              <w:spacing w:after="0"/>
              <w:rPr>
                <w:sz w:val="20"/>
                <w:szCs w:val="20"/>
                <w:color w:val="auto"/>
              </w:rPr>
            </w:pPr>
            <w:r>
              <w:rPr>
                <w:rFonts w:ascii="Arial" w:cs="Arial" w:eastAsia="Arial" w:hAnsi="Arial"/>
                <w:sz w:val="14"/>
                <w:szCs w:val="14"/>
                <w:color w:val="auto"/>
              </w:rPr>
              <w:t>196,400</w:t>
            </w: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600" w:type="dxa"/>
            <w:vAlign w:val="bottom"/>
            <w:gridSpan w:val="2"/>
            <w:shd w:val="clear" w:color="auto" w:fill="B8CDE8"/>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shd w:val="clear" w:color="auto" w:fill="B8CDE8"/>
          </w:tcPr>
          <w:p>
            <w:pPr>
              <w:jc w:val="right"/>
              <w:spacing w:after="0"/>
              <w:rPr>
                <w:sz w:val="20"/>
                <w:szCs w:val="20"/>
                <w:color w:val="auto"/>
              </w:rPr>
            </w:pPr>
            <w:r>
              <w:rPr>
                <w:rFonts w:ascii="Arial" w:cs="Arial" w:eastAsia="Arial" w:hAnsi="Arial"/>
                <w:sz w:val="14"/>
                <w:szCs w:val="14"/>
                <w:color w:val="auto"/>
              </w:rPr>
              <w:t>8.75</w:t>
            </w:r>
          </w:p>
        </w:tc>
        <w:tc>
          <w:tcPr>
            <w:tcW w:w="60" w:type="dxa"/>
            <w:vAlign w:val="bottom"/>
            <w:shd w:val="clear" w:color="auto" w:fill="B8CDE8"/>
          </w:tcPr>
          <w:p>
            <w:pPr>
              <w:spacing w:after="0"/>
              <w:rPr>
                <w:sz w:val="16"/>
                <w:szCs w:val="16"/>
                <w:color w:val="auto"/>
              </w:rPr>
            </w:pPr>
          </w:p>
        </w:tc>
        <w:tc>
          <w:tcPr>
            <w:tcW w:w="1080" w:type="dxa"/>
            <w:vAlign w:val="bottom"/>
            <w:gridSpan w:val="3"/>
            <w:shd w:val="clear" w:color="auto" w:fill="B8CDE8"/>
          </w:tcPr>
          <w:p>
            <w:pPr>
              <w:jc w:val="right"/>
              <w:ind w:right="60"/>
              <w:spacing w:after="0"/>
              <w:rPr>
                <w:sz w:val="20"/>
                <w:szCs w:val="20"/>
                <w:color w:val="auto"/>
              </w:rPr>
            </w:pPr>
            <w:r>
              <w:rPr>
                <w:rFonts w:ascii="Arial" w:cs="Arial" w:eastAsia="Arial" w:hAnsi="Arial"/>
                <w:sz w:val="14"/>
                <w:szCs w:val="14"/>
                <w:color w:val="auto"/>
              </w:rPr>
              <w:t>2/10/2019</w:t>
            </w:r>
          </w:p>
        </w:tc>
        <w:tc>
          <w:tcPr>
            <w:tcW w:w="4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4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02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r>
      <w:tr>
        <w:trPr>
          <w:trHeight w:val="189"/>
        </w:trPr>
        <w:tc>
          <w:tcPr>
            <w:tcW w:w="2300" w:type="dxa"/>
            <w:vAlign w:val="bottom"/>
            <w:shd w:val="clear" w:color="auto" w:fill="B8CDE8"/>
          </w:tcPr>
          <w:p>
            <w:pPr>
              <w:spacing w:after="0"/>
              <w:rPr>
                <w:sz w:val="16"/>
                <w:szCs w:val="16"/>
                <w:color w:val="auto"/>
              </w:rPr>
            </w:pPr>
          </w:p>
        </w:tc>
        <w:tc>
          <w:tcPr>
            <w:tcW w:w="1320" w:type="dxa"/>
            <w:vAlign w:val="bottom"/>
            <w:gridSpan w:val="3"/>
            <w:shd w:val="clear" w:color="auto" w:fill="B8CDE8"/>
          </w:tcPr>
          <w:p>
            <w:pPr>
              <w:jc w:val="right"/>
              <w:spacing w:after="0"/>
              <w:rPr>
                <w:sz w:val="20"/>
                <w:szCs w:val="20"/>
                <w:color w:val="auto"/>
              </w:rPr>
            </w:pPr>
            <w:r>
              <w:rPr>
                <w:rFonts w:ascii="Arial" w:cs="Arial" w:eastAsia="Arial" w:hAnsi="Arial"/>
                <w:sz w:val="14"/>
                <w:szCs w:val="14"/>
                <w:color w:val="auto"/>
              </w:rPr>
              <w:t>97,500</w:t>
            </w: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600" w:type="dxa"/>
            <w:vAlign w:val="bottom"/>
            <w:gridSpan w:val="2"/>
            <w:shd w:val="clear" w:color="auto" w:fill="B8CDE8"/>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shd w:val="clear" w:color="auto" w:fill="B8CDE8"/>
          </w:tcPr>
          <w:p>
            <w:pPr>
              <w:jc w:val="right"/>
              <w:spacing w:after="0"/>
              <w:rPr>
                <w:sz w:val="20"/>
                <w:szCs w:val="20"/>
                <w:color w:val="auto"/>
              </w:rPr>
            </w:pPr>
            <w:r>
              <w:rPr>
                <w:rFonts w:ascii="Arial" w:cs="Arial" w:eastAsia="Arial" w:hAnsi="Arial"/>
                <w:sz w:val="14"/>
                <w:szCs w:val="14"/>
                <w:color w:val="auto"/>
              </w:rPr>
              <w:t>19.76</w:t>
            </w:r>
          </w:p>
        </w:tc>
        <w:tc>
          <w:tcPr>
            <w:tcW w:w="60" w:type="dxa"/>
            <w:vAlign w:val="bottom"/>
            <w:shd w:val="clear" w:color="auto" w:fill="B8CDE8"/>
          </w:tcPr>
          <w:p>
            <w:pPr>
              <w:spacing w:after="0"/>
              <w:rPr>
                <w:sz w:val="16"/>
                <w:szCs w:val="16"/>
                <w:color w:val="auto"/>
              </w:rPr>
            </w:pPr>
          </w:p>
        </w:tc>
        <w:tc>
          <w:tcPr>
            <w:tcW w:w="1080" w:type="dxa"/>
            <w:vAlign w:val="bottom"/>
            <w:gridSpan w:val="3"/>
            <w:shd w:val="clear" w:color="auto" w:fill="B8CDE8"/>
          </w:tcPr>
          <w:p>
            <w:pPr>
              <w:jc w:val="right"/>
              <w:ind w:right="60"/>
              <w:spacing w:after="0"/>
              <w:rPr>
                <w:sz w:val="20"/>
                <w:szCs w:val="20"/>
                <w:color w:val="auto"/>
              </w:rPr>
            </w:pPr>
            <w:r>
              <w:rPr>
                <w:rFonts w:ascii="Arial" w:cs="Arial" w:eastAsia="Arial" w:hAnsi="Arial"/>
                <w:sz w:val="14"/>
                <w:szCs w:val="14"/>
                <w:color w:val="auto"/>
              </w:rPr>
              <w:t>2/3/2021</w:t>
            </w:r>
          </w:p>
        </w:tc>
        <w:tc>
          <w:tcPr>
            <w:tcW w:w="4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4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02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r>
      <w:tr>
        <w:trPr>
          <w:trHeight w:val="189"/>
        </w:trPr>
        <w:tc>
          <w:tcPr>
            <w:tcW w:w="2300" w:type="dxa"/>
            <w:vAlign w:val="bottom"/>
            <w:shd w:val="clear" w:color="auto" w:fill="B8CDE8"/>
          </w:tcPr>
          <w:p>
            <w:pPr>
              <w:spacing w:after="0"/>
              <w:rPr>
                <w:sz w:val="16"/>
                <w:szCs w:val="16"/>
                <w:color w:val="auto"/>
              </w:rPr>
            </w:pPr>
          </w:p>
        </w:tc>
        <w:tc>
          <w:tcPr>
            <w:tcW w:w="1320" w:type="dxa"/>
            <w:vAlign w:val="bottom"/>
            <w:gridSpan w:val="3"/>
            <w:shd w:val="clear" w:color="auto" w:fill="B8CDE8"/>
          </w:tcPr>
          <w:p>
            <w:pPr>
              <w:jc w:val="right"/>
              <w:spacing w:after="0"/>
              <w:rPr>
                <w:sz w:val="20"/>
                <w:szCs w:val="20"/>
                <w:color w:val="auto"/>
              </w:rPr>
            </w:pPr>
            <w:r>
              <w:rPr>
                <w:rFonts w:ascii="Arial" w:cs="Arial" w:eastAsia="Arial" w:hAnsi="Arial"/>
                <w:sz w:val="14"/>
                <w:szCs w:val="14"/>
                <w:color w:val="auto"/>
              </w:rPr>
              <w:t>73,125</w:t>
            </w:r>
          </w:p>
        </w:tc>
        <w:tc>
          <w:tcPr>
            <w:tcW w:w="60" w:type="dxa"/>
            <w:vAlign w:val="bottom"/>
            <w:shd w:val="clear" w:color="auto" w:fill="B8CDE8"/>
          </w:tcPr>
          <w:p>
            <w:pPr>
              <w:spacing w:after="0"/>
              <w:rPr>
                <w:sz w:val="16"/>
                <w:szCs w:val="16"/>
                <w:color w:val="auto"/>
              </w:rPr>
            </w:pPr>
          </w:p>
        </w:tc>
        <w:tc>
          <w:tcPr>
            <w:tcW w:w="156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24,375</w:t>
            </w:r>
          </w:p>
        </w:tc>
        <w:tc>
          <w:tcPr>
            <w:tcW w:w="100" w:type="dxa"/>
            <w:vAlign w:val="bottom"/>
            <w:shd w:val="clear" w:color="auto" w:fill="B8CDE8"/>
          </w:tcPr>
          <w:p>
            <w:pPr>
              <w:spacing w:after="0"/>
              <w:rPr>
                <w:sz w:val="16"/>
                <w:szCs w:val="16"/>
                <w:color w:val="auto"/>
              </w:rPr>
            </w:pPr>
          </w:p>
        </w:tc>
        <w:tc>
          <w:tcPr>
            <w:tcW w:w="800" w:type="dxa"/>
            <w:vAlign w:val="bottom"/>
            <w:shd w:val="clear" w:color="auto" w:fill="B8CDE8"/>
          </w:tcPr>
          <w:p>
            <w:pPr>
              <w:jc w:val="right"/>
              <w:spacing w:after="0"/>
              <w:rPr>
                <w:sz w:val="20"/>
                <w:szCs w:val="20"/>
                <w:color w:val="auto"/>
              </w:rPr>
            </w:pPr>
            <w:r>
              <w:rPr>
                <w:rFonts w:ascii="Arial" w:cs="Arial" w:eastAsia="Arial" w:hAnsi="Arial"/>
                <w:sz w:val="14"/>
                <w:szCs w:val="14"/>
                <w:color w:val="auto"/>
              </w:rPr>
              <w:t>24.77</w:t>
            </w:r>
          </w:p>
        </w:tc>
        <w:tc>
          <w:tcPr>
            <w:tcW w:w="60" w:type="dxa"/>
            <w:vAlign w:val="bottom"/>
            <w:shd w:val="clear" w:color="auto" w:fill="B8CDE8"/>
          </w:tcPr>
          <w:p>
            <w:pPr>
              <w:spacing w:after="0"/>
              <w:rPr>
                <w:sz w:val="16"/>
                <w:szCs w:val="16"/>
                <w:color w:val="auto"/>
              </w:rPr>
            </w:pPr>
          </w:p>
        </w:tc>
        <w:tc>
          <w:tcPr>
            <w:tcW w:w="1080" w:type="dxa"/>
            <w:vAlign w:val="bottom"/>
            <w:gridSpan w:val="3"/>
            <w:shd w:val="clear" w:color="auto" w:fill="B8CDE8"/>
          </w:tcPr>
          <w:p>
            <w:pPr>
              <w:jc w:val="right"/>
              <w:ind w:right="60"/>
              <w:spacing w:after="0"/>
              <w:rPr>
                <w:sz w:val="20"/>
                <w:szCs w:val="20"/>
                <w:color w:val="auto"/>
              </w:rPr>
            </w:pPr>
            <w:r>
              <w:rPr>
                <w:rFonts w:ascii="Arial" w:cs="Arial" w:eastAsia="Arial" w:hAnsi="Arial"/>
                <w:sz w:val="14"/>
                <w:szCs w:val="14"/>
                <w:color w:val="auto"/>
              </w:rPr>
              <w:t>2/7/2022</w:t>
            </w:r>
          </w:p>
        </w:tc>
        <w:tc>
          <w:tcPr>
            <w:tcW w:w="4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4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02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r>
      <w:tr>
        <w:trPr>
          <w:trHeight w:val="189"/>
        </w:trPr>
        <w:tc>
          <w:tcPr>
            <w:tcW w:w="23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2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50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8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98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800" w:type="dxa"/>
            <w:vAlign w:val="bottom"/>
            <w:gridSpan w:val="4"/>
            <w:shd w:val="clear" w:color="auto" w:fill="B8CDE8"/>
          </w:tcPr>
          <w:p>
            <w:pPr>
              <w:jc w:val="right"/>
              <w:ind w:right="40"/>
              <w:spacing w:after="0"/>
              <w:rPr>
                <w:sz w:val="20"/>
                <w:szCs w:val="20"/>
                <w:color w:val="auto"/>
              </w:rPr>
            </w:pPr>
            <w:r>
              <w:rPr>
                <w:rFonts w:ascii="Arial" w:cs="Arial" w:eastAsia="Arial" w:hAnsi="Arial"/>
                <w:sz w:val="14"/>
                <w:szCs w:val="14"/>
                <w:color w:val="auto"/>
              </w:rPr>
              <w:t>9,375</w:t>
            </w:r>
          </w:p>
        </w:tc>
        <w:tc>
          <w:tcPr>
            <w:tcW w:w="108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421,219</w:t>
            </w: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r>
      <w:tr>
        <w:trPr>
          <w:trHeight w:val="189"/>
        </w:trPr>
        <w:tc>
          <w:tcPr>
            <w:tcW w:w="23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2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50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8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98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800" w:type="dxa"/>
            <w:vAlign w:val="bottom"/>
            <w:gridSpan w:val="4"/>
            <w:shd w:val="clear" w:color="auto" w:fill="B8CDE8"/>
          </w:tcPr>
          <w:p>
            <w:pPr>
              <w:jc w:val="right"/>
              <w:ind w:right="40"/>
              <w:spacing w:after="0"/>
              <w:rPr>
                <w:sz w:val="20"/>
                <w:szCs w:val="20"/>
                <w:color w:val="auto"/>
              </w:rPr>
            </w:pPr>
            <w:r>
              <w:rPr>
                <w:rFonts w:ascii="Arial" w:cs="Arial" w:eastAsia="Arial" w:hAnsi="Arial"/>
                <w:sz w:val="14"/>
                <w:szCs w:val="14"/>
                <w:color w:val="auto"/>
              </w:rPr>
              <w:t>37,500</w:t>
            </w:r>
          </w:p>
        </w:tc>
        <w:tc>
          <w:tcPr>
            <w:tcW w:w="108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1,684,875</w:t>
            </w: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r>
      <w:tr>
        <w:trPr>
          <w:trHeight w:val="189"/>
        </w:trPr>
        <w:tc>
          <w:tcPr>
            <w:tcW w:w="23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2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50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8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98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800" w:type="dxa"/>
            <w:vAlign w:val="bottom"/>
            <w:gridSpan w:val="4"/>
            <w:shd w:val="clear" w:color="auto" w:fill="B8CDE8"/>
          </w:tcPr>
          <w:p>
            <w:pPr>
              <w:jc w:val="right"/>
              <w:ind w:right="40"/>
              <w:spacing w:after="0"/>
              <w:rPr>
                <w:sz w:val="20"/>
                <w:szCs w:val="20"/>
                <w:color w:val="auto"/>
              </w:rPr>
            </w:pPr>
            <w:r>
              <w:rPr>
                <w:rFonts w:ascii="Arial" w:cs="Arial" w:eastAsia="Arial" w:hAnsi="Arial"/>
                <w:sz w:val="14"/>
                <w:szCs w:val="14"/>
                <w:color w:val="auto"/>
              </w:rPr>
              <w:t>674</w:t>
            </w:r>
          </w:p>
        </w:tc>
        <w:tc>
          <w:tcPr>
            <w:tcW w:w="108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30,283</w:t>
            </w: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r>
      <w:tr>
        <w:trPr>
          <w:trHeight w:val="191"/>
        </w:trPr>
        <w:tc>
          <w:tcPr>
            <w:tcW w:w="23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2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50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8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98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800" w:type="dxa"/>
            <w:vAlign w:val="bottom"/>
            <w:gridSpan w:val="4"/>
            <w:shd w:val="clear" w:color="auto" w:fill="B8CDE8"/>
          </w:tcPr>
          <w:p>
            <w:pPr>
              <w:jc w:val="right"/>
              <w:ind w:right="40"/>
              <w:spacing w:after="0"/>
              <w:rPr>
                <w:sz w:val="20"/>
                <w:szCs w:val="20"/>
                <w:color w:val="auto"/>
              </w:rPr>
            </w:pPr>
            <w:r>
              <w:rPr>
                <w:rFonts w:ascii="Arial" w:cs="Arial" w:eastAsia="Arial" w:hAnsi="Arial"/>
                <w:sz w:val="14"/>
                <w:szCs w:val="14"/>
                <w:color w:val="auto"/>
              </w:rPr>
              <w:t>2,409</w:t>
            </w:r>
          </w:p>
        </w:tc>
        <w:tc>
          <w:tcPr>
            <w:tcW w:w="108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108,236</w:t>
            </w: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r>
      <w:tr>
        <w:trPr>
          <w:trHeight w:val="189"/>
        </w:trPr>
        <w:tc>
          <w:tcPr>
            <w:tcW w:w="23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2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50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8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98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800" w:type="dxa"/>
            <w:vAlign w:val="bottom"/>
            <w:gridSpan w:val="4"/>
            <w:shd w:val="clear" w:color="auto" w:fill="B8CDE8"/>
          </w:tcPr>
          <w:p>
            <w:pPr>
              <w:jc w:val="right"/>
              <w:ind w:right="40"/>
              <w:spacing w:after="0"/>
              <w:rPr>
                <w:sz w:val="20"/>
                <w:szCs w:val="20"/>
                <w:color w:val="auto"/>
              </w:rPr>
            </w:pPr>
            <w:r>
              <w:rPr>
                <w:rFonts w:ascii="Arial" w:cs="Arial" w:eastAsia="Arial" w:hAnsi="Arial"/>
                <w:sz w:val="14"/>
                <w:szCs w:val="14"/>
                <w:color w:val="auto"/>
              </w:rPr>
              <w:t>28,125</w:t>
            </w:r>
          </w:p>
        </w:tc>
        <w:tc>
          <w:tcPr>
            <w:tcW w:w="108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1,263,656</w:t>
            </w: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r>
      <w:tr>
        <w:trPr>
          <w:trHeight w:val="189"/>
        </w:trPr>
        <w:tc>
          <w:tcPr>
            <w:tcW w:w="23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2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50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8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98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800" w:type="dxa"/>
            <w:vAlign w:val="bottom"/>
            <w:gridSpan w:val="4"/>
            <w:shd w:val="clear" w:color="auto" w:fill="B8CDE8"/>
          </w:tcPr>
          <w:p>
            <w:pPr>
              <w:jc w:val="right"/>
              <w:ind w:right="40"/>
              <w:spacing w:after="0"/>
              <w:rPr>
                <w:sz w:val="20"/>
                <w:szCs w:val="20"/>
                <w:color w:val="auto"/>
              </w:rPr>
            </w:pPr>
            <w:r>
              <w:rPr>
                <w:rFonts w:ascii="Arial" w:cs="Arial" w:eastAsia="Arial" w:hAnsi="Arial"/>
                <w:sz w:val="14"/>
                <w:szCs w:val="14"/>
                <w:color w:val="auto"/>
              </w:rPr>
              <w:t>37,500</w:t>
            </w:r>
          </w:p>
        </w:tc>
        <w:tc>
          <w:tcPr>
            <w:tcW w:w="108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1,684,875</w:t>
            </w: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r>
      <w:tr>
        <w:trPr>
          <w:trHeight w:val="189"/>
        </w:trPr>
        <w:tc>
          <w:tcPr>
            <w:tcW w:w="23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2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50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8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98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800" w:type="dxa"/>
            <w:vAlign w:val="bottom"/>
            <w:gridSpan w:val="4"/>
            <w:shd w:val="clear" w:color="auto" w:fill="B8CDE8"/>
          </w:tcPr>
          <w:p>
            <w:pPr>
              <w:jc w:val="right"/>
              <w:ind w:right="40"/>
              <w:spacing w:after="0"/>
              <w:rPr>
                <w:sz w:val="20"/>
                <w:szCs w:val="20"/>
                <w:color w:val="auto"/>
              </w:rPr>
            </w:pPr>
            <w:r>
              <w:rPr>
                <w:rFonts w:ascii="Arial" w:cs="Arial" w:eastAsia="Arial" w:hAnsi="Arial"/>
                <w:sz w:val="14"/>
                <w:szCs w:val="14"/>
                <w:color w:val="auto"/>
              </w:rPr>
              <w:t>12,499</w:t>
            </w:r>
          </w:p>
        </w:tc>
        <w:tc>
          <w:tcPr>
            <w:tcW w:w="108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561,580</w:t>
            </w:r>
          </w:p>
        </w:tc>
        <w:tc>
          <w:tcPr>
            <w:tcW w:w="60" w:type="dxa"/>
            <w:vAlign w:val="bottom"/>
            <w:shd w:val="clear" w:color="auto" w:fill="B8CDE8"/>
          </w:tcPr>
          <w:p>
            <w:pPr>
              <w:spacing w:after="0"/>
              <w:rPr>
                <w:sz w:val="16"/>
                <w:szCs w:val="16"/>
                <w:color w:val="auto"/>
              </w:rPr>
            </w:pPr>
          </w:p>
        </w:tc>
        <w:tc>
          <w:tcPr>
            <w:tcW w:w="98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12,502</w:t>
            </w:r>
          </w:p>
        </w:tc>
        <w:tc>
          <w:tcPr>
            <w:tcW w:w="40" w:type="dxa"/>
            <w:vAlign w:val="bottom"/>
            <w:shd w:val="clear" w:color="auto" w:fill="B8CDE8"/>
          </w:tcPr>
          <w:p>
            <w:pPr>
              <w:spacing w:after="0"/>
              <w:rPr>
                <w:sz w:val="16"/>
                <w:szCs w:val="16"/>
                <w:color w:val="auto"/>
              </w:rPr>
            </w:pPr>
          </w:p>
        </w:tc>
        <w:tc>
          <w:tcPr>
            <w:tcW w:w="1140" w:type="dxa"/>
            <w:vAlign w:val="bottom"/>
            <w:gridSpan w:val="3"/>
            <w:shd w:val="clear" w:color="auto" w:fill="B8CDE8"/>
          </w:tcPr>
          <w:p>
            <w:pPr>
              <w:jc w:val="right"/>
              <w:ind w:right="100"/>
              <w:spacing w:after="0"/>
              <w:rPr>
                <w:sz w:val="20"/>
                <w:szCs w:val="20"/>
                <w:color w:val="auto"/>
              </w:rPr>
            </w:pPr>
            <w:r>
              <w:rPr>
                <w:rFonts w:ascii="Arial" w:cs="Arial" w:eastAsia="Arial" w:hAnsi="Arial"/>
                <w:sz w:val="14"/>
                <w:szCs w:val="14"/>
                <w:color w:val="auto"/>
              </w:rPr>
              <w:t>561,715</w:t>
            </w:r>
          </w:p>
        </w:tc>
      </w:tr>
      <w:tr>
        <w:trPr>
          <w:trHeight w:val="189"/>
        </w:trPr>
        <w:tc>
          <w:tcPr>
            <w:tcW w:w="23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2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50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8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98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800" w:type="dxa"/>
            <w:vAlign w:val="bottom"/>
            <w:gridSpan w:val="4"/>
            <w:shd w:val="clear" w:color="auto" w:fill="B8CDE8"/>
          </w:tcPr>
          <w:p>
            <w:pPr>
              <w:jc w:val="right"/>
              <w:ind w:right="40"/>
              <w:spacing w:after="0"/>
              <w:rPr>
                <w:sz w:val="20"/>
                <w:szCs w:val="20"/>
                <w:color w:val="auto"/>
              </w:rPr>
            </w:pPr>
            <w:r>
              <w:rPr>
                <w:rFonts w:ascii="Arial" w:cs="Arial" w:eastAsia="Arial" w:hAnsi="Arial"/>
                <w:sz w:val="14"/>
                <w:szCs w:val="14"/>
                <w:color w:val="auto"/>
              </w:rPr>
              <w:t>6,249</w:t>
            </w:r>
          </w:p>
        </w:tc>
        <w:tc>
          <w:tcPr>
            <w:tcW w:w="108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280,768</w:t>
            </w:r>
          </w:p>
        </w:tc>
        <w:tc>
          <w:tcPr>
            <w:tcW w:w="60" w:type="dxa"/>
            <w:vAlign w:val="bottom"/>
            <w:shd w:val="clear" w:color="auto" w:fill="B8CDE8"/>
          </w:tcPr>
          <w:p>
            <w:pPr>
              <w:spacing w:after="0"/>
              <w:rPr>
                <w:sz w:val="16"/>
                <w:szCs w:val="16"/>
                <w:color w:val="auto"/>
              </w:rPr>
            </w:pPr>
          </w:p>
        </w:tc>
        <w:tc>
          <w:tcPr>
            <w:tcW w:w="98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12,501</w:t>
            </w:r>
          </w:p>
        </w:tc>
        <w:tc>
          <w:tcPr>
            <w:tcW w:w="40" w:type="dxa"/>
            <w:vAlign w:val="bottom"/>
            <w:shd w:val="clear" w:color="auto" w:fill="B8CDE8"/>
          </w:tcPr>
          <w:p>
            <w:pPr>
              <w:spacing w:after="0"/>
              <w:rPr>
                <w:sz w:val="16"/>
                <w:szCs w:val="16"/>
                <w:color w:val="auto"/>
              </w:rPr>
            </w:pPr>
          </w:p>
        </w:tc>
        <w:tc>
          <w:tcPr>
            <w:tcW w:w="1140" w:type="dxa"/>
            <w:vAlign w:val="bottom"/>
            <w:gridSpan w:val="3"/>
            <w:shd w:val="clear" w:color="auto" w:fill="B8CDE8"/>
          </w:tcPr>
          <w:p>
            <w:pPr>
              <w:jc w:val="right"/>
              <w:ind w:right="100"/>
              <w:spacing w:after="0"/>
              <w:rPr>
                <w:sz w:val="20"/>
                <w:szCs w:val="20"/>
                <w:color w:val="auto"/>
              </w:rPr>
            </w:pPr>
            <w:r>
              <w:rPr>
                <w:rFonts w:ascii="Arial" w:cs="Arial" w:eastAsia="Arial" w:hAnsi="Arial"/>
                <w:sz w:val="14"/>
                <w:szCs w:val="14"/>
                <w:color w:val="auto"/>
              </w:rPr>
              <w:t>561,670</w:t>
            </w:r>
          </w:p>
        </w:tc>
      </w:tr>
      <w:tr>
        <w:trPr>
          <w:trHeight w:val="189"/>
        </w:trPr>
        <w:tc>
          <w:tcPr>
            <w:tcW w:w="23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2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50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8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98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4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02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98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37,500</w:t>
            </w:r>
          </w:p>
        </w:tc>
        <w:tc>
          <w:tcPr>
            <w:tcW w:w="40" w:type="dxa"/>
            <w:vAlign w:val="bottom"/>
            <w:shd w:val="clear" w:color="auto" w:fill="B8CDE8"/>
          </w:tcPr>
          <w:p>
            <w:pPr>
              <w:spacing w:after="0"/>
              <w:rPr>
                <w:sz w:val="16"/>
                <w:szCs w:val="16"/>
                <w:color w:val="auto"/>
              </w:rPr>
            </w:pPr>
          </w:p>
        </w:tc>
        <w:tc>
          <w:tcPr>
            <w:tcW w:w="1140" w:type="dxa"/>
            <w:vAlign w:val="bottom"/>
            <w:gridSpan w:val="3"/>
            <w:shd w:val="clear" w:color="auto" w:fill="B8CDE8"/>
          </w:tcPr>
          <w:p>
            <w:pPr>
              <w:jc w:val="right"/>
              <w:ind w:right="100"/>
              <w:spacing w:after="0"/>
              <w:rPr>
                <w:sz w:val="20"/>
                <w:szCs w:val="20"/>
                <w:color w:val="auto"/>
              </w:rPr>
            </w:pPr>
            <w:r>
              <w:rPr>
                <w:rFonts w:ascii="Arial" w:cs="Arial" w:eastAsia="Arial" w:hAnsi="Arial"/>
                <w:sz w:val="14"/>
                <w:szCs w:val="14"/>
                <w:color w:val="auto"/>
              </w:rPr>
              <w:t>1,684,875</w:t>
            </w:r>
          </w:p>
        </w:tc>
      </w:tr>
      <w:tr>
        <w:trPr>
          <w:trHeight w:val="189"/>
        </w:trPr>
        <w:tc>
          <w:tcPr>
            <w:tcW w:w="23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2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50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8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98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4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02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98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18,750</w:t>
            </w:r>
          </w:p>
        </w:tc>
        <w:tc>
          <w:tcPr>
            <w:tcW w:w="40" w:type="dxa"/>
            <w:vAlign w:val="bottom"/>
            <w:shd w:val="clear" w:color="auto" w:fill="B8CDE8"/>
          </w:tcPr>
          <w:p>
            <w:pPr>
              <w:spacing w:after="0"/>
              <w:rPr>
                <w:sz w:val="16"/>
                <w:szCs w:val="16"/>
                <w:color w:val="auto"/>
              </w:rPr>
            </w:pPr>
          </w:p>
        </w:tc>
        <w:tc>
          <w:tcPr>
            <w:tcW w:w="1140" w:type="dxa"/>
            <w:vAlign w:val="bottom"/>
            <w:gridSpan w:val="3"/>
            <w:shd w:val="clear" w:color="auto" w:fill="B8CDE8"/>
          </w:tcPr>
          <w:p>
            <w:pPr>
              <w:jc w:val="right"/>
              <w:ind w:right="100"/>
              <w:spacing w:after="0"/>
              <w:rPr>
                <w:sz w:val="20"/>
                <w:szCs w:val="20"/>
                <w:color w:val="auto"/>
              </w:rPr>
            </w:pPr>
            <w:r>
              <w:rPr>
                <w:rFonts w:ascii="Arial" w:cs="Arial" w:eastAsia="Arial" w:hAnsi="Arial"/>
                <w:sz w:val="14"/>
                <w:szCs w:val="14"/>
                <w:color w:val="auto"/>
              </w:rPr>
              <w:t>842,438</w:t>
            </w:r>
          </w:p>
        </w:tc>
      </w:tr>
      <w:tr>
        <w:trPr>
          <w:trHeight w:val="188"/>
        </w:trPr>
        <w:tc>
          <w:tcPr>
            <w:tcW w:w="23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2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50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8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98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4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02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98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100,000</w:t>
            </w:r>
          </w:p>
        </w:tc>
        <w:tc>
          <w:tcPr>
            <w:tcW w:w="40" w:type="dxa"/>
            <w:vAlign w:val="bottom"/>
            <w:shd w:val="clear" w:color="auto" w:fill="B8CDE8"/>
          </w:tcPr>
          <w:p>
            <w:pPr>
              <w:spacing w:after="0"/>
              <w:rPr>
                <w:sz w:val="16"/>
                <w:szCs w:val="16"/>
                <w:color w:val="auto"/>
              </w:rPr>
            </w:pPr>
          </w:p>
        </w:tc>
        <w:tc>
          <w:tcPr>
            <w:tcW w:w="1140" w:type="dxa"/>
            <w:vAlign w:val="bottom"/>
            <w:gridSpan w:val="3"/>
            <w:shd w:val="clear" w:color="auto" w:fill="B8CDE8"/>
          </w:tcPr>
          <w:p>
            <w:pPr>
              <w:jc w:val="right"/>
              <w:ind w:right="100"/>
              <w:spacing w:after="0"/>
              <w:rPr>
                <w:sz w:val="20"/>
                <w:szCs w:val="20"/>
                <w:color w:val="auto"/>
              </w:rPr>
            </w:pPr>
            <w:r>
              <w:rPr>
                <w:rFonts w:ascii="Arial" w:cs="Arial" w:eastAsia="Arial" w:hAnsi="Arial"/>
                <w:sz w:val="14"/>
                <w:szCs w:val="14"/>
                <w:color w:val="auto"/>
              </w:rPr>
              <w:t>4,493,000</w:t>
            </w:r>
          </w:p>
        </w:tc>
      </w:tr>
      <w:tr>
        <w:trPr>
          <w:trHeight w:val="191"/>
        </w:trPr>
        <w:tc>
          <w:tcPr>
            <w:tcW w:w="2300" w:type="dxa"/>
            <w:vAlign w:val="bottom"/>
          </w:tcPr>
          <w:p>
            <w:pPr>
              <w:ind w:left="100"/>
              <w:spacing w:after="0"/>
              <w:rPr>
                <w:sz w:val="20"/>
                <w:szCs w:val="20"/>
                <w:color w:val="auto"/>
              </w:rPr>
            </w:pPr>
            <w:r>
              <w:rPr>
                <w:rFonts w:ascii="Arial" w:cs="Arial" w:eastAsia="Arial" w:hAnsi="Arial"/>
                <w:sz w:val="14"/>
                <w:szCs w:val="14"/>
                <w:color w:val="auto"/>
              </w:rPr>
              <w:t>Vishal Chhibbar</w:t>
            </w:r>
          </w:p>
        </w:tc>
        <w:tc>
          <w:tcPr>
            <w:tcW w:w="1320" w:type="dxa"/>
            <w:vAlign w:val="bottom"/>
            <w:gridSpan w:val="3"/>
          </w:tcPr>
          <w:p>
            <w:pPr>
              <w:jc w:val="right"/>
              <w:spacing w:after="0"/>
              <w:rPr>
                <w:sz w:val="20"/>
                <w:szCs w:val="20"/>
                <w:color w:val="auto"/>
              </w:rPr>
            </w:pPr>
            <w:r>
              <w:rPr>
                <w:rFonts w:ascii="Arial" w:cs="Arial" w:eastAsia="Arial" w:hAnsi="Arial"/>
                <w:sz w:val="14"/>
                <w:szCs w:val="14"/>
                <w:color w:val="auto"/>
              </w:rPr>
              <w:t>50,209</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9.59</w:t>
            </w:r>
          </w:p>
        </w:tc>
        <w:tc>
          <w:tcPr>
            <w:tcW w:w="60" w:type="dxa"/>
            <w:vAlign w:val="bottom"/>
          </w:tcPr>
          <w:p>
            <w:pPr>
              <w:spacing w:after="0"/>
              <w:rPr>
                <w:sz w:val="16"/>
                <w:szCs w:val="16"/>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4"/>
                <w:szCs w:val="14"/>
                <w:color w:val="auto"/>
              </w:rPr>
              <w:t>6/1/2019</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2300" w:type="dxa"/>
            <w:vAlign w:val="bottom"/>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color w:val="auto"/>
              </w:rPr>
              <w:t>6,350</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19.76</w:t>
            </w:r>
          </w:p>
        </w:tc>
        <w:tc>
          <w:tcPr>
            <w:tcW w:w="60" w:type="dxa"/>
            <w:vAlign w:val="bottom"/>
          </w:tcPr>
          <w:p>
            <w:pPr>
              <w:spacing w:after="0"/>
              <w:rPr>
                <w:sz w:val="16"/>
                <w:szCs w:val="16"/>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4"/>
                <w:szCs w:val="14"/>
                <w:color w:val="auto"/>
              </w:rPr>
              <w:t>2/3/2021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2300" w:type="dxa"/>
            <w:vAlign w:val="bottom"/>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color w:val="auto"/>
              </w:rPr>
              <w:t>4,830</w:t>
            </w:r>
          </w:p>
        </w:tc>
        <w:tc>
          <w:tcPr>
            <w:tcW w:w="60" w:type="dxa"/>
            <w:vAlign w:val="bottom"/>
          </w:tcPr>
          <w:p>
            <w:pPr>
              <w:spacing w:after="0"/>
              <w:rPr>
                <w:sz w:val="16"/>
                <w:szCs w:val="16"/>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4,420</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24.77</w:t>
            </w:r>
          </w:p>
        </w:tc>
        <w:tc>
          <w:tcPr>
            <w:tcW w:w="60" w:type="dxa"/>
            <w:vAlign w:val="bottom"/>
          </w:tcPr>
          <w:p>
            <w:pPr>
              <w:spacing w:after="0"/>
              <w:rPr>
                <w:sz w:val="16"/>
                <w:szCs w:val="16"/>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4"/>
                <w:szCs w:val="14"/>
                <w:color w:val="auto"/>
              </w:rPr>
              <w:t>2/7/2022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2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gridSpan w:val="4"/>
          </w:tcPr>
          <w:p>
            <w:pPr>
              <w:jc w:val="right"/>
              <w:ind w:right="40"/>
              <w:spacing w:after="0"/>
              <w:rPr>
                <w:sz w:val="20"/>
                <w:szCs w:val="20"/>
                <w:color w:val="auto"/>
              </w:rPr>
            </w:pPr>
            <w:r>
              <w:rPr>
                <w:rFonts w:ascii="Arial" w:cs="Arial" w:eastAsia="Arial" w:hAnsi="Arial"/>
                <w:sz w:val="14"/>
                <w:szCs w:val="14"/>
                <w:color w:val="auto"/>
              </w:rPr>
              <w:t>1,700</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76,381</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2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gridSpan w:val="4"/>
          </w:tcPr>
          <w:p>
            <w:pPr>
              <w:jc w:val="right"/>
              <w:ind w:right="40"/>
              <w:spacing w:after="0"/>
              <w:rPr>
                <w:sz w:val="20"/>
                <w:szCs w:val="20"/>
                <w:color w:val="auto"/>
              </w:rPr>
            </w:pPr>
            <w:r>
              <w:rPr>
                <w:rFonts w:ascii="Arial" w:cs="Arial" w:eastAsia="Arial" w:hAnsi="Arial"/>
                <w:sz w:val="14"/>
                <w:szCs w:val="14"/>
                <w:color w:val="auto"/>
              </w:rPr>
              <w:t>8,400</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377,412</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2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gridSpan w:val="4"/>
          </w:tcPr>
          <w:p>
            <w:pPr>
              <w:jc w:val="right"/>
              <w:ind w:right="40"/>
              <w:spacing w:after="0"/>
              <w:rPr>
                <w:sz w:val="20"/>
                <w:szCs w:val="20"/>
                <w:color w:val="auto"/>
              </w:rPr>
            </w:pPr>
            <w:r>
              <w:rPr>
                <w:rFonts w:ascii="Arial" w:cs="Arial" w:eastAsia="Arial" w:hAnsi="Arial"/>
                <w:sz w:val="14"/>
                <w:szCs w:val="14"/>
                <w:color w:val="auto"/>
              </w:rPr>
              <w:t>297</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13,344</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2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gridSpan w:val="4"/>
          </w:tcPr>
          <w:p>
            <w:pPr>
              <w:jc w:val="right"/>
              <w:ind w:right="40"/>
              <w:spacing w:after="0"/>
              <w:rPr>
                <w:sz w:val="20"/>
                <w:szCs w:val="20"/>
                <w:color w:val="auto"/>
              </w:rPr>
            </w:pPr>
            <w:r>
              <w:rPr>
                <w:rFonts w:ascii="Arial" w:cs="Arial" w:eastAsia="Arial" w:hAnsi="Arial"/>
                <w:sz w:val="14"/>
                <w:szCs w:val="14"/>
                <w:color w:val="auto"/>
              </w:rPr>
              <w:t>6,300</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283,059</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2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gridSpan w:val="4"/>
          </w:tcPr>
          <w:p>
            <w:pPr>
              <w:jc w:val="right"/>
              <w:ind w:right="40"/>
              <w:spacing w:after="0"/>
              <w:rPr>
                <w:sz w:val="20"/>
                <w:szCs w:val="20"/>
                <w:color w:val="auto"/>
              </w:rPr>
            </w:pPr>
            <w:r>
              <w:rPr>
                <w:rFonts w:ascii="Arial" w:cs="Arial" w:eastAsia="Arial" w:hAnsi="Arial"/>
                <w:sz w:val="14"/>
                <w:szCs w:val="14"/>
                <w:color w:val="auto"/>
              </w:rPr>
              <w:t>751</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33,742</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2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gridSpan w:val="4"/>
          </w:tcPr>
          <w:p>
            <w:pPr>
              <w:jc w:val="right"/>
              <w:ind w:right="40"/>
              <w:spacing w:after="0"/>
              <w:rPr>
                <w:sz w:val="20"/>
                <w:szCs w:val="20"/>
                <w:color w:val="auto"/>
              </w:rPr>
            </w:pPr>
            <w:r>
              <w:rPr>
                <w:rFonts w:ascii="Arial" w:cs="Arial" w:eastAsia="Arial" w:hAnsi="Arial"/>
                <w:sz w:val="14"/>
                <w:szCs w:val="14"/>
                <w:color w:val="auto"/>
              </w:rPr>
              <w:t>7,500</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336,975</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2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gridSpan w:val="4"/>
          </w:tcPr>
          <w:p>
            <w:pPr>
              <w:jc w:val="right"/>
              <w:ind w:right="40"/>
              <w:spacing w:after="0"/>
              <w:rPr>
                <w:sz w:val="20"/>
                <w:szCs w:val="20"/>
                <w:color w:val="auto"/>
              </w:rPr>
            </w:pPr>
            <w:r>
              <w:rPr>
                <w:rFonts w:ascii="Arial" w:cs="Arial" w:eastAsia="Arial" w:hAnsi="Arial"/>
                <w:sz w:val="14"/>
                <w:szCs w:val="14"/>
                <w:color w:val="auto"/>
              </w:rPr>
              <w:t>2,333</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104,822</w:t>
            </w:r>
          </w:p>
        </w:tc>
        <w:tc>
          <w:tcPr>
            <w:tcW w:w="6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2,334</w:t>
            </w:r>
          </w:p>
        </w:tc>
        <w:tc>
          <w:tcPr>
            <w:tcW w:w="40" w:type="dxa"/>
            <w:vAlign w:val="bottom"/>
          </w:tcPr>
          <w:p>
            <w:pPr>
              <w:spacing w:after="0"/>
              <w:rPr>
                <w:sz w:val="16"/>
                <w:szCs w:val="16"/>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4"/>
                <w:szCs w:val="14"/>
                <w:color w:val="auto"/>
              </w:rPr>
              <w:t>104,867</w:t>
            </w:r>
          </w:p>
        </w:tc>
      </w:tr>
      <w:tr>
        <w:trPr>
          <w:trHeight w:val="189"/>
        </w:trPr>
        <w:tc>
          <w:tcPr>
            <w:tcW w:w="2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gridSpan w:val="4"/>
          </w:tcPr>
          <w:p>
            <w:pPr>
              <w:jc w:val="right"/>
              <w:ind w:right="40"/>
              <w:spacing w:after="0"/>
              <w:rPr>
                <w:sz w:val="20"/>
                <w:szCs w:val="20"/>
                <w:color w:val="auto"/>
              </w:rPr>
            </w:pPr>
            <w:r>
              <w:rPr>
                <w:rFonts w:ascii="Arial" w:cs="Arial" w:eastAsia="Arial" w:hAnsi="Arial"/>
                <w:sz w:val="14"/>
                <w:szCs w:val="14"/>
                <w:color w:val="auto"/>
              </w:rPr>
              <w:t>1,249</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56,118</w:t>
            </w:r>
          </w:p>
        </w:tc>
        <w:tc>
          <w:tcPr>
            <w:tcW w:w="6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2,501</w:t>
            </w:r>
          </w:p>
        </w:tc>
        <w:tc>
          <w:tcPr>
            <w:tcW w:w="40" w:type="dxa"/>
            <w:vAlign w:val="bottom"/>
          </w:tcPr>
          <w:p>
            <w:pPr>
              <w:spacing w:after="0"/>
              <w:rPr>
                <w:sz w:val="16"/>
                <w:szCs w:val="16"/>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4"/>
                <w:szCs w:val="14"/>
                <w:color w:val="auto"/>
              </w:rPr>
              <w:t>112,370</w:t>
            </w:r>
          </w:p>
        </w:tc>
      </w:tr>
      <w:tr>
        <w:trPr>
          <w:trHeight w:val="189"/>
        </w:trPr>
        <w:tc>
          <w:tcPr>
            <w:tcW w:w="2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7,000</w:t>
            </w:r>
          </w:p>
        </w:tc>
        <w:tc>
          <w:tcPr>
            <w:tcW w:w="40" w:type="dxa"/>
            <w:vAlign w:val="bottom"/>
          </w:tcPr>
          <w:p>
            <w:pPr>
              <w:spacing w:after="0"/>
              <w:rPr>
                <w:sz w:val="16"/>
                <w:szCs w:val="16"/>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4"/>
                <w:szCs w:val="14"/>
                <w:color w:val="auto"/>
              </w:rPr>
              <w:t>314,510</w:t>
            </w:r>
          </w:p>
        </w:tc>
      </w:tr>
      <w:tr>
        <w:trPr>
          <w:trHeight w:val="189"/>
        </w:trPr>
        <w:tc>
          <w:tcPr>
            <w:tcW w:w="2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3,750</w:t>
            </w:r>
          </w:p>
        </w:tc>
        <w:tc>
          <w:tcPr>
            <w:tcW w:w="40" w:type="dxa"/>
            <w:vAlign w:val="bottom"/>
          </w:tcPr>
          <w:p>
            <w:pPr>
              <w:spacing w:after="0"/>
              <w:rPr>
                <w:sz w:val="16"/>
                <w:szCs w:val="16"/>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4"/>
                <w:szCs w:val="14"/>
                <w:color w:val="auto"/>
              </w:rPr>
              <w:t>168,488</w:t>
            </w:r>
          </w:p>
        </w:tc>
      </w:tr>
    </w:tbl>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59" w:right="2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76"/>
        </w:trPr>
        <w:tc>
          <w:tcPr>
            <w:tcW w:w="2300" w:type="dxa"/>
            <w:vAlign w:val="bottom"/>
            <w:tcBorders>
              <w:bottom w:val="single" w:sz="8" w:color="5591C7"/>
            </w:tcBorders>
            <w:shd w:val="clear" w:color="auto" w:fill="5591C7"/>
          </w:tcPr>
          <w:p>
            <w:pPr>
              <w:spacing w:after="0"/>
              <w:rPr>
                <w:sz w:val="15"/>
                <w:szCs w:val="15"/>
                <w:color w:val="auto"/>
              </w:rPr>
            </w:pPr>
          </w:p>
        </w:tc>
        <w:tc>
          <w:tcPr>
            <w:tcW w:w="60" w:type="dxa"/>
            <w:vAlign w:val="bottom"/>
            <w:tcBorders>
              <w:bottom w:val="single" w:sz="8" w:color="5591C7"/>
            </w:tcBorders>
            <w:shd w:val="clear" w:color="auto" w:fill="5591C7"/>
          </w:tcPr>
          <w:p>
            <w:pPr>
              <w:spacing w:after="0"/>
              <w:rPr>
                <w:sz w:val="15"/>
                <w:szCs w:val="15"/>
                <w:color w:val="auto"/>
              </w:rPr>
            </w:pPr>
          </w:p>
        </w:tc>
        <w:tc>
          <w:tcPr>
            <w:tcW w:w="60" w:type="dxa"/>
            <w:vAlign w:val="bottom"/>
            <w:tcBorders>
              <w:bottom w:val="single" w:sz="8" w:color="5591C7"/>
            </w:tcBorders>
            <w:shd w:val="clear" w:color="auto" w:fill="5591C7"/>
          </w:tcPr>
          <w:p>
            <w:pPr>
              <w:spacing w:after="0"/>
              <w:rPr>
                <w:sz w:val="15"/>
                <w:szCs w:val="15"/>
                <w:color w:val="auto"/>
              </w:rPr>
            </w:pPr>
          </w:p>
        </w:tc>
        <w:tc>
          <w:tcPr>
            <w:tcW w:w="1200" w:type="dxa"/>
            <w:vAlign w:val="bottom"/>
            <w:tcBorders>
              <w:bottom w:val="single" w:sz="8" w:color="auto"/>
            </w:tcBorders>
            <w:shd w:val="clear" w:color="auto" w:fill="5591C7"/>
          </w:tcPr>
          <w:p>
            <w:pPr>
              <w:spacing w:after="0"/>
              <w:rPr>
                <w:sz w:val="15"/>
                <w:szCs w:val="15"/>
                <w:color w:val="auto"/>
              </w:rPr>
            </w:pPr>
          </w:p>
        </w:tc>
        <w:tc>
          <w:tcPr>
            <w:tcW w:w="60" w:type="dxa"/>
            <w:vAlign w:val="bottom"/>
            <w:tcBorders>
              <w:bottom w:val="single" w:sz="8" w:color="auto"/>
            </w:tcBorders>
            <w:shd w:val="clear" w:color="auto" w:fill="5591C7"/>
          </w:tcPr>
          <w:p>
            <w:pPr>
              <w:spacing w:after="0"/>
              <w:rPr>
                <w:sz w:val="15"/>
                <w:szCs w:val="15"/>
                <w:color w:val="auto"/>
              </w:rPr>
            </w:pPr>
          </w:p>
        </w:tc>
        <w:tc>
          <w:tcPr>
            <w:tcW w:w="60" w:type="dxa"/>
            <w:vAlign w:val="bottom"/>
            <w:tcBorders>
              <w:bottom w:val="single" w:sz="8" w:color="auto"/>
            </w:tcBorders>
            <w:shd w:val="clear" w:color="auto" w:fill="5591C7"/>
          </w:tcPr>
          <w:p>
            <w:pPr>
              <w:spacing w:after="0"/>
              <w:rPr>
                <w:sz w:val="15"/>
                <w:szCs w:val="15"/>
                <w:color w:val="auto"/>
              </w:rPr>
            </w:pPr>
          </w:p>
        </w:tc>
        <w:tc>
          <w:tcPr>
            <w:tcW w:w="1600" w:type="dxa"/>
            <w:vAlign w:val="bottom"/>
            <w:tcBorders>
              <w:bottom w:val="single" w:sz="8" w:color="auto"/>
            </w:tcBorders>
            <w:gridSpan w:val="2"/>
            <w:shd w:val="clear" w:color="auto" w:fill="5591C7"/>
          </w:tcPr>
          <w:p>
            <w:pPr>
              <w:ind w:left="540"/>
              <w:spacing w:after="0"/>
              <w:rPr>
                <w:sz w:val="20"/>
                <w:szCs w:val="20"/>
                <w:color w:val="auto"/>
              </w:rPr>
            </w:pPr>
            <w:r>
              <w:rPr>
                <w:rFonts w:ascii="Arial" w:cs="Arial" w:eastAsia="Arial" w:hAnsi="Arial"/>
                <w:sz w:val="14"/>
                <w:szCs w:val="14"/>
                <w:b w:val="1"/>
                <w:bCs w:val="1"/>
                <w:color w:val="auto"/>
              </w:rPr>
              <w:t>Option Awards</w:t>
            </w:r>
          </w:p>
        </w:tc>
        <w:tc>
          <w:tcPr>
            <w:tcW w:w="800" w:type="dxa"/>
            <w:vAlign w:val="bottom"/>
            <w:tcBorders>
              <w:bottom w:val="single" w:sz="8" w:color="auto"/>
            </w:tcBorders>
            <w:shd w:val="clear" w:color="auto" w:fill="5591C7"/>
          </w:tcPr>
          <w:p>
            <w:pPr>
              <w:spacing w:after="0"/>
              <w:rPr>
                <w:sz w:val="15"/>
                <w:szCs w:val="15"/>
                <w:color w:val="auto"/>
              </w:rPr>
            </w:pPr>
          </w:p>
        </w:tc>
        <w:tc>
          <w:tcPr>
            <w:tcW w:w="60" w:type="dxa"/>
            <w:vAlign w:val="bottom"/>
            <w:tcBorders>
              <w:bottom w:val="single" w:sz="8" w:color="auto"/>
            </w:tcBorders>
            <w:shd w:val="clear" w:color="auto" w:fill="5591C7"/>
          </w:tcPr>
          <w:p>
            <w:pPr>
              <w:spacing w:after="0"/>
              <w:rPr>
                <w:sz w:val="15"/>
                <w:szCs w:val="15"/>
                <w:color w:val="auto"/>
              </w:rPr>
            </w:pPr>
          </w:p>
        </w:tc>
        <w:tc>
          <w:tcPr>
            <w:tcW w:w="40" w:type="dxa"/>
            <w:vAlign w:val="bottom"/>
            <w:tcBorders>
              <w:bottom w:val="single" w:sz="8" w:color="auto"/>
            </w:tcBorders>
            <w:shd w:val="clear" w:color="auto" w:fill="5591C7"/>
          </w:tcPr>
          <w:p>
            <w:pPr>
              <w:spacing w:after="0"/>
              <w:rPr>
                <w:sz w:val="15"/>
                <w:szCs w:val="15"/>
                <w:color w:val="auto"/>
              </w:rPr>
            </w:pPr>
          </w:p>
        </w:tc>
        <w:tc>
          <w:tcPr>
            <w:tcW w:w="980" w:type="dxa"/>
            <w:vAlign w:val="bottom"/>
            <w:tcBorders>
              <w:bottom w:val="single" w:sz="8" w:color="auto"/>
            </w:tcBorders>
            <w:shd w:val="clear" w:color="auto" w:fill="5591C7"/>
          </w:tcPr>
          <w:p>
            <w:pPr>
              <w:spacing w:after="0"/>
              <w:rPr>
                <w:sz w:val="15"/>
                <w:szCs w:val="15"/>
                <w:color w:val="auto"/>
              </w:rPr>
            </w:pPr>
          </w:p>
        </w:tc>
        <w:tc>
          <w:tcPr>
            <w:tcW w:w="60" w:type="dxa"/>
            <w:vAlign w:val="bottom"/>
            <w:tcBorders>
              <w:bottom w:val="single" w:sz="8" w:color="5591C7"/>
            </w:tcBorders>
            <w:shd w:val="clear" w:color="auto" w:fill="5591C7"/>
          </w:tcPr>
          <w:p>
            <w:pPr>
              <w:spacing w:after="0"/>
              <w:rPr>
                <w:sz w:val="15"/>
                <w:szCs w:val="15"/>
                <w:color w:val="auto"/>
              </w:rPr>
            </w:pPr>
          </w:p>
        </w:tc>
        <w:tc>
          <w:tcPr>
            <w:tcW w:w="40" w:type="dxa"/>
            <w:vAlign w:val="bottom"/>
            <w:tcBorders>
              <w:bottom w:val="single" w:sz="8" w:color="5591C7"/>
            </w:tcBorders>
            <w:shd w:val="clear" w:color="auto" w:fill="5591C7"/>
          </w:tcPr>
          <w:p>
            <w:pPr>
              <w:spacing w:after="0"/>
              <w:rPr>
                <w:sz w:val="15"/>
                <w:szCs w:val="15"/>
                <w:color w:val="auto"/>
              </w:rPr>
            </w:pPr>
          </w:p>
        </w:tc>
        <w:tc>
          <w:tcPr>
            <w:tcW w:w="60" w:type="dxa"/>
            <w:vAlign w:val="bottom"/>
            <w:tcBorders>
              <w:bottom w:val="single" w:sz="8" w:color="5591C7"/>
            </w:tcBorders>
            <w:shd w:val="clear" w:color="auto" w:fill="5591C7"/>
          </w:tcPr>
          <w:p>
            <w:pPr>
              <w:spacing w:after="0"/>
              <w:rPr>
                <w:sz w:val="15"/>
                <w:szCs w:val="15"/>
                <w:color w:val="auto"/>
              </w:rPr>
            </w:pPr>
          </w:p>
        </w:tc>
        <w:tc>
          <w:tcPr>
            <w:tcW w:w="60" w:type="dxa"/>
            <w:vAlign w:val="bottom"/>
            <w:tcBorders>
              <w:bottom w:val="single" w:sz="8" w:color="5591C7"/>
            </w:tcBorders>
            <w:shd w:val="clear" w:color="auto" w:fill="5591C7"/>
          </w:tcPr>
          <w:p>
            <w:pPr>
              <w:spacing w:after="0"/>
              <w:rPr>
                <w:sz w:val="15"/>
                <w:szCs w:val="15"/>
                <w:color w:val="auto"/>
              </w:rPr>
            </w:pPr>
          </w:p>
        </w:tc>
        <w:tc>
          <w:tcPr>
            <w:tcW w:w="640" w:type="dxa"/>
            <w:vAlign w:val="bottom"/>
            <w:tcBorders>
              <w:bottom w:val="single" w:sz="8" w:color="auto"/>
            </w:tcBorders>
            <w:shd w:val="clear" w:color="auto" w:fill="5591C7"/>
          </w:tcPr>
          <w:p>
            <w:pPr>
              <w:spacing w:after="0"/>
              <w:rPr>
                <w:sz w:val="15"/>
                <w:szCs w:val="15"/>
                <w:color w:val="auto"/>
              </w:rPr>
            </w:pPr>
          </w:p>
        </w:tc>
        <w:tc>
          <w:tcPr>
            <w:tcW w:w="40" w:type="dxa"/>
            <w:vAlign w:val="bottom"/>
            <w:tcBorders>
              <w:bottom w:val="single" w:sz="8" w:color="auto"/>
            </w:tcBorders>
            <w:shd w:val="clear" w:color="auto" w:fill="5591C7"/>
          </w:tcPr>
          <w:p>
            <w:pPr>
              <w:spacing w:after="0"/>
              <w:rPr>
                <w:sz w:val="15"/>
                <w:szCs w:val="15"/>
                <w:color w:val="auto"/>
              </w:rPr>
            </w:pPr>
          </w:p>
        </w:tc>
        <w:tc>
          <w:tcPr>
            <w:tcW w:w="60" w:type="dxa"/>
            <w:vAlign w:val="bottom"/>
            <w:tcBorders>
              <w:bottom w:val="single" w:sz="8" w:color="auto"/>
            </w:tcBorders>
            <w:shd w:val="clear" w:color="auto" w:fill="5591C7"/>
          </w:tcPr>
          <w:p>
            <w:pPr>
              <w:spacing w:after="0"/>
              <w:rPr>
                <w:sz w:val="15"/>
                <w:szCs w:val="15"/>
                <w:color w:val="auto"/>
              </w:rPr>
            </w:pPr>
          </w:p>
        </w:tc>
        <w:tc>
          <w:tcPr>
            <w:tcW w:w="2100" w:type="dxa"/>
            <w:vAlign w:val="bottom"/>
            <w:tcBorders>
              <w:bottom w:val="single" w:sz="8" w:color="auto"/>
            </w:tcBorders>
            <w:gridSpan w:val="5"/>
            <w:shd w:val="clear" w:color="auto" w:fill="5591C7"/>
          </w:tcPr>
          <w:p>
            <w:pPr>
              <w:ind w:left="700"/>
              <w:spacing w:after="0"/>
              <w:rPr>
                <w:sz w:val="20"/>
                <w:szCs w:val="20"/>
                <w:color w:val="auto"/>
              </w:rPr>
            </w:pPr>
            <w:r>
              <w:rPr>
                <w:rFonts w:ascii="Arial" w:cs="Arial" w:eastAsia="Arial" w:hAnsi="Arial"/>
                <w:sz w:val="14"/>
                <w:szCs w:val="14"/>
                <w:b w:val="1"/>
                <w:bCs w:val="1"/>
                <w:color w:val="auto"/>
              </w:rPr>
              <w:t>Stock Awards</w:t>
            </w:r>
          </w:p>
        </w:tc>
        <w:tc>
          <w:tcPr>
            <w:tcW w:w="120" w:type="dxa"/>
            <w:vAlign w:val="bottom"/>
            <w:tcBorders>
              <w:bottom w:val="single" w:sz="8" w:color="auto"/>
            </w:tcBorders>
            <w:shd w:val="clear" w:color="auto" w:fill="5591C7"/>
          </w:tcPr>
          <w:p>
            <w:pPr>
              <w:spacing w:after="0"/>
              <w:rPr>
                <w:sz w:val="15"/>
                <w:szCs w:val="15"/>
                <w:color w:val="auto"/>
              </w:rPr>
            </w:pPr>
          </w:p>
        </w:tc>
        <w:tc>
          <w:tcPr>
            <w:tcW w:w="920" w:type="dxa"/>
            <w:vAlign w:val="bottom"/>
            <w:tcBorders>
              <w:bottom w:val="single" w:sz="8" w:color="auto"/>
            </w:tcBorders>
            <w:shd w:val="clear" w:color="auto" w:fill="5591C7"/>
          </w:tcPr>
          <w:p>
            <w:pPr>
              <w:spacing w:after="0"/>
              <w:rPr>
                <w:sz w:val="15"/>
                <w:szCs w:val="15"/>
                <w:color w:val="auto"/>
              </w:rPr>
            </w:pPr>
          </w:p>
        </w:tc>
        <w:tc>
          <w:tcPr>
            <w:tcW w:w="100" w:type="dxa"/>
            <w:vAlign w:val="bottom"/>
            <w:tcBorders>
              <w:bottom w:val="single" w:sz="8" w:color="5591C7"/>
            </w:tcBorders>
            <w:shd w:val="clear" w:color="auto" w:fill="5591C7"/>
          </w:tcPr>
          <w:p>
            <w:pPr>
              <w:spacing w:after="0"/>
              <w:rPr>
                <w:sz w:val="15"/>
                <w:szCs w:val="15"/>
                <w:color w:val="auto"/>
              </w:rPr>
            </w:pPr>
          </w:p>
        </w:tc>
      </w:tr>
      <w:tr>
        <w:trPr>
          <w:trHeight w:val="169"/>
        </w:trPr>
        <w:tc>
          <w:tcPr>
            <w:tcW w:w="23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2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5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8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98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4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02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92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2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Equity</w:t>
            </w:r>
          </w:p>
        </w:tc>
      </w:tr>
      <w:tr>
        <w:trPr>
          <w:trHeight w:val="162"/>
        </w:trPr>
        <w:tc>
          <w:tcPr>
            <w:tcW w:w="23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2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5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8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98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4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02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92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2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Incentive</w:t>
            </w:r>
          </w:p>
        </w:tc>
      </w:tr>
      <w:tr>
        <w:trPr>
          <w:trHeight w:val="162"/>
        </w:trPr>
        <w:tc>
          <w:tcPr>
            <w:tcW w:w="23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2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5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8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98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4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02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92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2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Plan</w:t>
            </w:r>
          </w:p>
        </w:tc>
      </w:tr>
      <w:tr>
        <w:trPr>
          <w:trHeight w:val="162"/>
        </w:trPr>
        <w:tc>
          <w:tcPr>
            <w:tcW w:w="23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2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5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8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98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4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02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960" w:type="dxa"/>
            <w:vAlign w:val="bottom"/>
            <w:gridSpan w:val="2"/>
            <w:shd w:val="clear" w:color="auto" w:fill="5591C7"/>
          </w:tcPr>
          <w:p>
            <w:pPr>
              <w:jc w:val="center"/>
              <w:ind w:right="40"/>
              <w:spacing w:after="0"/>
              <w:rPr>
                <w:sz w:val="20"/>
                <w:szCs w:val="20"/>
                <w:color w:val="auto"/>
              </w:rPr>
            </w:pPr>
            <w:r>
              <w:rPr>
                <w:rFonts w:ascii="Arial" w:cs="Arial" w:eastAsia="Arial" w:hAnsi="Arial"/>
                <w:sz w:val="14"/>
                <w:szCs w:val="14"/>
                <w:b w:val="1"/>
                <w:bCs w:val="1"/>
                <w:color w:val="auto"/>
              </w:rPr>
              <w:t>Equity</w:t>
            </w:r>
          </w:p>
        </w:tc>
        <w:tc>
          <w:tcPr>
            <w:tcW w:w="120" w:type="dxa"/>
            <w:vAlign w:val="bottom"/>
            <w:shd w:val="clear" w:color="auto" w:fill="5591C7"/>
          </w:tcPr>
          <w:p>
            <w:pPr>
              <w:spacing w:after="0"/>
              <w:rPr>
                <w:sz w:val="14"/>
                <w:szCs w:val="14"/>
                <w:color w:val="auto"/>
              </w:rPr>
            </w:pPr>
          </w:p>
        </w:tc>
        <w:tc>
          <w:tcPr>
            <w:tcW w:w="102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Awards:</w:t>
            </w:r>
          </w:p>
        </w:tc>
      </w:tr>
      <w:tr>
        <w:trPr>
          <w:trHeight w:val="162"/>
        </w:trPr>
        <w:tc>
          <w:tcPr>
            <w:tcW w:w="23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2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5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8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98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4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02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96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Incentive</w:t>
            </w:r>
          </w:p>
        </w:tc>
        <w:tc>
          <w:tcPr>
            <w:tcW w:w="120" w:type="dxa"/>
            <w:vAlign w:val="bottom"/>
            <w:shd w:val="clear" w:color="auto" w:fill="5591C7"/>
          </w:tcPr>
          <w:p>
            <w:pPr>
              <w:spacing w:after="0"/>
              <w:rPr>
                <w:sz w:val="14"/>
                <w:szCs w:val="14"/>
                <w:color w:val="auto"/>
              </w:rPr>
            </w:pPr>
          </w:p>
        </w:tc>
        <w:tc>
          <w:tcPr>
            <w:tcW w:w="102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Market or</w:t>
            </w:r>
          </w:p>
        </w:tc>
      </w:tr>
      <w:tr>
        <w:trPr>
          <w:trHeight w:val="162"/>
        </w:trPr>
        <w:tc>
          <w:tcPr>
            <w:tcW w:w="23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2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5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8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98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4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02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96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Plan</w:t>
            </w:r>
          </w:p>
        </w:tc>
        <w:tc>
          <w:tcPr>
            <w:tcW w:w="120" w:type="dxa"/>
            <w:vAlign w:val="bottom"/>
            <w:shd w:val="clear" w:color="auto" w:fill="5591C7"/>
          </w:tcPr>
          <w:p>
            <w:pPr>
              <w:spacing w:after="0"/>
              <w:rPr>
                <w:sz w:val="14"/>
                <w:szCs w:val="14"/>
                <w:color w:val="auto"/>
              </w:rPr>
            </w:pPr>
          </w:p>
        </w:tc>
        <w:tc>
          <w:tcPr>
            <w:tcW w:w="102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Payout</w:t>
            </w:r>
          </w:p>
        </w:tc>
      </w:tr>
      <w:tr>
        <w:trPr>
          <w:trHeight w:val="162"/>
        </w:trPr>
        <w:tc>
          <w:tcPr>
            <w:tcW w:w="23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2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5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8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98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4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02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96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Awards:</w:t>
            </w:r>
          </w:p>
        </w:tc>
        <w:tc>
          <w:tcPr>
            <w:tcW w:w="120" w:type="dxa"/>
            <w:vAlign w:val="bottom"/>
            <w:shd w:val="clear" w:color="auto" w:fill="5591C7"/>
          </w:tcPr>
          <w:p>
            <w:pPr>
              <w:spacing w:after="0"/>
              <w:rPr>
                <w:sz w:val="14"/>
                <w:szCs w:val="14"/>
                <w:color w:val="auto"/>
              </w:rPr>
            </w:pPr>
          </w:p>
        </w:tc>
        <w:tc>
          <w:tcPr>
            <w:tcW w:w="102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w w:val="99"/>
              </w:rPr>
              <w:t>Value of</w:t>
            </w:r>
          </w:p>
        </w:tc>
      </w:tr>
      <w:tr>
        <w:trPr>
          <w:trHeight w:val="162"/>
        </w:trPr>
        <w:tc>
          <w:tcPr>
            <w:tcW w:w="23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2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5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8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98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4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02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960" w:type="dxa"/>
            <w:vAlign w:val="bottom"/>
            <w:gridSpan w:val="2"/>
            <w:shd w:val="clear" w:color="auto" w:fill="5591C7"/>
          </w:tcPr>
          <w:p>
            <w:pPr>
              <w:jc w:val="center"/>
              <w:ind w:right="40"/>
              <w:spacing w:after="0"/>
              <w:rPr>
                <w:sz w:val="20"/>
                <w:szCs w:val="20"/>
                <w:color w:val="auto"/>
              </w:rPr>
            </w:pPr>
            <w:r>
              <w:rPr>
                <w:rFonts w:ascii="Arial" w:cs="Arial" w:eastAsia="Arial" w:hAnsi="Arial"/>
                <w:sz w:val="14"/>
                <w:szCs w:val="14"/>
                <w:b w:val="1"/>
                <w:bCs w:val="1"/>
                <w:color w:val="auto"/>
              </w:rPr>
              <w:t>Number of</w:t>
            </w:r>
          </w:p>
        </w:tc>
        <w:tc>
          <w:tcPr>
            <w:tcW w:w="120" w:type="dxa"/>
            <w:vAlign w:val="bottom"/>
            <w:shd w:val="clear" w:color="auto" w:fill="5591C7"/>
          </w:tcPr>
          <w:p>
            <w:pPr>
              <w:spacing w:after="0"/>
              <w:rPr>
                <w:sz w:val="14"/>
                <w:szCs w:val="14"/>
                <w:color w:val="auto"/>
              </w:rPr>
            </w:pPr>
          </w:p>
        </w:tc>
        <w:tc>
          <w:tcPr>
            <w:tcW w:w="102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Unearned</w:t>
            </w:r>
          </w:p>
        </w:tc>
      </w:tr>
      <w:tr>
        <w:trPr>
          <w:trHeight w:val="162"/>
        </w:trPr>
        <w:tc>
          <w:tcPr>
            <w:tcW w:w="23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2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5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8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98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8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Number</w:t>
            </w:r>
          </w:p>
        </w:tc>
        <w:tc>
          <w:tcPr>
            <w:tcW w:w="60" w:type="dxa"/>
            <w:vAlign w:val="bottom"/>
            <w:shd w:val="clear" w:color="auto" w:fill="5591C7"/>
          </w:tcPr>
          <w:p>
            <w:pPr>
              <w:spacing w:after="0"/>
              <w:rPr>
                <w:sz w:val="14"/>
                <w:szCs w:val="14"/>
                <w:color w:val="auto"/>
              </w:rPr>
            </w:pPr>
          </w:p>
        </w:tc>
        <w:tc>
          <w:tcPr>
            <w:tcW w:w="108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Market</w:t>
            </w:r>
          </w:p>
        </w:tc>
        <w:tc>
          <w:tcPr>
            <w:tcW w:w="60" w:type="dxa"/>
            <w:vAlign w:val="bottom"/>
            <w:shd w:val="clear" w:color="auto" w:fill="5591C7"/>
          </w:tcPr>
          <w:p>
            <w:pPr>
              <w:spacing w:after="0"/>
              <w:rPr>
                <w:sz w:val="14"/>
                <w:szCs w:val="14"/>
                <w:color w:val="auto"/>
              </w:rPr>
            </w:pPr>
          </w:p>
        </w:tc>
        <w:tc>
          <w:tcPr>
            <w:tcW w:w="96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Unearned</w:t>
            </w:r>
          </w:p>
        </w:tc>
        <w:tc>
          <w:tcPr>
            <w:tcW w:w="120" w:type="dxa"/>
            <w:vAlign w:val="bottom"/>
            <w:shd w:val="clear" w:color="auto" w:fill="5591C7"/>
          </w:tcPr>
          <w:p>
            <w:pPr>
              <w:spacing w:after="0"/>
              <w:rPr>
                <w:sz w:val="14"/>
                <w:szCs w:val="14"/>
                <w:color w:val="auto"/>
              </w:rPr>
            </w:pPr>
          </w:p>
        </w:tc>
        <w:tc>
          <w:tcPr>
            <w:tcW w:w="102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Shares,</w:t>
            </w:r>
          </w:p>
        </w:tc>
      </w:tr>
      <w:tr>
        <w:trPr>
          <w:trHeight w:val="162"/>
        </w:trPr>
        <w:tc>
          <w:tcPr>
            <w:tcW w:w="23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2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5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8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98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740" w:type="dxa"/>
            <w:vAlign w:val="bottom"/>
            <w:gridSpan w:val="3"/>
            <w:shd w:val="clear" w:color="auto" w:fill="5591C7"/>
          </w:tcPr>
          <w:p>
            <w:pPr>
              <w:jc w:val="center"/>
              <w:ind w:right="40"/>
              <w:spacing w:after="0"/>
              <w:rPr>
                <w:sz w:val="20"/>
                <w:szCs w:val="20"/>
                <w:color w:val="auto"/>
              </w:rPr>
            </w:pPr>
            <w:r>
              <w:rPr>
                <w:rFonts w:ascii="Arial" w:cs="Arial" w:eastAsia="Arial" w:hAnsi="Arial"/>
                <w:sz w:val="14"/>
                <w:szCs w:val="14"/>
                <w:b w:val="1"/>
                <w:bCs w:val="1"/>
                <w:color w:val="auto"/>
              </w:rPr>
              <w:t>of Shares</w:t>
            </w:r>
          </w:p>
        </w:tc>
        <w:tc>
          <w:tcPr>
            <w:tcW w:w="60" w:type="dxa"/>
            <w:vAlign w:val="bottom"/>
            <w:shd w:val="clear" w:color="auto" w:fill="5591C7"/>
          </w:tcPr>
          <w:p>
            <w:pPr>
              <w:spacing w:after="0"/>
              <w:rPr>
                <w:sz w:val="14"/>
                <w:szCs w:val="14"/>
                <w:color w:val="auto"/>
              </w:rPr>
            </w:pPr>
          </w:p>
        </w:tc>
        <w:tc>
          <w:tcPr>
            <w:tcW w:w="108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w w:val="99"/>
              </w:rPr>
              <w:t>Value of</w:t>
            </w:r>
          </w:p>
        </w:tc>
        <w:tc>
          <w:tcPr>
            <w:tcW w:w="60" w:type="dxa"/>
            <w:vAlign w:val="bottom"/>
            <w:shd w:val="clear" w:color="auto" w:fill="5591C7"/>
          </w:tcPr>
          <w:p>
            <w:pPr>
              <w:spacing w:after="0"/>
              <w:rPr>
                <w:sz w:val="14"/>
                <w:szCs w:val="14"/>
                <w:color w:val="auto"/>
              </w:rPr>
            </w:pPr>
          </w:p>
        </w:tc>
        <w:tc>
          <w:tcPr>
            <w:tcW w:w="960" w:type="dxa"/>
            <w:vAlign w:val="bottom"/>
            <w:gridSpan w:val="2"/>
            <w:shd w:val="clear" w:color="auto" w:fill="5591C7"/>
          </w:tcPr>
          <w:p>
            <w:pPr>
              <w:jc w:val="center"/>
              <w:ind w:right="40"/>
              <w:spacing w:after="0"/>
              <w:rPr>
                <w:sz w:val="20"/>
                <w:szCs w:val="20"/>
                <w:color w:val="auto"/>
              </w:rPr>
            </w:pPr>
            <w:r>
              <w:rPr>
                <w:rFonts w:ascii="Arial" w:cs="Arial" w:eastAsia="Arial" w:hAnsi="Arial"/>
                <w:sz w:val="14"/>
                <w:szCs w:val="14"/>
                <w:b w:val="1"/>
                <w:bCs w:val="1"/>
                <w:color w:val="auto"/>
              </w:rPr>
              <w:t>Shares,</w:t>
            </w:r>
          </w:p>
        </w:tc>
        <w:tc>
          <w:tcPr>
            <w:tcW w:w="120" w:type="dxa"/>
            <w:vAlign w:val="bottom"/>
            <w:shd w:val="clear" w:color="auto" w:fill="5591C7"/>
          </w:tcPr>
          <w:p>
            <w:pPr>
              <w:spacing w:after="0"/>
              <w:rPr>
                <w:sz w:val="14"/>
                <w:szCs w:val="14"/>
                <w:color w:val="auto"/>
              </w:rPr>
            </w:pPr>
          </w:p>
        </w:tc>
        <w:tc>
          <w:tcPr>
            <w:tcW w:w="102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Units or</w:t>
            </w:r>
          </w:p>
        </w:tc>
      </w:tr>
      <w:tr>
        <w:trPr>
          <w:trHeight w:val="162"/>
        </w:trPr>
        <w:tc>
          <w:tcPr>
            <w:tcW w:w="23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2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Number of</w:t>
            </w:r>
          </w:p>
        </w:tc>
        <w:tc>
          <w:tcPr>
            <w:tcW w:w="60" w:type="dxa"/>
            <w:vAlign w:val="bottom"/>
            <w:shd w:val="clear" w:color="auto" w:fill="5591C7"/>
          </w:tcPr>
          <w:p>
            <w:pPr>
              <w:spacing w:after="0"/>
              <w:rPr>
                <w:sz w:val="14"/>
                <w:szCs w:val="14"/>
                <w:color w:val="auto"/>
              </w:rPr>
            </w:pPr>
          </w:p>
        </w:tc>
        <w:tc>
          <w:tcPr>
            <w:tcW w:w="160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Number of</w:t>
            </w:r>
          </w:p>
        </w:tc>
        <w:tc>
          <w:tcPr>
            <w:tcW w:w="8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98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8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or Units</w:t>
            </w:r>
          </w:p>
        </w:tc>
        <w:tc>
          <w:tcPr>
            <w:tcW w:w="60" w:type="dxa"/>
            <w:vAlign w:val="bottom"/>
            <w:shd w:val="clear" w:color="auto" w:fill="5591C7"/>
          </w:tcPr>
          <w:p>
            <w:pPr>
              <w:spacing w:after="0"/>
              <w:rPr>
                <w:sz w:val="14"/>
                <w:szCs w:val="14"/>
                <w:color w:val="auto"/>
              </w:rPr>
            </w:pPr>
          </w:p>
        </w:tc>
        <w:tc>
          <w:tcPr>
            <w:tcW w:w="108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Shares or</w:t>
            </w:r>
          </w:p>
        </w:tc>
        <w:tc>
          <w:tcPr>
            <w:tcW w:w="60" w:type="dxa"/>
            <w:vAlign w:val="bottom"/>
            <w:shd w:val="clear" w:color="auto" w:fill="5591C7"/>
          </w:tcPr>
          <w:p>
            <w:pPr>
              <w:spacing w:after="0"/>
              <w:rPr>
                <w:sz w:val="14"/>
                <w:szCs w:val="14"/>
                <w:color w:val="auto"/>
              </w:rPr>
            </w:pPr>
          </w:p>
        </w:tc>
        <w:tc>
          <w:tcPr>
            <w:tcW w:w="96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Units or</w:t>
            </w:r>
          </w:p>
        </w:tc>
        <w:tc>
          <w:tcPr>
            <w:tcW w:w="120" w:type="dxa"/>
            <w:vAlign w:val="bottom"/>
            <w:shd w:val="clear" w:color="auto" w:fill="5591C7"/>
          </w:tcPr>
          <w:p>
            <w:pPr>
              <w:spacing w:after="0"/>
              <w:rPr>
                <w:sz w:val="14"/>
                <w:szCs w:val="14"/>
                <w:color w:val="auto"/>
              </w:rPr>
            </w:pPr>
          </w:p>
        </w:tc>
        <w:tc>
          <w:tcPr>
            <w:tcW w:w="102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Other</w:t>
            </w:r>
          </w:p>
        </w:tc>
      </w:tr>
      <w:tr>
        <w:trPr>
          <w:trHeight w:val="162"/>
        </w:trPr>
        <w:tc>
          <w:tcPr>
            <w:tcW w:w="23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26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Securities</w:t>
            </w:r>
          </w:p>
        </w:tc>
        <w:tc>
          <w:tcPr>
            <w:tcW w:w="60" w:type="dxa"/>
            <w:vAlign w:val="bottom"/>
            <w:shd w:val="clear" w:color="auto" w:fill="5591C7"/>
          </w:tcPr>
          <w:p>
            <w:pPr>
              <w:spacing w:after="0"/>
              <w:rPr>
                <w:sz w:val="14"/>
                <w:szCs w:val="14"/>
                <w:color w:val="auto"/>
              </w:rPr>
            </w:pPr>
          </w:p>
        </w:tc>
        <w:tc>
          <w:tcPr>
            <w:tcW w:w="160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Securities</w:t>
            </w:r>
          </w:p>
        </w:tc>
        <w:tc>
          <w:tcPr>
            <w:tcW w:w="8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98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8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of Stock</w:t>
            </w:r>
          </w:p>
        </w:tc>
        <w:tc>
          <w:tcPr>
            <w:tcW w:w="60" w:type="dxa"/>
            <w:vAlign w:val="bottom"/>
            <w:shd w:val="clear" w:color="auto" w:fill="5591C7"/>
          </w:tcPr>
          <w:p>
            <w:pPr>
              <w:spacing w:after="0"/>
              <w:rPr>
                <w:sz w:val="14"/>
                <w:szCs w:val="14"/>
                <w:color w:val="auto"/>
              </w:rPr>
            </w:pPr>
          </w:p>
        </w:tc>
        <w:tc>
          <w:tcPr>
            <w:tcW w:w="108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Units of</w:t>
            </w:r>
          </w:p>
        </w:tc>
        <w:tc>
          <w:tcPr>
            <w:tcW w:w="60" w:type="dxa"/>
            <w:vAlign w:val="bottom"/>
            <w:shd w:val="clear" w:color="auto" w:fill="5591C7"/>
          </w:tcPr>
          <w:p>
            <w:pPr>
              <w:spacing w:after="0"/>
              <w:rPr>
                <w:sz w:val="14"/>
                <w:szCs w:val="14"/>
                <w:color w:val="auto"/>
              </w:rPr>
            </w:pPr>
          </w:p>
        </w:tc>
        <w:tc>
          <w:tcPr>
            <w:tcW w:w="96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Other</w:t>
            </w:r>
          </w:p>
        </w:tc>
        <w:tc>
          <w:tcPr>
            <w:tcW w:w="120" w:type="dxa"/>
            <w:vAlign w:val="bottom"/>
            <w:shd w:val="clear" w:color="auto" w:fill="5591C7"/>
          </w:tcPr>
          <w:p>
            <w:pPr>
              <w:spacing w:after="0"/>
              <w:rPr>
                <w:sz w:val="14"/>
                <w:szCs w:val="14"/>
                <w:color w:val="auto"/>
              </w:rPr>
            </w:pPr>
          </w:p>
        </w:tc>
        <w:tc>
          <w:tcPr>
            <w:tcW w:w="102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Rights That</w:t>
            </w:r>
          </w:p>
        </w:tc>
      </w:tr>
      <w:tr>
        <w:trPr>
          <w:trHeight w:val="162"/>
        </w:trPr>
        <w:tc>
          <w:tcPr>
            <w:tcW w:w="23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26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Underlying</w:t>
            </w:r>
          </w:p>
        </w:tc>
        <w:tc>
          <w:tcPr>
            <w:tcW w:w="60" w:type="dxa"/>
            <w:vAlign w:val="bottom"/>
            <w:shd w:val="clear" w:color="auto" w:fill="5591C7"/>
          </w:tcPr>
          <w:p>
            <w:pPr>
              <w:spacing w:after="0"/>
              <w:rPr>
                <w:sz w:val="14"/>
                <w:szCs w:val="14"/>
                <w:color w:val="auto"/>
              </w:rPr>
            </w:pPr>
          </w:p>
        </w:tc>
        <w:tc>
          <w:tcPr>
            <w:tcW w:w="160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Underlying</w:t>
            </w:r>
          </w:p>
        </w:tc>
        <w:tc>
          <w:tcPr>
            <w:tcW w:w="8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98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4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740" w:type="dxa"/>
            <w:vAlign w:val="bottom"/>
            <w:gridSpan w:val="3"/>
            <w:shd w:val="clear" w:color="auto" w:fill="5591C7"/>
          </w:tcPr>
          <w:p>
            <w:pPr>
              <w:jc w:val="center"/>
              <w:ind w:right="40"/>
              <w:spacing w:after="0"/>
              <w:rPr>
                <w:sz w:val="20"/>
                <w:szCs w:val="20"/>
                <w:color w:val="auto"/>
              </w:rPr>
            </w:pPr>
            <w:r>
              <w:rPr>
                <w:rFonts w:ascii="Arial" w:cs="Arial" w:eastAsia="Arial" w:hAnsi="Arial"/>
                <w:sz w:val="14"/>
                <w:szCs w:val="14"/>
                <w:b w:val="1"/>
                <w:bCs w:val="1"/>
                <w:color w:val="auto"/>
              </w:rPr>
              <w:t>That Have</w:t>
            </w:r>
          </w:p>
        </w:tc>
        <w:tc>
          <w:tcPr>
            <w:tcW w:w="60" w:type="dxa"/>
            <w:vAlign w:val="bottom"/>
            <w:shd w:val="clear" w:color="auto" w:fill="5591C7"/>
          </w:tcPr>
          <w:p>
            <w:pPr>
              <w:spacing w:after="0"/>
              <w:rPr>
                <w:sz w:val="14"/>
                <w:szCs w:val="14"/>
                <w:color w:val="auto"/>
              </w:rPr>
            </w:pPr>
          </w:p>
        </w:tc>
        <w:tc>
          <w:tcPr>
            <w:tcW w:w="108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Stock That</w:t>
            </w:r>
          </w:p>
        </w:tc>
        <w:tc>
          <w:tcPr>
            <w:tcW w:w="60" w:type="dxa"/>
            <w:vAlign w:val="bottom"/>
            <w:shd w:val="clear" w:color="auto" w:fill="5591C7"/>
          </w:tcPr>
          <w:p>
            <w:pPr>
              <w:spacing w:after="0"/>
              <w:rPr>
                <w:sz w:val="14"/>
                <w:szCs w:val="14"/>
                <w:color w:val="auto"/>
              </w:rPr>
            </w:pPr>
          </w:p>
        </w:tc>
        <w:tc>
          <w:tcPr>
            <w:tcW w:w="96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Rights That</w:t>
            </w:r>
          </w:p>
        </w:tc>
        <w:tc>
          <w:tcPr>
            <w:tcW w:w="120" w:type="dxa"/>
            <w:vAlign w:val="bottom"/>
            <w:shd w:val="clear" w:color="auto" w:fill="5591C7"/>
          </w:tcPr>
          <w:p>
            <w:pPr>
              <w:spacing w:after="0"/>
              <w:rPr>
                <w:sz w:val="14"/>
                <w:szCs w:val="14"/>
                <w:color w:val="auto"/>
              </w:rPr>
            </w:pPr>
          </w:p>
        </w:tc>
        <w:tc>
          <w:tcPr>
            <w:tcW w:w="102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Have</w:t>
            </w:r>
          </w:p>
        </w:tc>
      </w:tr>
      <w:tr>
        <w:trPr>
          <w:trHeight w:val="175"/>
        </w:trPr>
        <w:tc>
          <w:tcPr>
            <w:tcW w:w="2300" w:type="dxa"/>
            <w:vAlign w:val="bottom"/>
            <w:shd w:val="clear" w:color="auto" w:fill="5591C7"/>
          </w:tcPr>
          <w:p>
            <w:pPr>
              <w:spacing w:after="0"/>
              <w:rPr>
                <w:sz w:val="15"/>
                <w:szCs w:val="15"/>
                <w:color w:val="auto"/>
              </w:rPr>
            </w:pPr>
          </w:p>
        </w:tc>
        <w:tc>
          <w:tcPr>
            <w:tcW w:w="60" w:type="dxa"/>
            <w:vAlign w:val="bottom"/>
            <w:shd w:val="clear" w:color="auto" w:fill="5591C7"/>
          </w:tcPr>
          <w:p>
            <w:pPr>
              <w:spacing w:after="0"/>
              <w:rPr>
                <w:sz w:val="15"/>
                <w:szCs w:val="15"/>
                <w:color w:val="auto"/>
              </w:rPr>
            </w:pPr>
          </w:p>
        </w:tc>
        <w:tc>
          <w:tcPr>
            <w:tcW w:w="60" w:type="dxa"/>
            <w:vAlign w:val="bottom"/>
            <w:shd w:val="clear" w:color="auto" w:fill="5591C7"/>
          </w:tcPr>
          <w:p>
            <w:pPr>
              <w:spacing w:after="0"/>
              <w:rPr>
                <w:sz w:val="15"/>
                <w:szCs w:val="15"/>
                <w:color w:val="auto"/>
              </w:rPr>
            </w:pPr>
          </w:p>
        </w:tc>
        <w:tc>
          <w:tcPr>
            <w:tcW w:w="126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Unexercised</w:t>
            </w:r>
          </w:p>
        </w:tc>
        <w:tc>
          <w:tcPr>
            <w:tcW w:w="60" w:type="dxa"/>
            <w:vAlign w:val="bottom"/>
            <w:shd w:val="clear" w:color="auto" w:fill="5591C7"/>
          </w:tcPr>
          <w:p>
            <w:pPr>
              <w:spacing w:after="0"/>
              <w:rPr>
                <w:sz w:val="15"/>
                <w:szCs w:val="15"/>
                <w:color w:val="auto"/>
              </w:rPr>
            </w:pPr>
          </w:p>
        </w:tc>
        <w:tc>
          <w:tcPr>
            <w:tcW w:w="160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Unexercised</w:t>
            </w:r>
          </w:p>
        </w:tc>
        <w:tc>
          <w:tcPr>
            <w:tcW w:w="86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Option</w:t>
            </w:r>
          </w:p>
        </w:tc>
        <w:tc>
          <w:tcPr>
            <w:tcW w:w="40" w:type="dxa"/>
            <w:vAlign w:val="bottom"/>
            <w:shd w:val="clear" w:color="auto" w:fill="5591C7"/>
          </w:tcPr>
          <w:p>
            <w:pPr>
              <w:spacing w:after="0"/>
              <w:rPr>
                <w:sz w:val="15"/>
                <w:szCs w:val="15"/>
                <w:color w:val="auto"/>
              </w:rPr>
            </w:pPr>
          </w:p>
        </w:tc>
        <w:tc>
          <w:tcPr>
            <w:tcW w:w="1080" w:type="dxa"/>
            <w:vAlign w:val="bottom"/>
            <w:gridSpan w:val="3"/>
            <w:shd w:val="clear" w:color="auto" w:fill="5591C7"/>
          </w:tcPr>
          <w:p>
            <w:pPr>
              <w:jc w:val="center"/>
              <w:ind w:right="40"/>
              <w:spacing w:after="0"/>
              <w:rPr>
                <w:sz w:val="20"/>
                <w:szCs w:val="20"/>
                <w:color w:val="auto"/>
              </w:rPr>
            </w:pPr>
            <w:r>
              <w:rPr>
                <w:rFonts w:ascii="Arial" w:cs="Arial" w:eastAsia="Arial" w:hAnsi="Arial"/>
                <w:sz w:val="14"/>
                <w:szCs w:val="14"/>
                <w:b w:val="1"/>
                <w:bCs w:val="1"/>
                <w:color w:val="auto"/>
              </w:rPr>
              <w:t>Option</w:t>
            </w:r>
          </w:p>
        </w:tc>
        <w:tc>
          <w:tcPr>
            <w:tcW w:w="60" w:type="dxa"/>
            <w:vAlign w:val="bottom"/>
            <w:shd w:val="clear" w:color="auto" w:fill="5591C7"/>
          </w:tcPr>
          <w:p>
            <w:pPr>
              <w:spacing w:after="0"/>
              <w:rPr>
                <w:sz w:val="15"/>
                <w:szCs w:val="15"/>
                <w:color w:val="auto"/>
              </w:rPr>
            </w:pPr>
          </w:p>
        </w:tc>
        <w:tc>
          <w:tcPr>
            <w:tcW w:w="60" w:type="dxa"/>
            <w:vAlign w:val="bottom"/>
            <w:shd w:val="clear" w:color="auto" w:fill="5591C7"/>
          </w:tcPr>
          <w:p>
            <w:pPr>
              <w:spacing w:after="0"/>
              <w:rPr>
                <w:sz w:val="15"/>
                <w:szCs w:val="15"/>
                <w:color w:val="auto"/>
              </w:rPr>
            </w:pPr>
          </w:p>
        </w:tc>
        <w:tc>
          <w:tcPr>
            <w:tcW w:w="68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Not</w:t>
            </w:r>
          </w:p>
        </w:tc>
        <w:tc>
          <w:tcPr>
            <w:tcW w:w="60" w:type="dxa"/>
            <w:vAlign w:val="bottom"/>
            <w:shd w:val="clear" w:color="auto" w:fill="5591C7"/>
          </w:tcPr>
          <w:p>
            <w:pPr>
              <w:spacing w:after="0"/>
              <w:rPr>
                <w:sz w:val="15"/>
                <w:szCs w:val="15"/>
                <w:color w:val="auto"/>
              </w:rPr>
            </w:pPr>
          </w:p>
        </w:tc>
        <w:tc>
          <w:tcPr>
            <w:tcW w:w="108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Have Not</w:t>
            </w:r>
          </w:p>
        </w:tc>
        <w:tc>
          <w:tcPr>
            <w:tcW w:w="60" w:type="dxa"/>
            <w:vAlign w:val="bottom"/>
            <w:shd w:val="clear" w:color="auto" w:fill="5591C7"/>
          </w:tcPr>
          <w:p>
            <w:pPr>
              <w:spacing w:after="0"/>
              <w:rPr>
                <w:sz w:val="15"/>
                <w:szCs w:val="15"/>
                <w:color w:val="auto"/>
              </w:rPr>
            </w:pPr>
          </w:p>
        </w:tc>
        <w:tc>
          <w:tcPr>
            <w:tcW w:w="96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Have Not</w:t>
            </w:r>
          </w:p>
        </w:tc>
        <w:tc>
          <w:tcPr>
            <w:tcW w:w="120" w:type="dxa"/>
            <w:vAlign w:val="bottom"/>
            <w:shd w:val="clear" w:color="auto" w:fill="5591C7"/>
          </w:tcPr>
          <w:p>
            <w:pPr>
              <w:spacing w:after="0"/>
              <w:rPr>
                <w:sz w:val="15"/>
                <w:szCs w:val="15"/>
                <w:color w:val="auto"/>
              </w:rPr>
            </w:pPr>
          </w:p>
        </w:tc>
        <w:tc>
          <w:tcPr>
            <w:tcW w:w="102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Not</w:t>
            </w:r>
          </w:p>
        </w:tc>
      </w:tr>
      <w:tr>
        <w:trPr>
          <w:trHeight w:val="162"/>
        </w:trPr>
        <w:tc>
          <w:tcPr>
            <w:tcW w:w="230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12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Options (#)</w:t>
            </w:r>
          </w:p>
        </w:tc>
        <w:tc>
          <w:tcPr>
            <w:tcW w:w="60" w:type="dxa"/>
            <w:vAlign w:val="bottom"/>
            <w:shd w:val="clear" w:color="auto" w:fill="5591C7"/>
          </w:tcPr>
          <w:p>
            <w:pPr>
              <w:spacing w:after="0"/>
              <w:rPr>
                <w:sz w:val="14"/>
                <w:szCs w:val="14"/>
                <w:color w:val="auto"/>
              </w:rPr>
            </w:pPr>
          </w:p>
        </w:tc>
        <w:tc>
          <w:tcPr>
            <w:tcW w:w="160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Options (#)</w:t>
            </w:r>
          </w:p>
        </w:tc>
        <w:tc>
          <w:tcPr>
            <w:tcW w:w="86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Exercise</w:t>
            </w:r>
          </w:p>
        </w:tc>
        <w:tc>
          <w:tcPr>
            <w:tcW w:w="40" w:type="dxa"/>
            <w:vAlign w:val="bottom"/>
            <w:shd w:val="clear" w:color="auto" w:fill="5591C7"/>
          </w:tcPr>
          <w:p>
            <w:pPr>
              <w:spacing w:after="0"/>
              <w:rPr>
                <w:sz w:val="14"/>
                <w:szCs w:val="14"/>
                <w:color w:val="auto"/>
              </w:rPr>
            </w:pPr>
          </w:p>
        </w:tc>
        <w:tc>
          <w:tcPr>
            <w:tcW w:w="1080" w:type="dxa"/>
            <w:vAlign w:val="bottom"/>
            <w:gridSpan w:val="3"/>
            <w:shd w:val="clear" w:color="auto" w:fill="5591C7"/>
          </w:tcPr>
          <w:p>
            <w:pPr>
              <w:jc w:val="center"/>
              <w:ind w:right="40"/>
              <w:spacing w:after="0"/>
              <w:rPr>
                <w:sz w:val="20"/>
                <w:szCs w:val="20"/>
                <w:color w:val="auto"/>
              </w:rPr>
            </w:pPr>
            <w:r>
              <w:rPr>
                <w:rFonts w:ascii="Arial" w:cs="Arial" w:eastAsia="Arial" w:hAnsi="Arial"/>
                <w:sz w:val="14"/>
                <w:szCs w:val="14"/>
                <w:b w:val="1"/>
                <w:bCs w:val="1"/>
                <w:color w:val="auto"/>
              </w:rPr>
              <w:t>Expiration</w:t>
            </w:r>
          </w:p>
        </w:tc>
        <w:tc>
          <w:tcPr>
            <w:tcW w:w="60" w:type="dxa"/>
            <w:vAlign w:val="bottom"/>
            <w:shd w:val="clear" w:color="auto" w:fill="5591C7"/>
          </w:tcPr>
          <w:p>
            <w:pPr>
              <w:spacing w:after="0"/>
              <w:rPr>
                <w:sz w:val="14"/>
                <w:szCs w:val="14"/>
                <w:color w:val="auto"/>
              </w:rPr>
            </w:pPr>
          </w:p>
        </w:tc>
        <w:tc>
          <w:tcPr>
            <w:tcW w:w="60" w:type="dxa"/>
            <w:vAlign w:val="bottom"/>
            <w:shd w:val="clear" w:color="auto" w:fill="5591C7"/>
          </w:tcPr>
          <w:p>
            <w:pPr>
              <w:spacing w:after="0"/>
              <w:rPr>
                <w:sz w:val="14"/>
                <w:szCs w:val="14"/>
                <w:color w:val="auto"/>
              </w:rPr>
            </w:pPr>
          </w:p>
        </w:tc>
        <w:tc>
          <w:tcPr>
            <w:tcW w:w="68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Vested</w:t>
            </w:r>
          </w:p>
        </w:tc>
        <w:tc>
          <w:tcPr>
            <w:tcW w:w="60" w:type="dxa"/>
            <w:vAlign w:val="bottom"/>
            <w:shd w:val="clear" w:color="auto" w:fill="5591C7"/>
          </w:tcPr>
          <w:p>
            <w:pPr>
              <w:spacing w:after="0"/>
              <w:rPr>
                <w:sz w:val="14"/>
                <w:szCs w:val="14"/>
                <w:color w:val="auto"/>
              </w:rPr>
            </w:pPr>
          </w:p>
        </w:tc>
        <w:tc>
          <w:tcPr>
            <w:tcW w:w="108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Vested</w:t>
            </w:r>
          </w:p>
        </w:tc>
        <w:tc>
          <w:tcPr>
            <w:tcW w:w="60" w:type="dxa"/>
            <w:vAlign w:val="bottom"/>
            <w:shd w:val="clear" w:color="auto" w:fill="5591C7"/>
          </w:tcPr>
          <w:p>
            <w:pPr>
              <w:spacing w:after="0"/>
              <w:rPr>
                <w:sz w:val="14"/>
                <w:szCs w:val="14"/>
                <w:color w:val="auto"/>
              </w:rPr>
            </w:pPr>
          </w:p>
        </w:tc>
        <w:tc>
          <w:tcPr>
            <w:tcW w:w="960" w:type="dxa"/>
            <w:vAlign w:val="bottom"/>
            <w:gridSpan w:val="2"/>
            <w:shd w:val="clear" w:color="auto" w:fill="5591C7"/>
          </w:tcPr>
          <w:p>
            <w:pPr>
              <w:jc w:val="center"/>
              <w:ind w:right="60"/>
              <w:spacing w:after="0"/>
              <w:rPr>
                <w:sz w:val="20"/>
                <w:szCs w:val="20"/>
                <w:color w:val="auto"/>
              </w:rPr>
            </w:pPr>
            <w:r>
              <w:rPr>
                <w:rFonts w:ascii="Arial" w:cs="Arial" w:eastAsia="Arial" w:hAnsi="Arial"/>
                <w:sz w:val="14"/>
                <w:szCs w:val="14"/>
                <w:b w:val="1"/>
                <w:bCs w:val="1"/>
                <w:color w:val="auto"/>
              </w:rPr>
              <w:t>Vested</w:t>
            </w:r>
          </w:p>
        </w:tc>
        <w:tc>
          <w:tcPr>
            <w:tcW w:w="120" w:type="dxa"/>
            <w:vAlign w:val="bottom"/>
            <w:shd w:val="clear" w:color="auto" w:fill="5591C7"/>
          </w:tcPr>
          <w:p>
            <w:pPr>
              <w:spacing w:after="0"/>
              <w:rPr>
                <w:sz w:val="14"/>
                <w:szCs w:val="14"/>
                <w:color w:val="auto"/>
              </w:rPr>
            </w:pPr>
          </w:p>
        </w:tc>
        <w:tc>
          <w:tcPr>
            <w:tcW w:w="102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Vested</w:t>
            </w:r>
          </w:p>
        </w:tc>
      </w:tr>
      <w:tr>
        <w:trPr>
          <w:trHeight w:val="196"/>
        </w:trPr>
        <w:tc>
          <w:tcPr>
            <w:tcW w:w="2300" w:type="dxa"/>
            <w:vAlign w:val="bottom"/>
            <w:tcBorders>
              <w:bottom w:val="single" w:sz="8" w:color="auto"/>
            </w:tcBorders>
            <w:shd w:val="clear" w:color="auto" w:fill="5591C7"/>
          </w:tcPr>
          <w:p>
            <w:pPr>
              <w:ind w:left="940"/>
              <w:spacing w:after="0"/>
              <w:rPr>
                <w:sz w:val="20"/>
                <w:szCs w:val="20"/>
                <w:color w:val="auto"/>
              </w:rPr>
            </w:pPr>
            <w:r>
              <w:rPr>
                <w:rFonts w:ascii="Arial" w:cs="Arial" w:eastAsia="Arial" w:hAnsi="Arial"/>
                <w:sz w:val="14"/>
                <w:szCs w:val="14"/>
                <w:b w:val="1"/>
                <w:bCs w:val="1"/>
                <w:color w:val="auto"/>
              </w:rPr>
              <w:t>Name</w:t>
            </w:r>
          </w:p>
        </w:tc>
        <w:tc>
          <w:tcPr>
            <w:tcW w:w="60" w:type="dxa"/>
            <w:vAlign w:val="bottom"/>
            <w:tcBorders>
              <w:bottom w:val="single" w:sz="8" w:color="5591C7"/>
            </w:tcBorders>
            <w:shd w:val="clear" w:color="auto" w:fill="5591C7"/>
          </w:tcPr>
          <w:p>
            <w:pPr>
              <w:spacing w:after="0"/>
              <w:rPr>
                <w:sz w:val="17"/>
                <w:szCs w:val="17"/>
                <w:color w:val="auto"/>
              </w:rPr>
            </w:pPr>
          </w:p>
        </w:tc>
        <w:tc>
          <w:tcPr>
            <w:tcW w:w="60" w:type="dxa"/>
            <w:vAlign w:val="bottom"/>
            <w:tcBorders>
              <w:bottom w:val="single" w:sz="8" w:color="auto"/>
            </w:tcBorders>
            <w:shd w:val="clear" w:color="auto" w:fill="5591C7"/>
          </w:tcPr>
          <w:p>
            <w:pPr>
              <w:spacing w:after="0"/>
              <w:rPr>
                <w:sz w:val="17"/>
                <w:szCs w:val="17"/>
                <w:color w:val="auto"/>
              </w:rPr>
            </w:pPr>
          </w:p>
        </w:tc>
        <w:tc>
          <w:tcPr>
            <w:tcW w:w="1200" w:type="dxa"/>
            <w:vAlign w:val="bottom"/>
            <w:tcBorders>
              <w:bottom w:val="single" w:sz="8" w:color="auto"/>
            </w:tcBorders>
            <w:shd w:val="clear" w:color="auto" w:fill="5591C7"/>
          </w:tcPr>
          <w:p>
            <w:pPr>
              <w:jc w:val="center"/>
              <w:spacing w:after="0" w:line="189" w:lineRule="exact"/>
              <w:rPr>
                <w:sz w:val="20"/>
                <w:szCs w:val="20"/>
                <w:color w:val="auto"/>
              </w:rPr>
            </w:pPr>
            <w:r>
              <w:rPr>
                <w:rFonts w:ascii="Arial" w:cs="Arial" w:eastAsia="Arial" w:hAnsi="Arial"/>
                <w:sz w:val="13"/>
                <w:szCs w:val="13"/>
                <w:b w:val="1"/>
                <w:bCs w:val="1"/>
                <w:color w:val="auto"/>
              </w:rPr>
              <w:t>Exercisable</w:t>
            </w:r>
            <w:r>
              <w:rPr>
                <w:rFonts w:ascii="Arial" w:cs="Arial" w:eastAsia="Arial" w:hAnsi="Arial"/>
                <w:sz w:val="21"/>
                <w:szCs w:val="21"/>
                <w:b w:val="1"/>
                <w:bCs w:val="1"/>
                <w:color w:val="auto"/>
                <w:vertAlign w:val="superscript"/>
              </w:rPr>
              <w:t>(1)</w:t>
            </w:r>
          </w:p>
        </w:tc>
        <w:tc>
          <w:tcPr>
            <w:tcW w:w="60" w:type="dxa"/>
            <w:vAlign w:val="bottom"/>
            <w:tcBorders>
              <w:bottom w:val="single" w:sz="8" w:color="5591C7"/>
            </w:tcBorders>
            <w:shd w:val="clear" w:color="auto" w:fill="5591C7"/>
          </w:tcPr>
          <w:p>
            <w:pPr>
              <w:spacing w:after="0"/>
              <w:rPr>
                <w:sz w:val="17"/>
                <w:szCs w:val="17"/>
                <w:color w:val="auto"/>
              </w:rPr>
            </w:pPr>
          </w:p>
        </w:tc>
        <w:tc>
          <w:tcPr>
            <w:tcW w:w="60" w:type="dxa"/>
            <w:vAlign w:val="bottom"/>
            <w:tcBorders>
              <w:bottom w:val="single" w:sz="8" w:color="5591C7"/>
            </w:tcBorders>
            <w:shd w:val="clear" w:color="auto" w:fill="5591C7"/>
          </w:tcPr>
          <w:p>
            <w:pPr>
              <w:spacing w:after="0"/>
              <w:rPr>
                <w:sz w:val="17"/>
                <w:szCs w:val="17"/>
                <w:color w:val="auto"/>
              </w:rPr>
            </w:pPr>
          </w:p>
        </w:tc>
        <w:tc>
          <w:tcPr>
            <w:tcW w:w="1500" w:type="dxa"/>
            <w:vAlign w:val="bottom"/>
            <w:tcBorders>
              <w:bottom w:val="single" w:sz="8" w:color="auto"/>
            </w:tcBorders>
            <w:shd w:val="clear" w:color="auto" w:fill="5591C7"/>
          </w:tcPr>
          <w:p>
            <w:pPr>
              <w:jc w:val="center"/>
              <w:spacing w:after="0" w:line="189" w:lineRule="exact"/>
              <w:rPr>
                <w:sz w:val="20"/>
                <w:szCs w:val="20"/>
                <w:color w:val="auto"/>
              </w:rPr>
            </w:pPr>
            <w:r>
              <w:rPr>
                <w:rFonts w:ascii="Arial" w:cs="Arial" w:eastAsia="Arial" w:hAnsi="Arial"/>
                <w:sz w:val="13"/>
                <w:szCs w:val="13"/>
                <w:b w:val="1"/>
                <w:bCs w:val="1"/>
                <w:color w:val="auto"/>
              </w:rPr>
              <w:t>Unexercisable</w:t>
            </w:r>
            <w:r>
              <w:rPr>
                <w:rFonts w:ascii="Arial" w:cs="Arial" w:eastAsia="Arial" w:hAnsi="Arial"/>
                <w:sz w:val="21"/>
                <w:szCs w:val="21"/>
                <w:b w:val="1"/>
                <w:bCs w:val="1"/>
                <w:color w:val="auto"/>
                <w:vertAlign w:val="superscript"/>
              </w:rPr>
              <w:t>(1)</w:t>
            </w:r>
          </w:p>
        </w:tc>
        <w:tc>
          <w:tcPr>
            <w:tcW w:w="100" w:type="dxa"/>
            <w:vAlign w:val="bottom"/>
            <w:tcBorders>
              <w:bottom w:val="single" w:sz="8" w:color="5591C7"/>
            </w:tcBorders>
            <w:shd w:val="clear" w:color="auto" w:fill="5591C7"/>
          </w:tcPr>
          <w:p>
            <w:pPr>
              <w:spacing w:after="0"/>
              <w:rPr>
                <w:sz w:val="17"/>
                <w:szCs w:val="17"/>
                <w:color w:val="auto"/>
              </w:rPr>
            </w:pPr>
          </w:p>
        </w:tc>
        <w:tc>
          <w:tcPr>
            <w:tcW w:w="80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Price ($)</w:t>
            </w:r>
          </w:p>
        </w:tc>
        <w:tc>
          <w:tcPr>
            <w:tcW w:w="60" w:type="dxa"/>
            <w:vAlign w:val="bottom"/>
            <w:tcBorders>
              <w:bottom w:val="single" w:sz="8" w:color="5591C7"/>
            </w:tcBorders>
            <w:shd w:val="clear" w:color="auto" w:fill="5591C7"/>
          </w:tcPr>
          <w:p>
            <w:pPr>
              <w:spacing w:after="0"/>
              <w:rPr>
                <w:sz w:val="17"/>
                <w:szCs w:val="17"/>
                <w:color w:val="auto"/>
              </w:rPr>
            </w:pPr>
          </w:p>
        </w:tc>
        <w:tc>
          <w:tcPr>
            <w:tcW w:w="40" w:type="dxa"/>
            <w:vAlign w:val="bottom"/>
            <w:tcBorders>
              <w:bottom w:val="single" w:sz="8" w:color="5591C7"/>
            </w:tcBorders>
            <w:shd w:val="clear" w:color="auto" w:fill="5591C7"/>
          </w:tcPr>
          <w:p>
            <w:pPr>
              <w:spacing w:after="0"/>
              <w:rPr>
                <w:sz w:val="17"/>
                <w:szCs w:val="17"/>
                <w:color w:val="auto"/>
              </w:rPr>
            </w:pPr>
          </w:p>
        </w:tc>
        <w:tc>
          <w:tcPr>
            <w:tcW w:w="1040" w:type="dxa"/>
            <w:vAlign w:val="bottom"/>
            <w:tcBorders>
              <w:bottom w:val="single" w:sz="8" w:color="auto"/>
            </w:tcBorders>
            <w:gridSpan w:val="2"/>
            <w:shd w:val="clear" w:color="auto" w:fill="5591C7"/>
          </w:tcPr>
          <w:p>
            <w:pPr>
              <w:jc w:val="right"/>
              <w:ind w:right="400"/>
              <w:spacing w:after="0"/>
              <w:rPr>
                <w:sz w:val="20"/>
                <w:szCs w:val="20"/>
                <w:color w:val="auto"/>
              </w:rPr>
            </w:pPr>
            <w:r>
              <w:rPr>
                <w:rFonts w:ascii="Arial" w:cs="Arial" w:eastAsia="Arial" w:hAnsi="Arial"/>
                <w:sz w:val="14"/>
                <w:szCs w:val="14"/>
                <w:b w:val="1"/>
                <w:bCs w:val="1"/>
                <w:color w:val="auto"/>
              </w:rPr>
              <w:t>Date</w:t>
            </w:r>
          </w:p>
        </w:tc>
        <w:tc>
          <w:tcPr>
            <w:tcW w:w="40" w:type="dxa"/>
            <w:vAlign w:val="bottom"/>
            <w:tcBorders>
              <w:bottom w:val="single" w:sz="8" w:color="5591C7"/>
            </w:tcBorders>
            <w:shd w:val="clear" w:color="auto" w:fill="5591C7"/>
          </w:tcPr>
          <w:p>
            <w:pPr>
              <w:spacing w:after="0"/>
              <w:rPr>
                <w:sz w:val="17"/>
                <w:szCs w:val="17"/>
                <w:color w:val="auto"/>
              </w:rPr>
            </w:pPr>
          </w:p>
        </w:tc>
        <w:tc>
          <w:tcPr>
            <w:tcW w:w="60" w:type="dxa"/>
            <w:vAlign w:val="bottom"/>
            <w:tcBorders>
              <w:bottom w:val="single" w:sz="8" w:color="5591C7"/>
            </w:tcBorders>
            <w:shd w:val="clear" w:color="auto" w:fill="5591C7"/>
          </w:tcPr>
          <w:p>
            <w:pPr>
              <w:spacing w:after="0"/>
              <w:rPr>
                <w:sz w:val="17"/>
                <w:szCs w:val="17"/>
                <w:color w:val="auto"/>
              </w:rPr>
            </w:pPr>
          </w:p>
        </w:tc>
        <w:tc>
          <w:tcPr>
            <w:tcW w:w="700" w:type="dxa"/>
            <w:vAlign w:val="bottom"/>
            <w:tcBorders>
              <w:bottom w:val="single" w:sz="8" w:color="auto"/>
            </w:tcBorders>
            <w:gridSpan w:val="2"/>
            <w:shd w:val="clear" w:color="auto" w:fill="5591C7"/>
          </w:tcPr>
          <w:p>
            <w:pPr>
              <w:jc w:val="center"/>
              <w:spacing w:after="0" w:line="189" w:lineRule="exact"/>
              <w:rPr>
                <w:sz w:val="20"/>
                <w:szCs w:val="20"/>
                <w:color w:val="auto"/>
              </w:rPr>
            </w:pPr>
            <w:r>
              <w:rPr>
                <w:rFonts w:ascii="Arial" w:cs="Arial" w:eastAsia="Arial" w:hAnsi="Arial"/>
                <w:sz w:val="13"/>
                <w:szCs w:val="13"/>
                <w:b w:val="1"/>
                <w:bCs w:val="1"/>
                <w:color w:val="auto"/>
                <w:w w:val="96"/>
              </w:rPr>
              <w:t>(#)</w:t>
            </w:r>
            <w:r>
              <w:rPr>
                <w:rFonts w:ascii="Arial" w:cs="Arial" w:eastAsia="Arial" w:hAnsi="Arial"/>
                <w:sz w:val="21"/>
                <w:szCs w:val="21"/>
                <w:b w:val="1"/>
                <w:bCs w:val="1"/>
                <w:color w:val="auto"/>
                <w:w w:val="96"/>
                <w:vertAlign w:val="superscript"/>
              </w:rPr>
              <w:t>(2)</w:t>
            </w:r>
          </w:p>
        </w:tc>
        <w:tc>
          <w:tcPr>
            <w:tcW w:w="40" w:type="dxa"/>
            <w:vAlign w:val="bottom"/>
            <w:tcBorders>
              <w:bottom w:val="single" w:sz="8" w:color="5591C7"/>
            </w:tcBorders>
            <w:shd w:val="clear" w:color="auto" w:fill="5591C7"/>
          </w:tcPr>
          <w:p>
            <w:pPr>
              <w:spacing w:after="0"/>
              <w:rPr>
                <w:sz w:val="17"/>
                <w:szCs w:val="17"/>
                <w:color w:val="auto"/>
              </w:rPr>
            </w:pPr>
          </w:p>
        </w:tc>
        <w:tc>
          <w:tcPr>
            <w:tcW w:w="60" w:type="dxa"/>
            <w:vAlign w:val="bottom"/>
            <w:tcBorders>
              <w:bottom w:val="single" w:sz="8" w:color="5591C7"/>
            </w:tcBorders>
            <w:shd w:val="clear" w:color="auto" w:fill="5591C7"/>
          </w:tcPr>
          <w:p>
            <w:pPr>
              <w:spacing w:after="0"/>
              <w:rPr>
                <w:sz w:val="17"/>
                <w:szCs w:val="17"/>
                <w:color w:val="auto"/>
              </w:rPr>
            </w:pPr>
          </w:p>
        </w:tc>
        <w:tc>
          <w:tcPr>
            <w:tcW w:w="1020" w:type="dxa"/>
            <w:vAlign w:val="bottom"/>
            <w:tcBorders>
              <w:bottom w:val="single" w:sz="8" w:color="auto"/>
            </w:tcBorders>
            <w:shd w:val="clear" w:color="auto" w:fill="5591C7"/>
          </w:tcPr>
          <w:p>
            <w:pPr>
              <w:jc w:val="center"/>
              <w:spacing w:after="0" w:line="189" w:lineRule="exact"/>
              <w:rPr>
                <w:sz w:val="20"/>
                <w:szCs w:val="20"/>
                <w:color w:val="auto"/>
              </w:rPr>
            </w:pPr>
            <w:r>
              <w:rPr>
                <w:rFonts w:ascii="Arial" w:cs="Arial" w:eastAsia="Arial" w:hAnsi="Arial"/>
                <w:sz w:val="13"/>
                <w:szCs w:val="13"/>
                <w:b w:val="1"/>
                <w:bCs w:val="1"/>
                <w:color w:val="auto"/>
                <w:w w:val="96"/>
              </w:rPr>
              <w:t>($)</w:t>
            </w:r>
            <w:r>
              <w:rPr>
                <w:rFonts w:ascii="Arial" w:cs="Arial" w:eastAsia="Arial" w:hAnsi="Arial"/>
                <w:sz w:val="21"/>
                <w:szCs w:val="21"/>
                <w:b w:val="1"/>
                <w:bCs w:val="1"/>
                <w:color w:val="auto"/>
                <w:w w:val="96"/>
                <w:vertAlign w:val="superscript"/>
              </w:rPr>
              <w:t>(4)</w:t>
            </w:r>
          </w:p>
        </w:tc>
        <w:tc>
          <w:tcPr>
            <w:tcW w:w="60" w:type="dxa"/>
            <w:vAlign w:val="bottom"/>
            <w:tcBorders>
              <w:bottom w:val="single" w:sz="8" w:color="5591C7"/>
            </w:tcBorders>
            <w:shd w:val="clear" w:color="auto" w:fill="5591C7"/>
          </w:tcPr>
          <w:p>
            <w:pPr>
              <w:spacing w:after="0"/>
              <w:rPr>
                <w:sz w:val="17"/>
                <w:szCs w:val="17"/>
                <w:color w:val="auto"/>
              </w:rPr>
            </w:pPr>
          </w:p>
        </w:tc>
        <w:tc>
          <w:tcPr>
            <w:tcW w:w="60" w:type="dxa"/>
            <w:vAlign w:val="bottom"/>
            <w:tcBorders>
              <w:bottom w:val="single" w:sz="8" w:color="5591C7"/>
            </w:tcBorders>
            <w:shd w:val="clear" w:color="auto" w:fill="5591C7"/>
          </w:tcPr>
          <w:p>
            <w:pPr>
              <w:spacing w:after="0"/>
              <w:rPr>
                <w:sz w:val="17"/>
                <w:szCs w:val="17"/>
                <w:color w:val="auto"/>
              </w:rPr>
            </w:pPr>
          </w:p>
        </w:tc>
        <w:tc>
          <w:tcPr>
            <w:tcW w:w="920" w:type="dxa"/>
            <w:vAlign w:val="bottom"/>
            <w:tcBorders>
              <w:bottom w:val="single" w:sz="8" w:color="auto"/>
            </w:tcBorders>
            <w:shd w:val="clear" w:color="auto" w:fill="5591C7"/>
          </w:tcPr>
          <w:p>
            <w:pPr>
              <w:jc w:val="center"/>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10"/>
                <w:szCs w:val="10"/>
                <w:b w:val="1"/>
                <w:bCs w:val="1"/>
                <w:color w:val="auto"/>
              </w:rPr>
              <w:t>(3)(5)</w:t>
            </w:r>
          </w:p>
        </w:tc>
        <w:tc>
          <w:tcPr>
            <w:tcW w:w="40" w:type="dxa"/>
            <w:vAlign w:val="bottom"/>
            <w:tcBorders>
              <w:bottom w:val="single" w:sz="8" w:color="5591C7"/>
            </w:tcBorders>
            <w:shd w:val="clear" w:color="auto" w:fill="5591C7"/>
          </w:tcPr>
          <w:p>
            <w:pPr>
              <w:spacing w:after="0"/>
              <w:rPr>
                <w:sz w:val="17"/>
                <w:szCs w:val="17"/>
                <w:color w:val="auto"/>
              </w:rPr>
            </w:pPr>
          </w:p>
        </w:tc>
        <w:tc>
          <w:tcPr>
            <w:tcW w:w="120" w:type="dxa"/>
            <w:vAlign w:val="bottom"/>
            <w:tcBorders>
              <w:bottom w:val="single" w:sz="8" w:color="5591C7"/>
            </w:tcBorders>
            <w:shd w:val="clear" w:color="auto" w:fill="5591C7"/>
          </w:tcPr>
          <w:p>
            <w:pPr>
              <w:spacing w:after="0"/>
              <w:rPr>
                <w:sz w:val="17"/>
                <w:szCs w:val="17"/>
                <w:color w:val="auto"/>
              </w:rPr>
            </w:pPr>
          </w:p>
        </w:tc>
        <w:tc>
          <w:tcPr>
            <w:tcW w:w="920" w:type="dxa"/>
            <w:vAlign w:val="bottom"/>
            <w:tcBorders>
              <w:bottom w:val="single" w:sz="8" w:color="auto"/>
            </w:tcBorders>
            <w:shd w:val="clear" w:color="auto" w:fill="5591C7"/>
          </w:tcPr>
          <w:p>
            <w:pPr>
              <w:jc w:val="center"/>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10"/>
                <w:szCs w:val="10"/>
                <w:b w:val="1"/>
                <w:bCs w:val="1"/>
                <w:color w:val="auto"/>
              </w:rPr>
              <w:t>(4)(5)</w:t>
            </w:r>
          </w:p>
        </w:tc>
        <w:tc>
          <w:tcPr>
            <w:tcW w:w="100" w:type="dxa"/>
            <w:vAlign w:val="bottom"/>
            <w:tcBorders>
              <w:bottom w:val="single" w:sz="8" w:color="5591C7"/>
            </w:tcBorders>
            <w:shd w:val="clear" w:color="auto" w:fill="5591C7"/>
          </w:tcPr>
          <w:p>
            <w:pPr>
              <w:spacing w:after="0"/>
              <w:rPr>
                <w:sz w:val="17"/>
                <w:szCs w:val="17"/>
                <w:color w:val="auto"/>
              </w:rPr>
            </w:pPr>
          </w:p>
        </w:tc>
      </w:tr>
      <w:tr>
        <w:trPr>
          <w:trHeight w:val="189"/>
        </w:trPr>
        <w:tc>
          <w:tcPr>
            <w:tcW w:w="2300" w:type="dxa"/>
            <w:vAlign w:val="bottom"/>
            <w:shd w:val="clear" w:color="auto" w:fill="B8CDE8"/>
          </w:tcPr>
          <w:p>
            <w:pPr>
              <w:ind w:left="100"/>
              <w:spacing w:after="0"/>
              <w:rPr>
                <w:sz w:val="20"/>
                <w:szCs w:val="20"/>
                <w:color w:val="auto"/>
              </w:rPr>
            </w:pPr>
            <w:r>
              <w:rPr>
                <w:rFonts w:ascii="Arial" w:cs="Arial" w:eastAsia="Arial" w:hAnsi="Arial"/>
                <w:sz w:val="14"/>
                <w:szCs w:val="14"/>
                <w:color w:val="auto"/>
              </w:rPr>
              <w:t>Pavan Bagai</w:t>
            </w:r>
          </w:p>
        </w:tc>
        <w:tc>
          <w:tcPr>
            <w:tcW w:w="1320" w:type="dxa"/>
            <w:vAlign w:val="bottom"/>
            <w:gridSpan w:val="3"/>
            <w:shd w:val="clear" w:color="auto" w:fill="B8CDE8"/>
          </w:tcPr>
          <w:p>
            <w:pPr>
              <w:jc w:val="right"/>
              <w:spacing w:after="0"/>
              <w:rPr>
                <w:sz w:val="20"/>
                <w:szCs w:val="20"/>
                <w:color w:val="auto"/>
              </w:rPr>
            </w:pPr>
            <w:r>
              <w:rPr>
                <w:rFonts w:ascii="Arial" w:cs="Arial" w:eastAsia="Arial" w:hAnsi="Arial"/>
                <w:sz w:val="14"/>
                <w:szCs w:val="14"/>
                <w:color w:val="auto"/>
              </w:rPr>
              <w:t>13,000</w:t>
            </w: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600" w:type="dxa"/>
            <w:vAlign w:val="bottom"/>
            <w:gridSpan w:val="2"/>
            <w:shd w:val="clear" w:color="auto" w:fill="B8CDE8"/>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shd w:val="clear" w:color="auto" w:fill="B8CDE8"/>
          </w:tcPr>
          <w:p>
            <w:pPr>
              <w:jc w:val="right"/>
              <w:spacing w:after="0"/>
              <w:rPr>
                <w:sz w:val="20"/>
                <w:szCs w:val="20"/>
                <w:color w:val="auto"/>
              </w:rPr>
            </w:pPr>
            <w:r>
              <w:rPr>
                <w:rFonts w:ascii="Arial" w:cs="Arial" w:eastAsia="Arial" w:hAnsi="Arial"/>
                <w:sz w:val="14"/>
                <w:szCs w:val="14"/>
                <w:color w:val="auto"/>
              </w:rPr>
              <w:t>19.76</w:t>
            </w:r>
          </w:p>
        </w:tc>
        <w:tc>
          <w:tcPr>
            <w:tcW w:w="60" w:type="dxa"/>
            <w:vAlign w:val="bottom"/>
            <w:shd w:val="clear" w:color="auto" w:fill="B8CDE8"/>
          </w:tcPr>
          <w:p>
            <w:pPr>
              <w:spacing w:after="0"/>
              <w:rPr>
                <w:sz w:val="16"/>
                <w:szCs w:val="16"/>
                <w:color w:val="auto"/>
              </w:rPr>
            </w:pPr>
          </w:p>
        </w:tc>
        <w:tc>
          <w:tcPr>
            <w:tcW w:w="1080" w:type="dxa"/>
            <w:vAlign w:val="bottom"/>
            <w:gridSpan w:val="3"/>
            <w:shd w:val="clear" w:color="auto" w:fill="B8CDE8"/>
          </w:tcPr>
          <w:p>
            <w:pPr>
              <w:jc w:val="right"/>
              <w:ind w:right="60"/>
              <w:spacing w:after="0"/>
              <w:rPr>
                <w:sz w:val="20"/>
                <w:szCs w:val="20"/>
                <w:color w:val="auto"/>
              </w:rPr>
            </w:pPr>
            <w:r>
              <w:rPr>
                <w:rFonts w:ascii="Arial" w:cs="Arial" w:eastAsia="Arial" w:hAnsi="Arial"/>
                <w:sz w:val="14"/>
                <w:szCs w:val="14"/>
                <w:color w:val="auto"/>
              </w:rPr>
              <w:t>2/3/2021</w:t>
            </w:r>
          </w:p>
        </w:tc>
        <w:tc>
          <w:tcPr>
            <w:tcW w:w="4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4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02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r>
      <w:tr>
        <w:trPr>
          <w:trHeight w:val="189"/>
        </w:trPr>
        <w:tc>
          <w:tcPr>
            <w:tcW w:w="2300" w:type="dxa"/>
            <w:vAlign w:val="bottom"/>
            <w:shd w:val="clear" w:color="auto" w:fill="B8CDE8"/>
          </w:tcPr>
          <w:p>
            <w:pPr>
              <w:spacing w:after="0"/>
              <w:rPr>
                <w:sz w:val="16"/>
                <w:szCs w:val="16"/>
                <w:color w:val="auto"/>
              </w:rPr>
            </w:pPr>
          </w:p>
        </w:tc>
        <w:tc>
          <w:tcPr>
            <w:tcW w:w="1320" w:type="dxa"/>
            <w:vAlign w:val="bottom"/>
            <w:gridSpan w:val="3"/>
            <w:shd w:val="clear" w:color="auto" w:fill="B8CDE8"/>
          </w:tcPr>
          <w:p>
            <w:pPr>
              <w:jc w:val="right"/>
              <w:spacing w:after="0"/>
              <w:rPr>
                <w:sz w:val="20"/>
                <w:szCs w:val="20"/>
                <w:color w:val="auto"/>
              </w:rPr>
            </w:pPr>
            <w:r>
              <w:rPr>
                <w:rFonts w:ascii="Arial" w:cs="Arial" w:eastAsia="Arial" w:hAnsi="Arial"/>
                <w:sz w:val="14"/>
                <w:szCs w:val="14"/>
                <w:color w:val="auto"/>
              </w:rPr>
              <w:t>19,500</w:t>
            </w:r>
          </w:p>
        </w:tc>
        <w:tc>
          <w:tcPr>
            <w:tcW w:w="60" w:type="dxa"/>
            <w:vAlign w:val="bottom"/>
            <w:shd w:val="clear" w:color="auto" w:fill="B8CDE8"/>
          </w:tcPr>
          <w:p>
            <w:pPr>
              <w:spacing w:after="0"/>
              <w:rPr>
                <w:sz w:val="16"/>
                <w:szCs w:val="16"/>
                <w:color w:val="auto"/>
              </w:rPr>
            </w:pPr>
          </w:p>
        </w:tc>
        <w:tc>
          <w:tcPr>
            <w:tcW w:w="156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13,000</w:t>
            </w:r>
          </w:p>
        </w:tc>
        <w:tc>
          <w:tcPr>
            <w:tcW w:w="100" w:type="dxa"/>
            <w:vAlign w:val="bottom"/>
            <w:shd w:val="clear" w:color="auto" w:fill="B8CDE8"/>
          </w:tcPr>
          <w:p>
            <w:pPr>
              <w:spacing w:after="0"/>
              <w:rPr>
                <w:sz w:val="16"/>
                <w:szCs w:val="16"/>
                <w:color w:val="auto"/>
              </w:rPr>
            </w:pPr>
          </w:p>
        </w:tc>
        <w:tc>
          <w:tcPr>
            <w:tcW w:w="800" w:type="dxa"/>
            <w:vAlign w:val="bottom"/>
            <w:shd w:val="clear" w:color="auto" w:fill="B8CDE8"/>
          </w:tcPr>
          <w:p>
            <w:pPr>
              <w:jc w:val="right"/>
              <w:spacing w:after="0"/>
              <w:rPr>
                <w:sz w:val="20"/>
                <w:szCs w:val="20"/>
                <w:color w:val="auto"/>
              </w:rPr>
            </w:pPr>
            <w:r>
              <w:rPr>
                <w:rFonts w:ascii="Arial" w:cs="Arial" w:eastAsia="Arial" w:hAnsi="Arial"/>
                <w:sz w:val="14"/>
                <w:szCs w:val="14"/>
                <w:color w:val="auto"/>
              </w:rPr>
              <w:t>24.77</w:t>
            </w:r>
          </w:p>
        </w:tc>
        <w:tc>
          <w:tcPr>
            <w:tcW w:w="60" w:type="dxa"/>
            <w:vAlign w:val="bottom"/>
            <w:shd w:val="clear" w:color="auto" w:fill="B8CDE8"/>
          </w:tcPr>
          <w:p>
            <w:pPr>
              <w:spacing w:after="0"/>
              <w:rPr>
                <w:sz w:val="16"/>
                <w:szCs w:val="16"/>
                <w:color w:val="auto"/>
              </w:rPr>
            </w:pPr>
          </w:p>
        </w:tc>
        <w:tc>
          <w:tcPr>
            <w:tcW w:w="1080" w:type="dxa"/>
            <w:vAlign w:val="bottom"/>
            <w:gridSpan w:val="3"/>
            <w:shd w:val="clear" w:color="auto" w:fill="B8CDE8"/>
          </w:tcPr>
          <w:p>
            <w:pPr>
              <w:jc w:val="right"/>
              <w:ind w:right="60"/>
              <w:spacing w:after="0"/>
              <w:rPr>
                <w:sz w:val="20"/>
                <w:szCs w:val="20"/>
                <w:color w:val="auto"/>
              </w:rPr>
            </w:pPr>
            <w:r>
              <w:rPr>
                <w:rFonts w:ascii="Arial" w:cs="Arial" w:eastAsia="Arial" w:hAnsi="Arial"/>
                <w:sz w:val="14"/>
                <w:szCs w:val="14"/>
                <w:color w:val="auto"/>
              </w:rPr>
              <w:t>2/7/2022</w:t>
            </w:r>
          </w:p>
        </w:tc>
        <w:tc>
          <w:tcPr>
            <w:tcW w:w="4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4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02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r>
      <w:tr>
        <w:trPr>
          <w:trHeight w:val="189"/>
        </w:trPr>
        <w:tc>
          <w:tcPr>
            <w:tcW w:w="23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2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50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8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98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800" w:type="dxa"/>
            <w:vAlign w:val="bottom"/>
            <w:gridSpan w:val="4"/>
            <w:shd w:val="clear" w:color="auto" w:fill="B8CDE8"/>
          </w:tcPr>
          <w:p>
            <w:pPr>
              <w:jc w:val="right"/>
              <w:ind w:right="40"/>
              <w:spacing w:after="0"/>
              <w:rPr>
                <w:sz w:val="20"/>
                <w:szCs w:val="20"/>
                <w:color w:val="auto"/>
              </w:rPr>
            </w:pPr>
            <w:r>
              <w:rPr>
                <w:rFonts w:ascii="Arial" w:cs="Arial" w:eastAsia="Arial" w:hAnsi="Arial"/>
                <w:sz w:val="14"/>
                <w:szCs w:val="14"/>
                <w:color w:val="auto"/>
              </w:rPr>
              <w:t>5,000</w:t>
            </w:r>
          </w:p>
        </w:tc>
        <w:tc>
          <w:tcPr>
            <w:tcW w:w="108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224,650</w:t>
            </w: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r>
      <w:tr>
        <w:trPr>
          <w:trHeight w:val="189"/>
        </w:trPr>
        <w:tc>
          <w:tcPr>
            <w:tcW w:w="23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2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50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8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98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800" w:type="dxa"/>
            <w:vAlign w:val="bottom"/>
            <w:gridSpan w:val="4"/>
            <w:shd w:val="clear" w:color="auto" w:fill="B8CDE8"/>
          </w:tcPr>
          <w:p>
            <w:pPr>
              <w:jc w:val="right"/>
              <w:ind w:right="40"/>
              <w:spacing w:after="0"/>
              <w:rPr>
                <w:sz w:val="20"/>
                <w:szCs w:val="20"/>
                <w:color w:val="auto"/>
              </w:rPr>
            </w:pPr>
            <w:r>
              <w:rPr>
                <w:rFonts w:ascii="Arial" w:cs="Arial" w:eastAsia="Arial" w:hAnsi="Arial"/>
                <w:sz w:val="14"/>
                <w:szCs w:val="14"/>
                <w:color w:val="auto"/>
              </w:rPr>
              <w:t>461</w:t>
            </w:r>
          </w:p>
        </w:tc>
        <w:tc>
          <w:tcPr>
            <w:tcW w:w="108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20,713</w:t>
            </w: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r>
      <w:tr>
        <w:trPr>
          <w:trHeight w:val="189"/>
        </w:trPr>
        <w:tc>
          <w:tcPr>
            <w:tcW w:w="23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2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50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8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98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800" w:type="dxa"/>
            <w:vAlign w:val="bottom"/>
            <w:gridSpan w:val="4"/>
            <w:shd w:val="clear" w:color="auto" w:fill="B8CDE8"/>
          </w:tcPr>
          <w:p>
            <w:pPr>
              <w:jc w:val="right"/>
              <w:ind w:right="40"/>
              <w:spacing w:after="0"/>
              <w:rPr>
                <w:sz w:val="20"/>
                <w:szCs w:val="20"/>
                <w:color w:val="auto"/>
              </w:rPr>
            </w:pPr>
            <w:r>
              <w:rPr>
                <w:rFonts w:ascii="Arial" w:cs="Arial" w:eastAsia="Arial" w:hAnsi="Arial"/>
                <w:sz w:val="14"/>
                <w:szCs w:val="14"/>
                <w:color w:val="auto"/>
              </w:rPr>
              <w:t>16,100</w:t>
            </w:r>
          </w:p>
        </w:tc>
        <w:tc>
          <w:tcPr>
            <w:tcW w:w="108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723,373</w:t>
            </w: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r>
      <w:tr>
        <w:trPr>
          <w:trHeight w:val="189"/>
        </w:trPr>
        <w:tc>
          <w:tcPr>
            <w:tcW w:w="23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2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50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8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98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800" w:type="dxa"/>
            <w:vAlign w:val="bottom"/>
            <w:gridSpan w:val="4"/>
            <w:shd w:val="clear" w:color="auto" w:fill="B8CDE8"/>
          </w:tcPr>
          <w:p>
            <w:pPr>
              <w:jc w:val="right"/>
              <w:ind w:right="40"/>
              <w:spacing w:after="0"/>
              <w:rPr>
                <w:sz w:val="20"/>
                <w:szCs w:val="20"/>
                <w:color w:val="auto"/>
              </w:rPr>
            </w:pPr>
            <w:r>
              <w:rPr>
                <w:rFonts w:ascii="Arial" w:cs="Arial" w:eastAsia="Arial" w:hAnsi="Arial"/>
                <w:sz w:val="14"/>
                <w:szCs w:val="14"/>
                <w:color w:val="auto"/>
              </w:rPr>
              <w:t>10,350</w:t>
            </w:r>
          </w:p>
        </w:tc>
        <w:tc>
          <w:tcPr>
            <w:tcW w:w="108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465,026</w:t>
            </w: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r>
      <w:tr>
        <w:trPr>
          <w:trHeight w:val="189"/>
        </w:trPr>
        <w:tc>
          <w:tcPr>
            <w:tcW w:w="23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2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50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8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98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800" w:type="dxa"/>
            <w:vAlign w:val="bottom"/>
            <w:gridSpan w:val="4"/>
            <w:shd w:val="clear" w:color="auto" w:fill="B8CDE8"/>
          </w:tcPr>
          <w:p>
            <w:pPr>
              <w:jc w:val="right"/>
              <w:ind w:right="40"/>
              <w:spacing w:after="0"/>
              <w:rPr>
                <w:sz w:val="20"/>
                <w:szCs w:val="20"/>
                <w:color w:val="auto"/>
              </w:rPr>
            </w:pPr>
            <w:r>
              <w:rPr>
                <w:rFonts w:ascii="Arial" w:cs="Arial" w:eastAsia="Arial" w:hAnsi="Arial"/>
                <w:sz w:val="14"/>
                <w:szCs w:val="14"/>
                <w:color w:val="auto"/>
              </w:rPr>
              <w:t>1,203</w:t>
            </w:r>
          </w:p>
        </w:tc>
        <w:tc>
          <w:tcPr>
            <w:tcW w:w="108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54,051</w:t>
            </w: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r>
      <w:tr>
        <w:trPr>
          <w:trHeight w:val="189"/>
        </w:trPr>
        <w:tc>
          <w:tcPr>
            <w:tcW w:w="23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2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50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8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98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800" w:type="dxa"/>
            <w:vAlign w:val="bottom"/>
            <w:gridSpan w:val="4"/>
            <w:shd w:val="clear" w:color="auto" w:fill="B8CDE8"/>
          </w:tcPr>
          <w:p>
            <w:pPr>
              <w:jc w:val="right"/>
              <w:ind w:right="40"/>
              <w:spacing w:after="0"/>
              <w:rPr>
                <w:sz w:val="20"/>
                <w:szCs w:val="20"/>
                <w:color w:val="auto"/>
              </w:rPr>
            </w:pPr>
            <w:r>
              <w:rPr>
                <w:rFonts w:ascii="Arial" w:cs="Arial" w:eastAsia="Arial" w:hAnsi="Arial"/>
                <w:sz w:val="14"/>
                <w:szCs w:val="14"/>
                <w:color w:val="auto"/>
              </w:rPr>
              <w:t>12,500</w:t>
            </w:r>
          </w:p>
        </w:tc>
        <w:tc>
          <w:tcPr>
            <w:tcW w:w="108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561,625</w:t>
            </w: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r>
      <w:tr>
        <w:trPr>
          <w:trHeight w:val="191"/>
        </w:trPr>
        <w:tc>
          <w:tcPr>
            <w:tcW w:w="23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2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50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8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98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800" w:type="dxa"/>
            <w:vAlign w:val="bottom"/>
            <w:gridSpan w:val="4"/>
            <w:shd w:val="clear" w:color="auto" w:fill="B8CDE8"/>
          </w:tcPr>
          <w:p>
            <w:pPr>
              <w:jc w:val="right"/>
              <w:ind w:right="40"/>
              <w:spacing w:after="0"/>
              <w:rPr>
                <w:sz w:val="20"/>
                <w:szCs w:val="20"/>
                <w:color w:val="auto"/>
              </w:rPr>
            </w:pPr>
            <w:r>
              <w:rPr>
                <w:rFonts w:ascii="Arial" w:cs="Arial" w:eastAsia="Arial" w:hAnsi="Arial"/>
                <w:sz w:val="14"/>
                <w:szCs w:val="14"/>
                <w:color w:val="auto"/>
              </w:rPr>
              <w:t>3,833</w:t>
            </w:r>
          </w:p>
        </w:tc>
        <w:tc>
          <w:tcPr>
            <w:tcW w:w="108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172,217</w:t>
            </w:r>
          </w:p>
        </w:tc>
        <w:tc>
          <w:tcPr>
            <w:tcW w:w="60" w:type="dxa"/>
            <w:vAlign w:val="bottom"/>
            <w:shd w:val="clear" w:color="auto" w:fill="B8CDE8"/>
          </w:tcPr>
          <w:p>
            <w:pPr>
              <w:spacing w:after="0"/>
              <w:rPr>
                <w:sz w:val="16"/>
                <w:szCs w:val="16"/>
                <w:color w:val="auto"/>
              </w:rPr>
            </w:pPr>
          </w:p>
        </w:tc>
        <w:tc>
          <w:tcPr>
            <w:tcW w:w="98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3,834</w:t>
            </w:r>
          </w:p>
        </w:tc>
        <w:tc>
          <w:tcPr>
            <w:tcW w:w="40" w:type="dxa"/>
            <w:vAlign w:val="bottom"/>
            <w:shd w:val="clear" w:color="auto" w:fill="B8CDE8"/>
          </w:tcPr>
          <w:p>
            <w:pPr>
              <w:spacing w:after="0"/>
              <w:rPr>
                <w:sz w:val="16"/>
                <w:szCs w:val="16"/>
                <w:color w:val="auto"/>
              </w:rPr>
            </w:pPr>
          </w:p>
        </w:tc>
        <w:tc>
          <w:tcPr>
            <w:tcW w:w="1140" w:type="dxa"/>
            <w:vAlign w:val="bottom"/>
            <w:gridSpan w:val="3"/>
            <w:shd w:val="clear" w:color="auto" w:fill="B8CDE8"/>
          </w:tcPr>
          <w:p>
            <w:pPr>
              <w:jc w:val="right"/>
              <w:ind w:right="100"/>
              <w:spacing w:after="0"/>
              <w:rPr>
                <w:sz w:val="20"/>
                <w:szCs w:val="20"/>
                <w:color w:val="auto"/>
              </w:rPr>
            </w:pPr>
            <w:r>
              <w:rPr>
                <w:rFonts w:ascii="Arial" w:cs="Arial" w:eastAsia="Arial" w:hAnsi="Arial"/>
                <w:sz w:val="14"/>
                <w:szCs w:val="14"/>
                <w:color w:val="auto"/>
              </w:rPr>
              <w:t>172,262</w:t>
            </w:r>
          </w:p>
        </w:tc>
      </w:tr>
      <w:tr>
        <w:trPr>
          <w:trHeight w:val="189"/>
        </w:trPr>
        <w:tc>
          <w:tcPr>
            <w:tcW w:w="23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2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50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8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98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800" w:type="dxa"/>
            <w:vAlign w:val="bottom"/>
            <w:gridSpan w:val="4"/>
            <w:shd w:val="clear" w:color="auto" w:fill="B8CDE8"/>
          </w:tcPr>
          <w:p>
            <w:pPr>
              <w:jc w:val="right"/>
              <w:ind w:right="40"/>
              <w:spacing w:after="0"/>
              <w:rPr>
                <w:sz w:val="20"/>
                <w:szCs w:val="20"/>
                <w:color w:val="auto"/>
              </w:rPr>
            </w:pPr>
            <w:r>
              <w:rPr>
                <w:rFonts w:ascii="Arial" w:cs="Arial" w:eastAsia="Arial" w:hAnsi="Arial"/>
                <w:sz w:val="14"/>
                <w:szCs w:val="14"/>
                <w:color w:val="auto"/>
              </w:rPr>
              <w:t>2,083</w:t>
            </w:r>
          </w:p>
        </w:tc>
        <w:tc>
          <w:tcPr>
            <w:tcW w:w="108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93,589</w:t>
            </w:r>
          </w:p>
        </w:tc>
        <w:tc>
          <w:tcPr>
            <w:tcW w:w="60" w:type="dxa"/>
            <w:vAlign w:val="bottom"/>
            <w:shd w:val="clear" w:color="auto" w:fill="B8CDE8"/>
          </w:tcPr>
          <w:p>
            <w:pPr>
              <w:spacing w:after="0"/>
              <w:rPr>
                <w:sz w:val="16"/>
                <w:szCs w:val="16"/>
                <w:color w:val="auto"/>
              </w:rPr>
            </w:pPr>
          </w:p>
        </w:tc>
        <w:tc>
          <w:tcPr>
            <w:tcW w:w="98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4,167</w:t>
            </w:r>
          </w:p>
        </w:tc>
        <w:tc>
          <w:tcPr>
            <w:tcW w:w="40" w:type="dxa"/>
            <w:vAlign w:val="bottom"/>
            <w:shd w:val="clear" w:color="auto" w:fill="B8CDE8"/>
          </w:tcPr>
          <w:p>
            <w:pPr>
              <w:spacing w:after="0"/>
              <w:rPr>
                <w:sz w:val="16"/>
                <w:szCs w:val="16"/>
                <w:color w:val="auto"/>
              </w:rPr>
            </w:pPr>
          </w:p>
        </w:tc>
        <w:tc>
          <w:tcPr>
            <w:tcW w:w="1140" w:type="dxa"/>
            <w:vAlign w:val="bottom"/>
            <w:gridSpan w:val="3"/>
            <w:shd w:val="clear" w:color="auto" w:fill="B8CDE8"/>
          </w:tcPr>
          <w:p>
            <w:pPr>
              <w:jc w:val="right"/>
              <w:ind w:right="100"/>
              <w:spacing w:after="0"/>
              <w:rPr>
                <w:sz w:val="20"/>
                <w:szCs w:val="20"/>
                <w:color w:val="auto"/>
              </w:rPr>
            </w:pPr>
            <w:r>
              <w:rPr>
                <w:rFonts w:ascii="Arial" w:cs="Arial" w:eastAsia="Arial" w:hAnsi="Arial"/>
                <w:sz w:val="14"/>
                <w:szCs w:val="14"/>
                <w:color w:val="auto"/>
              </w:rPr>
              <w:t>187,223</w:t>
            </w:r>
          </w:p>
        </w:tc>
      </w:tr>
      <w:tr>
        <w:trPr>
          <w:trHeight w:val="189"/>
        </w:trPr>
        <w:tc>
          <w:tcPr>
            <w:tcW w:w="23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2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50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8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98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4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02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98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11,500</w:t>
            </w:r>
          </w:p>
        </w:tc>
        <w:tc>
          <w:tcPr>
            <w:tcW w:w="40" w:type="dxa"/>
            <w:vAlign w:val="bottom"/>
            <w:shd w:val="clear" w:color="auto" w:fill="B8CDE8"/>
          </w:tcPr>
          <w:p>
            <w:pPr>
              <w:spacing w:after="0"/>
              <w:rPr>
                <w:sz w:val="16"/>
                <w:szCs w:val="16"/>
                <w:color w:val="auto"/>
              </w:rPr>
            </w:pPr>
          </w:p>
        </w:tc>
        <w:tc>
          <w:tcPr>
            <w:tcW w:w="1140" w:type="dxa"/>
            <w:vAlign w:val="bottom"/>
            <w:gridSpan w:val="3"/>
            <w:shd w:val="clear" w:color="auto" w:fill="B8CDE8"/>
          </w:tcPr>
          <w:p>
            <w:pPr>
              <w:jc w:val="right"/>
              <w:ind w:right="100"/>
              <w:spacing w:after="0"/>
              <w:rPr>
                <w:sz w:val="20"/>
                <w:szCs w:val="20"/>
                <w:color w:val="auto"/>
              </w:rPr>
            </w:pPr>
            <w:r>
              <w:rPr>
                <w:rFonts w:ascii="Arial" w:cs="Arial" w:eastAsia="Arial" w:hAnsi="Arial"/>
                <w:sz w:val="14"/>
                <w:szCs w:val="14"/>
                <w:color w:val="auto"/>
              </w:rPr>
              <w:t>516,695</w:t>
            </w:r>
          </w:p>
        </w:tc>
      </w:tr>
      <w:tr>
        <w:trPr>
          <w:trHeight w:val="188"/>
        </w:trPr>
        <w:tc>
          <w:tcPr>
            <w:tcW w:w="23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2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50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8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98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4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02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98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6,250</w:t>
            </w:r>
          </w:p>
        </w:tc>
        <w:tc>
          <w:tcPr>
            <w:tcW w:w="40" w:type="dxa"/>
            <w:vAlign w:val="bottom"/>
            <w:shd w:val="clear" w:color="auto" w:fill="B8CDE8"/>
          </w:tcPr>
          <w:p>
            <w:pPr>
              <w:spacing w:after="0"/>
              <w:rPr>
                <w:sz w:val="16"/>
                <w:szCs w:val="16"/>
                <w:color w:val="auto"/>
              </w:rPr>
            </w:pPr>
          </w:p>
        </w:tc>
        <w:tc>
          <w:tcPr>
            <w:tcW w:w="1140" w:type="dxa"/>
            <w:vAlign w:val="bottom"/>
            <w:gridSpan w:val="3"/>
            <w:shd w:val="clear" w:color="auto" w:fill="B8CDE8"/>
          </w:tcPr>
          <w:p>
            <w:pPr>
              <w:jc w:val="right"/>
              <w:ind w:right="100"/>
              <w:spacing w:after="0"/>
              <w:rPr>
                <w:sz w:val="20"/>
                <w:szCs w:val="20"/>
                <w:color w:val="auto"/>
              </w:rPr>
            </w:pPr>
            <w:r>
              <w:rPr>
                <w:rFonts w:ascii="Arial" w:cs="Arial" w:eastAsia="Arial" w:hAnsi="Arial"/>
                <w:sz w:val="14"/>
                <w:szCs w:val="14"/>
                <w:color w:val="auto"/>
              </w:rPr>
              <w:t>280,813</w:t>
            </w:r>
          </w:p>
        </w:tc>
      </w:tr>
      <w:tr>
        <w:trPr>
          <w:trHeight w:val="191"/>
        </w:trPr>
        <w:tc>
          <w:tcPr>
            <w:tcW w:w="2300" w:type="dxa"/>
            <w:vAlign w:val="bottom"/>
          </w:tcPr>
          <w:p>
            <w:pPr>
              <w:ind w:left="100"/>
              <w:spacing w:after="0"/>
              <w:rPr>
                <w:sz w:val="20"/>
                <w:szCs w:val="20"/>
                <w:color w:val="auto"/>
              </w:rPr>
            </w:pPr>
            <w:r>
              <w:rPr>
                <w:rFonts w:ascii="Arial" w:cs="Arial" w:eastAsia="Arial" w:hAnsi="Arial"/>
                <w:sz w:val="14"/>
                <w:szCs w:val="14"/>
                <w:color w:val="auto"/>
              </w:rPr>
              <w:t>Nalin Miglani</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gridSpan w:val="4"/>
          </w:tcPr>
          <w:p>
            <w:pPr>
              <w:jc w:val="right"/>
              <w:ind w:right="40"/>
              <w:spacing w:after="0"/>
              <w:rPr>
                <w:sz w:val="20"/>
                <w:szCs w:val="20"/>
                <w:color w:val="auto"/>
              </w:rPr>
            </w:pPr>
            <w:r>
              <w:rPr>
                <w:rFonts w:ascii="Arial" w:cs="Arial" w:eastAsia="Arial" w:hAnsi="Arial"/>
                <w:sz w:val="14"/>
                <w:szCs w:val="14"/>
                <w:color w:val="auto"/>
              </w:rPr>
              <w:t>18,000</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808,740</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2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gridSpan w:val="4"/>
          </w:tcPr>
          <w:p>
            <w:pPr>
              <w:jc w:val="right"/>
              <w:ind w:right="40"/>
              <w:spacing w:after="0"/>
              <w:rPr>
                <w:sz w:val="20"/>
                <w:szCs w:val="20"/>
                <w:color w:val="auto"/>
              </w:rPr>
            </w:pPr>
            <w:r>
              <w:rPr>
                <w:rFonts w:ascii="Arial" w:cs="Arial" w:eastAsia="Arial" w:hAnsi="Arial"/>
                <w:sz w:val="14"/>
                <w:szCs w:val="14"/>
                <w:color w:val="auto"/>
              </w:rPr>
              <w:t>6,000</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269,580</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2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gridSpan w:val="4"/>
          </w:tcPr>
          <w:p>
            <w:pPr>
              <w:jc w:val="right"/>
              <w:ind w:right="40"/>
              <w:spacing w:after="0"/>
              <w:rPr>
                <w:sz w:val="20"/>
                <w:szCs w:val="20"/>
                <w:color w:val="auto"/>
              </w:rPr>
            </w:pPr>
            <w:r>
              <w:rPr>
                <w:rFonts w:ascii="Arial" w:cs="Arial" w:eastAsia="Arial" w:hAnsi="Arial"/>
                <w:sz w:val="14"/>
                <w:szCs w:val="14"/>
                <w:color w:val="auto"/>
              </w:rPr>
              <w:t>999</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44,885</w:t>
            </w:r>
          </w:p>
        </w:tc>
        <w:tc>
          <w:tcPr>
            <w:tcW w:w="6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2,001</w:t>
            </w:r>
          </w:p>
        </w:tc>
        <w:tc>
          <w:tcPr>
            <w:tcW w:w="40" w:type="dxa"/>
            <w:vAlign w:val="bottom"/>
          </w:tcPr>
          <w:p>
            <w:pPr>
              <w:spacing w:after="0"/>
              <w:rPr>
                <w:sz w:val="16"/>
                <w:szCs w:val="16"/>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4"/>
                <w:szCs w:val="14"/>
                <w:color w:val="auto"/>
              </w:rPr>
              <w:t>89,905</w:t>
            </w:r>
          </w:p>
        </w:tc>
      </w:tr>
      <w:tr>
        <w:trPr>
          <w:trHeight w:val="188"/>
        </w:trPr>
        <w:tc>
          <w:tcPr>
            <w:tcW w:w="2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3,000</w:t>
            </w:r>
          </w:p>
        </w:tc>
        <w:tc>
          <w:tcPr>
            <w:tcW w:w="40" w:type="dxa"/>
            <w:vAlign w:val="bottom"/>
          </w:tcPr>
          <w:p>
            <w:pPr>
              <w:spacing w:after="0"/>
              <w:rPr>
                <w:sz w:val="16"/>
                <w:szCs w:val="16"/>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4"/>
                <w:szCs w:val="14"/>
                <w:color w:val="auto"/>
              </w:rPr>
              <w:t>134,790</w:t>
            </w:r>
          </w:p>
        </w:tc>
      </w:tr>
      <w:tr>
        <w:trPr>
          <w:trHeight w:val="189"/>
        </w:trPr>
        <w:tc>
          <w:tcPr>
            <w:tcW w:w="2300" w:type="dxa"/>
            <w:vAlign w:val="bottom"/>
            <w:shd w:val="clear" w:color="auto" w:fill="B8CDE8"/>
          </w:tcPr>
          <w:p>
            <w:pPr>
              <w:ind w:left="100"/>
              <w:spacing w:after="0"/>
              <w:rPr>
                <w:sz w:val="20"/>
                <w:szCs w:val="20"/>
                <w:color w:val="auto"/>
              </w:rPr>
            </w:pPr>
            <w:r>
              <w:rPr>
                <w:rFonts w:ascii="Arial" w:cs="Arial" w:eastAsia="Arial" w:hAnsi="Arial"/>
                <w:sz w:val="14"/>
                <w:szCs w:val="14"/>
                <w:color w:val="auto"/>
              </w:rPr>
              <w:t>Henry Schweppe</w:t>
            </w: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2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150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80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98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800" w:type="dxa"/>
            <w:vAlign w:val="bottom"/>
            <w:gridSpan w:val="4"/>
            <w:shd w:val="clear" w:color="auto" w:fill="B8CDE8"/>
          </w:tcPr>
          <w:p>
            <w:pPr>
              <w:jc w:val="right"/>
              <w:ind w:right="40"/>
              <w:spacing w:after="0"/>
              <w:rPr>
                <w:sz w:val="20"/>
                <w:szCs w:val="20"/>
                <w:color w:val="auto"/>
              </w:rPr>
            </w:pPr>
            <w:r>
              <w:rPr>
                <w:rFonts w:ascii="Arial" w:cs="Arial" w:eastAsia="Arial" w:hAnsi="Arial"/>
                <w:sz w:val="14"/>
                <w:szCs w:val="14"/>
                <w:color w:val="auto"/>
              </w:rPr>
              <w:t>18,153</w:t>
            </w:r>
          </w:p>
        </w:tc>
        <w:tc>
          <w:tcPr>
            <w:tcW w:w="1080" w:type="dxa"/>
            <w:vAlign w:val="bottom"/>
            <w:gridSpan w:val="2"/>
            <w:shd w:val="clear" w:color="auto" w:fill="B8CDE8"/>
          </w:tcPr>
          <w:p>
            <w:pPr>
              <w:jc w:val="right"/>
              <w:spacing w:after="0"/>
              <w:rPr>
                <w:sz w:val="20"/>
                <w:szCs w:val="20"/>
                <w:color w:val="auto"/>
              </w:rPr>
            </w:pPr>
            <w:r>
              <w:rPr>
                <w:rFonts w:ascii="Arial" w:cs="Arial" w:eastAsia="Arial" w:hAnsi="Arial"/>
                <w:sz w:val="14"/>
                <w:szCs w:val="14"/>
                <w:color w:val="auto"/>
              </w:rPr>
              <w:t>815,614</w:t>
            </w:r>
          </w:p>
        </w:tc>
        <w:tc>
          <w:tcPr>
            <w:tcW w:w="60" w:type="dxa"/>
            <w:vAlign w:val="bottom"/>
            <w:shd w:val="clear" w:color="auto" w:fill="B8CDE8"/>
          </w:tcPr>
          <w:p>
            <w:pPr>
              <w:spacing w:after="0"/>
              <w:rPr>
                <w:sz w:val="16"/>
                <w:szCs w:val="16"/>
                <w:color w:val="auto"/>
              </w:rPr>
            </w:pPr>
          </w:p>
        </w:tc>
        <w:tc>
          <w:tcPr>
            <w:tcW w:w="6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40" w:type="dxa"/>
            <w:vAlign w:val="bottom"/>
            <w:shd w:val="clear" w:color="auto" w:fill="B8CDE8"/>
          </w:tcPr>
          <w:p>
            <w:pPr>
              <w:spacing w:after="0"/>
              <w:rPr>
                <w:sz w:val="16"/>
                <w:szCs w:val="16"/>
                <w:color w:val="auto"/>
              </w:rPr>
            </w:pPr>
          </w:p>
        </w:tc>
        <w:tc>
          <w:tcPr>
            <w:tcW w:w="120" w:type="dxa"/>
            <w:vAlign w:val="bottom"/>
            <w:shd w:val="clear" w:color="auto" w:fill="B8CDE8"/>
          </w:tcPr>
          <w:p>
            <w:pPr>
              <w:spacing w:after="0"/>
              <w:rPr>
                <w:sz w:val="16"/>
                <w:szCs w:val="16"/>
                <w:color w:val="auto"/>
              </w:rPr>
            </w:pPr>
          </w:p>
        </w:tc>
        <w:tc>
          <w:tcPr>
            <w:tcW w:w="92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r>
      <w:tr>
        <w:trPr>
          <w:trHeight w:val="189"/>
        </w:trPr>
        <w:tc>
          <w:tcPr>
            <w:tcW w:w="2300" w:type="dxa"/>
            <w:vAlign w:val="bottom"/>
            <w:shd w:val="clear" w:color="auto" w:fill="B8CCE4"/>
          </w:tcPr>
          <w:p>
            <w:pPr>
              <w:spacing w:after="0"/>
              <w:rPr>
                <w:sz w:val="16"/>
                <w:szCs w:val="16"/>
                <w:color w:val="auto"/>
              </w:rPr>
            </w:pPr>
          </w:p>
        </w:tc>
        <w:tc>
          <w:tcPr>
            <w:tcW w:w="60" w:type="dxa"/>
            <w:vAlign w:val="bottom"/>
            <w:shd w:val="clear" w:color="auto" w:fill="B8CCE4"/>
          </w:tcPr>
          <w:p>
            <w:pPr>
              <w:spacing w:after="0"/>
              <w:rPr>
                <w:sz w:val="16"/>
                <w:szCs w:val="16"/>
                <w:color w:val="auto"/>
              </w:rPr>
            </w:pPr>
          </w:p>
        </w:tc>
        <w:tc>
          <w:tcPr>
            <w:tcW w:w="60" w:type="dxa"/>
            <w:vAlign w:val="bottom"/>
            <w:shd w:val="clear" w:color="auto" w:fill="B8CCE4"/>
          </w:tcPr>
          <w:p>
            <w:pPr>
              <w:spacing w:after="0"/>
              <w:rPr>
                <w:sz w:val="16"/>
                <w:szCs w:val="16"/>
                <w:color w:val="auto"/>
              </w:rPr>
            </w:pPr>
          </w:p>
        </w:tc>
        <w:tc>
          <w:tcPr>
            <w:tcW w:w="1200" w:type="dxa"/>
            <w:vAlign w:val="bottom"/>
            <w:shd w:val="clear" w:color="auto" w:fill="B8CCE4"/>
          </w:tcPr>
          <w:p>
            <w:pPr>
              <w:spacing w:after="0"/>
              <w:rPr>
                <w:sz w:val="16"/>
                <w:szCs w:val="16"/>
                <w:color w:val="auto"/>
              </w:rPr>
            </w:pPr>
          </w:p>
        </w:tc>
        <w:tc>
          <w:tcPr>
            <w:tcW w:w="60" w:type="dxa"/>
            <w:vAlign w:val="bottom"/>
            <w:shd w:val="clear" w:color="auto" w:fill="B8CCE4"/>
          </w:tcPr>
          <w:p>
            <w:pPr>
              <w:spacing w:after="0"/>
              <w:rPr>
                <w:sz w:val="16"/>
                <w:szCs w:val="16"/>
                <w:color w:val="auto"/>
              </w:rPr>
            </w:pPr>
          </w:p>
        </w:tc>
        <w:tc>
          <w:tcPr>
            <w:tcW w:w="60" w:type="dxa"/>
            <w:vAlign w:val="bottom"/>
            <w:shd w:val="clear" w:color="auto" w:fill="B8CCE4"/>
          </w:tcPr>
          <w:p>
            <w:pPr>
              <w:spacing w:after="0"/>
              <w:rPr>
                <w:sz w:val="16"/>
                <w:szCs w:val="16"/>
                <w:color w:val="auto"/>
              </w:rPr>
            </w:pPr>
          </w:p>
        </w:tc>
        <w:tc>
          <w:tcPr>
            <w:tcW w:w="1500" w:type="dxa"/>
            <w:vAlign w:val="bottom"/>
            <w:shd w:val="clear" w:color="auto" w:fill="B8CCE4"/>
          </w:tcPr>
          <w:p>
            <w:pPr>
              <w:spacing w:after="0"/>
              <w:rPr>
                <w:sz w:val="16"/>
                <w:szCs w:val="16"/>
                <w:color w:val="auto"/>
              </w:rPr>
            </w:pPr>
          </w:p>
        </w:tc>
        <w:tc>
          <w:tcPr>
            <w:tcW w:w="100" w:type="dxa"/>
            <w:vAlign w:val="bottom"/>
            <w:shd w:val="clear" w:color="auto" w:fill="B8CCE4"/>
          </w:tcPr>
          <w:p>
            <w:pPr>
              <w:spacing w:after="0"/>
              <w:rPr>
                <w:sz w:val="16"/>
                <w:szCs w:val="16"/>
                <w:color w:val="auto"/>
              </w:rPr>
            </w:pPr>
          </w:p>
        </w:tc>
        <w:tc>
          <w:tcPr>
            <w:tcW w:w="800" w:type="dxa"/>
            <w:vAlign w:val="bottom"/>
            <w:shd w:val="clear" w:color="auto" w:fill="B8CCE4"/>
          </w:tcPr>
          <w:p>
            <w:pPr>
              <w:spacing w:after="0"/>
              <w:rPr>
                <w:sz w:val="16"/>
                <w:szCs w:val="16"/>
                <w:color w:val="auto"/>
              </w:rPr>
            </w:pPr>
          </w:p>
        </w:tc>
        <w:tc>
          <w:tcPr>
            <w:tcW w:w="60" w:type="dxa"/>
            <w:vAlign w:val="bottom"/>
            <w:shd w:val="clear" w:color="auto" w:fill="B8CCE4"/>
          </w:tcPr>
          <w:p>
            <w:pPr>
              <w:spacing w:after="0"/>
              <w:rPr>
                <w:sz w:val="16"/>
                <w:szCs w:val="16"/>
                <w:color w:val="auto"/>
              </w:rPr>
            </w:pPr>
          </w:p>
        </w:tc>
        <w:tc>
          <w:tcPr>
            <w:tcW w:w="40" w:type="dxa"/>
            <w:vAlign w:val="bottom"/>
            <w:shd w:val="clear" w:color="auto" w:fill="B8CCE4"/>
          </w:tcPr>
          <w:p>
            <w:pPr>
              <w:spacing w:after="0"/>
              <w:rPr>
                <w:sz w:val="16"/>
                <w:szCs w:val="16"/>
                <w:color w:val="auto"/>
              </w:rPr>
            </w:pPr>
          </w:p>
        </w:tc>
        <w:tc>
          <w:tcPr>
            <w:tcW w:w="980" w:type="dxa"/>
            <w:vAlign w:val="bottom"/>
            <w:shd w:val="clear" w:color="auto" w:fill="B8CCE4"/>
          </w:tcPr>
          <w:p>
            <w:pPr>
              <w:spacing w:after="0"/>
              <w:rPr>
                <w:sz w:val="16"/>
                <w:szCs w:val="16"/>
                <w:color w:val="auto"/>
              </w:rPr>
            </w:pPr>
          </w:p>
        </w:tc>
        <w:tc>
          <w:tcPr>
            <w:tcW w:w="60" w:type="dxa"/>
            <w:vAlign w:val="bottom"/>
            <w:shd w:val="clear" w:color="auto" w:fill="B8CCE4"/>
          </w:tcPr>
          <w:p>
            <w:pPr>
              <w:spacing w:after="0"/>
              <w:rPr>
                <w:sz w:val="16"/>
                <w:szCs w:val="16"/>
                <w:color w:val="auto"/>
              </w:rPr>
            </w:pPr>
          </w:p>
        </w:tc>
        <w:tc>
          <w:tcPr>
            <w:tcW w:w="40" w:type="dxa"/>
            <w:vAlign w:val="bottom"/>
            <w:shd w:val="clear" w:color="auto" w:fill="B8CCE4"/>
          </w:tcPr>
          <w:p>
            <w:pPr>
              <w:spacing w:after="0"/>
              <w:rPr>
                <w:sz w:val="16"/>
                <w:szCs w:val="16"/>
                <w:color w:val="auto"/>
              </w:rPr>
            </w:pPr>
          </w:p>
        </w:tc>
        <w:tc>
          <w:tcPr>
            <w:tcW w:w="800" w:type="dxa"/>
            <w:vAlign w:val="bottom"/>
            <w:gridSpan w:val="4"/>
            <w:shd w:val="clear" w:color="auto" w:fill="B8CCE4"/>
          </w:tcPr>
          <w:p>
            <w:pPr>
              <w:jc w:val="right"/>
              <w:ind w:right="40"/>
              <w:spacing w:after="0"/>
              <w:rPr>
                <w:sz w:val="20"/>
                <w:szCs w:val="20"/>
                <w:color w:val="auto"/>
              </w:rPr>
            </w:pPr>
            <w:r>
              <w:rPr>
                <w:rFonts w:ascii="Arial" w:cs="Arial" w:eastAsia="Arial" w:hAnsi="Arial"/>
                <w:sz w:val="14"/>
                <w:szCs w:val="14"/>
                <w:color w:val="auto"/>
              </w:rPr>
              <w:t>7,500</w:t>
            </w:r>
          </w:p>
        </w:tc>
        <w:tc>
          <w:tcPr>
            <w:tcW w:w="1080" w:type="dxa"/>
            <w:vAlign w:val="bottom"/>
            <w:gridSpan w:val="2"/>
            <w:shd w:val="clear" w:color="auto" w:fill="B8CCE4"/>
          </w:tcPr>
          <w:p>
            <w:pPr>
              <w:jc w:val="right"/>
              <w:spacing w:after="0"/>
              <w:rPr>
                <w:sz w:val="20"/>
                <w:szCs w:val="20"/>
                <w:color w:val="auto"/>
              </w:rPr>
            </w:pPr>
            <w:r>
              <w:rPr>
                <w:rFonts w:ascii="Arial" w:cs="Arial" w:eastAsia="Arial" w:hAnsi="Arial"/>
                <w:sz w:val="14"/>
                <w:szCs w:val="14"/>
                <w:color w:val="auto"/>
              </w:rPr>
              <w:t>336,975</w:t>
            </w:r>
          </w:p>
        </w:tc>
        <w:tc>
          <w:tcPr>
            <w:tcW w:w="60" w:type="dxa"/>
            <w:vAlign w:val="bottom"/>
            <w:shd w:val="clear" w:color="auto" w:fill="B8CCE4"/>
          </w:tcPr>
          <w:p>
            <w:pPr>
              <w:spacing w:after="0"/>
              <w:rPr>
                <w:sz w:val="16"/>
                <w:szCs w:val="16"/>
                <w:color w:val="auto"/>
              </w:rPr>
            </w:pPr>
          </w:p>
        </w:tc>
        <w:tc>
          <w:tcPr>
            <w:tcW w:w="60" w:type="dxa"/>
            <w:vAlign w:val="bottom"/>
            <w:shd w:val="clear" w:color="auto" w:fill="B8CCE4"/>
          </w:tcPr>
          <w:p>
            <w:pPr>
              <w:spacing w:after="0"/>
              <w:rPr>
                <w:sz w:val="16"/>
                <w:szCs w:val="16"/>
                <w:color w:val="auto"/>
              </w:rPr>
            </w:pPr>
          </w:p>
        </w:tc>
        <w:tc>
          <w:tcPr>
            <w:tcW w:w="920" w:type="dxa"/>
            <w:vAlign w:val="bottom"/>
            <w:shd w:val="clear" w:color="auto" w:fill="B8CCE4"/>
          </w:tcPr>
          <w:p>
            <w:pPr>
              <w:spacing w:after="0"/>
              <w:rPr>
                <w:sz w:val="16"/>
                <w:szCs w:val="16"/>
                <w:color w:val="auto"/>
              </w:rPr>
            </w:pPr>
          </w:p>
        </w:tc>
        <w:tc>
          <w:tcPr>
            <w:tcW w:w="40" w:type="dxa"/>
            <w:vAlign w:val="bottom"/>
            <w:shd w:val="clear" w:color="auto" w:fill="B8CCE4"/>
          </w:tcPr>
          <w:p>
            <w:pPr>
              <w:spacing w:after="0"/>
              <w:rPr>
                <w:sz w:val="16"/>
                <w:szCs w:val="16"/>
                <w:color w:val="auto"/>
              </w:rPr>
            </w:pPr>
          </w:p>
        </w:tc>
        <w:tc>
          <w:tcPr>
            <w:tcW w:w="120" w:type="dxa"/>
            <w:vAlign w:val="bottom"/>
            <w:shd w:val="clear" w:color="auto" w:fill="B8CCE4"/>
          </w:tcPr>
          <w:p>
            <w:pPr>
              <w:spacing w:after="0"/>
              <w:rPr>
                <w:sz w:val="16"/>
                <w:szCs w:val="16"/>
                <w:color w:val="auto"/>
              </w:rPr>
            </w:pPr>
          </w:p>
        </w:tc>
        <w:tc>
          <w:tcPr>
            <w:tcW w:w="920" w:type="dxa"/>
            <w:vAlign w:val="bottom"/>
            <w:shd w:val="clear" w:color="auto" w:fill="B8CCE4"/>
          </w:tcPr>
          <w:p>
            <w:pPr>
              <w:spacing w:after="0"/>
              <w:rPr>
                <w:sz w:val="16"/>
                <w:szCs w:val="16"/>
                <w:color w:val="auto"/>
              </w:rPr>
            </w:pPr>
          </w:p>
        </w:tc>
        <w:tc>
          <w:tcPr>
            <w:tcW w:w="100" w:type="dxa"/>
            <w:vAlign w:val="bottom"/>
            <w:shd w:val="clear" w:color="auto" w:fill="B8CCE4"/>
          </w:tcPr>
          <w:p>
            <w:pPr>
              <w:spacing w:after="0"/>
              <w:rPr>
                <w:sz w:val="16"/>
                <w:szCs w:val="16"/>
                <w:color w:val="auto"/>
              </w:rPr>
            </w:pPr>
          </w:p>
        </w:tc>
      </w:tr>
      <w:tr>
        <w:trPr>
          <w:trHeight w:val="189"/>
        </w:trPr>
        <w:tc>
          <w:tcPr>
            <w:tcW w:w="2300" w:type="dxa"/>
            <w:vAlign w:val="bottom"/>
            <w:shd w:val="clear" w:color="auto" w:fill="B8CCE4"/>
          </w:tcPr>
          <w:p>
            <w:pPr>
              <w:spacing w:after="0"/>
              <w:rPr>
                <w:sz w:val="16"/>
                <w:szCs w:val="16"/>
                <w:color w:val="auto"/>
              </w:rPr>
            </w:pPr>
          </w:p>
        </w:tc>
        <w:tc>
          <w:tcPr>
            <w:tcW w:w="60" w:type="dxa"/>
            <w:vAlign w:val="bottom"/>
            <w:shd w:val="clear" w:color="auto" w:fill="B8CCE4"/>
          </w:tcPr>
          <w:p>
            <w:pPr>
              <w:spacing w:after="0"/>
              <w:rPr>
                <w:sz w:val="16"/>
                <w:szCs w:val="16"/>
                <w:color w:val="auto"/>
              </w:rPr>
            </w:pPr>
          </w:p>
        </w:tc>
        <w:tc>
          <w:tcPr>
            <w:tcW w:w="60" w:type="dxa"/>
            <w:vAlign w:val="bottom"/>
            <w:shd w:val="clear" w:color="auto" w:fill="B8CCE4"/>
          </w:tcPr>
          <w:p>
            <w:pPr>
              <w:spacing w:after="0"/>
              <w:rPr>
                <w:sz w:val="16"/>
                <w:szCs w:val="16"/>
                <w:color w:val="auto"/>
              </w:rPr>
            </w:pPr>
          </w:p>
        </w:tc>
        <w:tc>
          <w:tcPr>
            <w:tcW w:w="1200" w:type="dxa"/>
            <w:vAlign w:val="bottom"/>
            <w:shd w:val="clear" w:color="auto" w:fill="B8CCE4"/>
          </w:tcPr>
          <w:p>
            <w:pPr>
              <w:spacing w:after="0"/>
              <w:rPr>
                <w:sz w:val="16"/>
                <w:szCs w:val="16"/>
                <w:color w:val="auto"/>
              </w:rPr>
            </w:pPr>
          </w:p>
        </w:tc>
        <w:tc>
          <w:tcPr>
            <w:tcW w:w="60" w:type="dxa"/>
            <w:vAlign w:val="bottom"/>
            <w:shd w:val="clear" w:color="auto" w:fill="B8CCE4"/>
          </w:tcPr>
          <w:p>
            <w:pPr>
              <w:spacing w:after="0"/>
              <w:rPr>
                <w:sz w:val="16"/>
                <w:szCs w:val="16"/>
                <w:color w:val="auto"/>
              </w:rPr>
            </w:pPr>
          </w:p>
        </w:tc>
        <w:tc>
          <w:tcPr>
            <w:tcW w:w="60" w:type="dxa"/>
            <w:vAlign w:val="bottom"/>
            <w:shd w:val="clear" w:color="auto" w:fill="B8CCE4"/>
          </w:tcPr>
          <w:p>
            <w:pPr>
              <w:spacing w:after="0"/>
              <w:rPr>
                <w:sz w:val="16"/>
                <w:szCs w:val="16"/>
                <w:color w:val="auto"/>
              </w:rPr>
            </w:pPr>
          </w:p>
        </w:tc>
        <w:tc>
          <w:tcPr>
            <w:tcW w:w="1500" w:type="dxa"/>
            <w:vAlign w:val="bottom"/>
            <w:shd w:val="clear" w:color="auto" w:fill="B8CCE4"/>
          </w:tcPr>
          <w:p>
            <w:pPr>
              <w:spacing w:after="0"/>
              <w:rPr>
                <w:sz w:val="16"/>
                <w:szCs w:val="16"/>
                <w:color w:val="auto"/>
              </w:rPr>
            </w:pPr>
          </w:p>
        </w:tc>
        <w:tc>
          <w:tcPr>
            <w:tcW w:w="100" w:type="dxa"/>
            <w:vAlign w:val="bottom"/>
            <w:shd w:val="clear" w:color="auto" w:fill="B8CCE4"/>
          </w:tcPr>
          <w:p>
            <w:pPr>
              <w:spacing w:after="0"/>
              <w:rPr>
                <w:sz w:val="16"/>
                <w:szCs w:val="16"/>
                <w:color w:val="auto"/>
              </w:rPr>
            </w:pPr>
          </w:p>
        </w:tc>
        <w:tc>
          <w:tcPr>
            <w:tcW w:w="800" w:type="dxa"/>
            <w:vAlign w:val="bottom"/>
            <w:shd w:val="clear" w:color="auto" w:fill="B8CCE4"/>
          </w:tcPr>
          <w:p>
            <w:pPr>
              <w:spacing w:after="0"/>
              <w:rPr>
                <w:sz w:val="16"/>
                <w:szCs w:val="16"/>
                <w:color w:val="auto"/>
              </w:rPr>
            </w:pPr>
          </w:p>
        </w:tc>
        <w:tc>
          <w:tcPr>
            <w:tcW w:w="60" w:type="dxa"/>
            <w:vAlign w:val="bottom"/>
            <w:shd w:val="clear" w:color="auto" w:fill="B8CCE4"/>
          </w:tcPr>
          <w:p>
            <w:pPr>
              <w:spacing w:after="0"/>
              <w:rPr>
                <w:sz w:val="16"/>
                <w:szCs w:val="16"/>
                <w:color w:val="auto"/>
              </w:rPr>
            </w:pPr>
          </w:p>
        </w:tc>
        <w:tc>
          <w:tcPr>
            <w:tcW w:w="40" w:type="dxa"/>
            <w:vAlign w:val="bottom"/>
            <w:shd w:val="clear" w:color="auto" w:fill="B8CCE4"/>
          </w:tcPr>
          <w:p>
            <w:pPr>
              <w:spacing w:after="0"/>
              <w:rPr>
                <w:sz w:val="16"/>
                <w:szCs w:val="16"/>
                <w:color w:val="auto"/>
              </w:rPr>
            </w:pPr>
          </w:p>
        </w:tc>
        <w:tc>
          <w:tcPr>
            <w:tcW w:w="980" w:type="dxa"/>
            <w:vAlign w:val="bottom"/>
            <w:shd w:val="clear" w:color="auto" w:fill="B8CCE4"/>
          </w:tcPr>
          <w:p>
            <w:pPr>
              <w:spacing w:after="0"/>
              <w:rPr>
                <w:sz w:val="16"/>
                <w:szCs w:val="16"/>
                <w:color w:val="auto"/>
              </w:rPr>
            </w:pPr>
          </w:p>
        </w:tc>
        <w:tc>
          <w:tcPr>
            <w:tcW w:w="60" w:type="dxa"/>
            <w:vAlign w:val="bottom"/>
            <w:shd w:val="clear" w:color="auto" w:fill="B8CCE4"/>
          </w:tcPr>
          <w:p>
            <w:pPr>
              <w:spacing w:after="0"/>
              <w:rPr>
                <w:sz w:val="16"/>
                <w:szCs w:val="16"/>
                <w:color w:val="auto"/>
              </w:rPr>
            </w:pPr>
          </w:p>
        </w:tc>
        <w:tc>
          <w:tcPr>
            <w:tcW w:w="40" w:type="dxa"/>
            <w:vAlign w:val="bottom"/>
            <w:shd w:val="clear" w:color="auto" w:fill="B8CCE4"/>
          </w:tcPr>
          <w:p>
            <w:pPr>
              <w:spacing w:after="0"/>
              <w:rPr>
                <w:sz w:val="16"/>
                <w:szCs w:val="16"/>
                <w:color w:val="auto"/>
              </w:rPr>
            </w:pPr>
          </w:p>
        </w:tc>
        <w:tc>
          <w:tcPr>
            <w:tcW w:w="800" w:type="dxa"/>
            <w:vAlign w:val="bottom"/>
            <w:gridSpan w:val="4"/>
            <w:shd w:val="clear" w:color="auto" w:fill="B8CCE4"/>
          </w:tcPr>
          <w:p>
            <w:pPr>
              <w:jc w:val="right"/>
              <w:ind w:right="40"/>
              <w:spacing w:after="0"/>
              <w:rPr>
                <w:sz w:val="20"/>
                <w:szCs w:val="20"/>
                <w:color w:val="auto"/>
              </w:rPr>
            </w:pPr>
            <w:r>
              <w:rPr>
                <w:rFonts w:ascii="Arial" w:cs="Arial" w:eastAsia="Arial" w:hAnsi="Arial"/>
                <w:sz w:val="14"/>
                <w:szCs w:val="14"/>
                <w:color w:val="auto"/>
              </w:rPr>
              <w:t>1,249</w:t>
            </w:r>
          </w:p>
        </w:tc>
        <w:tc>
          <w:tcPr>
            <w:tcW w:w="1080" w:type="dxa"/>
            <w:vAlign w:val="bottom"/>
            <w:gridSpan w:val="2"/>
            <w:shd w:val="clear" w:color="auto" w:fill="B8CCE4"/>
          </w:tcPr>
          <w:p>
            <w:pPr>
              <w:jc w:val="right"/>
              <w:spacing w:after="0"/>
              <w:rPr>
                <w:sz w:val="20"/>
                <w:szCs w:val="20"/>
                <w:color w:val="auto"/>
              </w:rPr>
            </w:pPr>
            <w:r>
              <w:rPr>
                <w:rFonts w:ascii="Arial" w:cs="Arial" w:eastAsia="Arial" w:hAnsi="Arial"/>
                <w:sz w:val="14"/>
                <w:szCs w:val="14"/>
                <w:color w:val="auto"/>
              </w:rPr>
              <w:t>56,118</w:t>
            </w:r>
          </w:p>
        </w:tc>
        <w:tc>
          <w:tcPr>
            <w:tcW w:w="60" w:type="dxa"/>
            <w:vAlign w:val="bottom"/>
            <w:shd w:val="clear" w:color="auto" w:fill="B8CCE4"/>
          </w:tcPr>
          <w:p>
            <w:pPr>
              <w:spacing w:after="0"/>
              <w:rPr>
                <w:sz w:val="16"/>
                <w:szCs w:val="16"/>
                <w:color w:val="auto"/>
              </w:rPr>
            </w:pPr>
          </w:p>
        </w:tc>
        <w:tc>
          <w:tcPr>
            <w:tcW w:w="980" w:type="dxa"/>
            <w:vAlign w:val="bottom"/>
            <w:gridSpan w:val="2"/>
            <w:shd w:val="clear" w:color="auto" w:fill="B8CCE4"/>
          </w:tcPr>
          <w:p>
            <w:pPr>
              <w:jc w:val="right"/>
              <w:spacing w:after="0"/>
              <w:rPr>
                <w:sz w:val="20"/>
                <w:szCs w:val="20"/>
                <w:color w:val="auto"/>
              </w:rPr>
            </w:pPr>
            <w:r>
              <w:rPr>
                <w:rFonts w:ascii="Arial" w:cs="Arial" w:eastAsia="Arial" w:hAnsi="Arial"/>
                <w:sz w:val="14"/>
                <w:szCs w:val="14"/>
                <w:color w:val="auto"/>
              </w:rPr>
              <w:t>2,501</w:t>
            </w:r>
          </w:p>
        </w:tc>
        <w:tc>
          <w:tcPr>
            <w:tcW w:w="40" w:type="dxa"/>
            <w:vAlign w:val="bottom"/>
            <w:shd w:val="clear" w:color="auto" w:fill="B8CCE4"/>
          </w:tcPr>
          <w:p>
            <w:pPr>
              <w:spacing w:after="0"/>
              <w:rPr>
                <w:sz w:val="16"/>
                <w:szCs w:val="16"/>
                <w:color w:val="auto"/>
              </w:rPr>
            </w:pPr>
          </w:p>
        </w:tc>
        <w:tc>
          <w:tcPr>
            <w:tcW w:w="1140" w:type="dxa"/>
            <w:vAlign w:val="bottom"/>
            <w:gridSpan w:val="3"/>
            <w:shd w:val="clear" w:color="auto" w:fill="B8CCE4"/>
          </w:tcPr>
          <w:p>
            <w:pPr>
              <w:jc w:val="right"/>
              <w:ind w:right="100"/>
              <w:spacing w:after="0"/>
              <w:rPr>
                <w:sz w:val="20"/>
                <w:szCs w:val="20"/>
                <w:color w:val="auto"/>
              </w:rPr>
            </w:pPr>
            <w:r>
              <w:rPr>
                <w:rFonts w:ascii="Arial" w:cs="Arial" w:eastAsia="Arial" w:hAnsi="Arial"/>
                <w:sz w:val="14"/>
                <w:szCs w:val="14"/>
                <w:color w:val="auto"/>
              </w:rPr>
              <w:t>112,370</w:t>
            </w:r>
          </w:p>
        </w:tc>
      </w:tr>
      <w:tr>
        <w:trPr>
          <w:trHeight w:val="189"/>
        </w:trPr>
        <w:tc>
          <w:tcPr>
            <w:tcW w:w="2300" w:type="dxa"/>
            <w:vAlign w:val="bottom"/>
            <w:shd w:val="clear" w:color="auto" w:fill="B8CCE4"/>
          </w:tcPr>
          <w:p>
            <w:pPr>
              <w:spacing w:after="0"/>
              <w:rPr>
                <w:sz w:val="16"/>
                <w:szCs w:val="16"/>
                <w:color w:val="auto"/>
              </w:rPr>
            </w:pPr>
          </w:p>
        </w:tc>
        <w:tc>
          <w:tcPr>
            <w:tcW w:w="60" w:type="dxa"/>
            <w:vAlign w:val="bottom"/>
            <w:shd w:val="clear" w:color="auto" w:fill="B8CCE4"/>
          </w:tcPr>
          <w:p>
            <w:pPr>
              <w:spacing w:after="0"/>
              <w:rPr>
                <w:sz w:val="16"/>
                <w:szCs w:val="16"/>
                <w:color w:val="auto"/>
              </w:rPr>
            </w:pPr>
          </w:p>
        </w:tc>
        <w:tc>
          <w:tcPr>
            <w:tcW w:w="60" w:type="dxa"/>
            <w:vAlign w:val="bottom"/>
            <w:shd w:val="clear" w:color="auto" w:fill="B8CCE4"/>
          </w:tcPr>
          <w:p>
            <w:pPr>
              <w:spacing w:after="0"/>
              <w:rPr>
                <w:sz w:val="16"/>
                <w:szCs w:val="16"/>
                <w:color w:val="auto"/>
              </w:rPr>
            </w:pPr>
          </w:p>
        </w:tc>
        <w:tc>
          <w:tcPr>
            <w:tcW w:w="1200" w:type="dxa"/>
            <w:vAlign w:val="bottom"/>
            <w:shd w:val="clear" w:color="auto" w:fill="B8CCE4"/>
          </w:tcPr>
          <w:p>
            <w:pPr>
              <w:spacing w:after="0"/>
              <w:rPr>
                <w:sz w:val="16"/>
                <w:szCs w:val="16"/>
                <w:color w:val="auto"/>
              </w:rPr>
            </w:pPr>
          </w:p>
        </w:tc>
        <w:tc>
          <w:tcPr>
            <w:tcW w:w="60" w:type="dxa"/>
            <w:vAlign w:val="bottom"/>
            <w:shd w:val="clear" w:color="auto" w:fill="B8CCE4"/>
          </w:tcPr>
          <w:p>
            <w:pPr>
              <w:spacing w:after="0"/>
              <w:rPr>
                <w:sz w:val="16"/>
                <w:szCs w:val="16"/>
                <w:color w:val="auto"/>
              </w:rPr>
            </w:pPr>
          </w:p>
        </w:tc>
        <w:tc>
          <w:tcPr>
            <w:tcW w:w="60" w:type="dxa"/>
            <w:vAlign w:val="bottom"/>
            <w:shd w:val="clear" w:color="auto" w:fill="B8CCE4"/>
          </w:tcPr>
          <w:p>
            <w:pPr>
              <w:spacing w:after="0"/>
              <w:rPr>
                <w:sz w:val="16"/>
                <w:szCs w:val="16"/>
                <w:color w:val="auto"/>
              </w:rPr>
            </w:pPr>
          </w:p>
        </w:tc>
        <w:tc>
          <w:tcPr>
            <w:tcW w:w="1500" w:type="dxa"/>
            <w:vAlign w:val="bottom"/>
            <w:shd w:val="clear" w:color="auto" w:fill="B8CCE4"/>
          </w:tcPr>
          <w:p>
            <w:pPr>
              <w:spacing w:after="0"/>
              <w:rPr>
                <w:sz w:val="16"/>
                <w:szCs w:val="16"/>
                <w:color w:val="auto"/>
              </w:rPr>
            </w:pPr>
          </w:p>
        </w:tc>
        <w:tc>
          <w:tcPr>
            <w:tcW w:w="100" w:type="dxa"/>
            <w:vAlign w:val="bottom"/>
            <w:shd w:val="clear" w:color="auto" w:fill="B8CCE4"/>
          </w:tcPr>
          <w:p>
            <w:pPr>
              <w:spacing w:after="0"/>
              <w:rPr>
                <w:sz w:val="16"/>
                <w:szCs w:val="16"/>
                <w:color w:val="auto"/>
              </w:rPr>
            </w:pPr>
          </w:p>
        </w:tc>
        <w:tc>
          <w:tcPr>
            <w:tcW w:w="800" w:type="dxa"/>
            <w:vAlign w:val="bottom"/>
            <w:shd w:val="clear" w:color="auto" w:fill="B8CCE4"/>
          </w:tcPr>
          <w:p>
            <w:pPr>
              <w:spacing w:after="0"/>
              <w:rPr>
                <w:sz w:val="16"/>
                <w:szCs w:val="16"/>
                <w:color w:val="auto"/>
              </w:rPr>
            </w:pPr>
          </w:p>
        </w:tc>
        <w:tc>
          <w:tcPr>
            <w:tcW w:w="60" w:type="dxa"/>
            <w:vAlign w:val="bottom"/>
            <w:shd w:val="clear" w:color="auto" w:fill="B8CCE4"/>
          </w:tcPr>
          <w:p>
            <w:pPr>
              <w:spacing w:after="0"/>
              <w:rPr>
                <w:sz w:val="16"/>
                <w:szCs w:val="16"/>
                <w:color w:val="auto"/>
              </w:rPr>
            </w:pPr>
          </w:p>
        </w:tc>
        <w:tc>
          <w:tcPr>
            <w:tcW w:w="40" w:type="dxa"/>
            <w:vAlign w:val="bottom"/>
            <w:shd w:val="clear" w:color="auto" w:fill="B8CCE4"/>
          </w:tcPr>
          <w:p>
            <w:pPr>
              <w:spacing w:after="0"/>
              <w:rPr>
                <w:sz w:val="16"/>
                <w:szCs w:val="16"/>
                <w:color w:val="auto"/>
              </w:rPr>
            </w:pPr>
          </w:p>
        </w:tc>
        <w:tc>
          <w:tcPr>
            <w:tcW w:w="980" w:type="dxa"/>
            <w:vAlign w:val="bottom"/>
            <w:shd w:val="clear" w:color="auto" w:fill="B8CCE4"/>
          </w:tcPr>
          <w:p>
            <w:pPr>
              <w:spacing w:after="0"/>
              <w:rPr>
                <w:sz w:val="16"/>
                <w:szCs w:val="16"/>
                <w:color w:val="auto"/>
              </w:rPr>
            </w:pPr>
          </w:p>
        </w:tc>
        <w:tc>
          <w:tcPr>
            <w:tcW w:w="60" w:type="dxa"/>
            <w:vAlign w:val="bottom"/>
            <w:shd w:val="clear" w:color="auto" w:fill="B8CCE4"/>
          </w:tcPr>
          <w:p>
            <w:pPr>
              <w:spacing w:after="0"/>
              <w:rPr>
                <w:sz w:val="16"/>
                <w:szCs w:val="16"/>
                <w:color w:val="auto"/>
              </w:rPr>
            </w:pPr>
          </w:p>
        </w:tc>
        <w:tc>
          <w:tcPr>
            <w:tcW w:w="40" w:type="dxa"/>
            <w:vAlign w:val="bottom"/>
            <w:shd w:val="clear" w:color="auto" w:fill="B8CCE4"/>
          </w:tcPr>
          <w:p>
            <w:pPr>
              <w:spacing w:after="0"/>
              <w:rPr>
                <w:sz w:val="16"/>
                <w:szCs w:val="16"/>
                <w:color w:val="auto"/>
              </w:rPr>
            </w:pPr>
          </w:p>
        </w:tc>
        <w:tc>
          <w:tcPr>
            <w:tcW w:w="60" w:type="dxa"/>
            <w:vAlign w:val="bottom"/>
            <w:shd w:val="clear" w:color="auto" w:fill="B8CCE4"/>
          </w:tcPr>
          <w:p>
            <w:pPr>
              <w:spacing w:after="0"/>
              <w:rPr>
                <w:sz w:val="16"/>
                <w:szCs w:val="16"/>
                <w:color w:val="auto"/>
              </w:rPr>
            </w:pPr>
          </w:p>
        </w:tc>
        <w:tc>
          <w:tcPr>
            <w:tcW w:w="60" w:type="dxa"/>
            <w:vAlign w:val="bottom"/>
            <w:shd w:val="clear" w:color="auto" w:fill="B8CCE4"/>
          </w:tcPr>
          <w:p>
            <w:pPr>
              <w:spacing w:after="0"/>
              <w:rPr>
                <w:sz w:val="16"/>
                <w:szCs w:val="16"/>
                <w:color w:val="auto"/>
              </w:rPr>
            </w:pPr>
          </w:p>
        </w:tc>
        <w:tc>
          <w:tcPr>
            <w:tcW w:w="640" w:type="dxa"/>
            <w:vAlign w:val="bottom"/>
            <w:shd w:val="clear" w:color="auto" w:fill="B8CCE4"/>
          </w:tcPr>
          <w:p>
            <w:pPr>
              <w:spacing w:after="0"/>
              <w:rPr>
                <w:sz w:val="16"/>
                <w:szCs w:val="16"/>
                <w:color w:val="auto"/>
              </w:rPr>
            </w:pPr>
          </w:p>
        </w:tc>
        <w:tc>
          <w:tcPr>
            <w:tcW w:w="40" w:type="dxa"/>
            <w:vAlign w:val="bottom"/>
            <w:shd w:val="clear" w:color="auto" w:fill="B8CCE4"/>
          </w:tcPr>
          <w:p>
            <w:pPr>
              <w:spacing w:after="0"/>
              <w:rPr>
                <w:sz w:val="16"/>
                <w:szCs w:val="16"/>
                <w:color w:val="auto"/>
              </w:rPr>
            </w:pPr>
          </w:p>
        </w:tc>
        <w:tc>
          <w:tcPr>
            <w:tcW w:w="60" w:type="dxa"/>
            <w:vAlign w:val="bottom"/>
            <w:shd w:val="clear" w:color="auto" w:fill="B8CCE4"/>
          </w:tcPr>
          <w:p>
            <w:pPr>
              <w:spacing w:after="0"/>
              <w:rPr>
                <w:sz w:val="16"/>
                <w:szCs w:val="16"/>
                <w:color w:val="auto"/>
              </w:rPr>
            </w:pPr>
          </w:p>
        </w:tc>
        <w:tc>
          <w:tcPr>
            <w:tcW w:w="1020" w:type="dxa"/>
            <w:vAlign w:val="bottom"/>
            <w:shd w:val="clear" w:color="auto" w:fill="B8CCE4"/>
          </w:tcPr>
          <w:p>
            <w:pPr>
              <w:spacing w:after="0"/>
              <w:rPr>
                <w:sz w:val="16"/>
                <w:szCs w:val="16"/>
                <w:color w:val="auto"/>
              </w:rPr>
            </w:pPr>
          </w:p>
        </w:tc>
        <w:tc>
          <w:tcPr>
            <w:tcW w:w="60" w:type="dxa"/>
            <w:vAlign w:val="bottom"/>
            <w:shd w:val="clear" w:color="auto" w:fill="B8CCE4"/>
          </w:tcPr>
          <w:p>
            <w:pPr>
              <w:spacing w:after="0"/>
              <w:rPr>
                <w:sz w:val="16"/>
                <w:szCs w:val="16"/>
                <w:color w:val="auto"/>
              </w:rPr>
            </w:pPr>
          </w:p>
        </w:tc>
        <w:tc>
          <w:tcPr>
            <w:tcW w:w="980" w:type="dxa"/>
            <w:vAlign w:val="bottom"/>
            <w:gridSpan w:val="2"/>
            <w:shd w:val="clear" w:color="auto" w:fill="B8CCE4"/>
          </w:tcPr>
          <w:p>
            <w:pPr>
              <w:jc w:val="right"/>
              <w:spacing w:after="0"/>
              <w:rPr>
                <w:sz w:val="20"/>
                <w:szCs w:val="20"/>
                <w:color w:val="auto"/>
              </w:rPr>
            </w:pPr>
            <w:r>
              <w:rPr>
                <w:rFonts w:ascii="Arial" w:cs="Arial" w:eastAsia="Arial" w:hAnsi="Arial"/>
                <w:sz w:val="14"/>
                <w:szCs w:val="14"/>
                <w:color w:val="auto"/>
              </w:rPr>
              <w:t>3,750</w:t>
            </w:r>
          </w:p>
        </w:tc>
        <w:tc>
          <w:tcPr>
            <w:tcW w:w="40" w:type="dxa"/>
            <w:vAlign w:val="bottom"/>
            <w:shd w:val="clear" w:color="auto" w:fill="B8CCE4"/>
          </w:tcPr>
          <w:p>
            <w:pPr>
              <w:spacing w:after="0"/>
              <w:rPr>
                <w:sz w:val="16"/>
                <w:szCs w:val="16"/>
                <w:color w:val="auto"/>
              </w:rPr>
            </w:pPr>
          </w:p>
        </w:tc>
        <w:tc>
          <w:tcPr>
            <w:tcW w:w="1140" w:type="dxa"/>
            <w:vAlign w:val="bottom"/>
            <w:gridSpan w:val="3"/>
            <w:shd w:val="clear" w:color="auto" w:fill="B8CCE4"/>
          </w:tcPr>
          <w:p>
            <w:pPr>
              <w:jc w:val="right"/>
              <w:ind w:right="100"/>
              <w:spacing w:after="0"/>
              <w:rPr>
                <w:sz w:val="20"/>
                <w:szCs w:val="20"/>
                <w:color w:val="auto"/>
              </w:rPr>
            </w:pPr>
            <w:r>
              <w:rPr>
                <w:rFonts w:ascii="Arial" w:cs="Arial" w:eastAsia="Arial" w:hAnsi="Arial"/>
                <w:sz w:val="14"/>
                <w:szCs w:val="14"/>
                <w:color w:val="auto"/>
              </w:rPr>
              <w:t>168,488</w:t>
            </w:r>
          </w:p>
        </w:tc>
      </w:tr>
    </w:tbl>
    <w:p>
      <w:pPr>
        <w:spacing w:after="0" w:line="207" w:lineRule="exact"/>
        <w:rPr>
          <w:sz w:val="20"/>
          <w:szCs w:val="20"/>
          <w:color w:val="auto"/>
        </w:rPr>
      </w:pPr>
    </w:p>
    <w:p>
      <w:pPr>
        <w:ind w:left="660" w:right="660" w:hanging="328"/>
        <w:spacing w:after="0" w:line="258" w:lineRule="auto"/>
        <w:tabs>
          <w:tab w:leader="none" w:pos="6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stock option awards in this table became or will become vested and exercisable in accordance with the following schedules (generally subject to continued employment through each applicable vesting date):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6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Option</w:t>
            </w:r>
          </w:p>
        </w:tc>
        <w:tc>
          <w:tcPr>
            <w:tcW w:w="460" w:type="dxa"/>
            <w:vAlign w:val="bottom"/>
            <w:shd w:val="clear" w:color="auto" w:fill="5591C7"/>
          </w:tcPr>
          <w:p>
            <w:pPr>
              <w:spacing w:after="0"/>
              <w:rPr>
                <w:sz w:val="14"/>
                <w:szCs w:val="14"/>
                <w:color w:val="auto"/>
              </w:rPr>
            </w:pPr>
          </w:p>
        </w:tc>
        <w:tc>
          <w:tcPr>
            <w:tcW w:w="88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r>
      <w:tr>
        <w:trPr>
          <w:trHeight w:val="162"/>
        </w:trPr>
        <w:tc>
          <w:tcPr>
            <w:tcW w:w="206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Expiration Date</w:t>
            </w:r>
          </w:p>
        </w:tc>
        <w:tc>
          <w:tcPr>
            <w:tcW w:w="460" w:type="dxa"/>
            <w:vAlign w:val="bottom"/>
            <w:shd w:val="clear" w:color="auto" w:fill="5591C7"/>
          </w:tcPr>
          <w:p>
            <w:pPr>
              <w:spacing w:after="0"/>
              <w:rPr>
                <w:sz w:val="14"/>
                <w:szCs w:val="14"/>
                <w:color w:val="auto"/>
              </w:rPr>
            </w:pPr>
          </w:p>
        </w:tc>
        <w:tc>
          <w:tcPr>
            <w:tcW w:w="88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r>
      <w:tr>
        <w:trPr>
          <w:trHeight w:val="182"/>
        </w:trPr>
        <w:tc>
          <w:tcPr>
            <w:tcW w:w="206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(mm/dd/yyyy)</w:t>
            </w:r>
          </w:p>
        </w:tc>
        <w:tc>
          <w:tcPr>
            <w:tcW w:w="460" w:type="dxa"/>
            <w:vAlign w:val="bottom"/>
            <w:tcBorders>
              <w:bottom w:val="single" w:sz="8" w:color="5591C7"/>
            </w:tcBorders>
            <w:shd w:val="clear" w:color="auto" w:fill="5591C7"/>
          </w:tcPr>
          <w:p>
            <w:pPr>
              <w:spacing w:after="0"/>
              <w:rPr>
                <w:sz w:val="15"/>
                <w:szCs w:val="15"/>
                <w:color w:val="auto"/>
              </w:rPr>
            </w:pPr>
          </w:p>
        </w:tc>
        <w:tc>
          <w:tcPr>
            <w:tcW w:w="8800" w:type="dxa"/>
            <w:vAlign w:val="bottom"/>
            <w:tcBorders>
              <w:bottom w:val="single" w:sz="8" w:color="auto"/>
            </w:tcBorders>
            <w:shd w:val="clear" w:color="auto" w:fill="5591C7"/>
          </w:tcPr>
          <w:p>
            <w:pPr>
              <w:ind w:left="3200"/>
              <w:spacing w:after="0"/>
              <w:rPr>
                <w:sz w:val="20"/>
                <w:szCs w:val="20"/>
                <w:color w:val="auto"/>
              </w:rPr>
            </w:pPr>
            <w:r>
              <w:rPr>
                <w:rFonts w:ascii="Arial" w:cs="Arial" w:eastAsia="Arial" w:hAnsi="Arial"/>
                <w:sz w:val="14"/>
                <w:szCs w:val="14"/>
                <w:b w:val="1"/>
                <w:bCs w:val="1"/>
                <w:color w:val="auto"/>
              </w:rPr>
              <w:t>Vesting Schedule of Original Grant</w:t>
            </w:r>
          </w:p>
        </w:tc>
        <w:tc>
          <w:tcPr>
            <w:tcW w:w="100" w:type="dxa"/>
            <w:vAlign w:val="bottom"/>
            <w:tcBorders>
              <w:bottom w:val="single" w:sz="8" w:color="5591C7"/>
            </w:tcBorders>
            <w:shd w:val="clear" w:color="auto" w:fill="5591C7"/>
          </w:tcPr>
          <w:p>
            <w:pPr>
              <w:spacing w:after="0"/>
              <w:rPr>
                <w:sz w:val="15"/>
                <w:szCs w:val="15"/>
                <w:color w:val="auto"/>
              </w:rPr>
            </w:pPr>
          </w:p>
        </w:tc>
      </w:tr>
      <w:tr>
        <w:trPr>
          <w:trHeight w:val="180"/>
        </w:trPr>
        <w:tc>
          <w:tcPr>
            <w:tcW w:w="2060" w:type="dxa"/>
            <w:vAlign w:val="bottom"/>
          </w:tcPr>
          <w:p>
            <w:pPr>
              <w:jc w:val="center"/>
              <w:ind w:left="28"/>
              <w:spacing w:after="0"/>
              <w:rPr>
                <w:sz w:val="20"/>
                <w:szCs w:val="20"/>
                <w:color w:val="auto"/>
              </w:rPr>
            </w:pPr>
            <w:r>
              <w:rPr>
                <w:rFonts w:ascii="Arial" w:cs="Arial" w:eastAsia="Arial" w:hAnsi="Arial"/>
                <w:sz w:val="14"/>
                <w:szCs w:val="14"/>
                <w:color w:val="auto"/>
              </w:rPr>
              <w:t>7/26/2016</w:t>
            </w:r>
          </w:p>
        </w:tc>
        <w:tc>
          <w:tcPr>
            <w:tcW w:w="9360" w:type="dxa"/>
            <w:vAlign w:val="bottom"/>
            <w:gridSpan w:val="3"/>
          </w:tcPr>
          <w:p>
            <w:pPr>
              <w:ind w:left="460"/>
              <w:spacing w:after="0"/>
              <w:rPr>
                <w:sz w:val="20"/>
                <w:szCs w:val="20"/>
                <w:color w:val="auto"/>
              </w:rPr>
            </w:pPr>
            <w:r>
              <w:rPr>
                <w:rFonts w:ascii="Arial" w:cs="Arial" w:eastAsia="Arial" w:hAnsi="Arial"/>
                <w:sz w:val="14"/>
                <w:szCs w:val="14"/>
                <w:color w:val="auto"/>
              </w:rPr>
              <w:t>For Mr. Kapoor, 25% of the options vested on each of November 14, 2006, November 14, 2007, November 14, 2008 and November 14,</w:t>
            </w:r>
          </w:p>
        </w:tc>
      </w:tr>
      <w:tr>
        <w:trPr>
          <w:trHeight w:val="171"/>
        </w:trPr>
        <w:tc>
          <w:tcPr>
            <w:tcW w:w="2060" w:type="dxa"/>
            <w:vAlign w:val="bottom"/>
          </w:tcPr>
          <w:p>
            <w:pPr>
              <w:spacing w:after="0"/>
              <w:rPr>
                <w:sz w:val="14"/>
                <w:szCs w:val="14"/>
                <w:color w:val="auto"/>
              </w:rPr>
            </w:pPr>
          </w:p>
        </w:tc>
        <w:tc>
          <w:tcPr>
            <w:tcW w:w="9260" w:type="dxa"/>
            <w:vAlign w:val="bottom"/>
            <w:gridSpan w:val="2"/>
          </w:tcPr>
          <w:p>
            <w:pPr>
              <w:ind w:left="460"/>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r>
      <w:tr>
        <w:trPr>
          <w:trHeight w:val="189"/>
        </w:trPr>
        <w:tc>
          <w:tcPr>
            <w:tcW w:w="2060" w:type="dxa"/>
            <w:vAlign w:val="bottom"/>
            <w:shd w:val="clear" w:color="auto" w:fill="B8CDE8"/>
          </w:tcPr>
          <w:p>
            <w:pPr>
              <w:jc w:val="center"/>
              <w:ind w:left="28"/>
              <w:spacing w:after="0"/>
              <w:rPr>
                <w:sz w:val="20"/>
                <w:szCs w:val="20"/>
                <w:color w:val="auto"/>
              </w:rPr>
            </w:pPr>
            <w:r>
              <w:rPr>
                <w:rFonts w:ascii="Arial" w:cs="Arial" w:eastAsia="Arial" w:hAnsi="Arial"/>
                <w:sz w:val="14"/>
                <w:szCs w:val="14"/>
                <w:color w:val="auto"/>
              </w:rPr>
              <w:t>1/23/2018</w:t>
            </w:r>
          </w:p>
        </w:tc>
        <w:tc>
          <w:tcPr>
            <w:tcW w:w="9360" w:type="dxa"/>
            <w:vAlign w:val="bottom"/>
            <w:gridSpan w:val="3"/>
            <w:shd w:val="clear" w:color="auto" w:fill="B8CDE8"/>
          </w:tcPr>
          <w:p>
            <w:pPr>
              <w:ind w:left="460"/>
              <w:spacing w:after="0"/>
              <w:rPr>
                <w:sz w:val="20"/>
                <w:szCs w:val="20"/>
                <w:color w:val="auto"/>
              </w:rPr>
            </w:pPr>
            <w:r>
              <w:rPr>
                <w:rFonts w:ascii="Arial" w:cs="Arial" w:eastAsia="Arial" w:hAnsi="Arial"/>
                <w:sz w:val="14"/>
                <w:szCs w:val="14"/>
                <w:color w:val="auto"/>
              </w:rPr>
              <w:t>For Mr. Kapoor, 25% of the options vested on each of January 23, 2009, January 23, 2010, January 23, 2011 and January 23, 2012.</w:t>
            </w:r>
          </w:p>
        </w:tc>
      </w:tr>
      <w:tr>
        <w:trPr>
          <w:trHeight w:val="189"/>
        </w:trPr>
        <w:tc>
          <w:tcPr>
            <w:tcW w:w="2060" w:type="dxa"/>
            <w:vAlign w:val="bottom"/>
          </w:tcPr>
          <w:p>
            <w:pPr>
              <w:jc w:val="center"/>
              <w:ind w:left="28"/>
              <w:spacing w:after="0"/>
              <w:rPr>
                <w:sz w:val="20"/>
                <w:szCs w:val="20"/>
                <w:color w:val="auto"/>
              </w:rPr>
            </w:pPr>
            <w:r>
              <w:rPr>
                <w:rFonts w:ascii="Arial" w:cs="Arial" w:eastAsia="Arial" w:hAnsi="Arial"/>
                <w:sz w:val="14"/>
                <w:szCs w:val="14"/>
                <w:color w:val="auto"/>
              </w:rPr>
              <w:t>2/10/2019</w:t>
            </w:r>
          </w:p>
        </w:tc>
        <w:tc>
          <w:tcPr>
            <w:tcW w:w="9360" w:type="dxa"/>
            <w:vAlign w:val="bottom"/>
            <w:gridSpan w:val="3"/>
          </w:tcPr>
          <w:p>
            <w:pPr>
              <w:ind w:left="460"/>
              <w:spacing w:after="0"/>
              <w:rPr>
                <w:sz w:val="20"/>
                <w:szCs w:val="20"/>
                <w:color w:val="auto"/>
              </w:rPr>
            </w:pPr>
            <w:r>
              <w:rPr>
                <w:rFonts w:ascii="Arial" w:cs="Arial" w:eastAsia="Arial" w:hAnsi="Arial"/>
                <w:sz w:val="14"/>
                <w:szCs w:val="14"/>
                <w:color w:val="auto"/>
              </w:rPr>
              <w:t>For Mr. Kapoor, 25% of the options vested on each of February 10, 2010, February 10, 2011, February 10, 2012 and February 10, 2013.</w:t>
            </w:r>
          </w:p>
        </w:tc>
      </w:tr>
      <w:tr>
        <w:trPr>
          <w:trHeight w:val="180"/>
        </w:trPr>
        <w:tc>
          <w:tcPr>
            <w:tcW w:w="2060" w:type="dxa"/>
            <w:vAlign w:val="bottom"/>
            <w:shd w:val="clear" w:color="auto" w:fill="B8CDE8"/>
          </w:tcPr>
          <w:p>
            <w:pPr>
              <w:jc w:val="center"/>
              <w:ind w:left="28"/>
              <w:spacing w:after="0"/>
              <w:rPr>
                <w:sz w:val="20"/>
                <w:szCs w:val="20"/>
                <w:color w:val="auto"/>
              </w:rPr>
            </w:pPr>
            <w:r>
              <w:rPr>
                <w:rFonts w:ascii="Arial" w:cs="Arial" w:eastAsia="Arial" w:hAnsi="Arial"/>
                <w:sz w:val="14"/>
                <w:szCs w:val="14"/>
                <w:color w:val="auto"/>
              </w:rPr>
              <w:t>6/1/2019</w:t>
            </w:r>
          </w:p>
        </w:tc>
        <w:tc>
          <w:tcPr>
            <w:tcW w:w="9360" w:type="dxa"/>
            <w:vAlign w:val="bottom"/>
            <w:gridSpan w:val="3"/>
            <w:shd w:val="clear" w:color="auto" w:fill="B8CDE8"/>
          </w:tcPr>
          <w:p>
            <w:pPr>
              <w:ind w:left="460"/>
              <w:spacing w:after="0"/>
              <w:rPr>
                <w:sz w:val="20"/>
                <w:szCs w:val="20"/>
                <w:color w:val="auto"/>
              </w:rPr>
            </w:pPr>
            <w:r>
              <w:rPr>
                <w:rFonts w:ascii="Arial" w:cs="Arial" w:eastAsia="Arial" w:hAnsi="Arial"/>
                <w:sz w:val="14"/>
                <w:szCs w:val="14"/>
                <w:color w:val="auto"/>
              </w:rPr>
              <w:t>For Mr. Chhibbar, 10% of the options vested on June 1, 2010, an additional 20% of the options vested on June 1, 2011, an additional 30%</w:t>
            </w:r>
          </w:p>
        </w:tc>
      </w:tr>
      <w:tr>
        <w:trPr>
          <w:trHeight w:val="171"/>
        </w:trPr>
        <w:tc>
          <w:tcPr>
            <w:tcW w:w="2060" w:type="dxa"/>
            <w:vAlign w:val="bottom"/>
            <w:shd w:val="clear" w:color="auto" w:fill="B8CDE8"/>
          </w:tcPr>
          <w:p>
            <w:pPr>
              <w:spacing w:after="0"/>
              <w:rPr>
                <w:sz w:val="14"/>
                <w:szCs w:val="14"/>
                <w:color w:val="auto"/>
              </w:rPr>
            </w:pPr>
          </w:p>
        </w:tc>
        <w:tc>
          <w:tcPr>
            <w:tcW w:w="9360" w:type="dxa"/>
            <w:vAlign w:val="bottom"/>
            <w:gridSpan w:val="3"/>
            <w:shd w:val="clear" w:color="auto" w:fill="B8CDE8"/>
          </w:tcPr>
          <w:p>
            <w:pPr>
              <w:ind w:left="460"/>
              <w:spacing w:after="0"/>
              <w:rPr>
                <w:sz w:val="20"/>
                <w:szCs w:val="20"/>
                <w:color w:val="auto"/>
              </w:rPr>
            </w:pPr>
            <w:r>
              <w:rPr>
                <w:rFonts w:ascii="Arial" w:cs="Arial" w:eastAsia="Arial" w:hAnsi="Arial"/>
                <w:sz w:val="14"/>
                <w:szCs w:val="14"/>
                <w:color w:val="auto"/>
              </w:rPr>
              <w:t>of the options vested on June 1, 2012 and the remaining 40% of the options vested on June 1, 2013.</w:t>
            </w: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62"/>
        </w:trPr>
        <w:tc>
          <w:tcPr>
            <w:tcW w:w="206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Option</w:t>
            </w:r>
          </w:p>
        </w:tc>
        <w:tc>
          <w:tcPr>
            <w:tcW w:w="460" w:type="dxa"/>
            <w:vAlign w:val="bottom"/>
            <w:shd w:val="clear" w:color="auto" w:fill="5591C7"/>
          </w:tcPr>
          <w:p>
            <w:pPr>
              <w:spacing w:after="0"/>
              <w:rPr>
                <w:sz w:val="14"/>
                <w:szCs w:val="14"/>
                <w:color w:val="auto"/>
              </w:rPr>
            </w:pPr>
          </w:p>
        </w:tc>
        <w:tc>
          <w:tcPr>
            <w:tcW w:w="88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r>
      <w:tr>
        <w:trPr>
          <w:trHeight w:val="162"/>
        </w:trPr>
        <w:tc>
          <w:tcPr>
            <w:tcW w:w="206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Expiration Date</w:t>
            </w:r>
          </w:p>
        </w:tc>
        <w:tc>
          <w:tcPr>
            <w:tcW w:w="460" w:type="dxa"/>
            <w:vAlign w:val="bottom"/>
            <w:shd w:val="clear" w:color="auto" w:fill="5591C7"/>
          </w:tcPr>
          <w:p>
            <w:pPr>
              <w:spacing w:after="0"/>
              <w:rPr>
                <w:sz w:val="14"/>
                <w:szCs w:val="14"/>
                <w:color w:val="auto"/>
              </w:rPr>
            </w:pPr>
          </w:p>
        </w:tc>
        <w:tc>
          <w:tcPr>
            <w:tcW w:w="88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r>
      <w:tr>
        <w:trPr>
          <w:trHeight w:val="182"/>
        </w:trPr>
        <w:tc>
          <w:tcPr>
            <w:tcW w:w="206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(mm/dd/yyyy)</w:t>
            </w:r>
          </w:p>
        </w:tc>
        <w:tc>
          <w:tcPr>
            <w:tcW w:w="460" w:type="dxa"/>
            <w:vAlign w:val="bottom"/>
            <w:tcBorders>
              <w:bottom w:val="single" w:sz="8" w:color="5591C7"/>
            </w:tcBorders>
            <w:shd w:val="clear" w:color="auto" w:fill="5591C7"/>
          </w:tcPr>
          <w:p>
            <w:pPr>
              <w:spacing w:after="0"/>
              <w:rPr>
                <w:sz w:val="15"/>
                <w:szCs w:val="15"/>
                <w:color w:val="auto"/>
              </w:rPr>
            </w:pPr>
          </w:p>
        </w:tc>
        <w:tc>
          <w:tcPr>
            <w:tcW w:w="8800" w:type="dxa"/>
            <w:vAlign w:val="bottom"/>
            <w:tcBorders>
              <w:bottom w:val="single" w:sz="8" w:color="auto"/>
            </w:tcBorders>
            <w:shd w:val="clear" w:color="auto" w:fill="5591C7"/>
          </w:tcPr>
          <w:p>
            <w:pPr>
              <w:ind w:left="3200"/>
              <w:spacing w:after="0"/>
              <w:rPr>
                <w:sz w:val="20"/>
                <w:szCs w:val="20"/>
                <w:color w:val="auto"/>
              </w:rPr>
            </w:pPr>
            <w:r>
              <w:rPr>
                <w:rFonts w:ascii="Arial" w:cs="Arial" w:eastAsia="Arial" w:hAnsi="Arial"/>
                <w:sz w:val="14"/>
                <w:szCs w:val="14"/>
                <w:b w:val="1"/>
                <w:bCs w:val="1"/>
                <w:color w:val="auto"/>
              </w:rPr>
              <w:t>Vesting Schedule of Original Grant</w:t>
            </w:r>
          </w:p>
        </w:tc>
        <w:tc>
          <w:tcPr>
            <w:tcW w:w="100" w:type="dxa"/>
            <w:vAlign w:val="bottom"/>
            <w:tcBorders>
              <w:bottom w:val="single" w:sz="8" w:color="5591C7"/>
            </w:tcBorders>
            <w:shd w:val="clear" w:color="auto" w:fill="5591C7"/>
          </w:tcPr>
          <w:p>
            <w:pPr>
              <w:spacing w:after="0"/>
              <w:rPr>
                <w:sz w:val="15"/>
                <w:szCs w:val="15"/>
                <w:color w:val="auto"/>
              </w:rPr>
            </w:pPr>
          </w:p>
        </w:tc>
      </w:tr>
      <w:tr>
        <w:trPr>
          <w:trHeight w:val="180"/>
        </w:trPr>
        <w:tc>
          <w:tcPr>
            <w:tcW w:w="2060" w:type="dxa"/>
            <w:vAlign w:val="bottom"/>
          </w:tcPr>
          <w:p>
            <w:pPr>
              <w:jc w:val="right"/>
              <w:ind w:right="628"/>
              <w:spacing w:after="0"/>
              <w:rPr>
                <w:sz w:val="20"/>
                <w:szCs w:val="20"/>
                <w:color w:val="auto"/>
              </w:rPr>
            </w:pPr>
            <w:r>
              <w:rPr>
                <w:rFonts w:ascii="Arial" w:cs="Arial" w:eastAsia="Arial" w:hAnsi="Arial"/>
                <w:sz w:val="14"/>
                <w:szCs w:val="14"/>
                <w:color w:val="auto"/>
              </w:rPr>
              <w:t>2/3/2021</w:t>
            </w:r>
          </w:p>
        </w:tc>
        <w:tc>
          <w:tcPr>
            <w:tcW w:w="9360" w:type="dxa"/>
            <w:vAlign w:val="bottom"/>
            <w:gridSpan w:val="3"/>
          </w:tcPr>
          <w:p>
            <w:pPr>
              <w:ind w:left="460"/>
              <w:spacing w:after="0"/>
              <w:rPr>
                <w:sz w:val="20"/>
                <w:szCs w:val="20"/>
                <w:color w:val="auto"/>
              </w:rPr>
            </w:pPr>
            <w:r>
              <w:rPr>
                <w:rFonts w:ascii="Arial" w:cs="Arial" w:eastAsia="Arial" w:hAnsi="Arial"/>
                <w:sz w:val="14"/>
                <w:szCs w:val="14"/>
                <w:color w:val="auto"/>
              </w:rPr>
              <w:t>For Mr. Kapoor, 25% of the options vested on each of February 3, 2012, February 3, 2013, February 3, 2014 and February 3, 2015.</w:t>
            </w:r>
          </w:p>
        </w:tc>
      </w:tr>
      <w:tr>
        <w:trPr>
          <w:trHeight w:val="162"/>
        </w:trPr>
        <w:tc>
          <w:tcPr>
            <w:tcW w:w="2060" w:type="dxa"/>
            <w:vAlign w:val="bottom"/>
          </w:tcPr>
          <w:p>
            <w:pPr>
              <w:spacing w:after="0"/>
              <w:rPr>
                <w:sz w:val="14"/>
                <w:szCs w:val="14"/>
                <w:color w:val="auto"/>
              </w:rPr>
            </w:pPr>
          </w:p>
        </w:tc>
        <w:tc>
          <w:tcPr>
            <w:tcW w:w="9360" w:type="dxa"/>
            <w:vAlign w:val="bottom"/>
            <w:gridSpan w:val="3"/>
          </w:tcPr>
          <w:p>
            <w:pPr>
              <w:ind w:left="460"/>
              <w:spacing w:after="0"/>
              <w:rPr>
                <w:sz w:val="20"/>
                <w:szCs w:val="20"/>
                <w:color w:val="auto"/>
              </w:rPr>
            </w:pPr>
            <w:r>
              <w:rPr>
                <w:rFonts w:ascii="Arial" w:cs="Arial" w:eastAsia="Arial" w:hAnsi="Arial"/>
                <w:sz w:val="14"/>
                <w:szCs w:val="14"/>
                <w:color w:val="auto"/>
              </w:rPr>
              <w:t>For Messrs. Chhibbar and Bagai, 10% of the options vested on February 3, 2012, an additional 20% of the options vested on February 3,</w:t>
            </w:r>
          </w:p>
        </w:tc>
      </w:tr>
      <w:tr>
        <w:trPr>
          <w:trHeight w:val="171"/>
        </w:trPr>
        <w:tc>
          <w:tcPr>
            <w:tcW w:w="2060" w:type="dxa"/>
            <w:vAlign w:val="bottom"/>
          </w:tcPr>
          <w:p>
            <w:pPr>
              <w:spacing w:after="0"/>
              <w:rPr>
                <w:sz w:val="14"/>
                <w:szCs w:val="14"/>
                <w:color w:val="auto"/>
              </w:rPr>
            </w:pPr>
          </w:p>
        </w:tc>
        <w:tc>
          <w:tcPr>
            <w:tcW w:w="9360" w:type="dxa"/>
            <w:vAlign w:val="bottom"/>
            <w:gridSpan w:val="3"/>
          </w:tcPr>
          <w:p>
            <w:pPr>
              <w:ind w:left="460"/>
              <w:spacing w:after="0"/>
              <w:rPr>
                <w:sz w:val="20"/>
                <w:szCs w:val="20"/>
                <w:color w:val="auto"/>
              </w:rPr>
            </w:pPr>
            <w:r>
              <w:rPr>
                <w:rFonts w:ascii="Arial" w:cs="Arial" w:eastAsia="Arial" w:hAnsi="Arial"/>
                <w:sz w:val="14"/>
                <w:szCs w:val="14"/>
                <w:color w:val="auto"/>
              </w:rPr>
              <w:t>2013, an additional 30% of the options vested on February 3, 2014 and the remaining 40% of the options vested on February 3, 2015.</w:t>
            </w:r>
          </w:p>
        </w:tc>
      </w:tr>
      <w:tr>
        <w:trPr>
          <w:trHeight w:val="180"/>
        </w:trPr>
        <w:tc>
          <w:tcPr>
            <w:tcW w:w="2060" w:type="dxa"/>
            <w:vAlign w:val="bottom"/>
            <w:shd w:val="clear" w:color="auto" w:fill="B8CDE8"/>
          </w:tcPr>
          <w:p>
            <w:pPr>
              <w:jc w:val="right"/>
              <w:ind w:right="628"/>
              <w:spacing w:after="0"/>
              <w:rPr>
                <w:sz w:val="20"/>
                <w:szCs w:val="20"/>
                <w:color w:val="auto"/>
              </w:rPr>
            </w:pPr>
            <w:r>
              <w:rPr>
                <w:rFonts w:ascii="Arial" w:cs="Arial" w:eastAsia="Arial" w:hAnsi="Arial"/>
                <w:sz w:val="14"/>
                <w:szCs w:val="14"/>
                <w:color w:val="auto"/>
              </w:rPr>
              <w:t>2/7/2022</w:t>
            </w:r>
          </w:p>
        </w:tc>
        <w:tc>
          <w:tcPr>
            <w:tcW w:w="9360" w:type="dxa"/>
            <w:vAlign w:val="bottom"/>
            <w:gridSpan w:val="3"/>
            <w:shd w:val="clear" w:color="auto" w:fill="B8CDE8"/>
          </w:tcPr>
          <w:p>
            <w:pPr>
              <w:ind w:left="460"/>
              <w:spacing w:after="0"/>
              <w:rPr>
                <w:sz w:val="20"/>
                <w:szCs w:val="20"/>
                <w:color w:val="auto"/>
              </w:rPr>
            </w:pPr>
            <w:r>
              <w:rPr>
                <w:rFonts w:ascii="Arial" w:cs="Arial" w:eastAsia="Arial" w:hAnsi="Arial"/>
                <w:sz w:val="14"/>
                <w:szCs w:val="14"/>
                <w:color w:val="auto"/>
              </w:rPr>
              <w:t>For Mr. Kapoor, 25% of the options vested on each of February 7, 2013, February 7, 2014, February 7, 2015 and February 7, 2016.</w:t>
            </w:r>
          </w:p>
        </w:tc>
      </w:tr>
      <w:tr>
        <w:trPr>
          <w:trHeight w:val="162"/>
        </w:trPr>
        <w:tc>
          <w:tcPr>
            <w:tcW w:w="2060" w:type="dxa"/>
            <w:vAlign w:val="bottom"/>
            <w:shd w:val="clear" w:color="auto" w:fill="B8CDE8"/>
          </w:tcPr>
          <w:p>
            <w:pPr>
              <w:spacing w:after="0"/>
              <w:rPr>
                <w:sz w:val="14"/>
                <w:szCs w:val="14"/>
                <w:color w:val="auto"/>
              </w:rPr>
            </w:pPr>
          </w:p>
        </w:tc>
        <w:tc>
          <w:tcPr>
            <w:tcW w:w="9360" w:type="dxa"/>
            <w:vAlign w:val="bottom"/>
            <w:gridSpan w:val="3"/>
            <w:shd w:val="clear" w:color="auto" w:fill="B8CDE8"/>
          </w:tcPr>
          <w:p>
            <w:pPr>
              <w:ind w:left="460"/>
              <w:spacing w:after="0"/>
              <w:rPr>
                <w:sz w:val="20"/>
                <w:szCs w:val="20"/>
                <w:color w:val="auto"/>
              </w:rPr>
            </w:pPr>
            <w:r>
              <w:rPr>
                <w:rFonts w:ascii="Arial" w:cs="Arial" w:eastAsia="Arial" w:hAnsi="Arial"/>
                <w:sz w:val="14"/>
                <w:szCs w:val="14"/>
                <w:color w:val="auto"/>
              </w:rPr>
              <w:t>For Messrs. Chhibbar and Bagai, 10% of the options vested on February 7, 2013, 20% of the options vested on February 7, 2014, 30% of</w:t>
            </w:r>
          </w:p>
        </w:tc>
      </w:tr>
      <w:tr>
        <w:trPr>
          <w:trHeight w:val="171"/>
        </w:trPr>
        <w:tc>
          <w:tcPr>
            <w:tcW w:w="2060" w:type="dxa"/>
            <w:vAlign w:val="bottom"/>
            <w:shd w:val="clear" w:color="auto" w:fill="B8CDE8"/>
          </w:tcPr>
          <w:p>
            <w:pPr>
              <w:spacing w:after="0"/>
              <w:rPr>
                <w:sz w:val="14"/>
                <w:szCs w:val="14"/>
                <w:color w:val="auto"/>
              </w:rPr>
            </w:pPr>
          </w:p>
        </w:tc>
        <w:tc>
          <w:tcPr>
            <w:tcW w:w="9360" w:type="dxa"/>
            <w:vAlign w:val="bottom"/>
            <w:gridSpan w:val="3"/>
            <w:shd w:val="clear" w:color="auto" w:fill="B8CDE8"/>
          </w:tcPr>
          <w:p>
            <w:pPr>
              <w:ind w:left="460"/>
              <w:spacing w:after="0"/>
              <w:rPr>
                <w:sz w:val="20"/>
                <w:szCs w:val="20"/>
                <w:color w:val="auto"/>
              </w:rPr>
            </w:pPr>
            <w:r>
              <w:rPr>
                <w:rFonts w:ascii="Arial" w:cs="Arial" w:eastAsia="Arial" w:hAnsi="Arial"/>
                <w:sz w:val="14"/>
                <w:szCs w:val="14"/>
                <w:color w:val="auto"/>
              </w:rPr>
              <w:t>the options vested on February 7, 2015, and 40% of the options vested on February 7, 2016.</w:t>
            </w:r>
          </w:p>
        </w:tc>
      </w:tr>
    </w:tbl>
    <w:p>
      <w:pPr>
        <w:spacing w:after="0" w:line="207" w:lineRule="exact"/>
        <w:rPr>
          <w:sz w:val="20"/>
          <w:szCs w:val="20"/>
          <w:color w:val="auto"/>
        </w:rPr>
      </w:pPr>
    </w:p>
    <w:p>
      <w:pPr>
        <w:ind w:left="660" w:right="140" w:hanging="328"/>
        <w:spacing w:after="0" w:line="258" w:lineRule="auto"/>
        <w:tabs>
          <w:tab w:leader="none" w:pos="6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restricted stock unit awards in this table vest and convert to shares in accordance with the following schedules (generally subject to continued employment through each applicable vesting date):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480" w:type="dxa"/>
            <w:vAlign w:val="bottom"/>
            <w:gridSpan w:val="2"/>
            <w:shd w:val="clear" w:color="auto" w:fill="5591C7"/>
          </w:tcPr>
          <w:p>
            <w:pPr>
              <w:jc w:val="center"/>
              <w:ind w:right="160"/>
              <w:spacing w:after="0"/>
              <w:rPr>
                <w:sz w:val="20"/>
                <w:szCs w:val="20"/>
                <w:color w:val="auto"/>
              </w:rPr>
            </w:pPr>
            <w:r>
              <w:rPr>
                <w:rFonts w:ascii="Arial" w:cs="Arial" w:eastAsia="Arial" w:hAnsi="Arial"/>
                <w:sz w:val="14"/>
                <w:szCs w:val="14"/>
                <w:b w:val="1"/>
                <w:bCs w:val="1"/>
                <w:color w:val="auto"/>
              </w:rPr>
              <w:t># of Units</w:t>
            </w:r>
          </w:p>
        </w:tc>
        <w:tc>
          <w:tcPr>
            <w:tcW w:w="100" w:type="dxa"/>
            <w:vAlign w:val="bottom"/>
            <w:shd w:val="clear" w:color="auto" w:fill="5591C7"/>
          </w:tcPr>
          <w:p>
            <w:pPr>
              <w:spacing w:after="0"/>
              <w:rPr>
                <w:sz w:val="14"/>
                <w:szCs w:val="14"/>
                <w:color w:val="auto"/>
              </w:rPr>
            </w:pPr>
          </w:p>
        </w:tc>
        <w:tc>
          <w:tcPr>
            <w:tcW w:w="732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r>
      <w:tr>
        <w:trPr>
          <w:trHeight w:val="162"/>
        </w:trPr>
        <w:tc>
          <w:tcPr>
            <w:tcW w:w="22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480" w:type="dxa"/>
            <w:vAlign w:val="bottom"/>
            <w:gridSpan w:val="2"/>
            <w:shd w:val="clear" w:color="auto" w:fill="5591C7"/>
          </w:tcPr>
          <w:p>
            <w:pPr>
              <w:jc w:val="center"/>
              <w:ind w:right="160"/>
              <w:spacing w:after="0"/>
              <w:rPr>
                <w:sz w:val="20"/>
                <w:szCs w:val="20"/>
                <w:color w:val="auto"/>
              </w:rPr>
            </w:pPr>
            <w:r>
              <w:rPr>
                <w:rFonts w:ascii="Arial" w:cs="Arial" w:eastAsia="Arial" w:hAnsi="Arial"/>
                <w:sz w:val="14"/>
                <w:szCs w:val="14"/>
                <w:b w:val="1"/>
                <w:bCs w:val="1"/>
                <w:color w:val="auto"/>
              </w:rPr>
              <w:t>Unvested as</w:t>
            </w:r>
          </w:p>
        </w:tc>
        <w:tc>
          <w:tcPr>
            <w:tcW w:w="100" w:type="dxa"/>
            <w:vAlign w:val="bottom"/>
            <w:shd w:val="clear" w:color="auto" w:fill="5591C7"/>
          </w:tcPr>
          <w:p>
            <w:pPr>
              <w:spacing w:after="0"/>
              <w:rPr>
                <w:sz w:val="14"/>
                <w:szCs w:val="14"/>
                <w:color w:val="auto"/>
              </w:rPr>
            </w:pPr>
          </w:p>
        </w:tc>
        <w:tc>
          <w:tcPr>
            <w:tcW w:w="732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r>
      <w:tr>
        <w:trPr>
          <w:trHeight w:val="182"/>
        </w:trPr>
        <w:tc>
          <w:tcPr>
            <w:tcW w:w="2200" w:type="dxa"/>
            <w:vAlign w:val="bottom"/>
            <w:tcBorders>
              <w:bottom w:val="single" w:sz="8" w:color="auto"/>
            </w:tcBorders>
            <w:shd w:val="clear" w:color="auto" w:fill="5591C7"/>
          </w:tcPr>
          <w:p>
            <w:pPr>
              <w:ind w:left="900"/>
              <w:spacing w:after="0"/>
              <w:rPr>
                <w:sz w:val="20"/>
                <w:szCs w:val="20"/>
                <w:color w:val="auto"/>
              </w:rPr>
            </w:pPr>
            <w:r>
              <w:rPr>
                <w:rFonts w:ascii="Arial" w:cs="Arial" w:eastAsia="Arial" w:hAnsi="Arial"/>
                <w:sz w:val="14"/>
                <w:szCs w:val="14"/>
                <w:b w:val="1"/>
                <w:bCs w:val="1"/>
                <w:color w:val="auto"/>
              </w:rPr>
              <w:t>Name</w:t>
            </w:r>
          </w:p>
        </w:tc>
        <w:tc>
          <w:tcPr>
            <w:tcW w:w="100" w:type="dxa"/>
            <w:vAlign w:val="bottom"/>
            <w:tcBorders>
              <w:bottom w:val="single" w:sz="8" w:color="5591C7"/>
            </w:tcBorders>
            <w:shd w:val="clear" w:color="auto" w:fill="5591C7"/>
          </w:tcPr>
          <w:p>
            <w:pPr>
              <w:spacing w:after="0"/>
              <w:rPr>
                <w:sz w:val="15"/>
                <w:szCs w:val="15"/>
                <w:color w:val="auto"/>
              </w:rPr>
            </w:pPr>
          </w:p>
        </w:tc>
        <w:tc>
          <w:tcPr>
            <w:tcW w:w="120" w:type="dxa"/>
            <w:vAlign w:val="bottom"/>
            <w:tcBorders>
              <w:bottom w:val="single" w:sz="8" w:color="5591C7"/>
            </w:tcBorders>
            <w:shd w:val="clear" w:color="auto" w:fill="5591C7"/>
          </w:tcPr>
          <w:p>
            <w:pPr>
              <w:spacing w:after="0"/>
              <w:rPr>
                <w:sz w:val="15"/>
                <w:szCs w:val="15"/>
                <w:color w:val="auto"/>
              </w:rPr>
            </w:pPr>
          </w:p>
        </w:tc>
        <w:tc>
          <w:tcPr>
            <w:tcW w:w="136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of 12/31/15</w:t>
            </w:r>
          </w:p>
        </w:tc>
        <w:tc>
          <w:tcPr>
            <w:tcW w:w="120" w:type="dxa"/>
            <w:vAlign w:val="bottom"/>
            <w:tcBorders>
              <w:bottom w:val="single" w:sz="8" w:color="5591C7"/>
            </w:tcBorders>
            <w:shd w:val="clear" w:color="auto" w:fill="5591C7"/>
          </w:tcPr>
          <w:p>
            <w:pPr>
              <w:spacing w:after="0"/>
              <w:rPr>
                <w:sz w:val="15"/>
                <w:szCs w:val="15"/>
                <w:color w:val="auto"/>
              </w:rPr>
            </w:pPr>
          </w:p>
        </w:tc>
        <w:tc>
          <w:tcPr>
            <w:tcW w:w="100" w:type="dxa"/>
            <w:vAlign w:val="bottom"/>
            <w:tcBorders>
              <w:bottom w:val="single" w:sz="8" w:color="5591C7"/>
            </w:tcBorders>
            <w:shd w:val="clear" w:color="auto" w:fill="5591C7"/>
          </w:tcPr>
          <w:p>
            <w:pPr>
              <w:spacing w:after="0"/>
              <w:rPr>
                <w:sz w:val="15"/>
                <w:szCs w:val="15"/>
                <w:color w:val="auto"/>
              </w:rPr>
            </w:pPr>
          </w:p>
        </w:tc>
        <w:tc>
          <w:tcPr>
            <w:tcW w:w="7320" w:type="dxa"/>
            <w:vAlign w:val="bottom"/>
            <w:tcBorders>
              <w:bottom w:val="single" w:sz="8" w:color="auto"/>
            </w:tcBorders>
            <w:shd w:val="clear" w:color="auto" w:fill="5591C7"/>
          </w:tcPr>
          <w:p>
            <w:pPr>
              <w:ind w:left="2460"/>
              <w:spacing w:after="0"/>
              <w:rPr>
                <w:sz w:val="20"/>
                <w:szCs w:val="20"/>
                <w:color w:val="auto"/>
              </w:rPr>
            </w:pPr>
            <w:r>
              <w:rPr>
                <w:rFonts w:ascii="Arial" w:cs="Arial" w:eastAsia="Arial" w:hAnsi="Arial"/>
                <w:sz w:val="14"/>
                <w:szCs w:val="14"/>
                <w:b w:val="1"/>
                <w:bCs w:val="1"/>
                <w:color w:val="auto"/>
              </w:rPr>
              <w:t>Vesting Schedule of Original Grant</w:t>
            </w:r>
          </w:p>
        </w:tc>
        <w:tc>
          <w:tcPr>
            <w:tcW w:w="100" w:type="dxa"/>
            <w:vAlign w:val="bottom"/>
            <w:tcBorders>
              <w:bottom w:val="single" w:sz="8" w:color="5591C7"/>
            </w:tcBorders>
            <w:shd w:val="clear" w:color="auto" w:fill="5591C7"/>
          </w:tcPr>
          <w:p>
            <w:pPr>
              <w:spacing w:after="0"/>
              <w:rPr>
                <w:sz w:val="15"/>
                <w:szCs w:val="15"/>
                <w:color w:val="auto"/>
              </w:rPr>
            </w:pPr>
          </w:p>
        </w:tc>
      </w:tr>
      <w:tr>
        <w:trPr>
          <w:trHeight w:val="180"/>
        </w:trPr>
        <w:tc>
          <w:tcPr>
            <w:tcW w:w="2300" w:type="dxa"/>
            <w:vAlign w:val="bottom"/>
            <w:gridSpan w:val="2"/>
            <w:shd w:val="clear" w:color="auto" w:fill="B8CDE8"/>
          </w:tcPr>
          <w:p>
            <w:pPr>
              <w:ind w:left="120"/>
              <w:spacing w:after="0"/>
              <w:rPr>
                <w:sz w:val="20"/>
                <w:szCs w:val="20"/>
                <w:color w:val="auto"/>
              </w:rPr>
            </w:pPr>
            <w:r>
              <w:rPr>
                <w:rFonts w:ascii="Arial" w:cs="Arial" w:eastAsia="Arial" w:hAnsi="Arial"/>
                <w:sz w:val="14"/>
                <w:szCs w:val="14"/>
                <w:color w:val="auto"/>
              </w:rPr>
              <w:t>Rohit Kapoor</w:t>
            </w:r>
          </w:p>
        </w:tc>
        <w:tc>
          <w:tcPr>
            <w:tcW w:w="1480" w:type="dxa"/>
            <w:vAlign w:val="bottom"/>
            <w:gridSpan w:val="2"/>
            <w:shd w:val="clear" w:color="auto" w:fill="B8CDE8"/>
          </w:tcPr>
          <w:p>
            <w:pPr>
              <w:jc w:val="center"/>
              <w:ind w:left="48"/>
              <w:spacing w:after="0"/>
              <w:rPr>
                <w:sz w:val="20"/>
                <w:szCs w:val="20"/>
                <w:color w:val="auto"/>
              </w:rPr>
            </w:pPr>
            <w:r>
              <w:rPr>
                <w:rFonts w:ascii="Arial" w:cs="Arial" w:eastAsia="Arial" w:hAnsi="Arial"/>
                <w:sz w:val="14"/>
                <w:szCs w:val="14"/>
                <w:color w:val="auto"/>
              </w:rPr>
              <w:t>9,375</w:t>
            </w:r>
          </w:p>
        </w:tc>
        <w:tc>
          <w:tcPr>
            <w:tcW w:w="120" w:type="dxa"/>
            <w:vAlign w:val="bottom"/>
            <w:shd w:val="clear" w:color="auto" w:fill="B8CDE8"/>
          </w:tcPr>
          <w:p>
            <w:pPr>
              <w:spacing w:after="0"/>
              <w:rPr>
                <w:sz w:val="15"/>
                <w:szCs w:val="15"/>
                <w:color w:val="auto"/>
              </w:rPr>
            </w:pPr>
          </w:p>
        </w:tc>
        <w:tc>
          <w:tcPr>
            <w:tcW w:w="752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25% of the restricted stock units vested on each of February 7, 2013, February 7, 2014, February 7, 2015 and</w:t>
            </w:r>
          </w:p>
        </w:tc>
      </w:tr>
      <w:tr>
        <w:trPr>
          <w:trHeight w:val="171"/>
        </w:trPr>
        <w:tc>
          <w:tcPr>
            <w:tcW w:w="2200" w:type="dxa"/>
            <w:vAlign w:val="bottom"/>
            <w:shd w:val="clear" w:color="auto" w:fill="B8CDE8"/>
          </w:tcPr>
          <w:p>
            <w:pPr>
              <w:spacing w:after="0"/>
              <w:rPr>
                <w:sz w:val="14"/>
                <w:szCs w:val="14"/>
                <w:color w:val="auto"/>
              </w:rPr>
            </w:pPr>
          </w:p>
        </w:tc>
        <w:tc>
          <w:tcPr>
            <w:tcW w:w="10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136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752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February 7, 2016.</w:t>
            </w:r>
          </w:p>
        </w:tc>
      </w:tr>
      <w:tr>
        <w:trPr>
          <w:trHeight w:val="180"/>
        </w:trPr>
        <w:tc>
          <w:tcPr>
            <w:tcW w:w="2200" w:type="dxa"/>
            <w:vAlign w:val="bottom"/>
            <w:shd w:val="clear" w:color="auto" w:fill="B8CDE8"/>
          </w:tcPr>
          <w:p>
            <w:pPr>
              <w:spacing w:after="0"/>
              <w:rPr>
                <w:sz w:val="15"/>
                <w:szCs w:val="15"/>
                <w:color w:val="auto"/>
              </w:rPr>
            </w:pPr>
          </w:p>
        </w:tc>
        <w:tc>
          <w:tcPr>
            <w:tcW w:w="100" w:type="dxa"/>
            <w:vAlign w:val="bottom"/>
            <w:shd w:val="clear" w:color="auto" w:fill="B8CDE8"/>
          </w:tcPr>
          <w:p>
            <w:pPr>
              <w:spacing w:after="0"/>
              <w:rPr>
                <w:sz w:val="15"/>
                <w:szCs w:val="15"/>
                <w:color w:val="auto"/>
              </w:rPr>
            </w:pPr>
          </w:p>
        </w:tc>
        <w:tc>
          <w:tcPr>
            <w:tcW w:w="1480" w:type="dxa"/>
            <w:vAlign w:val="bottom"/>
            <w:gridSpan w:val="2"/>
            <w:shd w:val="clear" w:color="auto" w:fill="B8CDE8"/>
          </w:tcPr>
          <w:p>
            <w:pPr>
              <w:jc w:val="center"/>
              <w:ind w:left="48"/>
              <w:spacing w:after="0"/>
              <w:rPr>
                <w:sz w:val="20"/>
                <w:szCs w:val="20"/>
                <w:color w:val="auto"/>
              </w:rPr>
            </w:pPr>
            <w:r>
              <w:rPr>
                <w:rFonts w:ascii="Arial" w:cs="Arial" w:eastAsia="Arial" w:hAnsi="Arial"/>
                <w:sz w:val="14"/>
                <w:szCs w:val="14"/>
                <w:color w:val="auto"/>
              </w:rPr>
              <w:t>37,500</w:t>
            </w:r>
          </w:p>
        </w:tc>
        <w:tc>
          <w:tcPr>
            <w:tcW w:w="120" w:type="dxa"/>
            <w:vAlign w:val="bottom"/>
            <w:shd w:val="clear" w:color="auto" w:fill="B8CDE8"/>
          </w:tcPr>
          <w:p>
            <w:pPr>
              <w:spacing w:after="0"/>
              <w:rPr>
                <w:sz w:val="15"/>
                <w:szCs w:val="15"/>
                <w:color w:val="auto"/>
              </w:rPr>
            </w:pPr>
          </w:p>
        </w:tc>
        <w:tc>
          <w:tcPr>
            <w:tcW w:w="752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25% of the restricted stock units vested on each of February 8, 2014, February 8, 2015 and February 8, 2016. The</w:t>
            </w:r>
          </w:p>
        </w:tc>
      </w:tr>
      <w:tr>
        <w:trPr>
          <w:trHeight w:val="171"/>
        </w:trPr>
        <w:tc>
          <w:tcPr>
            <w:tcW w:w="2200" w:type="dxa"/>
            <w:vAlign w:val="bottom"/>
            <w:shd w:val="clear" w:color="auto" w:fill="B8CDE8"/>
          </w:tcPr>
          <w:p>
            <w:pPr>
              <w:spacing w:after="0"/>
              <w:rPr>
                <w:sz w:val="14"/>
                <w:szCs w:val="14"/>
                <w:color w:val="auto"/>
              </w:rPr>
            </w:pPr>
          </w:p>
        </w:tc>
        <w:tc>
          <w:tcPr>
            <w:tcW w:w="10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136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752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remaining 25% of the restricted stock units will vest on February 8, 2017.</w:t>
            </w:r>
          </w:p>
        </w:tc>
      </w:tr>
      <w:tr>
        <w:trPr>
          <w:trHeight w:val="191"/>
        </w:trPr>
        <w:tc>
          <w:tcPr>
            <w:tcW w:w="220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1480" w:type="dxa"/>
            <w:vAlign w:val="bottom"/>
            <w:gridSpan w:val="2"/>
            <w:shd w:val="clear" w:color="auto" w:fill="B8CDE8"/>
          </w:tcPr>
          <w:p>
            <w:pPr>
              <w:jc w:val="center"/>
              <w:ind w:left="48"/>
              <w:spacing w:after="0"/>
              <w:rPr>
                <w:sz w:val="20"/>
                <w:szCs w:val="20"/>
                <w:color w:val="auto"/>
              </w:rPr>
            </w:pPr>
            <w:r>
              <w:rPr>
                <w:rFonts w:ascii="Arial" w:cs="Arial" w:eastAsia="Arial" w:hAnsi="Arial"/>
                <w:sz w:val="14"/>
                <w:szCs w:val="14"/>
                <w:color w:val="auto"/>
              </w:rPr>
              <w:t>674</w:t>
            </w:r>
          </w:p>
        </w:tc>
        <w:tc>
          <w:tcPr>
            <w:tcW w:w="120" w:type="dxa"/>
            <w:vAlign w:val="bottom"/>
            <w:shd w:val="clear" w:color="auto" w:fill="B8CDE8"/>
          </w:tcPr>
          <w:p>
            <w:pPr>
              <w:spacing w:after="0"/>
              <w:rPr>
                <w:sz w:val="16"/>
                <w:szCs w:val="16"/>
                <w:color w:val="auto"/>
              </w:rPr>
            </w:pPr>
          </w:p>
        </w:tc>
        <w:tc>
          <w:tcPr>
            <w:tcW w:w="752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33.3% of the restricted stock units vested on each of February 8, 2014, February 8, 2015 and February 8, 2016.</w:t>
            </w:r>
          </w:p>
        </w:tc>
      </w:tr>
      <w:tr>
        <w:trPr>
          <w:trHeight w:val="179"/>
        </w:trPr>
        <w:tc>
          <w:tcPr>
            <w:tcW w:w="2200" w:type="dxa"/>
            <w:vAlign w:val="bottom"/>
            <w:shd w:val="clear" w:color="auto" w:fill="B8CDE8"/>
          </w:tcPr>
          <w:p>
            <w:pPr>
              <w:spacing w:after="0"/>
              <w:rPr>
                <w:sz w:val="15"/>
                <w:szCs w:val="15"/>
                <w:color w:val="auto"/>
              </w:rPr>
            </w:pPr>
          </w:p>
        </w:tc>
        <w:tc>
          <w:tcPr>
            <w:tcW w:w="100" w:type="dxa"/>
            <w:vAlign w:val="bottom"/>
            <w:shd w:val="clear" w:color="auto" w:fill="B8CDE8"/>
          </w:tcPr>
          <w:p>
            <w:pPr>
              <w:spacing w:after="0"/>
              <w:rPr>
                <w:sz w:val="15"/>
                <w:szCs w:val="15"/>
                <w:color w:val="auto"/>
              </w:rPr>
            </w:pPr>
          </w:p>
        </w:tc>
        <w:tc>
          <w:tcPr>
            <w:tcW w:w="1480" w:type="dxa"/>
            <w:vAlign w:val="bottom"/>
            <w:gridSpan w:val="2"/>
            <w:shd w:val="clear" w:color="auto" w:fill="B8CDE8"/>
          </w:tcPr>
          <w:p>
            <w:pPr>
              <w:jc w:val="center"/>
              <w:ind w:left="48"/>
              <w:spacing w:after="0"/>
              <w:rPr>
                <w:sz w:val="20"/>
                <w:szCs w:val="20"/>
                <w:color w:val="auto"/>
              </w:rPr>
            </w:pPr>
            <w:r>
              <w:rPr>
                <w:rFonts w:ascii="Arial" w:cs="Arial" w:eastAsia="Arial" w:hAnsi="Arial"/>
                <w:sz w:val="14"/>
                <w:szCs w:val="14"/>
                <w:color w:val="auto"/>
              </w:rPr>
              <w:t>2,409</w:t>
            </w:r>
          </w:p>
        </w:tc>
        <w:tc>
          <w:tcPr>
            <w:tcW w:w="120" w:type="dxa"/>
            <w:vAlign w:val="bottom"/>
            <w:shd w:val="clear" w:color="auto" w:fill="B8CDE8"/>
          </w:tcPr>
          <w:p>
            <w:pPr>
              <w:spacing w:after="0"/>
              <w:rPr>
                <w:sz w:val="15"/>
                <w:szCs w:val="15"/>
                <w:color w:val="auto"/>
              </w:rPr>
            </w:pPr>
          </w:p>
        </w:tc>
        <w:tc>
          <w:tcPr>
            <w:tcW w:w="752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33.3% of the restricted stock units vested on each of February 13, 2015 and February 13, 2016. The remaining</w:t>
            </w:r>
          </w:p>
        </w:tc>
      </w:tr>
      <w:tr>
        <w:trPr>
          <w:trHeight w:val="172"/>
        </w:trPr>
        <w:tc>
          <w:tcPr>
            <w:tcW w:w="2200" w:type="dxa"/>
            <w:vAlign w:val="bottom"/>
            <w:shd w:val="clear" w:color="auto" w:fill="B8CDE8"/>
          </w:tcPr>
          <w:p>
            <w:pPr>
              <w:spacing w:after="0"/>
              <w:rPr>
                <w:sz w:val="14"/>
                <w:szCs w:val="14"/>
                <w:color w:val="auto"/>
              </w:rPr>
            </w:pPr>
          </w:p>
        </w:tc>
        <w:tc>
          <w:tcPr>
            <w:tcW w:w="10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136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752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33.3% of the restricted stock units will vest on February 13, 2017.</w:t>
            </w:r>
          </w:p>
        </w:tc>
      </w:tr>
      <w:tr>
        <w:trPr>
          <w:trHeight w:val="179"/>
        </w:trPr>
        <w:tc>
          <w:tcPr>
            <w:tcW w:w="2200" w:type="dxa"/>
            <w:vAlign w:val="bottom"/>
            <w:shd w:val="clear" w:color="auto" w:fill="B8CDE8"/>
          </w:tcPr>
          <w:p>
            <w:pPr>
              <w:spacing w:after="0"/>
              <w:rPr>
                <w:sz w:val="15"/>
                <w:szCs w:val="15"/>
                <w:color w:val="auto"/>
              </w:rPr>
            </w:pPr>
          </w:p>
        </w:tc>
        <w:tc>
          <w:tcPr>
            <w:tcW w:w="100" w:type="dxa"/>
            <w:vAlign w:val="bottom"/>
            <w:shd w:val="clear" w:color="auto" w:fill="B8CDE8"/>
          </w:tcPr>
          <w:p>
            <w:pPr>
              <w:spacing w:after="0"/>
              <w:rPr>
                <w:sz w:val="15"/>
                <w:szCs w:val="15"/>
                <w:color w:val="auto"/>
              </w:rPr>
            </w:pPr>
          </w:p>
        </w:tc>
        <w:tc>
          <w:tcPr>
            <w:tcW w:w="1480" w:type="dxa"/>
            <w:vAlign w:val="bottom"/>
            <w:gridSpan w:val="2"/>
            <w:shd w:val="clear" w:color="auto" w:fill="B8CDE8"/>
          </w:tcPr>
          <w:p>
            <w:pPr>
              <w:jc w:val="center"/>
              <w:ind w:left="48"/>
              <w:spacing w:after="0"/>
              <w:rPr>
                <w:sz w:val="20"/>
                <w:szCs w:val="20"/>
                <w:color w:val="auto"/>
              </w:rPr>
            </w:pPr>
            <w:r>
              <w:rPr>
                <w:rFonts w:ascii="Arial" w:cs="Arial" w:eastAsia="Arial" w:hAnsi="Arial"/>
                <w:sz w:val="14"/>
                <w:szCs w:val="14"/>
                <w:color w:val="auto"/>
              </w:rPr>
              <w:t>28,125</w:t>
            </w:r>
          </w:p>
        </w:tc>
        <w:tc>
          <w:tcPr>
            <w:tcW w:w="120" w:type="dxa"/>
            <w:vAlign w:val="bottom"/>
            <w:shd w:val="clear" w:color="auto" w:fill="B8CDE8"/>
          </w:tcPr>
          <w:p>
            <w:pPr>
              <w:spacing w:after="0"/>
              <w:rPr>
                <w:sz w:val="15"/>
                <w:szCs w:val="15"/>
                <w:color w:val="auto"/>
              </w:rPr>
            </w:pPr>
          </w:p>
        </w:tc>
        <w:tc>
          <w:tcPr>
            <w:tcW w:w="752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25% of the restricted stock units vested on each of February 13, 2015 and February 13, 2016. An additional 25%</w:t>
            </w:r>
          </w:p>
        </w:tc>
      </w:tr>
      <w:tr>
        <w:trPr>
          <w:trHeight w:val="172"/>
        </w:trPr>
        <w:tc>
          <w:tcPr>
            <w:tcW w:w="2200" w:type="dxa"/>
            <w:vAlign w:val="bottom"/>
            <w:shd w:val="clear" w:color="auto" w:fill="B8CDE8"/>
          </w:tcPr>
          <w:p>
            <w:pPr>
              <w:spacing w:after="0"/>
              <w:rPr>
                <w:sz w:val="14"/>
                <w:szCs w:val="14"/>
                <w:color w:val="auto"/>
              </w:rPr>
            </w:pPr>
          </w:p>
        </w:tc>
        <w:tc>
          <w:tcPr>
            <w:tcW w:w="10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136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752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of the restricted stock units will vest on each of February 13, 2017 and February 13, 2018.</w:t>
            </w:r>
          </w:p>
        </w:tc>
      </w:tr>
      <w:tr>
        <w:trPr>
          <w:trHeight w:val="179"/>
        </w:trPr>
        <w:tc>
          <w:tcPr>
            <w:tcW w:w="2200" w:type="dxa"/>
            <w:vAlign w:val="bottom"/>
            <w:shd w:val="clear" w:color="auto" w:fill="B8CDE8"/>
          </w:tcPr>
          <w:p>
            <w:pPr>
              <w:spacing w:after="0"/>
              <w:rPr>
                <w:sz w:val="15"/>
                <w:szCs w:val="15"/>
                <w:color w:val="auto"/>
              </w:rPr>
            </w:pPr>
          </w:p>
        </w:tc>
        <w:tc>
          <w:tcPr>
            <w:tcW w:w="100" w:type="dxa"/>
            <w:vAlign w:val="bottom"/>
            <w:shd w:val="clear" w:color="auto" w:fill="B8CDE8"/>
          </w:tcPr>
          <w:p>
            <w:pPr>
              <w:spacing w:after="0"/>
              <w:rPr>
                <w:sz w:val="15"/>
                <w:szCs w:val="15"/>
                <w:color w:val="auto"/>
              </w:rPr>
            </w:pPr>
          </w:p>
        </w:tc>
        <w:tc>
          <w:tcPr>
            <w:tcW w:w="1480" w:type="dxa"/>
            <w:vAlign w:val="bottom"/>
            <w:gridSpan w:val="2"/>
            <w:shd w:val="clear" w:color="auto" w:fill="B8CDE8"/>
          </w:tcPr>
          <w:p>
            <w:pPr>
              <w:jc w:val="center"/>
              <w:ind w:left="48"/>
              <w:spacing w:after="0"/>
              <w:rPr>
                <w:sz w:val="20"/>
                <w:szCs w:val="20"/>
                <w:color w:val="auto"/>
              </w:rPr>
            </w:pPr>
            <w:r>
              <w:rPr>
                <w:rFonts w:ascii="Arial" w:cs="Arial" w:eastAsia="Arial" w:hAnsi="Arial"/>
                <w:sz w:val="14"/>
                <w:szCs w:val="14"/>
                <w:color w:val="auto"/>
              </w:rPr>
              <w:t>37,500</w:t>
            </w:r>
          </w:p>
        </w:tc>
        <w:tc>
          <w:tcPr>
            <w:tcW w:w="120" w:type="dxa"/>
            <w:vAlign w:val="bottom"/>
            <w:shd w:val="clear" w:color="auto" w:fill="B8CDE8"/>
          </w:tcPr>
          <w:p>
            <w:pPr>
              <w:spacing w:after="0"/>
              <w:rPr>
                <w:sz w:val="15"/>
                <w:szCs w:val="15"/>
                <w:color w:val="auto"/>
              </w:rPr>
            </w:pPr>
          </w:p>
        </w:tc>
        <w:tc>
          <w:tcPr>
            <w:tcW w:w="752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25% of the restricted stock units vested on February 26, 2016. An additional 25% of the restricted stock units will</w:t>
            </w:r>
          </w:p>
        </w:tc>
      </w:tr>
      <w:tr>
        <w:trPr>
          <w:trHeight w:val="172"/>
        </w:trPr>
        <w:tc>
          <w:tcPr>
            <w:tcW w:w="2200" w:type="dxa"/>
            <w:vAlign w:val="bottom"/>
            <w:shd w:val="clear" w:color="auto" w:fill="B8CDE8"/>
          </w:tcPr>
          <w:p>
            <w:pPr>
              <w:spacing w:after="0"/>
              <w:rPr>
                <w:sz w:val="14"/>
                <w:szCs w:val="14"/>
                <w:color w:val="auto"/>
              </w:rPr>
            </w:pPr>
          </w:p>
        </w:tc>
        <w:tc>
          <w:tcPr>
            <w:tcW w:w="10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136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752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vest on each of February 26, 2017, February 26, 2018 and February 26, 2019.</w:t>
            </w:r>
          </w:p>
        </w:tc>
      </w:tr>
      <w:tr>
        <w:trPr>
          <w:trHeight w:val="179"/>
        </w:trPr>
        <w:tc>
          <w:tcPr>
            <w:tcW w:w="2200" w:type="dxa"/>
            <w:vAlign w:val="bottom"/>
            <w:shd w:val="clear" w:color="auto" w:fill="B8CDE8"/>
          </w:tcPr>
          <w:p>
            <w:pPr>
              <w:spacing w:after="0"/>
              <w:rPr>
                <w:sz w:val="15"/>
                <w:szCs w:val="15"/>
                <w:color w:val="auto"/>
              </w:rPr>
            </w:pPr>
          </w:p>
        </w:tc>
        <w:tc>
          <w:tcPr>
            <w:tcW w:w="100" w:type="dxa"/>
            <w:vAlign w:val="bottom"/>
            <w:shd w:val="clear" w:color="auto" w:fill="B8CDE8"/>
          </w:tcPr>
          <w:p>
            <w:pPr>
              <w:spacing w:after="0"/>
              <w:rPr>
                <w:sz w:val="15"/>
                <w:szCs w:val="15"/>
                <w:color w:val="auto"/>
              </w:rPr>
            </w:pPr>
          </w:p>
        </w:tc>
        <w:tc>
          <w:tcPr>
            <w:tcW w:w="1480" w:type="dxa"/>
            <w:vAlign w:val="bottom"/>
            <w:gridSpan w:val="2"/>
            <w:shd w:val="clear" w:color="auto" w:fill="B8CDE8"/>
          </w:tcPr>
          <w:p>
            <w:pPr>
              <w:jc w:val="center"/>
              <w:ind w:left="48"/>
              <w:spacing w:after="0"/>
              <w:rPr>
                <w:sz w:val="20"/>
                <w:szCs w:val="20"/>
                <w:color w:val="auto"/>
              </w:rPr>
            </w:pPr>
            <w:r>
              <w:rPr>
                <w:rFonts w:ascii="Arial" w:cs="Arial" w:eastAsia="Arial" w:hAnsi="Arial"/>
                <w:sz w:val="14"/>
                <w:szCs w:val="14"/>
                <w:color w:val="auto"/>
              </w:rPr>
              <w:t>12,499</w:t>
            </w:r>
          </w:p>
        </w:tc>
        <w:tc>
          <w:tcPr>
            <w:tcW w:w="120" w:type="dxa"/>
            <w:vAlign w:val="bottom"/>
            <w:shd w:val="clear" w:color="auto" w:fill="B8CDE8"/>
          </w:tcPr>
          <w:p>
            <w:pPr>
              <w:spacing w:after="0"/>
              <w:rPr>
                <w:sz w:val="15"/>
                <w:szCs w:val="15"/>
                <w:color w:val="auto"/>
              </w:rPr>
            </w:pPr>
          </w:p>
        </w:tc>
        <w:tc>
          <w:tcPr>
            <w:tcW w:w="752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100% of the Revenue-Linked PRSUs will vest on December 31, 2016. This amount represents the number of</w:t>
            </w:r>
          </w:p>
        </w:tc>
      </w:tr>
      <w:tr>
        <w:trPr>
          <w:trHeight w:val="162"/>
        </w:trPr>
        <w:tc>
          <w:tcPr>
            <w:tcW w:w="2200" w:type="dxa"/>
            <w:vAlign w:val="bottom"/>
            <w:shd w:val="clear" w:color="auto" w:fill="B8CDE8"/>
          </w:tcPr>
          <w:p>
            <w:pPr>
              <w:spacing w:after="0"/>
              <w:rPr>
                <w:sz w:val="14"/>
                <w:szCs w:val="14"/>
                <w:color w:val="auto"/>
              </w:rPr>
            </w:pPr>
          </w:p>
        </w:tc>
        <w:tc>
          <w:tcPr>
            <w:tcW w:w="10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136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752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Revenue-Linked PRSUs that were “banked” pursuant to the banking feature described in “Compensation</w:t>
            </w:r>
          </w:p>
        </w:tc>
      </w:tr>
      <w:tr>
        <w:trPr>
          <w:trHeight w:val="172"/>
        </w:trPr>
        <w:tc>
          <w:tcPr>
            <w:tcW w:w="2200" w:type="dxa"/>
            <w:vAlign w:val="bottom"/>
            <w:shd w:val="clear" w:color="auto" w:fill="B8CDE8"/>
          </w:tcPr>
          <w:p>
            <w:pPr>
              <w:spacing w:after="0"/>
              <w:rPr>
                <w:sz w:val="14"/>
                <w:szCs w:val="14"/>
                <w:color w:val="auto"/>
              </w:rPr>
            </w:pPr>
          </w:p>
        </w:tc>
        <w:tc>
          <w:tcPr>
            <w:tcW w:w="10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136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752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Discussion and Analysis – Long-Term Equity Incentives” on page 36.</w:t>
            </w:r>
          </w:p>
        </w:tc>
      </w:tr>
      <w:tr>
        <w:trPr>
          <w:trHeight w:val="179"/>
        </w:trPr>
        <w:tc>
          <w:tcPr>
            <w:tcW w:w="2200" w:type="dxa"/>
            <w:vAlign w:val="bottom"/>
            <w:shd w:val="clear" w:color="auto" w:fill="B8CDE8"/>
          </w:tcPr>
          <w:p>
            <w:pPr>
              <w:spacing w:after="0"/>
              <w:rPr>
                <w:sz w:val="15"/>
                <w:szCs w:val="15"/>
                <w:color w:val="auto"/>
              </w:rPr>
            </w:pPr>
          </w:p>
        </w:tc>
        <w:tc>
          <w:tcPr>
            <w:tcW w:w="100" w:type="dxa"/>
            <w:vAlign w:val="bottom"/>
            <w:shd w:val="clear" w:color="auto" w:fill="B8CDE8"/>
          </w:tcPr>
          <w:p>
            <w:pPr>
              <w:spacing w:after="0"/>
              <w:rPr>
                <w:sz w:val="15"/>
                <w:szCs w:val="15"/>
                <w:color w:val="auto"/>
              </w:rPr>
            </w:pPr>
          </w:p>
        </w:tc>
        <w:tc>
          <w:tcPr>
            <w:tcW w:w="1480" w:type="dxa"/>
            <w:vAlign w:val="bottom"/>
            <w:gridSpan w:val="2"/>
            <w:shd w:val="clear" w:color="auto" w:fill="B8CDE8"/>
          </w:tcPr>
          <w:p>
            <w:pPr>
              <w:jc w:val="center"/>
              <w:ind w:left="48"/>
              <w:spacing w:after="0"/>
              <w:rPr>
                <w:sz w:val="20"/>
                <w:szCs w:val="20"/>
                <w:color w:val="auto"/>
              </w:rPr>
            </w:pPr>
            <w:r>
              <w:rPr>
                <w:rFonts w:ascii="Arial" w:cs="Arial" w:eastAsia="Arial" w:hAnsi="Arial"/>
                <w:sz w:val="14"/>
                <w:szCs w:val="14"/>
                <w:color w:val="auto"/>
              </w:rPr>
              <w:t>6,249</w:t>
            </w:r>
          </w:p>
        </w:tc>
        <w:tc>
          <w:tcPr>
            <w:tcW w:w="120" w:type="dxa"/>
            <w:vAlign w:val="bottom"/>
            <w:shd w:val="clear" w:color="auto" w:fill="B8CDE8"/>
          </w:tcPr>
          <w:p>
            <w:pPr>
              <w:spacing w:after="0"/>
              <w:rPr>
                <w:sz w:val="15"/>
                <w:szCs w:val="15"/>
                <w:color w:val="auto"/>
              </w:rPr>
            </w:pPr>
          </w:p>
        </w:tc>
        <w:tc>
          <w:tcPr>
            <w:tcW w:w="752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100% of the Revenue-Linked PRSUs will vest on December 31, 2017. This amount represents the number of</w:t>
            </w:r>
          </w:p>
        </w:tc>
      </w:tr>
      <w:tr>
        <w:trPr>
          <w:trHeight w:val="162"/>
        </w:trPr>
        <w:tc>
          <w:tcPr>
            <w:tcW w:w="2200" w:type="dxa"/>
            <w:vAlign w:val="bottom"/>
            <w:shd w:val="clear" w:color="auto" w:fill="B8CDE8"/>
          </w:tcPr>
          <w:p>
            <w:pPr>
              <w:spacing w:after="0"/>
              <w:rPr>
                <w:sz w:val="14"/>
                <w:szCs w:val="14"/>
                <w:color w:val="auto"/>
              </w:rPr>
            </w:pPr>
          </w:p>
        </w:tc>
        <w:tc>
          <w:tcPr>
            <w:tcW w:w="10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136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752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Revenue-Linked PRSUs that were “banked” pursuant to the banking feature described in “Compensation</w:t>
            </w:r>
          </w:p>
        </w:tc>
      </w:tr>
      <w:tr>
        <w:trPr>
          <w:trHeight w:val="171"/>
        </w:trPr>
        <w:tc>
          <w:tcPr>
            <w:tcW w:w="2200" w:type="dxa"/>
            <w:vAlign w:val="bottom"/>
            <w:shd w:val="clear" w:color="auto" w:fill="B8CDE8"/>
          </w:tcPr>
          <w:p>
            <w:pPr>
              <w:spacing w:after="0"/>
              <w:rPr>
                <w:sz w:val="14"/>
                <w:szCs w:val="14"/>
                <w:color w:val="auto"/>
              </w:rPr>
            </w:pPr>
          </w:p>
        </w:tc>
        <w:tc>
          <w:tcPr>
            <w:tcW w:w="10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136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752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Discussion and Analysis – Long-Term Equity Incentives” on page 36.</w:t>
            </w:r>
          </w:p>
        </w:tc>
      </w:tr>
      <w:tr>
        <w:trPr>
          <w:trHeight w:val="180"/>
        </w:trPr>
        <w:tc>
          <w:tcPr>
            <w:tcW w:w="2300" w:type="dxa"/>
            <w:vAlign w:val="bottom"/>
            <w:gridSpan w:val="2"/>
          </w:tcPr>
          <w:p>
            <w:pPr>
              <w:ind w:left="120"/>
              <w:spacing w:after="0"/>
              <w:rPr>
                <w:sz w:val="20"/>
                <w:szCs w:val="20"/>
                <w:color w:val="auto"/>
              </w:rPr>
            </w:pPr>
            <w:r>
              <w:rPr>
                <w:rFonts w:ascii="Arial" w:cs="Arial" w:eastAsia="Arial" w:hAnsi="Arial"/>
                <w:sz w:val="14"/>
                <w:szCs w:val="14"/>
                <w:color w:val="auto"/>
              </w:rPr>
              <w:t>Vishal Chhibbar</w:t>
            </w:r>
          </w:p>
        </w:tc>
        <w:tc>
          <w:tcPr>
            <w:tcW w:w="1480" w:type="dxa"/>
            <w:vAlign w:val="bottom"/>
            <w:gridSpan w:val="2"/>
          </w:tcPr>
          <w:p>
            <w:pPr>
              <w:jc w:val="center"/>
              <w:ind w:left="48"/>
              <w:spacing w:after="0"/>
              <w:rPr>
                <w:sz w:val="20"/>
                <w:szCs w:val="20"/>
                <w:color w:val="auto"/>
              </w:rPr>
            </w:pPr>
            <w:r>
              <w:rPr>
                <w:rFonts w:ascii="Arial" w:cs="Arial" w:eastAsia="Arial" w:hAnsi="Arial"/>
                <w:sz w:val="14"/>
                <w:szCs w:val="14"/>
                <w:color w:val="auto"/>
              </w:rPr>
              <w:t>1,700</w:t>
            </w:r>
          </w:p>
        </w:tc>
        <w:tc>
          <w:tcPr>
            <w:tcW w:w="120" w:type="dxa"/>
            <w:vAlign w:val="bottom"/>
          </w:tcPr>
          <w:p>
            <w:pPr>
              <w:spacing w:after="0"/>
              <w:rPr>
                <w:sz w:val="15"/>
                <w:szCs w:val="15"/>
                <w:color w:val="auto"/>
              </w:rPr>
            </w:pPr>
          </w:p>
        </w:tc>
        <w:tc>
          <w:tcPr>
            <w:tcW w:w="7520" w:type="dxa"/>
            <w:vAlign w:val="bottom"/>
            <w:gridSpan w:val="3"/>
          </w:tcPr>
          <w:p>
            <w:pPr>
              <w:ind w:left="100"/>
              <w:spacing w:after="0"/>
              <w:rPr>
                <w:sz w:val="20"/>
                <w:szCs w:val="20"/>
                <w:color w:val="auto"/>
              </w:rPr>
            </w:pPr>
            <w:r>
              <w:rPr>
                <w:rFonts w:ascii="Arial" w:cs="Arial" w:eastAsia="Arial" w:hAnsi="Arial"/>
                <w:sz w:val="14"/>
                <w:szCs w:val="14"/>
                <w:color w:val="auto"/>
              </w:rPr>
              <w:t>10% of the restricted stock units vested on February 7, 2013, 20% of the restricted stock units vested on February</w:t>
            </w:r>
          </w:p>
        </w:tc>
      </w:tr>
      <w:tr>
        <w:trPr>
          <w:trHeight w:val="162"/>
        </w:trPr>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520" w:type="dxa"/>
            <w:vAlign w:val="bottom"/>
            <w:gridSpan w:val="3"/>
          </w:tcPr>
          <w:p>
            <w:pPr>
              <w:ind w:left="100"/>
              <w:spacing w:after="0"/>
              <w:rPr>
                <w:sz w:val="20"/>
                <w:szCs w:val="20"/>
                <w:color w:val="auto"/>
              </w:rPr>
            </w:pPr>
            <w:r>
              <w:rPr>
                <w:rFonts w:ascii="Arial" w:cs="Arial" w:eastAsia="Arial" w:hAnsi="Arial"/>
                <w:sz w:val="14"/>
                <w:szCs w:val="14"/>
                <w:color w:val="auto"/>
              </w:rPr>
              <w:t>7, 2014, 30% of the restricted stock units vested on February 7, 2015, and 40% of the restricted stock units will</w:t>
            </w:r>
          </w:p>
        </w:tc>
      </w:tr>
      <w:tr>
        <w:trPr>
          <w:trHeight w:val="172"/>
        </w:trPr>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520" w:type="dxa"/>
            <w:vAlign w:val="bottom"/>
            <w:gridSpan w:val="3"/>
          </w:tcPr>
          <w:p>
            <w:pPr>
              <w:ind w:left="100"/>
              <w:spacing w:after="0"/>
              <w:rPr>
                <w:sz w:val="20"/>
                <w:szCs w:val="20"/>
                <w:color w:val="auto"/>
              </w:rPr>
            </w:pPr>
            <w:r>
              <w:rPr>
                <w:rFonts w:ascii="Arial" w:cs="Arial" w:eastAsia="Arial" w:hAnsi="Arial"/>
                <w:sz w:val="14"/>
                <w:szCs w:val="14"/>
                <w:color w:val="auto"/>
              </w:rPr>
              <w:t>vest on February 7, 2016.</w:t>
            </w:r>
          </w:p>
        </w:tc>
      </w:tr>
      <w:tr>
        <w:trPr>
          <w:trHeight w:val="179"/>
        </w:trPr>
        <w:tc>
          <w:tcPr>
            <w:tcW w:w="2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jc w:val="center"/>
              <w:ind w:left="48"/>
              <w:spacing w:after="0"/>
              <w:rPr>
                <w:sz w:val="20"/>
                <w:szCs w:val="20"/>
                <w:color w:val="auto"/>
              </w:rPr>
            </w:pPr>
            <w:r>
              <w:rPr>
                <w:rFonts w:ascii="Arial" w:cs="Arial" w:eastAsia="Arial" w:hAnsi="Arial"/>
                <w:sz w:val="14"/>
                <w:szCs w:val="14"/>
                <w:color w:val="auto"/>
              </w:rPr>
              <w:t>8,400</w:t>
            </w:r>
          </w:p>
        </w:tc>
        <w:tc>
          <w:tcPr>
            <w:tcW w:w="120" w:type="dxa"/>
            <w:vAlign w:val="bottom"/>
          </w:tcPr>
          <w:p>
            <w:pPr>
              <w:spacing w:after="0"/>
              <w:rPr>
                <w:sz w:val="15"/>
                <w:szCs w:val="15"/>
                <w:color w:val="auto"/>
              </w:rPr>
            </w:pPr>
          </w:p>
        </w:tc>
        <w:tc>
          <w:tcPr>
            <w:tcW w:w="7520" w:type="dxa"/>
            <w:vAlign w:val="bottom"/>
            <w:gridSpan w:val="3"/>
          </w:tcPr>
          <w:p>
            <w:pPr>
              <w:ind w:left="100"/>
              <w:spacing w:after="0"/>
              <w:rPr>
                <w:sz w:val="20"/>
                <w:szCs w:val="20"/>
                <w:color w:val="auto"/>
              </w:rPr>
            </w:pPr>
            <w:r>
              <w:rPr>
                <w:rFonts w:ascii="Arial" w:cs="Arial" w:eastAsia="Arial" w:hAnsi="Arial"/>
                <w:sz w:val="14"/>
                <w:szCs w:val="14"/>
                <w:color w:val="auto"/>
              </w:rPr>
              <w:t>10% of the restricted stock units vested on February 8, 2014, 20% of the restricted stock units vested on</w:t>
            </w:r>
          </w:p>
        </w:tc>
      </w:tr>
      <w:tr>
        <w:trPr>
          <w:trHeight w:val="162"/>
        </w:trPr>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520" w:type="dxa"/>
            <w:vAlign w:val="bottom"/>
            <w:gridSpan w:val="3"/>
          </w:tcPr>
          <w:p>
            <w:pPr>
              <w:ind w:left="100"/>
              <w:spacing w:after="0"/>
              <w:rPr>
                <w:sz w:val="20"/>
                <w:szCs w:val="20"/>
                <w:color w:val="auto"/>
              </w:rPr>
            </w:pPr>
            <w:r>
              <w:rPr>
                <w:rFonts w:ascii="Arial" w:cs="Arial" w:eastAsia="Arial" w:hAnsi="Arial"/>
                <w:sz w:val="14"/>
                <w:szCs w:val="14"/>
                <w:color w:val="auto"/>
              </w:rPr>
              <w:t>February 8, 2015, 30% of the restricted stock vested on February 8, 2016, and the remaining 40% of the restricted</w:t>
            </w:r>
          </w:p>
        </w:tc>
      </w:tr>
      <w:tr>
        <w:trPr>
          <w:trHeight w:val="172"/>
        </w:trPr>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520" w:type="dxa"/>
            <w:vAlign w:val="bottom"/>
            <w:gridSpan w:val="3"/>
          </w:tcPr>
          <w:p>
            <w:pPr>
              <w:ind w:left="100"/>
              <w:spacing w:after="0"/>
              <w:rPr>
                <w:sz w:val="20"/>
                <w:szCs w:val="20"/>
                <w:color w:val="auto"/>
              </w:rPr>
            </w:pPr>
            <w:r>
              <w:rPr>
                <w:rFonts w:ascii="Arial" w:cs="Arial" w:eastAsia="Arial" w:hAnsi="Arial"/>
                <w:sz w:val="14"/>
                <w:szCs w:val="14"/>
                <w:color w:val="auto"/>
              </w:rPr>
              <w:t>stock units will vest on February 8, 2017.</w:t>
            </w:r>
          </w:p>
        </w:tc>
      </w:tr>
      <w:tr>
        <w:trPr>
          <w:trHeight w:val="189"/>
        </w:trPr>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left="48"/>
              <w:spacing w:after="0"/>
              <w:rPr>
                <w:sz w:val="20"/>
                <w:szCs w:val="20"/>
                <w:color w:val="auto"/>
              </w:rPr>
            </w:pPr>
            <w:r>
              <w:rPr>
                <w:rFonts w:ascii="Arial" w:cs="Arial" w:eastAsia="Arial" w:hAnsi="Arial"/>
                <w:sz w:val="14"/>
                <w:szCs w:val="14"/>
                <w:color w:val="auto"/>
              </w:rPr>
              <w:t>297</w:t>
            </w:r>
          </w:p>
        </w:tc>
        <w:tc>
          <w:tcPr>
            <w:tcW w:w="120" w:type="dxa"/>
            <w:vAlign w:val="bottom"/>
          </w:tcPr>
          <w:p>
            <w:pPr>
              <w:spacing w:after="0"/>
              <w:rPr>
                <w:sz w:val="16"/>
                <w:szCs w:val="16"/>
                <w:color w:val="auto"/>
              </w:rPr>
            </w:pPr>
          </w:p>
        </w:tc>
        <w:tc>
          <w:tcPr>
            <w:tcW w:w="7520" w:type="dxa"/>
            <w:vAlign w:val="bottom"/>
            <w:gridSpan w:val="3"/>
          </w:tcPr>
          <w:p>
            <w:pPr>
              <w:ind w:left="100"/>
              <w:spacing w:after="0"/>
              <w:rPr>
                <w:sz w:val="20"/>
                <w:szCs w:val="20"/>
                <w:color w:val="auto"/>
              </w:rPr>
            </w:pPr>
            <w:r>
              <w:rPr>
                <w:rFonts w:ascii="Arial" w:cs="Arial" w:eastAsia="Arial" w:hAnsi="Arial"/>
                <w:sz w:val="14"/>
                <w:szCs w:val="14"/>
                <w:color w:val="auto"/>
              </w:rPr>
              <w:t>33.33% of the restricted stock units vested on each of February 8, 2014, February 8, 2015 and February 8, 2016.</w:t>
            </w:r>
          </w:p>
        </w:tc>
      </w:tr>
      <w:tr>
        <w:trPr>
          <w:trHeight w:val="179"/>
        </w:trPr>
        <w:tc>
          <w:tcPr>
            <w:tcW w:w="2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jc w:val="center"/>
              <w:ind w:left="48"/>
              <w:spacing w:after="0"/>
              <w:rPr>
                <w:sz w:val="20"/>
                <w:szCs w:val="20"/>
                <w:color w:val="auto"/>
              </w:rPr>
            </w:pPr>
            <w:r>
              <w:rPr>
                <w:rFonts w:ascii="Arial" w:cs="Arial" w:eastAsia="Arial" w:hAnsi="Arial"/>
                <w:sz w:val="14"/>
                <w:szCs w:val="14"/>
                <w:color w:val="auto"/>
              </w:rPr>
              <w:t>6,300</w:t>
            </w:r>
          </w:p>
        </w:tc>
        <w:tc>
          <w:tcPr>
            <w:tcW w:w="120" w:type="dxa"/>
            <w:vAlign w:val="bottom"/>
          </w:tcPr>
          <w:p>
            <w:pPr>
              <w:spacing w:after="0"/>
              <w:rPr>
                <w:sz w:val="15"/>
                <w:szCs w:val="15"/>
                <w:color w:val="auto"/>
              </w:rPr>
            </w:pPr>
          </w:p>
        </w:tc>
        <w:tc>
          <w:tcPr>
            <w:tcW w:w="7520" w:type="dxa"/>
            <w:vAlign w:val="bottom"/>
            <w:gridSpan w:val="3"/>
          </w:tcPr>
          <w:p>
            <w:pPr>
              <w:ind w:left="100"/>
              <w:spacing w:after="0"/>
              <w:rPr>
                <w:sz w:val="20"/>
                <w:szCs w:val="20"/>
                <w:color w:val="auto"/>
              </w:rPr>
            </w:pPr>
            <w:r>
              <w:rPr>
                <w:rFonts w:ascii="Arial" w:cs="Arial" w:eastAsia="Arial" w:hAnsi="Arial"/>
                <w:sz w:val="14"/>
                <w:szCs w:val="14"/>
                <w:color w:val="auto"/>
              </w:rPr>
              <w:t>10% of the restricted stock units vested on February 13, 2015 and 20% of the restricted stock units vested on</w:t>
            </w:r>
          </w:p>
        </w:tc>
      </w:tr>
      <w:tr>
        <w:trPr>
          <w:trHeight w:val="162"/>
        </w:trPr>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520" w:type="dxa"/>
            <w:vAlign w:val="bottom"/>
            <w:gridSpan w:val="3"/>
          </w:tcPr>
          <w:p>
            <w:pPr>
              <w:ind w:left="100"/>
              <w:spacing w:after="0"/>
              <w:rPr>
                <w:sz w:val="20"/>
                <w:szCs w:val="20"/>
                <w:color w:val="auto"/>
              </w:rPr>
            </w:pPr>
            <w:r>
              <w:rPr>
                <w:rFonts w:ascii="Arial" w:cs="Arial" w:eastAsia="Arial" w:hAnsi="Arial"/>
                <w:sz w:val="14"/>
                <w:szCs w:val="14"/>
                <w:color w:val="auto"/>
              </w:rPr>
              <w:t>February 13, 2016. An additional 30% of the restricted stock units will vest on February 13, 2017 and the</w:t>
            </w:r>
          </w:p>
        </w:tc>
      </w:tr>
      <w:tr>
        <w:trPr>
          <w:trHeight w:val="172"/>
        </w:trPr>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520" w:type="dxa"/>
            <w:vAlign w:val="bottom"/>
            <w:gridSpan w:val="3"/>
          </w:tcPr>
          <w:p>
            <w:pPr>
              <w:ind w:left="100"/>
              <w:spacing w:after="0"/>
              <w:rPr>
                <w:sz w:val="20"/>
                <w:szCs w:val="20"/>
                <w:color w:val="auto"/>
              </w:rPr>
            </w:pPr>
            <w:r>
              <w:rPr>
                <w:rFonts w:ascii="Arial" w:cs="Arial" w:eastAsia="Arial" w:hAnsi="Arial"/>
                <w:sz w:val="14"/>
                <w:szCs w:val="14"/>
                <w:color w:val="auto"/>
              </w:rPr>
              <w:t>remaining 40% of the restricted stock units will vest on February 13, 2018.</w:t>
            </w:r>
          </w:p>
        </w:tc>
      </w:tr>
    </w:tbl>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55" w:name="page56"/>
    <w:bookmarkEnd w:id="55"/>
    <w:p>
      <w:pPr>
        <w:spacing w:after="0" w:line="324" w:lineRule="exact"/>
        <w:rPr>
          <w:sz w:val="20"/>
          <w:szCs w:val="20"/>
          <w:color w:val="auto"/>
        </w:rPr>
      </w:pPr>
    </w:p>
    <w:p>
      <w:pPr>
        <w:jc w:val="right"/>
        <w:ind w:right="280"/>
        <w:spacing w:after="0"/>
        <w:rPr>
          <w:sz w:val="20"/>
          <w:szCs w:val="20"/>
          <w:color w:val="auto"/>
        </w:rPr>
      </w:pPr>
      <w:r>
        <w:rPr>
          <w:rFonts w:ascii="Arial" w:cs="Arial" w:eastAsia="Arial" w:hAnsi="Arial"/>
          <w:sz w:val="14"/>
          <w:szCs w:val="14"/>
          <w:b w:val="1"/>
          <w:bCs w:val="1"/>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4"/>
          <w:szCs w:val="14"/>
          <w:color w:val="auto"/>
        </w:rPr>
        <w:t>Pavan Bagai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auto"/>
        </w:rPr>
        <w:t>Nalin Miglani</w:t>
      </w:r>
    </w:p>
    <w:p>
      <w:pPr>
        <w:spacing w:after="0" w:line="20" w:lineRule="exact"/>
        <w:rPr>
          <w:sz w:val="20"/>
          <w:szCs w:val="20"/>
          <w:color w:val="auto"/>
        </w:rPr>
      </w:pPr>
      <w:r>
        <w:rPr>
          <w:sz w:val="20"/>
          <w:szCs w:val="20"/>
          <w:color w:val="auto"/>
        </w:rPr>
        <w:br w:type="column"/>
      </w:r>
    </w:p>
    <w:p>
      <w:pPr>
        <w:ind w:left="360" w:right="7920" w:firstLine="93"/>
        <w:spacing w:after="0" w:line="255" w:lineRule="auto"/>
        <w:tabs>
          <w:tab w:leader="none" w:pos="576" w:val="left"/>
        </w:tabs>
        <w:numPr>
          <w:ilvl w:val="0"/>
          <w:numId w:val="56"/>
        </w:numPr>
        <w:rPr>
          <w:rFonts w:ascii="Arial" w:cs="Arial" w:eastAsia="Arial" w:hAnsi="Arial"/>
          <w:sz w:val="14"/>
          <w:szCs w:val="14"/>
          <w:b w:val="1"/>
          <w:bCs w:val="1"/>
          <w:color w:val="auto"/>
        </w:rPr>
      </w:pPr>
      <w:r>
        <w:rPr>
          <w:rFonts w:ascii="Arial" w:cs="Arial" w:eastAsia="Arial" w:hAnsi="Arial"/>
          <w:sz w:val="14"/>
          <w:szCs w:val="14"/>
          <w:b w:val="1"/>
          <w:bCs w:val="1"/>
          <w:color w:val="auto"/>
        </w:rPr>
        <w:t>of Units Unvested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-1454785</wp:posOffset>
            </wp:positionH>
            <wp:positionV relativeFrom="paragraph">
              <wp:posOffset>-216535</wp:posOffset>
            </wp:positionV>
            <wp:extent cx="7246620" cy="3346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ind w:left="420"/>
        <w:spacing w:after="0"/>
        <w:tabs>
          <w:tab w:leader="none" w:pos="4140" w:val="left"/>
        </w:tabs>
        <w:rPr>
          <w:sz w:val="20"/>
          <w:szCs w:val="20"/>
          <w:color w:val="auto"/>
        </w:rPr>
      </w:pPr>
      <w:r>
        <w:rPr>
          <w:rFonts w:ascii="Arial" w:cs="Arial" w:eastAsia="Arial" w:hAnsi="Arial"/>
          <w:sz w:val="14"/>
          <w:szCs w:val="14"/>
          <w:b w:val="1"/>
          <w:bCs w:val="1"/>
          <w:color w:val="auto"/>
        </w:rPr>
        <w:t>of 12/31/15</w:t>
      </w:r>
      <w:r>
        <w:rPr>
          <w:sz w:val="20"/>
          <w:szCs w:val="20"/>
          <w:color w:val="auto"/>
        </w:rPr>
        <w:tab/>
      </w:r>
      <w:r>
        <w:rPr>
          <w:rFonts w:ascii="Arial" w:cs="Arial" w:eastAsia="Arial" w:hAnsi="Arial"/>
          <w:sz w:val="14"/>
          <w:szCs w:val="14"/>
          <w:b w:val="1"/>
          <w:bCs w:val="1"/>
          <w:color w:val="auto"/>
        </w:rPr>
        <w:t>Vesting Schedule of Original Grant</w:t>
      </w:r>
    </w:p>
    <w:p>
      <w:pPr>
        <w:spacing w:after="0" w:line="42" w:lineRule="exact"/>
        <w:rPr>
          <w:sz w:val="20"/>
          <w:szCs w:val="20"/>
          <w:color w:val="auto"/>
        </w:rPr>
      </w:pPr>
    </w:p>
    <w:p>
      <w:pPr>
        <w:ind w:left="1700" w:hanging="1019"/>
        <w:spacing w:after="0"/>
        <w:tabs>
          <w:tab w:leader="none" w:pos="1700" w:val="left"/>
        </w:tabs>
        <w:numPr>
          <w:ilvl w:val="0"/>
          <w:numId w:val="57"/>
        </w:numPr>
        <w:rPr>
          <w:rFonts w:ascii="Arial" w:cs="Arial" w:eastAsia="Arial" w:hAnsi="Arial"/>
          <w:sz w:val="14"/>
          <w:szCs w:val="14"/>
          <w:color w:val="auto"/>
        </w:rPr>
      </w:pPr>
      <w:r>
        <w:rPr>
          <w:rFonts w:ascii="Arial" w:cs="Arial" w:eastAsia="Arial" w:hAnsi="Arial"/>
          <w:sz w:val="14"/>
          <w:szCs w:val="14"/>
          <w:color w:val="auto"/>
        </w:rPr>
        <w:t>33.33% of the restricted stock units vested on each of February 13, 2015 and February 13, 2016. The remaining</w:t>
      </w:r>
    </w:p>
    <w:p>
      <w:pPr>
        <w:spacing w:after="0" w:line="1" w:lineRule="exact"/>
        <w:rPr>
          <w:rFonts w:ascii="Arial" w:cs="Arial" w:eastAsia="Arial" w:hAnsi="Arial"/>
          <w:sz w:val="14"/>
          <w:szCs w:val="14"/>
          <w:color w:val="auto"/>
        </w:rPr>
      </w:pPr>
    </w:p>
    <w:p>
      <w:pPr>
        <w:ind w:left="1700"/>
        <w:spacing w:after="0"/>
        <w:rPr>
          <w:rFonts w:ascii="Arial" w:cs="Arial" w:eastAsia="Arial" w:hAnsi="Arial"/>
          <w:sz w:val="14"/>
          <w:szCs w:val="14"/>
          <w:color w:val="auto"/>
        </w:rPr>
      </w:pPr>
      <w:r>
        <w:rPr>
          <w:rFonts w:ascii="Arial" w:cs="Arial" w:eastAsia="Arial" w:hAnsi="Arial"/>
          <w:sz w:val="14"/>
          <w:szCs w:val="14"/>
          <w:color w:val="auto"/>
        </w:rPr>
        <w:t>33.33% of the restricted stock units will vest on February 13, 2017.</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00" w:type="dxa"/>
            <w:vAlign w:val="bottom"/>
          </w:tcPr>
          <w:p>
            <w:pPr>
              <w:jc w:val="center"/>
              <w:spacing w:after="0"/>
              <w:rPr>
                <w:sz w:val="20"/>
                <w:szCs w:val="20"/>
                <w:color w:val="auto"/>
              </w:rPr>
            </w:pPr>
            <w:r>
              <w:rPr>
                <w:rFonts w:ascii="Arial" w:cs="Arial" w:eastAsia="Arial" w:hAnsi="Arial"/>
                <w:sz w:val="14"/>
                <w:szCs w:val="14"/>
                <w:color w:val="auto"/>
              </w:rPr>
              <w:t>7,500</w:t>
            </w:r>
          </w:p>
        </w:tc>
        <w:tc>
          <w:tcPr>
            <w:tcW w:w="7520" w:type="dxa"/>
            <w:vAlign w:val="bottom"/>
          </w:tcPr>
          <w:p>
            <w:pPr>
              <w:ind w:left="100"/>
              <w:spacing w:after="0"/>
              <w:rPr>
                <w:sz w:val="20"/>
                <w:szCs w:val="20"/>
                <w:color w:val="auto"/>
              </w:rPr>
            </w:pPr>
            <w:r>
              <w:rPr>
                <w:rFonts w:ascii="Arial" w:cs="Arial" w:eastAsia="Arial" w:hAnsi="Arial"/>
                <w:sz w:val="14"/>
                <w:szCs w:val="14"/>
                <w:color w:val="auto"/>
              </w:rPr>
              <w:t>10% of the restricted stock units vested on February 26, 2016. An additional 20% of the restricted stock units will</w:t>
            </w:r>
          </w:p>
        </w:tc>
      </w:tr>
      <w:tr>
        <w:trPr>
          <w:trHeight w:val="162"/>
        </w:trPr>
        <w:tc>
          <w:tcPr>
            <w:tcW w:w="1600" w:type="dxa"/>
            <w:vAlign w:val="bottom"/>
          </w:tcPr>
          <w:p>
            <w:pPr>
              <w:spacing w:after="0"/>
              <w:rPr>
                <w:sz w:val="14"/>
                <w:szCs w:val="14"/>
                <w:color w:val="auto"/>
              </w:rPr>
            </w:pPr>
          </w:p>
        </w:tc>
        <w:tc>
          <w:tcPr>
            <w:tcW w:w="7520" w:type="dxa"/>
            <w:vAlign w:val="bottom"/>
          </w:tcPr>
          <w:p>
            <w:pPr>
              <w:ind w:left="100"/>
              <w:spacing w:after="0"/>
              <w:rPr>
                <w:sz w:val="20"/>
                <w:szCs w:val="20"/>
                <w:color w:val="auto"/>
              </w:rPr>
            </w:pPr>
            <w:r>
              <w:rPr>
                <w:rFonts w:ascii="Arial" w:cs="Arial" w:eastAsia="Arial" w:hAnsi="Arial"/>
                <w:sz w:val="14"/>
                <w:szCs w:val="14"/>
                <w:color w:val="auto"/>
              </w:rPr>
              <w:t>vest on February 26, 2017, 30% of the restricted stock units will vest on February 26, 2018 and the remaining 40%</w:t>
            </w:r>
          </w:p>
        </w:tc>
      </w:tr>
      <w:tr>
        <w:trPr>
          <w:trHeight w:val="172"/>
        </w:trPr>
        <w:tc>
          <w:tcPr>
            <w:tcW w:w="1600" w:type="dxa"/>
            <w:vAlign w:val="bottom"/>
          </w:tcPr>
          <w:p>
            <w:pPr>
              <w:spacing w:after="0"/>
              <w:rPr>
                <w:sz w:val="14"/>
                <w:szCs w:val="14"/>
                <w:color w:val="auto"/>
              </w:rPr>
            </w:pPr>
          </w:p>
        </w:tc>
        <w:tc>
          <w:tcPr>
            <w:tcW w:w="7520" w:type="dxa"/>
            <w:vAlign w:val="bottom"/>
          </w:tcPr>
          <w:p>
            <w:pPr>
              <w:ind w:left="100"/>
              <w:spacing w:after="0"/>
              <w:rPr>
                <w:sz w:val="20"/>
                <w:szCs w:val="20"/>
                <w:color w:val="auto"/>
              </w:rPr>
            </w:pPr>
            <w:r>
              <w:rPr>
                <w:rFonts w:ascii="Arial" w:cs="Arial" w:eastAsia="Arial" w:hAnsi="Arial"/>
                <w:sz w:val="14"/>
                <w:szCs w:val="14"/>
                <w:color w:val="auto"/>
              </w:rPr>
              <w:t>of the restricted stock units will vest on February 26, 2019.</w:t>
            </w:r>
          </w:p>
        </w:tc>
      </w:tr>
      <w:tr>
        <w:trPr>
          <w:trHeight w:val="179"/>
        </w:trPr>
        <w:tc>
          <w:tcPr>
            <w:tcW w:w="1600" w:type="dxa"/>
            <w:vAlign w:val="bottom"/>
          </w:tcPr>
          <w:p>
            <w:pPr>
              <w:jc w:val="center"/>
              <w:spacing w:after="0"/>
              <w:rPr>
                <w:sz w:val="20"/>
                <w:szCs w:val="20"/>
                <w:color w:val="auto"/>
              </w:rPr>
            </w:pPr>
            <w:r>
              <w:rPr>
                <w:rFonts w:ascii="Arial" w:cs="Arial" w:eastAsia="Arial" w:hAnsi="Arial"/>
                <w:sz w:val="14"/>
                <w:szCs w:val="14"/>
                <w:color w:val="auto"/>
              </w:rPr>
              <w:t>2,333</w:t>
            </w:r>
          </w:p>
        </w:tc>
        <w:tc>
          <w:tcPr>
            <w:tcW w:w="7520" w:type="dxa"/>
            <w:vAlign w:val="bottom"/>
          </w:tcPr>
          <w:p>
            <w:pPr>
              <w:ind w:left="100"/>
              <w:spacing w:after="0"/>
              <w:rPr>
                <w:sz w:val="20"/>
                <w:szCs w:val="20"/>
                <w:color w:val="auto"/>
              </w:rPr>
            </w:pPr>
            <w:r>
              <w:rPr>
                <w:rFonts w:ascii="Arial" w:cs="Arial" w:eastAsia="Arial" w:hAnsi="Arial"/>
                <w:sz w:val="14"/>
                <w:szCs w:val="14"/>
                <w:color w:val="auto"/>
              </w:rPr>
              <w:t>100% of the Revenue-Linked PRSUs will vest on December 31, 2016. This amount represents the number of</w:t>
            </w:r>
          </w:p>
        </w:tc>
      </w:tr>
      <w:tr>
        <w:trPr>
          <w:trHeight w:val="162"/>
        </w:trPr>
        <w:tc>
          <w:tcPr>
            <w:tcW w:w="1600" w:type="dxa"/>
            <w:vAlign w:val="bottom"/>
          </w:tcPr>
          <w:p>
            <w:pPr>
              <w:spacing w:after="0"/>
              <w:rPr>
                <w:sz w:val="14"/>
                <w:szCs w:val="14"/>
                <w:color w:val="auto"/>
              </w:rPr>
            </w:pPr>
          </w:p>
        </w:tc>
        <w:tc>
          <w:tcPr>
            <w:tcW w:w="7520" w:type="dxa"/>
            <w:vAlign w:val="bottom"/>
          </w:tcPr>
          <w:p>
            <w:pPr>
              <w:ind w:left="100"/>
              <w:spacing w:after="0"/>
              <w:rPr>
                <w:sz w:val="20"/>
                <w:szCs w:val="20"/>
                <w:color w:val="auto"/>
              </w:rPr>
            </w:pPr>
            <w:r>
              <w:rPr>
                <w:rFonts w:ascii="Arial" w:cs="Arial" w:eastAsia="Arial" w:hAnsi="Arial"/>
                <w:sz w:val="14"/>
                <w:szCs w:val="14"/>
                <w:color w:val="auto"/>
              </w:rPr>
              <w:t>Revenue-Linked PRSUs that were “banked” pursuant to the banking feature described in “Compensation</w:t>
            </w:r>
          </w:p>
        </w:tc>
      </w:tr>
      <w:tr>
        <w:trPr>
          <w:trHeight w:val="172"/>
        </w:trPr>
        <w:tc>
          <w:tcPr>
            <w:tcW w:w="1600" w:type="dxa"/>
            <w:vAlign w:val="bottom"/>
          </w:tcPr>
          <w:p>
            <w:pPr>
              <w:spacing w:after="0"/>
              <w:rPr>
                <w:sz w:val="14"/>
                <w:szCs w:val="14"/>
                <w:color w:val="auto"/>
              </w:rPr>
            </w:pPr>
          </w:p>
        </w:tc>
        <w:tc>
          <w:tcPr>
            <w:tcW w:w="7520" w:type="dxa"/>
            <w:vAlign w:val="bottom"/>
          </w:tcPr>
          <w:p>
            <w:pPr>
              <w:ind w:left="100"/>
              <w:spacing w:after="0"/>
              <w:rPr>
                <w:sz w:val="20"/>
                <w:szCs w:val="20"/>
                <w:color w:val="auto"/>
              </w:rPr>
            </w:pPr>
            <w:r>
              <w:rPr>
                <w:rFonts w:ascii="Arial" w:cs="Arial" w:eastAsia="Arial" w:hAnsi="Arial"/>
                <w:sz w:val="14"/>
                <w:szCs w:val="14"/>
                <w:color w:val="auto"/>
              </w:rPr>
              <w:t>Discussion and Analysis – Long-Term Equity Incentives” on page 36.</w:t>
            </w:r>
          </w:p>
        </w:tc>
      </w:tr>
      <w:tr>
        <w:trPr>
          <w:trHeight w:val="179"/>
        </w:trPr>
        <w:tc>
          <w:tcPr>
            <w:tcW w:w="1600" w:type="dxa"/>
            <w:vAlign w:val="bottom"/>
          </w:tcPr>
          <w:p>
            <w:pPr>
              <w:jc w:val="center"/>
              <w:spacing w:after="0"/>
              <w:rPr>
                <w:sz w:val="20"/>
                <w:szCs w:val="20"/>
                <w:color w:val="auto"/>
              </w:rPr>
            </w:pPr>
            <w:r>
              <w:rPr>
                <w:rFonts w:ascii="Arial" w:cs="Arial" w:eastAsia="Arial" w:hAnsi="Arial"/>
                <w:sz w:val="14"/>
                <w:szCs w:val="14"/>
                <w:color w:val="auto"/>
              </w:rPr>
              <w:t>1,249</w:t>
            </w:r>
          </w:p>
        </w:tc>
        <w:tc>
          <w:tcPr>
            <w:tcW w:w="7520" w:type="dxa"/>
            <w:vAlign w:val="bottom"/>
          </w:tcPr>
          <w:p>
            <w:pPr>
              <w:ind w:left="100"/>
              <w:spacing w:after="0"/>
              <w:rPr>
                <w:sz w:val="20"/>
                <w:szCs w:val="20"/>
                <w:color w:val="auto"/>
              </w:rPr>
            </w:pPr>
            <w:r>
              <w:rPr>
                <w:rFonts w:ascii="Arial" w:cs="Arial" w:eastAsia="Arial" w:hAnsi="Arial"/>
                <w:sz w:val="14"/>
                <w:szCs w:val="14"/>
                <w:color w:val="auto"/>
              </w:rPr>
              <w:t>100% of the Revenue-Linked PRSUs will vest on December 31, 2017. This amount represents the number of</w:t>
            </w:r>
          </w:p>
        </w:tc>
      </w:tr>
      <w:tr>
        <w:trPr>
          <w:trHeight w:val="162"/>
        </w:trPr>
        <w:tc>
          <w:tcPr>
            <w:tcW w:w="1600" w:type="dxa"/>
            <w:vAlign w:val="bottom"/>
          </w:tcPr>
          <w:p>
            <w:pPr>
              <w:spacing w:after="0"/>
              <w:rPr>
                <w:sz w:val="14"/>
                <w:szCs w:val="14"/>
                <w:color w:val="auto"/>
              </w:rPr>
            </w:pPr>
          </w:p>
        </w:tc>
        <w:tc>
          <w:tcPr>
            <w:tcW w:w="7520" w:type="dxa"/>
            <w:vAlign w:val="bottom"/>
          </w:tcPr>
          <w:p>
            <w:pPr>
              <w:ind w:left="100"/>
              <w:spacing w:after="0"/>
              <w:rPr>
                <w:sz w:val="20"/>
                <w:szCs w:val="20"/>
                <w:color w:val="auto"/>
              </w:rPr>
            </w:pPr>
            <w:r>
              <w:rPr>
                <w:rFonts w:ascii="Arial" w:cs="Arial" w:eastAsia="Arial" w:hAnsi="Arial"/>
                <w:sz w:val="14"/>
                <w:szCs w:val="14"/>
                <w:color w:val="auto"/>
              </w:rPr>
              <w:t>Revenue-Linked PRSUs that were “banked” pursuant to the banking feature described in “Compensation</w:t>
            </w:r>
          </w:p>
        </w:tc>
      </w:tr>
      <w:tr>
        <w:trPr>
          <w:trHeight w:val="172"/>
        </w:trPr>
        <w:tc>
          <w:tcPr>
            <w:tcW w:w="1600" w:type="dxa"/>
            <w:vAlign w:val="bottom"/>
          </w:tcPr>
          <w:p>
            <w:pPr>
              <w:spacing w:after="0"/>
              <w:rPr>
                <w:sz w:val="14"/>
                <w:szCs w:val="14"/>
                <w:color w:val="auto"/>
              </w:rPr>
            </w:pPr>
          </w:p>
        </w:tc>
        <w:tc>
          <w:tcPr>
            <w:tcW w:w="7520" w:type="dxa"/>
            <w:vAlign w:val="bottom"/>
          </w:tcPr>
          <w:p>
            <w:pPr>
              <w:ind w:left="100"/>
              <w:spacing w:after="0"/>
              <w:rPr>
                <w:sz w:val="20"/>
                <w:szCs w:val="20"/>
                <w:color w:val="auto"/>
              </w:rPr>
            </w:pPr>
            <w:r>
              <w:rPr>
                <w:rFonts w:ascii="Arial" w:cs="Arial" w:eastAsia="Arial" w:hAnsi="Arial"/>
                <w:sz w:val="14"/>
                <w:szCs w:val="14"/>
                <w:color w:val="auto"/>
              </w:rPr>
              <w:t>Discussion and Analysis – Long-Term Equity Incentives” on page 36.</w:t>
            </w:r>
          </w:p>
        </w:tc>
      </w:tr>
      <w:tr>
        <w:trPr>
          <w:trHeight w:val="179"/>
        </w:trPr>
        <w:tc>
          <w:tcPr>
            <w:tcW w:w="1600" w:type="dxa"/>
            <w:vAlign w:val="bottom"/>
          </w:tcPr>
          <w:p>
            <w:pPr>
              <w:jc w:val="center"/>
              <w:spacing w:after="0"/>
              <w:rPr>
                <w:sz w:val="20"/>
                <w:szCs w:val="20"/>
                <w:color w:val="auto"/>
              </w:rPr>
            </w:pPr>
            <w:r>
              <w:rPr>
                <w:rFonts w:ascii="Arial" w:cs="Arial" w:eastAsia="Arial" w:hAnsi="Arial"/>
                <w:sz w:val="14"/>
                <w:szCs w:val="14"/>
                <w:color w:val="auto"/>
              </w:rPr>
              <w:t>5,000</w:t>
            </w:r>
          </w:p>
        </w:tc>
        <w:tc>
          <w:tcPr>
            <w:tcW w:w="7520" w:type="dxa"/>
            <w:vAlign w:val="bottom"/>
          </w:tcPr>
          <w:p>
            <w:pPr>
              <w:ind w:left="100"/>
              <w:spacing w:after="0"/>
              <w:rPr>
                <w:sz w:val="20"/>
                <w:szCs w:val="20"/>
                <w:color w:val="auto"/>
              </w:rPr>
            </w:pPr>
            <w:r>
              <w:rPr>
                <w:rFonts w:ascii="Arial" w:cs="Arial" w:eastAsia="Arial" w:hAnsi="Arial"/>
                <w:sz w:val="14"/>
                <w:szCs w:val="14"/>
                <w:color w:val="auto"/>
              </w:rPr>
              <w:t>10% of the restricted stock units vested on February 7, 2013, 20% of the restricted stock units vested on February</w:t>
            </w:r>
          </w:p>
        </w:tc>
      </w:tr>
      <w:tr>
        <w:trPr>
          <w:trHeight w:val="162"/>
        </w:trPr>
        <w:tc>
          <w:tcPr>
            <w:tcW w:w="1600" w:type="dxa"/>
            <w:vAlign w:val="bottom"/>
          </w:tcPr>
          <w:p>
            <w:pPr>
              <w:spacing w:after="0"/>
              <w:rPr>
                <w:sz w:val="14"/>
                <w:szCs w:val="14"/>
                <w:color w:val="auto"/>
              </w:rPr>
            </w:pPr>
          </w:p>
        </w:tc>
        <w:tc>
          <w:tcPr>
            <w:tcW w:w="7520" w:type="dxa"/>
            <w:vAlign w:val="bottom"/>
          </w:tcPr>
          <w:p>
            <w:pPr>
              <w:ind w:left="100"/>
              <w:spacing w:after="0"/>
              <w:rPr>
                <w:sz w:val="20"/>
                <w:szCs w:val="20"/>
                <w:color w:val="auto"/>
              </w:rPr>
            </w:pPr>
            <w:r>
              <w:rPr>
                <w:rFonts w:ascii="Arial" w:cs="Arial" w:eastAsia="Arial" w:hAnsi="Arial"/>
                <w:sz w:val="14"/>
                <w:szCs w:val="14"/>
                <w:color w:val="auto"/>
              </w:rPr>
              <w:t>7, 2014, 30% of the restricted stock units vested on February 7, 2015, and 40% of the restricted stock units will</w:t>
            </w:r>
          </w:p>
        </w:tc>
      </w:tr>
      <w:tr>
        <w:trPr>
          <w:trHeight w:val="171"/>
        </w:trPr>
        <w:tc>
          <w:tcPr>
            <w:tcW w:w="1600" w:type="dxa"/>
            <w:vAlign w:val="bottom"/>
          </w:tcPr>
          <w:p>
            <w:pPr>
              <w:spacing w:after="0"/>
              <w:rPr>
                <w:sz w:val="14"/>
                <w:szCs w:val="14"/>
                <w:color w:val="auto"/>
              </w:rPr>
            </w:pPr>
          </w:p>
        </w:tc>
        <w:tc>
          <w:tcPr>
            <w:tcW w:w="7520" w:type="dxa"/>
            <w:vAlign w:val="bottom"/>
          </w:tcPr>
          <w:p>
            <w:pPr>
              <w:ind w:left="100"/>
              <w:spacing w:after="0"/>
              <w:rPr>
                <w:sz w:val="20"/>
                <w:szCs w:val="20"/>
                <w:color w:val="auto"/>
              </w:rPr>
            </w:pPr>
            <w:r>
              <w:rPr>
                <w:rFonts w:ascii="Arial" w:cs="Arial" w:eastAsia="Arial" w:hAnsi="Arial"/>
                <w:sz w:val="14"/>
                <w:szCs w:val="14"/>
                <w:color w:val="auto"/>
              </w:rPr>
              <w:t>vest on February 7, 2016.</w:t>
            </w:r>
          </w:p>
        </w:tc>
      </w:tr>
      <w:tr>
        <w:trPr>
          <w:trHeight w:val="189"/>
        </w:trPr>
        <w:tc>
          <w:tcPr>
            <w:tcW w:w="1600" w:type="dxa"/>
            <w:vAlign w:val="bottom"/>
            <w:shd w:val="clear" w:color="auto" w:fill="B8CDE8"/>
          </w:tcPr>
          <w:p>
            <w:pPr>
              <w:jc w:val="center"/>
              <w:spacing w:after="0"/>
              <w:rPr>
                <w:sz w:val="20"/>
                <w:szCs w:val="20"/>
                <w:color w:val="auto"/>
              </w:rPr>
            </w:pPr>
            <w:r>
              <w:rPr>
                <w:rFonts w:ascii="Arial" w:cs="Arial" w:eastAsia="Arial" w:hAnsi="Arial"/>
                <w:sz w:val="14"/>
                <w:szCs w:val="14"/>
                <w:color w:val="auto"/>
              </w:rPr>
              <w:t>461</w:t>
            </w:r>
          </w:p>
        </w:tc>
        <w:tc>
          <w:tcPr>
            <w:tcW w:w="7520" w:type="dxa"/>
            <w:vAlign w:val="bottom"/>
            <w:shd w:val="clear" w:color="auto" w:fill="B8CDE8"/>
          </w:tcPr>
          <w:p>
            <w:pPr>
              <w:ind w:left="100"/>
              <w:spacing w:after="0"/>
              <w:rPr>
                <w:sz w:val="20"/>
                <w:szCs w:val="20"/>
                <w:color w:val="auto"/>
              </w:rPr>
            </w:pPr>
            <w:r>
              <w:rPr>
                <w:rFonts w:ascii="Arial" w:cs="Arial" w:eastAsia="Arial" w:hAnsi="Arial"/>
                <w:sz w:val="14"/>
                <w:szCs w:val="14"/>
                <w:color w:val="auto"/>
              </w:rPr>
              <w:t>33.3% of the restricted stock units vested on each of February 8, 2014, February 8, 2015, and February 8, 2016.</w:t>
            </w:r>
          </w:p>
        </w:tc>
      </w:tr>
      <w:tr>
        <w:trPr>
          <w:trHeight w:val="180"/>
        </w:trPr>
        <w:tc>
          <w:tcPr>
            <w:tcW w:w="1600" w:type="dxa"/>
            <w:vAlign w:val="bottom"/>
            <w:shd w:val="clear" w:color="auto" w:fill="B8CDE8"/>
          </w:tcPr>
          <w:p>
            <w:pPr>
              <w:jc w:val="center"/>
              <w:spacing w:after="0"/>
              <w:rPr>
                <w:sz w:val="20"/>
                <w:szCs w:val="20"/>
                <w:color w:val="auto"/>
              </w:rPr>
            </w:pPr>
            <w:r>
              <w:rPr>
                <w:rFonts w:ascii="Arial" w:cs="Arial" w:eastAsia="Arial" w:hAnsi="Arial"/>
                <w:sz w:val="14"/>
                <w:szCs w:val="14"/>
                <w:color w:val="auto"/>
              </w:rPr>
              <w:t>16,100</w:t>
            </w:r>
          </w:p>
        </w:tc>
        <w:tc>
          <w:tcPr>
            <w:tcW w:w="7520" w:type="dxa"/>
            <w:vAlign w:val="bottom"/>
            <w:shd w:val="clear" w:color="auto" w:fill="B8CDE8"/>
          </w:tcPr>
          <w:p>
            <w:pPr>
              <w:ind w:left="100"/>
              <w:spacing w:after="0"/>
              <w:rPr>
                <w:sz w:val="20"/>
                <w:szCs w:val="20"/>
                <w:color w:val="auto"/>
              </w:rPr>
            </w:pPr>
            <w:r>
              <w:rPr>
                <w:rFonts w:ascii="Arial" w:cs="Arial" w:eastAsia="Arial" w:hAnsi="Arial"/>
                <w:sz w:val="14"/>
                <w:szCs w:val="14"/>
                <w:color w:val="auto"/>
              </w:rPr>
              <w:t>10% of the restricted stock units vested on February 8, 2014, 20% of the restricted stock units vested on</w:t>
            </w:r>
          </w:p>
        </w:tc>
      </w:tr>
      <w:tr>
        <w:trPr>
          <w:trHeight w:val="162"/>
        </w:trPr>
        <w:tc>
          <w:tcPr>
            <w:tcW w:w="1600" w:type="dxa"/>
            <w:vAlign w:val="bottom"/>
            <w:shd w:val="clear" w:color="auto" w:fill="B8CDE8"/>
          </w:tcPr>
          <w:p>
            <w:pPr>
              <w:spacing w:after="0"/>
              <w:rPr>
                <w:sz w:val="14"/>
                <w:szCs w:val="14"/>
                <w:color w:val="auto"/>
              </w:rPr>
            </w:pPr>
          </w:p>
        </w:tc>
        <w:tc>
          <w:tcPr>
            <w:tcW w:w="7520" w:type="dxa"/>
            <w:vAlign w:val="bottom"/>
            <w:shd w:val="clear" w:color="auto" w:fill="B8CDE8"/>
          </w:tcPr>
          <w:p>
            <w:pPr>
              <w:ind w:left="100"/>
              <w:spacing w:after="0"/>
              <w:rPr>
                <w:sz w:val="20"/>
                <w:szCs w:val="20"/>
                <w:color w:val="auto"/>
              </w:rPr>
            </w:pPr>
            <w:r>
              <w:rPr>
                <w:rFonts w:ascii="Arial" w:cs="Arial" w:eastAsia="Arial" w:hAnsi="Arial"/>
                <w:sz w:val="14"/>
                <w:szCs w:val="14"/>
                <w:color w:val="auto"/>
              </w:rPr>
              <w:t>February 8, 2015, 30% of the restricted stock vested on February 8, 2016, and the remaining 40% of the restricted</w:t>
            </w:r>
          </w:p>
        </w:tc>
      </w:tr>
      <w:tr>
        <w:trPr>
          <w:trHeight w:val="172"/>
        </w:trPr>
        <w:tc>
          <w:tcPr>
            <w:tcW w:w="1600" w:type="dxa"/>
            <w:vAlign w:val="bottom"/>
            <w:shd w:val="clear" w:color="auto" w:fill="B8CDE8"/>
          </w:tcPr>
          <w:p>
            <w:pPr>
              <w:spacing w:after="0"/>
              <w:rPr>
                <w:sz w:val="14"/>
                <w:szCs w:val="14"/>
                <w:color w:val="auto"/>
              </w:rPr>
            </w:pPr>
          </w:p>
        </w:tc>
        <w:tc>
          <w:tcPr>
            <w:tcW w:w="7520" w:type="dxa"/>
            <w:vAlign w:val="bottom"/>
            <w:shd w:val="clear" w:color="auto" w:fill="B8CDE8"/>
          </w:tcPr>
          <w:p>
            <w:pPr>
              <w:ind w:left="100"/>
              <w:spacing w:after="0"/>
              <w:rPr>
                <w:sz w:val="20"/>
                <w:szCs w:val="20"/>
                <w:color w:val="auto"/>
              </w:rPr>
            </w:pPr>
            <w:r>
              <w:rPr>
                <w:rFonts w:ascii="Arial" w:cs="Arial" w:eastAsia="Arial" w:hAnsi="Arial"/>
                <w:sz w:val="14"/>
                <w:szCs w:val="14"/>
                <w:color w:val="auto"/>
              </w:rPr>
              <w:t>stock units will vest on February 8, 2017.</w:t>
            </w:r>
          </w:p>
        </w:tc>
      </w:tr>
      <w:tr>
        <w:trPr>
          <w:trHeight w:val="179"/>
        </w:trPr>
        <w:tc>
          <w:tcPr>
            <w:tcW w:w="1600" w:type="dxa"/>
            <w:vAlign w:val="bottom"/>
            <w:shd w:val="clear" w:color="auto" w:fill="B8CDE8"/>
          </w:tcPr>
          <w:p>
            <w:pPr>
              <w:jc w:val="center"/>
              <w:spacing w:after="0"/>
              <w:rPr>
                <w:sz w:val="20"/>
                <w:szCs w:val="20"/>
                <w:color w:val="auto"/>
              </w:rPr>
            </w:pPr>
            <w:r>
              <w:rPr>
                <w:rFonts w:ascii="Arial" w:cs="Arial" w:eastAsia="Arial" w:hAnsi="Arial"/>
                <w:sz w:val="14"/>
                <w:szCs w:val="14"/>
                <w:color w:val="auto"/>
              </w:rPr>
              <w:t>10,350</w:t>
            </w:r>
          </w:p>
        </w:tc>
        <w:tc>
          <w:tcPr>
            <w:tcW w:w="7520" w:type="dxa"/>
            <w:vAlign w:val="bottom"/>
            <w:shd w:val="clear" w:color="auto" w:fill="B8CDE8"/>
          </w:tcPr>
          <w:p>
            <w:pPr>
              <w:ind w:left="100"/>
              <w:spacing w:after="0"/>
              <w:rPr>
                <w:sz w:val="20"/>
                <w:szCs w:val="20"/>
                <w:color w:val="auto"/>
              </w:rPr>
            </w:pPr>
            <w:r>
              <w:rPr>
                <w:rFonts w:ascii="Arial" w:cs="Arial" w:eastAsia="Arial" w:hAnsi="Arial"/>
                <w:sz w:val="14"/>
                <w:szCs w:val="14"/>
                <w:color w:val="auto"/>
              </w:rPr>
              <w:t>10% of the restricted stock units vested on February 13, 2015 and 20% of the restricted stock units vested on</w:t>
            </w:r>
          </w:p>
        </w:tc>
      </w:tr>
      <w:tr>
        <w:trPr>
          <w:trHeight w:val="162"/>
        </w:trPr>
        <w:tc>
          <w:tcPr>
            <w:tcW w:w="1600" w:type="dxa"/>
            <w:vAlign w:val="bottom"/>
            <w:shd w:val="clear" w:color="auto" w:fill="B8CDE8"/>
          </w:tcPr>
          <w:p>
            <w:pPr>
              <w:spacing w:after="0"/>
              <w:rPr>
                <w:sz w:val="14"/>
                <w:szCs w:val="14"/>
                <w:color w:val="auto"/>
              </w:rPr>
            </w:pPr>
          </w:p>
        </w:tc>
        <w:tc>
          <w:tcPr>
            <w:tcW w:w="7520" w:type="dxa"/>
            <w:vAlign w:val="bottom"/>
            <w:shd w:val="clear" w:color="auto" w:fill="B8CDE8"/>
          </w:tcPr>
          <w:p>
            <w:pPr>
              <w:ind w:left="100"/>
              <w:spacing w:after="0"/>
              <w:rPr>
                <w:sz w:val="20"/>
                <w:szCs w:val="20"/>
                <w:color w:val="auto"/>
              </w:rPr>
            </w:pPr>
            <w:r>
              <w:rPr>
                <w:rFonts w:ascii="Arial" w:cs="Arial" w:eastAsia="Arial" w:hAnsi="Arial"/>
                <w:sz w:val="14"/>
                <w:szCs w:val="14"/>
                <w:color w:val="auto"/>
              </w:rPr>
              <w:t>February 13, 2016. An additional 30% of the restricted stock units will vest on February 13, 2017 and the</w:t>
            </w:r>
          </w:p>
        </w:tc>
      </w:tr>
      <w:tr>
        <w:trPr>
          <w:trHeight w:val="172"/>
        </w:trPr>
        <w:tc>
          <w:tcPr>
            <w:tcW w:w="1600" w:type="dxa"/>
            <w:vAlign w:val="bottom"/>
            <w:shd w:val="clear" w:color="auto" w:fill="B8CDE8"/>
          </w:tcPr>
          <w:p>
            <w:pPr>
              <w:spacing w:after="0"/>
              <w:rPr>
                <w:sz w:val="14"/>
                <w:szCs w:val="14"/>
                <w:color w:val="auto"/>
              </w:rPr>
            </w:pPr>
          </w:p>
        </w:tc>
        <w:tc>
          <w:tcPr>
            <w:tcW w:w="7520" w:type="dxa"/>
            <w:vAlign w:val="bottom"/>
            <w:shd w:val="clear" w:color="auto" w:fill="B8CDE8"/>
          </w:tcPr>
          <w:p>
            <w:pPr>
              <w:ind w:left="100"/>
              <w:spacing w:after="0"/>
              <w:rPr>
                <w:sz w:val="20"/>
                <w:szCs w:val="20"/>
                <w:color w:val="auto"/>
              </w:rPr>
            </w:pPr>
            <w:r>
              <w:rPr>
                <w:rFonts w:ascii="Arial" w:cs="Arial" w:eastAsia="Arial" w:hAnsi="Arial"/>
                <w:sz w:val="14"/>
                <w:szCs w:val="14"/>
                <w:color w:val="auto"/>
              </w:rPr>
              <w:t>remaining 40% of the restricted stock units will vest on February 13, 2018.</w:t>
            </w:r>
          </w:p>
        </w:tc>
      </w:tr>
      <w:tr>
        <w:trPr>
          <w:trHeight w:val="179"/>
        </w:trPr>
        <w:tc>
          <w:tcPr>
            <w:tcW w:w="1600" w:type="dxa"/>
            <w:vAlign w:val="bottom"/>
            <w:shd w:val="clear" w:color="auto" w:fill="B8CDE8"/>
          </w:tcPr>
          <w:p>
            <w:pPr>
              <w:jc w:val="center"/>
              <w:spacing w:after="0"/>
              <w:rPr>
                <w:sz w:val="20"/>
                <w:szCs w:val="20"/>
                <w:color w:val="auto"/>
              </w:rPr>
            </w:pPr>
            <w:r>
              <w:rPr>
                <w:rFonts w:ascii="Arial" w:cs="Arial" w:eastAsia="Arial" w:hAnsi="Arial"/>
                <w:sz w:val="14"/>
                <w:szCs w:val="14"/>
                <w:color w:val="auto"/>
              </w:rPr>
              <w:t>1,203</w:t>
            </w:r>
          </w:p>
        </w:tc>
        <w:tc>
          <w:tcPr>
            <w:tcW w:w="7520" w:type="dxa"/>
            <w:vAlign w:val="bottom"/>
            <w:shd w:val="clear" w:color="auto" w:fill="B8CDE8"/>
          </w:tcPr>
          <w:p>
            <w:pPr>
              <w:ind w:left="100"/>
              <w:spacing w:after="0"/>
              <w:rPr>
                <w:sz w:val="20"/>
                <w:szCs w:val="20"/>
                <w:color w:val="auto"/>
              </w:rPr>
            </w:pPr>
            <w:r>
              <w:rPr>
                <w:rFonts w:ascii="Arial" w:cs="Arial" w:eastAsia="Arial" w:hAnsi="Arial"/>
                <w:sz w:val="14"/>
                <w:szCs w:val="14"/>
                <w:color w:val="auto"/>
              </w:rPr>
              <w:t>33.33% of the restricted stock units vested on each of February 13, 2015 and February 13, 2016. The remaining</w:t>
            </w:r>
          </w:p>
        </w:tc>
      </w:tr>
      <w:tr>
        <w:trPr>
          <w:trHeight w:val="172"/>
        </w:trPr>
        <w:tc>
          <w:tcPr>
            <w:tcW w:w="1600" w:type="dxa"/>
            <w:vAlign w:val="bottom"/>
            <w:shd w:val="clear" w:color="auto" w:fill="B8CDE8"/>
          </w:tcPr>
          <w:p>
            <w:pPr>
              <w:spacing w:after="0"/>
              <w:rPr>
                <w:sz w:val="14"/>
                <w:szCs w:val="14"/>
                <w:color w:val="auto"/>
              </w:rPr>
            </w:pPr>
          </w:p>
        </w:tc>
        <w:tc>
          <w:tcPr>
            <w:tcW w:w="7520" w:type="dxa"/>
            <w:vAlign w:val="bottom"/>
            <w:shd w:val="clear" w:color="auto" w:fill="B8CDE8"/>
          </w:tcPr>
          <w:p>
            <w:pPr>
              <w:ind w:left="100"/>
              <w:spacing w:after="0"/>
              <w:rPr>
                <w:sz w:val="20"/>
                <w:szCs w:val="20"/>
                <w:color w:val="auto"/>
              </w:rPr>
            </w:pPr>
            <w:r>
              <w:rPr>
                <w:rFonts w:ascii="Arial" w:cs="Arial" w:eastAsia="Arial" w:hAnsi="Arial"/>
                <w:sz w:val="14"/>
                <w:szCs w:val="14"/>
                <w:color w:val="auto"/>
              </w:rPr>
              <w:t>33.33% of the restricted stock units will vest on February 13, 2017.</w:t>
            </w:r>
          </w:p>
        </w:tc>
      </w:tr>
      <w:tr>
        <w:trPr>
          <w:trHeight w:val="179"/>
        </w:trPr>
        <w:tc>
          <w:tcPr>
            <w:tcW w:w="1600" w:type="dxa"/>
            <w:vAlign w:val="bottom"/>
            <w:shd w:val="clear" w:color="auto" w:fill="B8CDE8"/>
          </w:tcPr>
          <w:p>
            <w:pPr>
              <w:jc w:val="center"/>
              <w:spacing w:after="0"/>
              <w:rPr>
                <w:sz w:val="20"/>
                <w:szCs w:val="20"/>
                <w:color w:val="auto"/>
              </w:rPr>
            </w:pPr>
            <w:r>
              <w:rPr>
                <w:rFonts w:ascii="Arial" w:cs="Arial" w:eastAsia="Arial" w:hAnsi="Arial"/>
                <w:sz w:val="14"/>
                <w:szCs w:val="14"/>
                <w:color w:val="auto"/>
              </w:rPr>
              <w:t>12,500</w:t>
            </w:r>
          </w:p>
        </w:tc>
        <w:tc>
          <w:tcPr>
            <w:tcW w:w="7520" w:type="dxa"/>
            <w:vAlign w:val="bottom"/>
            <w:shd w:val="clear" w:color="auto" w:fill="B8CDE8"/>
          </w:tcPr>
          <w:p>
            <w:pPr>
              <w:ind w:left="100"/>
              <w:spacing w:after="0"/>
              <w:rPr>
                <w:sz w:val="20"/>
                <w:szCs w:val="20"/>
                <w:color w:val="auto"/>
              </w:rPr>
            </w:pPr>
            <w:r>
              <w:rPr>
                <w:rFonts w:ascii="Arial" w:cs="Arial" w:eastAsia="Arial" w:hAnsi="Arial"/>
                <w:sz w:val="14"/>
                <w:szCs w:val="14"/>
                <w:color w:val="auto"/>
              </w:rPr>
              <w:t>10% of the restricted stock units vested on February 26, 2016. An additional 20% of the restricted stock units will</w:t>
            </w:r>
          </w:p>
        </w:tc>
      </w:tr>
      <w:tr>
        <w:trPr>
          <w:trHeight w:val="162"/>
        </w:trPr>
        <w:tc>
          <w:tcPr>
            <w:tcW w:w="1600" w:type="dxa"/>
            <w:vAlign w:val="bottom"/>
            <w:shd w:val="clear" w:color="auto" w:fill="B8CDE8"/>
          </w:tcPr>
          <w:p>
            <w:pPr>
              <w:spacing w:after="0"/>
              <w:rPr>
                <w:sz w:val="14"/>
                <w:szCs w:val="14"/>
                <w:color w:val="auto"/>
              </w:rPr>
            </w:pPr>
          </w:p>
        </w:tc>
        <w:tc>
          <w:tcPr>
            <w:tcW w:w="7520" w:type="dxa"/>
            <w:vAlign w:val="bottom"/>
            <w:shd w:val="clear" w:color="auto" w:fill="B8CDE8"/>
          </w:tcPr>
          <w:p>
            <w:pPr>
              <w:ind w:left="100"/>
              <w:spacing w:after="0"/>
              <w:rPr>
                <w:sz w:val="20"/>
                <w:szCs w:val="20"/>
                <w:color w:val="auto"/>
              </w:rPr>
            </w:pPr>
            <w:r>
              <w:rPr>
                <w:rFonts w:ascii="Arial" w:cs="Arial" w:eastAsia="Arial" w:hAnsi="Arial"/>
                <w:sz w:val="14"/>
                <w:szCs w:val="14"/>
                <w:color w:val="auto"/>
              </w:rPr>
              <w:t>vest on February 26, 2017, 30% of the restricted stock units will vest on February 26, 2018 and the remaining 40%</w:t>
            </w:r>
          </w:p>
        </w:tc>
      </w:tr>
      <w:tr>
        <w:trPr>
          <w:trHeight w:val="172"/>
        </w:trPr>
        <w:tc>
          <w:tcPr>
            <w:tcW w:w="1600" w:type="dxa"/>
            <w:vAlign w:val="bottom"/>
            <w:shd w:val="clear" w:color="auto" w:fill="B8CDE8"/>
          </w:tcPr>
          <w:p>
            <w:pPr>
              <w:spacing w:after="0"/>
              <w:rPr>
                <w:sz w:val="14"/>
                <w:szCs w:val="14"/>
                <w:color w:val="auto"/>
              </w:rPr>
            </w:pPr>
          </w:p>
        </w:tc>
        <w:tc>
          <w:tcPr>
            <w:tcW w:w="7520" w:type="dxa"/>
            <w:vAlign w:val="bottom"/>
            <w:shd w:val="clear" w:color="auto" w:fill="B8CDE8"/>
          </w:tcPr>
          <w:p>
            <w:pPr>
              <w:ind w:left="100"/>
              <w:spacing w:after="0"/>
              <w:rPr>
                <w:sz w:val="20"/>
                <w:szCs w:val="20"/>
                <w:color w:val="auto"/>
              </w:rPr>
            </w:pPr>
            <w:r>
              <w:rPr>
                <w:rFonts w:ascii="Arial" w:cs="Arial" w:eastAsia="Arial" w:hAnsi="Arial"/>
                <w:sz w:val="14"/>
                <w:szCs w:val="14"/>
                <w:color w:val="auto"/>
              </w:rPr>
              <w:t>of the restricted stock units will vest on February 26, 2019.</w:t>
            </w:r>
          </w:p>
        </w:tc>
      </w:tr>
      <w:tr>
        <w:trPr>
          <w:trHeight w:val="179"/>
        </w:trPr>
        <w:tc>
          <w:tcPr>
            <w:tcW w:w="1600" w:type="dxa"/>
            <w:vAlign w:val="bottom"/>
            <w:shd w:val="clear" w:color="auto" w:fill="B8CDE8"/>
          </w:tcPr>
          <w:p>
            <w:pPr>
              <w:jc w:val="center"/>
              <w:spacing w:after="0"/>
              <w:rPr>
                <w:sz w:val="20"/>
                <w:szCs w:val="20"/>
                <w:color w:val="auto"/>
              </w:rPr>
            </w:pPr>
            <w:r>
              <w:rPr>
                <w:rFonts w:ascii="Arial" w:cs="Arial" w:eastAsia="Arial" w:hAnsi="Arial"/>
                <w:sz w:val="14"/>
                <w:szCs w:val="14"/>
                <w:color w:val="auto"/>
              </w:rPr>
              <w:t>3,833</w:t>
            </w:r>
          </w:p>
        </w:tc>
        <w:tc>
          <w:tcPr>
            <w:tcW w:w="7520" w:type="dxa"/>
            <w:vAlign w:val="bottom"/>
            <w:shd w:val="clear" w:color="auto" w:fill="B8CDE8"/>
          </w:tcPr>
          <w:p>
            <w:pPr>
              <w:ind w:left="100"/>
              <w:spacing w:after="0"/>
              <w:rPr>
                <w:sz w:val="20"/>
                <w:szCs w:val="20"/>
                <w:color w:val="auto"/>
              </w:rPr>
            </w:pPr>
            <w:r>
              <w:rPr>
                <w:rFonts w:ascii="Arial" w:cs="Arial" w:eastAsia="Arial" w:hAnsi="Arial"/>
                <w:sz w:val="14"/>
                <w:szCs w:val="14"/>
                <w:color w:val="auto"/>
              </w:rPr>
              <w:t>100% of the Revenue-Linked PRSUs will vest on December 31, 2016. This amount represents the number of</w:t>
            </w:r>
          </w:p>
        </w:tc>
      </w:tr>
      <w:tr>
        <w:trPr>
          <w:trHeight w:val="162"/>
        </w:trPr>
        <w:tc>
          <w:tcPr>
            <w:tcW w:w="1600" w:type="dxa"/>
            <w:vAlign w:val="bottom"/>
            <w:shd w:val="clear" w:color="auto" w:fill="B8CDE8"/>
          </w:tcPr>
          <w:p>
            <w:pPr>
              <w:spacing w:after="0"/>
              <w:rPr>
                <w:sz w:val="14"/>
                <w:szCs w:val="14"/>
                <w:color w:val="auto"/>
              </w:rPr>
            </w:pPr>
          </w:p>
        </w:tc>
        <w:tc>
          <w:tcPr>
            <w:tcW w:w="7520" w:type="dxa"/>
            <w:vAlign w:val="bottom"/>
            <w:shd w:val="clear" w:color="auto" w:fill="B8CDE8"/>
          </w:tcPr>
          <w:p>
            <w:pPr>
              <w:ind w:left="100"/>
              <w:spacing w:after="0"/>
              <w:rPr>
                <w:sz w:val="20"/>
                <w:szCs w:val="20"/>
                <w:color w:val="auto"/>
              </w:rPr>
            </w:pPr>
            <w:r>
              <w:rPr>
                <w:rFonts w:ascii="Arial" w:cs="Arial" w:eastAsia="Arial" w:hAnsi="Arial"/>
                <w:sz w:val="14"/>
                <w:szCs w:val="14"/>
                <w:color w:val="auto"/>
              </w:rPr>
              <w:t>Revenue-Linked PRSUs that were “banked” pursuant to the banking feature described in “Compensation</w:t>
            </w:r>
          </w:p>
        </w:tc>
      </w:tr>
      <w:tr>
        <w:trPr>
          <w:trHeight w:val="172"/>
        </w:trPr>
        <w:tc>
          <w:tcPr>
            <w:tcW w:w="1600" w:type="dxa"/>
            <w:vAlign w:val="bottom"/>
            <w:shd w:val="clear" w:color="auto" w:fill="B8CDE8"/>
          </w:tcPr>
          <w:p>
            <w:pPr>
              <w:spacing w:after="0"/>
              <w:rPr>
                <w:sz w:val="14"/>
                <w:szCs w:val="14"/>
                <w:color w:val="auto"/>
              </w:rPr>
            </w:pPr>
          </w:p>
        </w:tc>
        <w:tc>
          <w:tcPr>
            <w:tcW w:w="7520" w:type="dxa"/>
            <w:vAlign w:val="bottom"/>
            <w:shd w:val="clear" w:color="auto" w:fill="B8CDE8"/>
          </w:tcPr>
          <w:p>
            <w:pPr>
              <w:ind w:left="100"/>
              <w:spacing w:after="0"/>
              <w:rPr>
                <w:sz w:val="20"/>
                <w:szCs w:val="20"/>
                <w:color w:val="auto"/>
              </w:rPr>
            </w:pPr>
            <w:r>
              <w:rPr>
                <w:rFonts w:ascii="Arial" w:cs="Arial" w:eastAsia="Arial" w:hAnsi="Arial"/>
                <w:sz w:val="14"/>
                <w:szCs w:val="14"/>
                <w:color w:val="auto"/>
              </w:rPr>
              <w:t>Discussion and Analysis – Long-Term Equity Incentives” on page 36.</w:t>
            </w:r>
          </w:p>
        </w:tc>
      </w:tr>
      <w:tr>
        <w:trPr>
          <w:trHeight w:val="179"/>
        </w:trPr>
        <w:tc>
          <w:tcPr>
            <w:tcW w:w="1600" w:type="dxa"/>
            <w:vAlign w:val="bottom"/>
            <w:shd w:val="clear" w:color="auto" w:fill="B8CDE8"/>
          </w:tcPr>
          <w:p>
            <w:pPr>
              <w:jc w:val="center"/>
              <w:spacing w:after="0"/>
              <w:rPr>
                <w:sz w:val="20"/>
                <w:szCs w:val="20"/>
                <w:color w:val="auto"/>
              </w:rPr>
            </w:pPr>
            <w:r>
              <w:rPr>
                <w:rFonts w:ascii="Arial" w:cs="Arial" w:eastAsia="Arial" w:hAnsi="Arial"/>
                <w:sz w:val="14"/>
                <w:szCs w:val="14"/>
                <w:color w:val="auto"/>
              </w:rPr>
              <w:t>2,083</w:t>
            </w:r>
          </w:p>
        </w:tc>
        <w:tc>
          <w:tcPr>
            <w:tcW w:w="7520" w:type="dxa"/>
            <w:vAlign w:val="bottom"/>
            <w:shd w:val="clear" w:color="auto" w:fill="B8CDE8"/>
          </w:tcPr>
          <w:p>
            <w:pPr>
              <w:ind w:left="100"/>
              <w:spacing w:after="0"/>
              <w:rPr>
                <w:sz w:val="20"/>
                <w:szCs w:val="20"/>
                <w:color w:val="auto"/>
              </w:rPr>
            </w:pPr>
            <w:r>
              <w:rPr>
                <w:rFonts w:ascii="Arial" w:cs="Arial" w:eastAsia="Arial" w:hAnsi="Arial"/>
                <w:sz w:val="14"/>
                <w:szCs w:val="14"/>
                <w:color w:val="auto"/>
              </w:rPr>
              <w:t>100% of the Revenue-Linked PRSUs will vest on December 31, 2017. This amount represents the number of</w:t>
            </w:r>
          </w:p>
        </w:tc>
      </w:tr>
      <w:tr>
        <w:trPr>
          <w:trHeight w:val="162"/>
        </w:trPr>
        <w:tc>
          <w:tcPr>
            <w:tcW w:w="1600" w:type="dxa"/>
            <w:vAlign w:val="bottom"/>
            <w:shd w:val="clear" w:color="auto" w:fill="B8CDE8"/>
          </w:tcPr>
          <w:p>
            <w:pPr>
              <w:spacing w:after="0"/>
              <w:rPr>
                <w:sz w:val="14"/>
                <w:szCs w:val="14"/>
                <w:color w:val="auto"/>
              </w:rPr>
            </w:pPr>
          </w:p>
        </w:tc>
        <w:tc>
          <w:tcPr>
            <w:tcW w:w="7520" w:type="dxa"/>
            <w:vAlign w:val="bottom"/>
            <w:shd w:val="clear" w:color="auto" w:fill="B8CDE8"/>
          </w:tcPr>
          <w:p>
            <w:pPr>
              <w:ind w:left="100"/>
              <w:spacing w:after="0"/>
              <w:rPr>
                <w:sz w:val="20"/>
                <w:szCs w:val="20"/>
                <w:color w:val="auto"/>
              </w:rPr>
            </w:pPr>
            <w:r>
              <w:rPr>
                <w:rFonts w:ascii="Arial" w:cs="Arial" w:eastAsia="Arial" w:hAnsi="Arial"/>
                <w:sz w:val="14"/>
                <w:szCs w:val="14"/>
                <w:color w:val="auto"/>
              </w:rPr>
              <w:t>Revenue-Linked PRSUs that were “banked” pursuant to the banking feature described in “Compensation</w:t>
            </w:r>
          </w:p>
        </w:tc>
      </w:tr>
      <w:tr>
        <w:trPr>
          <w:trHeight w:val="171"/>
        </w:trPr>
        <w:tc>
          <w:tcPr>
            <w:tcW w:w="1600" w:type="dxa"/>
            <w:vAlign w:val="bottom"/>
            <w:shd w:val="clear" w:color="auto" w:fill="B8CDE8"/>
          </w:tcPr>
          <w:p>
            <w:pPr>
              <w:spacing w:after="0"/>
              <w:rPr>
                <w:sz w:val="14"/>
                <w:szCs w:val="14"/>
                <w:color w:val="auto"/>
              </w:rPr>
            </w:pPr>
          </w:p>
        </w:tc>
        <w:tc>
          <w:tcPr>
            <w:tcW w:w="7520" w:type="dxa"/>
            <w:vAlign w:val="bottom"/>
            <w:shd w:val="clear" w:color="auto" w:fill="B8CDE8"/>
          </w:tcPr>
          <w:p>
            <w:pPr>
              <w:ind w:left="100"/>
              <w:spacing w:after="0"/>
              <w:rPr>
                <w:sz w:val="20"/>
                <w:szCs w:val="20"/>
                <w:color w:val="auto"/>
              </w:rPr>
            </w:pPr>
            <w:r>
              <w:rPr>
                <w:rFonts w:ascii="Arial" w:cs="Arial" w:eastAsia="Arial" w:hAnsi="Arial"/>
                <w:sz w:val="14"/>
                <w:szCs w:val="14"/>
                <w:color w:val="auto"/>
              </w:rPr>
              <w:t>Discussion and Analysis – Long-Term Equity Incentives” on page 36.</w:t>
            </w:r>
          </w:p>
        </w:tc>
      </w:tr>
      <w:tr>
        <w:trPr>
          <w:trHeight w:val="180"/>
        </w:trPr>
        <w:tc>
          <w:tcPr>
            <w:tcW w:w="1600" w:type="dxa"/>
            <w:vAlign w:val="bottom"/>
          </w:tcPr>
          <w:p>
            <w:pPr>
              <w:jc w:val="center"/>
              <w:spacing w:after="0"/>
              <w:rPr>
                <w:sz w:val="20"/>
                <w:szCs w:val="20"/>
                <w:color w:val="auto"/>
              </w:rPr>
            </w:pPr>
            <w:r>
              <w:rPr>
                <w:rFonts w:ascii="Arial" w:cs="Arial" w:eastAsia="Arial" w:hAnsi="Arial"/>
                <w:sz w:val="14"/>
                <w:szCs w:val="14"/>
                <w:color w:val="auto"/>
              </w:rPr>
              <w:t>18,000</w:t>
            </w:r>
          </w:p>
        </w:tc>
        <w:tc>
          <w:tcPr>
            <w:tcW w:w="7520" w:type="dxa"/>
            <w:vAlign w:val="bottom"/>
          </w:tcPr>
          <w:p>
            <w:pPr>
              <w:ind w:left="100"/>
              <w:spacing w:after="0"/>
              <w:rPr>
                <w:sz w:val="20"/>
                <w:szCs w:val="20"/>
                <w:color w:val="auto"/>
              </w:rPr>
            </w:pPr>
            <w:r>
              <w:rPr>
                <w:rFonts w:ascii="Arial" w:cs="Arial" w:eastAsia="Arial" w:hAnsi="Arial"/>
                <w:sz w:val="14"/>
                <w:szCs w:val="14"/>
                <w:color w:val="auto"/>
              </w:rPr>
              <w:t>10% of the restricted stock units vested on December 4, 2015. An additional 20% of the restricted stock units will</w:t>
            </w:r>
          </w:p>
        </w:tc>
      </w:tr>
      <w:tr>
        <w:trPr>
          <w:trHeight w:val="162"/>
        </w:trPr>
        <w:tc>
          <w:tcPr>
            <w:tcW w:w="1600" w:type="dxa"/>
            <w:vAlign w:val="bottom"/>
          </w:tcPr>
          <w:p>
            <w:pPr>
              <w:spacing w:after="0"/>
              <w:rPr>
                <w:sz w:val="14"/>
                <w:szCs w:val="14"/>
                <w:color w:val="auto"/>
              </w:rPr>
            </w:pPr>
          </w:p>
        </w:tc>
        <w:tc>
          <w:tcPr>
            <w:tcW w:w="7520" w:type="dxa"/>
            <w:vAlign w:val="bottom"/>
          </w:tcPr>
          <w:p>
            <w:pPr>
              <w:ind w:left="100"/>
              <w:spacing w:after="0"/>
              <w:rPr>
                <w:sz w:val="20"/>
                <w:szCs w:val="20"/>
                <w:color w:val="auto"/>
              </w:rPr>
            </w:pPr>
            <w:r>
              <w:rPr>
                <w:rFonts w:ascii="Arial" w:cs="Arial" w:eastAsia="Arial" w:hAnsi="Arial"/>
                <w:sz w:val="14"/>
                <w:szCs w:val="14"/>
                <w:color w:val="auto"/>
              </w:rPr>
              <w:t>vest on December 4, 2016, an additional 30 of the restricted stock units will vest on December 4, 2017 and the</w:t>
            </w:r>
          </w:p>
        </w:tc>
      </w:tr>
      <w:tr>
        <w:trPr>
          <w:trHeight w:val="172"/>
        </w:trPr>
        <w:tc>
          <w:tcPr>
            <w:tcW w:w="1600" w:type="dxa"/>
            <w:vAlign w:val="bottom"/>
          </w:tcPr>
          <w:p>
            <w:pPr>
              <w:spacing w:after="0"/>
              <w:rPr>
                <w:sz w:val="14"/>
                <w:szCs w:val="14"/>
                <w:color w:val="auto"/>
              </w:rPr>
            </w:pPr>
          </w:p>
        </w:tc>
        <w:tc>
          <w:tcPr>
            <w:tcW w:w="7520" w:type="dxa"/>
            <w:vAlign w:val="bottom"/>
          </w:tcPr>
          <w:p>
            <w:pPr>
              <w:ind w:left="100"/>
              <w:spacing w:after="0"/>
              <w:rPr>
                <w:sz w:val="20"/>
                <w:szCs w:val="20"/>
                <w:color w:val="auto"/>
              </w:rPr>
            </w:pPr>
            <w:r>
              <w:rPr>
                <w:rFonts w:ascii="Arial" w:cs="Arial" w:eastAsia="Arial" w:hAnsi="Arial"/>
                <w:sz w:val="14"/>
                <w:szCs w:val="14"/>
                <w:color w:val="auto"/>
              </w:rPr>
              <w:t>remaining 40% of the restricted stock units will vest on December 4, 2018.</w:t>
            </w:r>
          </w:p>
        </w:tc>
      </w:tr>
      <w:tr>
        <w:trPr>
          <w:trHeight w:val="179"/>
        </w:trPr>
        <w:tc>
          <w:tcPr>
            <w:tcW w:w="1600" w:type="dxa"/>
            <w:vAlign w:val="bottom"/>
          </w:tcPr>
          <w:p>
            <w:pPr>
              <w:jc w:val="center"/>
              <w:spacing w:after="0"/>
              <w:rPr>
                <w:sz w:val="20"/>
                <w:szCs w:val="20"/>
                <w:color w:val="auto"/>
              </w:rPr>
            </w:pPr>
            <w:r>
              <w:rPr>
                <w:rFonts w:ascii="Arial" w:cs="Arial" w:eastAsia="Arial" w:hAnsi="Arial"/>
                <w:sz w:val="14"/>
                <w:szCs w:val="14"/>
                <w:color w:val="auto"/>
              </w:rPr>
              <w:t>6,000</w:t>
            </w:r>
          </w:p>
        </w:tc>
        <w:tc>
          <w:tcPr>
            <w:tcW w:w="7520" w:type="dxa"/>
            <w:vAlign w:val="bottom"/>
          </w:tcPr>
          <w:p>
            <w:pPr>
              <w:ind w:left="100"/>
              <w:spacing w:after="0"/>
              <w:rPr>
                <w:sz w:val="20"/>
                <w:szCs w:val="20"/>
                <w:color w:val="auto"/>
              </w:rPr>
            </w:pPr>
            <w:r>
              <w:rPr>
                <w:rFonts w:ascii="Arial" w:cs="Arial" w:eastAsia="Arial" w:hAnsi="Arial"/>
                <w:sz w:val="14"/>
                <w:szCs w:val="14"/>
                <w:color w:val="auto"/>
              </w:rPr>
              <w:t>10% of the restricted stock units vested on February 26, 2016. An additional 20% of the restricted stock units will</w:t>
            </w:r>
          </w:p>
        </w:tc>
      </w:tr>
      <w:tr>
        <w:trPr>
          <w:trHeight w:val="162"/>
        </w:trPr>
        <w:tc>
          <w:tcPr>
            <w:tcW w:w="1600" w:type="dxa"/>
            <w:vAlign w:val="bottom"/>
          </w:tcPr>
          <w:p>
            <w:pPr>
              <w:spacing w:after="0"/>
              <w:rPr>
                <w:sz w:val="14"/>
                <w:szCs w:val="14"/>
                <w:color w:val="auto"/>
              </w:rPr>
            </w:pPr>
          </w:p>
        </w:tc>
        <w:tc>
          <w:tcPr>
            <w:tcW w:w="7520" w:type="dxa"/>
            <w:vAlign w:val="bottom"/>
          </w:tcPr>
          <w:p>
            <w:pPr>
              <w:ind w:left="100"/>
              <w:spacing w:after="0"/>
              <w:rPr>
                <w:sz w:val="20"/>
                <w:szCs w:val="20"/>
                <w:color w:val="auto"/>
              </w:rPr>
            </w:pPr>
            <w:r>
              <w:rPr>
                <w:rFonts w:ascii="Arial" w:cs="Arial" w:eastAsia="Arial" w:hAnsi="Arial"/>
                <w:sz w:val="14"/>
                <w:szCs w:val="14"/>
                <w:color w:val="auto"/>
              </w:rPr>
              <w:t>vest on February 26, 2017, 30% of the restricted stock units will vest on February 26, 2018 and the remaining 40%</w:t>
            </w:r>
          </w:p>
        </w:tc>
      </w:tr>
      <w:tr>
        <w:trPr>
          <w:trHeight w:val="172"/>
        </w:trPr>
        <w:tc>
          <w:tcPr>
            <w:tcW w:w="1600" w:type="dxa"/>
            <w:vAlign w:val="bottom"/>
          </w:tcPr>
          <w:p>
            <w:pPr>
              <w:spacing w:after="0"/>
              <w:rPr>
                <w:sz w:val="14"/>
                <w:szCs w:val="14"/>
                <w:color w:val="auto"/>
              </w:rPr>
            </w:pPr>
          </w:p>
        </w:tc>
        <w:tc>
          <w:tcPr>
            <w:tcW w:w="7520" w:type="dxa"/>
            <w:vAlign w:val="bottom"/>
          </w:tcPr>
          <w:p>
            <w:pPr>
              <w:ind w:left="100"/>
              <w:spacing w:after="0"/>
              <w:rPr>
                <w:sz w:val="20"/>
                <w:szCs w:val="20"/>
                <w:color w:val="auto"/>
              </w:rPr>
            </w:pPr>
            <w:r>
              <w:rPr>
                <w:rFonts w:ascii="Arial" w:cs="Arial" w:eastAsia="Arial" w:hAnsi="Arial"/>
                <w:sz w:val="14"/>
                <w:szCs w:val="14"/>
                <w:color w:val="auto"/>
              </w:rPr>
              <w:t>of the restricted stock units will vest on February 26, 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-1454785</wp:posOffset>
            </wp:positionH>
            <wp:positionV relativeFrom="paragraph">
              <wp:posOffset>-2950210</wp:posOffset>
            </wp:positionV>
            <wp:extent cx="7246620" cy="22980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229806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-1454785</wp:posOffset>
            </wp:positionH>
            <wp:positionV relativeFrom="paragraph">
              <wp:posOffset>-1905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1460" w:space="720"/>
            <w:col w:w="9120"/>
          </w:cols>
          <w:pgMar w:left="360" w:top="923" w:right="239" w:bottom="1440" w:gutter="0" w:footer="0" w:header="0"/>
        </w:sectPr>
      </w:pPr>
    </w:p>
    <w:bookmarkStart w:id="56" w:name="page57"/>
    <w:bookmarkEnd w:id="56"/>
    <w:p>
      <w:pPr>
        <w:jc w:val="center"/>
        <w:ind w:left="2660"/>
        <w:spacing w:after="0"/>
        <w:rPr>
          <w:sz w:val="20"/>
          <w:szCs w:val="20"/>
          <w:color w:val="auto"/>
        </w:rPr>
      </w:pPr>
      <w:r>
        <w:rPr>
          <w:rFonts w:ascii="Arial" w:cs="Arial" w:eastAsia="Arial" w:hAnsi="Arial"/>
          <w:sz w:val="14"/>
          <w:szCs w:val="14"/>
          <w:b w:val="1"/>
          <w:bCs w:val="1"/>
          <w:color w:val="auto"/>
        </w:rPr>
        <w:t># of Units</w:t>
      </w:r>
    </w:p>
    <w:p>
      <w:pPr>
        <w:spacing w:after="0" w:line="19" w:lineRule="exact"/>
        <w:rPr>
          <w:sz w:val="20"/>
          <w:szCs w:val="20"/>
          <w:color w:val="auto"/>
        </w:rPr>
      </w:pPr>
    </w:p>
    <w:p>
      <w:pPr>
        <w:jc w:val="center"/>
        <w:ind w:left="2660"/>
        <w:spacing w:after="0"/>
        <w:rPr>
          <w:sz w:val="20"/>
          <w:szCs w:val="20"/>
          <w:color w:val="auto"/>
        </w:rPr>
      </w:pPr>
      <w:r>
        <w:rPr>
          <w:rFonts w:ascii="Arial" w:cs="Arial" w:eastAsia="Arial" w:hAnsi="Arial"/>
          <w:sz w:val="14"/>
          <w:szCs w:val="14"/>
          <w:b w:val="1"/>
          <w:bCs w:val="1"/>
          <w:color w:val="auto"/>
        </w:rPr>
        <w:t>Unvested as</w:t>
      </w:r>
    </w:p>
    <w:p>
      <w:pPr>
        <w:spacing w:after="0" w:line="1" w:lineRule="exact"/>
        <w:rPr>
          <w:sz w:val="20"/>
          <w:szCs w:val="20"/>
          <w:color w:val="auto"/>
        </w:rPr>
      </w:pPr>
    </w:p>
    <w:p>
      <w:pPr>
        <w:ind w:left="900"/>
        <w:spacing w:after="0"/>
        <w:tabs>
          <w:tab w:leader="none" w:pos="270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of 12/31/15</w:t>
      </w:r>
    </w:p>
    <w:p>
      <w:pPr>
        <w:spacing w:after="0" w:line="28" w:lineRule="exact"/>
        <w:rPr>
          <w:sz w:val="20"/>
          <w:szCs w:val="20"/>
          <w:color w:val="auto"/>
        </w:rPr>
      </w:pPr>
    </w:p>
    <w:p>
      <w:pPr>
        <w:ind w:left="2980"/>
        <w:spacing w:after="0"/>
        <w:rPr>
          <w:sz w:val="20"/>
          <w:szCs w:val="20"/>
          <w:color w:val="auto"/>
        </w:rPr>
      </w:pPr>
      <w:r>
        <w:rPr>
          <w:rFonts w:ascii="Arial" w:cs="Arial" w:eastAsia="Arial" w:hAnsi="Arial"/>
          <w:sz w:val="14"/>
          <w:szCs w:val="14"/>
          <w:color w:val="auto"/>
        </w:rPr>
        <w:t>999</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2460"/>
        <w:spacing w:after="0"/>
        <w:rPr>
          <w:sz w:val="20"/>
          <w:szCs w:val="20"/>
          <w:color w:val="auto"/>
        </w:rPr>
      </w:pPr>
      <w:r>
        <w:rPr>
          <w:rFonts w:ascii="Arial" w:cs="Arial" w:eastAsia="Arial" w:hAnsi="Arial"/>
          <w:sz w:val="14"/>
          <w:szCs w:val="14"/>
          <w:b w:val="1"/>
          <w:bCs w:val="1"/>
          <w:color w:val="auto"/>
        </w:rPr>
        <w:t>Vesting Schedule of Original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-307340</wp:posOffset>
            </wp:positionV>
            <wp:extent cx="7246620" cy="3346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line="40" w:lineRule="exact"/>
        <w:rPr>
          <w:sz w:val="20"/>
          <w:szCs w:val="20"/>
          <w:color w:val="auto"/>
        </w:rPr>
      </w:pPr>
    </w:p>
    <w:p>
      <w:pPr>
        <w:ind w:right="480"/>
        <w:spacing w:after="0" w:line="247" w:lineRule="auto"/>
        <w:rPr>
          <w:sz w:val="20"/>
          <w:szCs w:val="20"/>
          <w:color w:val="auto"/>
        </w:rPr>
      </w:pPr>
      <w:r>
        <w:rPr>
          <w:rFonts w:ascii="Arial" w:cs="Arial" w:eastAsia="Arial" w:hAnsi="Arial"/>
          <w:sz w:val="14"/>
          <w:szCs w:val="14"/>
          <w:color w:val="auto"/>
        </w:rPr>
        <w:t>100% of the Revenue-Linked PRSUs will vest on December 31, 2017. This amount represents the number of Revenue-Linked PRSUs that were “banked” pursuant to the banking feature described in “Compensation Discussion and Analysis – Long-Term Equity Incentives” on page 36.</w:t>
      </w:r>
    </w:p>
    <w:p>
      <w:pPr>
        <w:spacing w:after="0" w:line="16" w:lineRule="exact"/>
        <w:rPr>
          <w:sz w:val="20"/>
          <w:szCs w:val="20"/>
          <w:color w:val="auto"/>
        </w:rPr>
      </w:pPr>
    </w:p>
    <w:p>
      <w:pPr>
        <w:sectPr>
          <w:pgSz w:w="11900" w:h="16838" w:orient="portrait"/>
          <w:cols w:equalWidth="0" w:num="2">
            <w:col w:w="3500" w:space="500"/>
            <w:col w:w="7420"/>
          </w:cols>
          <w:pgMar w:left="240" w:top="923" w:right="239" w:bottom="1440" w:gutter="0" w:footer="0" w:header="0"/>
        </w:sectPr>
      </w:pPr>
    </w:p>
    <w:tbl>
      <w:tblPr>
        <w:tblLayout w:type="fixed"/>
        <w:tblInd w:w="0" w:type="dxa"/>
        <w:tblCellMar>
          <w:top w:w="0" w:type="dxa"/>
          <w:left w:w="0" w:type="dxa"/>
          <w:bottom w:w="0" w:type="dxa"/>
          <w:right w:w="0" w:type="dxa"/>
        </w:tblCellMar>
      </w:tblPr>
      <w:tr>
        <w:trPr>
          <w:trHeight w:val="162"/>
        </w:trPr>
        <w:tc>
          <w:tcPr>
            <w:tcW w:w="2300" w:type="dxa"/>
            <w:vAlign w:val="bottom"/>
            <w:shd w:val="clear" w:color="auto" w:fill="B8CDE8"/>
          </w:tcPr>
          <w:p>
            <w:pPr>
              <w:ind w:left="120"/>
              <w:spacing w:after="0"/>
              <w:rPr>
                <w:sz w:val="20"/>
                <w:szCs w:val="20"/>
                <w:color w:val="auto"/>
              </w:rPr>
            </w:pPr>
            <w:r>
              <w:rPr>
                <w:rFonts w:ascii="Arial" w:cs="Arial" w:eastAsia="Arial" w:hAnsi="Arial"/>
                <w:sz w:val="14"/>
                <w:szCs w:val="14"/>
                <w:color w:val="auto"/>
              </w:rPr>
              <w:t>Henry Schweppe</w:t>
            </w:r>
          </w:p>
        </w:tc>
        <w:tc>
          <w:tcPr>
            <w:tcW w:w="1600" w:type="dxa"/>
            <w:vAlign w:val="bottom"/>
            <w:shd w:val="clear" w:color="auto" w:fill="B8CDE8"/>
          </w:tcPr>
          <w:p>
            <w:pPr>
              <w:jc w:val="center"/>
              <w:spacing w:after="0"/>
              <w:rPr>
                <w:sz w:val="20"/>
                <w:szCs w:val="20"/>
                <w:color w:val="auto"/>
              </w:rPr>
            </w:pPr>
            <w:r>
              <w:rPr>
                <w:rFonts w:ascii="Arial" w:cs="Arial" w:eastAsia="Arial" w:hAnsi="Arial"/>
                <w:sz w:val="14"/>
                <w:szCs w:val="14"/>
                <w:color w:val="auto"/>
              </w:rPr>
              <w:t>18,153</w:t>
            </w:r>
          </w:p>
        </w:tc>
        <w:tc>
          <w:tcPr>
            <w:tcW w:w="7520" w:type="dxa"/>
            <w:vAlign w:val="bottom"/>
            <w:shd w:val="clear" w:color="auto" w:fill="B8CDE8"/>
          </w:tcPr>
          <w:p>
            <w:pPr>
              <w:ind w:left="100"/>
              <w:spacing w:after="0"/>
              <w:rPr>
                <w:sz w:val="20"/>
                <w:szCs w:val="20"/>
                <w:color w:val="auto"/>
              </w:rPr>
            </w:pPr>
            <w:r>
              <w:rPr>
                <w:rFonts w:ascii="Arial" w:cs="Arial" w:eastAsia="Arial" w:hAnsi="Arial"/>
                <w:sz w:val="14"/>
                <w:szCs w:val="14"/>
                <w:color w:val="auto"/>
              </w:rPr>
              <w:t>10% of the restricted stock units vested on October 6, 2015. The remaining restricted stock units were forfeited</w:t>
            </w:r>
          </w:p>
        </w:tc>
      </w:tr>
      <w:tr>
        <w:trPr>
          <w:trHeight w:val="171"/>
        </w:trPr>
        <w:tc>
          <w:tcPr>
            <w:tcW w:w="2300" w:type="dxa"/>
            <w:vAlign w:val="bottom"/>
            <w:shd w:val="clear" w:color="auto" w:fill="B8CDE8"/>
          </w:tcPr>
          <w:p>
            <w:pPr>
              <w:spacing w:after="0"/>
              <w:rPr>
                <w:sz w:val="14"/>
                <w:szCs w:val="14"/>
                <w:color w:val="auto"/>
              </w:rPr>
            </w:pPr>
          </w:p>
        </w:tc>
        <w:tc>
          <w:tcPr>
            <w:tcW w:w="1600" w:type="dxa"/>
            <w:vAlign w:val="bottom"/>
            <w:shd w:val="clear" w:color="auto" w:fill="B8CDE8"/>
          </w:tcPr>
          <w:p>
            <w:pPr>
              <w:spacing w:after="0"/>
              <w:rPr>
                <w:sz w:val="14"/>
                <w:szCs w:val="14"/>
                <w:color w:val="auto"/>
              </w:rPr>
            </w:pPr>
          </w:p>
        </w:tc>
        <w:tc>
          <w:tcPr>
            <w:tcW w:w="7520" w:type="dxa"/>
            <w:vAlign w:val="bottom"/>
            <w:shd w:val="clear" w:color="auto" w:fill="B8CDE8"/>
          </w:tcPr>
          <w:p>
            <w:pPr>
              <w:ind w:left="100"/>
              <w:spacing w:after="0"/>
              <w:rPr>
                <w:sz w:val="20"/>
                <w:szCs w:val="20"/>
                <w:color w:val="auto"/>
              </w:rPr>
            </w:pPr>
            <w:r>
              <w:rPr>
                <w:rFonts w:ascii="Arial" w:cs="Arial" w:eastAsia="Arial" w:hAnsi="Arial"/>
                <w:sz w:val="14"/>
                <w:szCs w:val="14"/>
                <w:color w:val="auto"/>
              </w:rPr>
              <w:t>upon his termination of employment with the Company.</w:t>
            </w:r>
          </w:p>
        </w:tc>
      </w:tr>
      <w:tr>
        <w:trPr>
          <w:trHeight w:val="180"/>
        </w:trPr>
        <w:tc>
          <w:tcPr>
            <w:tcW w:w="2300" w:type="dxa"/>
            <w:vAlign w:val="bottom"/>
            <w:shd w:val="clear" w:color="auto" w:fill="B8CDE8"/>
          </w:tcPr>
          <w:p>
            <w:pPr>
              <w:spacing w:after="0"/>
              <w:rPr>
                <w:sz w:val="15"/>
                <w:szCs w:val="15"/>
                <w:color w:val="auto"/>
              </w:rPr>
            </w:pPr>
          </w:p>
        </w:tc>
        <w:tc>
          <w:tcPr>
            <w:tcW w:w="1600" w:type="dxa"/>
            <w:vAlign w:val="bottom"/>
            <w:shd w:val="clear" w:color="auto" w:fill="B8CDE8"/>
          </w:tcPr>
          <w:p>
            <w:pPr>
              <w:jc w:val="center"/>
              <w:spacing w:after="0"/>
              <w:rPr>
                <w:sz w:val="20"/>
                <w:szCs w:val="20"/>
                <w:color w:val="auto"/>
              </w:rPr>
            </w:pPr>
            <w:r>
              <w:rPr>
                <w:rFonts w:ascii="Arial" w:cs="Arial" w:eastAsia="Arial" w:hAnsi="Arial"/>
                <w:sz w:val="14"/>
                <w:szCs w:val="14"/>
                <w:color w:val="auto"/>
              </w:rPr>
              <w:t>7,500</w:t>
            </w:r>
          </w:p>
        </w:tc>
        <w:tc>
          <w:tcPr>
            <w:tcW w:w="7520" w:type="dxa"/>
            <w:vAlign w:val="bottom"/>
            <w:shd w:val="clear" w:color="auto" w:fill="B8CDE8"/>
          </w:tcPr>
          <w:p>
            <w:pPr>
              <w:ind w:left="100"/>
              <w:spacing w:after="0"/>
              <w:rPr>
                <w:sz w:val="20"/>
                <w:szCs w:val="20"/>
                <w:color w:val="auto"/>
              </w:rPr>
            </w:pPr>
            <w:r>
              <w:rPr>
                <w:rFonts w:ascii="Arial" w:cs="Arial" w:eastAsia="Arial" w:hAnsi="Arial"/>
                <w:sz w:val="14"/>
                <w:szCs w:val="14"/>
                <w:color w:val="auto"/>
              </w:rPr>
              <w:t>10% of the restricted stock units vested on February 26, 2016. The remaining restricted stock units were forfeited</w:t>
            </w:r>
          </w:p>
        </w:tc>
      </w:tr>
      <w:tr>
        <w:trPr>
          <w:trHeight w:val="171"/>
        </w:trPr>
        <w:tc>
          <w:tcPr>
            <w:tcW w:w="2300" w:type="dxa"/>
            <w:vAlign w:val="bottom"/>
            <w:shd w:val="clear" w:color="auto" w:fill="B8CDE8"/>
          </w:tcPr>
          <w:p>
            <w:pPr>
              <w:spacing w:after="0"/>
              <w:rPr>
                <w:sz w:val="14"/>
                <w:szCs w:val="14"/>
                <w:color w:val="auto"/>
              </w:rPr>
            </w:pPr>
          </w:p>
        </w:tc>
        <w:tc>
          <w:tcPr>
            <w:tcW w:w="1600" w:type="dxa"/>
            <w:vAlign w:val="bottom"/>
            <w:shd w:val="clear" w:color="auto" w:fill="B8CDE8"/>
          </w:tcPr>
          <w:p>
            <w:pPr>
              <w:spacing w:after="0"/>
              <w:rPr>
                <w:sz w:val="14"/>
                <w:szCs w:val="14"/>
                <w:color w:val="auto"/>
              </w:rPr>
            </w:pPr>
          </w:p>
        </w:tc>
        <w:tc>
          <w:tcPr>
            <w:tcW w:w="7520" w:type="dxa"/>
            <w:vAlign w:val="bottom"/>
            <w:shd w:val="clear" w:color="auto" w:fill="B8CDE8"/>
          </w:tcPr>
          <w:p>
            <w:pPr>
              <w:ind w:left="100"/>
              <w:spacing w:after="0"/>
              <w:rPr>
                <w:sz w:val="20"/>
                <w:szCs w:val="20"/>
                <w:color w:val="auto"/>
              </w:rPr>
            </w:pPr>
            <w:r>
              <w:rPr>
                <w:rFonts w:ascii="Arial" w:cs="Arial" w:eastAsia="Arial" w:hAnsi="Arial"/>
                <w:sz w:val="14"/>
                <w:szCs w:val="14"/>
                <w:color w:val="auto"/>
              </w:rPr>
              <w:t>upon his termination of employment with the Company.</w:t>
            </w:r>
          </w:p>
        </w:tc>
      </w:tr>
      <w:tr>
        <w:trPr>
          <w:trHeight w:val="189"/>
        </w:trPr>
        <w:tc>
          <w:tcPr>
            <w:tcW w:w="2300" w:type="dxa"/>
            <w:vAlign w:val="bottom"/>
            <w:shd w:val="clear" w:color="auto" w:fill="B8CDE8"/>
          </w:tcPr>
          <w:p>
            <w:pPr>
              <w:spacing w:after="0"/>
              <w:rPr>
                <w:sz w:val="16"/>
                <w:szCs w:val="16"/>
                <w:color w:val="auto"/>
              </w:rPr>
            </w:pPr>
          </w:p>
        </w:tc>
        <w:tc>
          <w:tcPr>
            <w:tcW w:w="1600" w:type="dxa"/>
            <w:vAlign w:val="bottom"/>
            <w:shd w:val="clear" w:color="auto" w:fill="B8CDE8"/>
          </w:tcPr>
          <w:p>
            <w:pPr>
              <w:jc w:val="center"/>
              <w:spacing w:after="0"/>
              <w:rPr>
                <w:sz w:val="20"/>
                <w:szCs w:val="20"/>
                <w:color w:val="auto"/>
              </w:rPr>
            </w:pPr>
            <w:r>
              <w:rPr>
                <w:rFonts w:ascii="Arial" w:cs="Arial" w:eastAsia="Arial" w:hAnsi="Arial"/>
                <w:sz w:val="14"/>
                <w:szCs w:val="14"/>
                <w:color w:val="auto"/>
              </w:rPr>
              <w:t>1,249</w:t>
            </w:r>
          </w:p>
        </w:tc>
        <w:tc>
          <w:tcPr>
            <w:tcW w:w="7520" w:type="dxa"/>
            <w:vAlign w:val="bottom"/>
            <w:shd w:val="clear" w:color="auto" w:fill="B8CDE8"/>
          </w:tcPr>
          <w:p>
            <w:pPr>
              <w:ind w:left="100"/>
              <w:spacing w:after="0"/>
              <w:rPr>
                <w:sz w:val="20"/>
                <w:szCs w:val="20"/>
                <w:color w:val="auto"/>
              </w:rPr>
            </w:pPr>
            <w:r>
              <w:rPr>
                <w:rFonts w:ascii="Arial" w:cs="Arial" w:eastAsia="Arial" w:hAnsi="Arial"/>
                <w:sz w:val="14"/>
                <w:szCs w:val="14"/>
                <w:color w:val="auto"/>
              </w:rPr>
              <w:t>All of these Revenue-Linked PRSUs were forfeited upon his termination of employment with the Company.</w:t>
            </w:r>
          </w:p>
        </w:tc>
      </w:tr>
    </w:tbl>
    <w:p>
      <w:pPr>
        <w:spacing w:after="0" w:line="167" w:lineRule="exact"/>
        <w:rPr>
          <w:sz w:val="20"/>
          <w:szCs w:val="20"/>
          <w:color w:val="auto"/>
        </w:rPr>
      </w:pPr>
    </w:p>
    <w:p>
      <w:pPr>
        <w:ind w:left="660" w:right="640" w:hanging="328"/>
        <w:spacing w:after="0" w:line="258" w:lineRule="auto"/>
        <w:tabs>
          <w:tab w:leader="none" w:pos="6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performance restricted stock unit awards in this table vest and convert to shares in accordance with the following schedules (generally subject to continued employment through the applicable vesting date and achievement of applicable performance goals):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480" w:type="dxa"/>
            <w:vAlign w:val="bottom"/>
            <w:gridSpan w:val="2"/>
            <w:shd w:val="clear" w:color="auto" w:fill="5591C7"/>
          </w:tcPr>
          <w:p>
            <w:pPr>
              <w:jc w:val="center"/>
              <w:ind w:right="160"/>
              <w:spacing w:after="0"/>
              <w:rPr>
                <w:sz w:val="20"/>
                <w:szCs w:val="20"/>
                <w:color w:val="auto"/>
              </w:rPr>
            </w:pPr>
            <w:r>
              <w:rPr>
                <w:rFonts w:ascii="Arial" w:cs="Arial" w:eastAsia="Arial" w:hAnsi="Arial"/>
                <w:sz w:val="14"/>
                <w:szCs w:val="14"/>
                <w:b w:val="1"/>
                <w:bCs w:val="1"/>
                <w:color w:val="auto"/>
              </w:rPr>
              <w:t># of Units</w:t>
            </w:r>
          </w:p>
        </w:tc>
        <w:tc>
          <w:tcPr>
            <w:tcW w:w="100" w:type="dxa"/>
            <w:vAlign w:val="bottom"/>
            <w:shd w:val="clear" w:color="auto" w:fill="5591C7"/>
          </w:tcPr>
          <w:p>
            <w:pPr>
              <w:spacing w:after="0"/>
              <w:rPr>
                <w:sz w:val="14"/>
                <w:szCs w:val="14"/>
                <w:color w:val="auto"/>
              </w:rPr>
            </w:pPr>
          </w:p>
        </w:tc>
        <w:tc>
          <w:tcPr>
            <w:tcW w:w="732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r>
      <w:tr>
        <w:trPr>
          <w:trHeight w:val="162"/>
        </w:trPr>
        <w:tc>
          <w:tcPr>
            <w:tcW w:w="22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48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Unvested as</w:t>
            </w:r>
          </w:p>
        </w:tc>
        <w:tc>
          <w:tcPr>
            <w:tcW w:w="100" w:type="dxa"/>
            <w:vAlign w:val="bottom"/>
            <w:shd w:val="clear" w:color="auto" w:fill="5591C7"/>
          </w:tcPr>
          <w:p>
            <w:pPr>
              <w:spacing w:after="0"/>
              <w:rPr>
                <w:sz w:val="14"/>
                <w:szCs w:val="14"/>
                <w:color w:val="auto"/>
              </w:rPr>
            </w:pPr>
          </w:p>
        </w:tc>
        <w:tc>
          <w:tcPr>
            <w:tcW w:w="732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r>
      <w:tr>
        <w:trPr>
          <w:trHeight w:val="182"/>
        </w:trPr>
        <w:tc>
          <w:tcPr>
            <w:tcW w:w="2200" w:type="dxa"/>
            <w:vAlign w:val="bottom"/>
            <w:tcBorders>
              <w:bottom w:val="single" w:sz="8" w:color="auto"/>
            </w:tcBorders>
            <w:shd w:val="clear" w:color="auto" w:fill="5591C7"/>
          </w:tcPr>
          <w:p>
            <w:pPr>
              <w:ind w:left="900"/>
              <w:spacing w:after="0"/>
              <w:rPr>
                <w:sz w:val="20"/>
                <w:szCs w:val="20"/>
                <w:color w:val="auto"/>
              </w:rPr>
            </w:pPr>
            <w:r>
              <w:rPr>
                <w:rFonts w:ascii="Arial" w:cs="Arial" w:eastAsia="Arial" w:hAnsi="Arial"/>
                <w:sz w:val="14"/>
                <w:szCs w:val="14"/>
                <w:b w:val="1"/>
                <w:bCs w:val="1"/>
                <w:color w:val="auto"/>
              </w:rPr>
              <w:t>Name</w:t>
            </w:r>
          </w:p>
        </w:tc>
        <w:tc>
          <w:tcPr>
            <w:tcW w:w="100" w:type="dxa"/>
            <w:vAlign w:val="bottom"/>
            <w:tcBorders>
              <w:bottom w:val="single" w:sz="8" w:color="5591C7"/>
            </w:tcBorders>
            <w:shd w:val="clear" w:color="auto" w:fill="5591C7"/>
          </w:tcPr>
          <w:p>
            <w:pPr>
              <w:spacing w:after="0"/>
              <w:rPr>
                <w:sz w:val="15"/>
                <w:szCs w:val="15"/>
                <w:color w:val="auto"/>
              </w:rPr>
            </w:pPr>
          </w:p>
        </w:tc>
        <w:tc>
          <w:tcPr>
            <w:tcW w:w="120" w:type="dxa"/>
            <w:vAlign w:val="bottom"/>
            <w:tcBorders>
              <w:bottom w:val="single" w:sz="8" w:color="5591C7"/>
            </w:tcBorders>
            <w:shd w:val="clear" w:color="auto" w:fill="5591C7"/>
          </w:tcPr>
          <w:p>
            <w:pPr>
              <w:spacing w:after="0"/>
              <w:rPr>
                <w:sz w:val="15"/>
                <w:szCs w:val="15"/>
                <w:color w:val="auto"/>
              </w:rPr>
            </w:pPr>
          </w:p>
        </w:tc>
        <w:tc>
          <w:tcPr>
            <w:tcW w:w="136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of 12/31/15</w:t>
            </w:r>
          </w:p>
        </w:tc>
        <w:tc>
          <w:tcPr>
            <w:tcW w:w="120" w:type="dxa"/>
            <w:vAlign w:val="bottom"/>
            <w:tcBorders>
              <w:bottom w:val="single" w:sz="8" w:color="5591C7"/>
            </w:tcBorders>
            <w:shd w:val="clear" w:color="auto" w:fill="5591C7"/>
          </w:tcPr>
          <w:p>
            <w:pPr>
              <w:spacing w:after="0"/>
              <w:rPr>
                <w:sz w:val="15"/>
                <w:szCs w:val="15"/>
                <w:color w:val="auto"/>
              </w:rPr>
            </w:pPr>
          </w:p>
        </w:tc>
        <w:tc>
          <w:tcPr>
            <w:tcW w:w="100" w:type="dxa"/>
            <w:vAlign w:val="bottom"/>
            <w:tcBorders>
              <w:bottom w:val="single" w:sz="8" w:color="5591C7"/>
            </w:tcBorders>
            <w:shd w:val="clear" w:color="auto" w:fill="5591C7"/>
          </w:tcPr>
          <w:p>
            <w:pPr>
              <w:spacing w:after="0"/>
              <w:rPr>
                <w:sz w:val="15"/>
                <w:szCs w:val="15"/>
                <w:color w:val="auto"/>
              </w:rPr>
            </w:pPr>
          </w:p>
        </w:tc>
        <w:tc>
          <w:tcPr>
            <w:tcW w:w="7320" w:type="dxa"/>
            <w:vAlign w:val="bottom"/>
            <w:tcBorders>
              <w:bottom w:val="single" w:sz="8" w:color="auto"/>
            </w:tcBorders>
            <w:shd w:val="clear" w:color="auto" w:fill="5591C7"/>
          </w:tcPr>
          <w:p>
            <w:pPr>
              <w:ind w:left="2480"/>
              <w:spacing w:after="0"/>
              <w:rPr>
                <w:sz w:val="20"/>
                <w:szCs w:val="20"/>
                <w:color w:val="auto"/>
              </w:rPr>
            </w:pPr>
            <w:r>
              <w:rPr>
                <w:rFonts w:ascii="Arial" w:cs="Arial" w:eastAsia="Arial" w:hAnsi="Arial"/>
                <w:sz w:val="14"/>
                <w:szCs w:val="14"/>
                <w:b w:val="1"/>
                <w:bCs w:val="1"/>
                <w:color w:val="auto"/>
              </w:rPr>
              <w:t>Vesting Schedule of Original Grant</w:t>
            </w:r>
          </w:p>
        </w:tc>
        <w:tc>
          <w:tcPr>
            <w:tcW w:w="100" w:type="dxa"/>
            <w:vAlign w:val="bottom"/>
            <w:tcBorders>
              <w:bottom w:val="single" w:sz="8" w:color="5591C7"/>
            </w:tcBorders>
            <w:shd w:val="clear" w:color="auto" w:fill="5591C7"/>
          </w:tcPr>
          <w:p>
            <w:pPr>
              <w:spacing w:after="0"/>
              <w:rPr>
                <w:sz w:val="15"/>
                <w:szCs w:val="15"/>
                <w:color w:val="auto"/>
              </w:rPr>
            </w:pPr>
          </w:p>
        </w:tc>
      </w:tr>
      <w:tr>
        <w:trPr>
          <w:trHeight w:val="180"/>
        </w:trPr>
        <w:tc>
          <w:tcPr>
            <w:tcW w:w="2300" w:type="dxa"/>
            <w:vAlign w:val="bottom"/>
            <w:gridSpan w:val="2"/>
            <w:shd w:val="clear" w:color="auto" w:fill="B8CDE8"/>
          </w:tcPr>
          <w:p>
            <w:pPr>
              <w:ind w:left="120"/>
              <w:spacing w:after="0"/>
              <w:rPr>
                <w:sz w:val="20"/>
                <w:szCs w:val="20"/>
                <w:color w:val="auto"/>
              </w:rPr>
            </w:pPr>
            <w:r>
              <w:rPr>
                <w:rFonts w:ascii="Arial" w:cs="Arial" w:eastAsia="Arial" w:hAnsi="Arial"/>
                <w:sz w:val="14"/>
                <w:szCs w:val="14"/>
                <w:color w:val="auto"/>
              </w:rPr>
              <w:t>Rohit Kapoor</w:t>
            </w:r>
          </w:p>
        </w:tc>
        <w:tc>
          <w:tcPr>
            <w:tcW w:w="1480" w:type="dxa"/>
            <w:vAlign w:val="bottom"/>
            <w:gridSpan w:val="2"/>
            <w:shd w:val="clear" w:color="auto" w:fill="B8CDE8"/>
          </w:tcPr>
          <w:p>
            <w:pPr>
              <w:jc w:val="center"/>
              <w:ind w:left="48"/>
              <w:spacing w:after="0"/>
              <w:rPr>
                <w:sz w:val="20"/>
                <w:szCs w:val="20"/>
                <w:color w:val="auto"/>
              </w:rPr>
            </w:pPr>
            <w:r>
              <w:rPr>
                <w:rFonts w:ascii="Arial" w:cs="Arial" w:eastAsia="Arial" w:hAnsi="Arial"/>
                <w:sz w:val="14"/>
                <w:szCs w:val="14"/>
                <w:color w:val="auto"/>
              </w:rPr>
              <w:t>12,502</w:t>
            </w:r>
          </w:p>
        </w:tc>
        <w:tc>
          <w:tcPr>
            <w:tcW w:w="120" w:type="dxa"/>
            <w:vAlign w:val="bottom"/>
            <w:shd w:val="clear" w:color="auto" w:fill="B8CDE8"/>
          </w:tcPr>
          <w:p>
            <w:pPr>
              <w:spacing w:after="0"/>
              <w:rPr>
                <w:sz w:val="15"/>
                <w:szCs w:val="15"/>
                <w:color w:val="auto"/>
              </w:rPr>
            </w:pPr>
          </w:p>
        </w:tc>
        <w:tc>
          <w:tcPr>
            <w:tcW w:w="752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100% of the Revenue-Linked PRSUs will vest on December 31, 2016, subject to the banking feature described in</w:t>
            </w:r>
          </w:p>
        </w:tc>
      </w:tr>
      <w:tr>
        <w:trPr>
          <w:trHeight w:val="171"/>
        </w:trPr>
        <w:tc>
          <w:tcPr>
            <w:tcW w:w="2200" w:type="dxa"/>
            <w:vAlign w:val="bottom"/>
            <w:shd w:val="clear" w:color="auto" w:fill="B8CDE8"/>
          </w:tcPr>
          <w:p>
            <w:pPr>
              <w:spacing w:after="0"/>
              <w:rPr>
                <w:sz w:val="14"/>
                <w:szCs w:val="14"/>
                <w:color w:val="auto"/>
              </w:rPr>
            </w:pPr>
          </w:p>
        </w:tc>
        <w:tc>
          <w:tcPr>
            <w:tcW w:w="10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136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752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“Compensation Discussion and Analysis – Long-Term Equity Incentives” on page 36.</w:t>
            </w:r>
          </w:p>
        </w:tc>
      </w:tr>
      <w:tr>
        <w:trPr>
          <w:trHeight w:val="180"/>
        </w:trPr>
        <w:tc>
          <w:tcPr>
            <w:tcW w:w="2200" w:type="dxa"/>
            <w:vAlign w:val="bottom"/>
            <w:shd w:val="clear" w:color="auto" w:fill="B8CDE8"/>
          </w:tcPr>
          <w:p>
            <w:pPr>
              <w:spacing w:after="0"/>
              <w:rPr>
                <w:sz w:val="15"/>
                <w:szCs w:val="15"/>
                <w:color w:val="auto"/>
              </w:rPr>
            </w:pPr>
          </w:p>
        </w:tc>
        <w:tc>
          <w:tcPr>
            <w:tcW w:w="100" w:type="dxa"/>
            <w:vAlign w:val="bottom"/>
            <w:shd w:val="clear" w:color="auto" w:fill="B8CDE8"/>
          </w:tcPr>
          <w:p>
            <w:pPr>
              <w:spacing w:after="0"/>
              <w:rPr>
                <w:sz w:val="15"/>
                <w:szCs w:val="15"/>
                <w:color w:val="auto"/>
              </w:rPr>
            </w:pPr>
          </w:p>
        </w:tc>
        <w:tc>
          <w:tcPr>
            <w:tcW w:w="1480" w:type="dxa"/>
            <w:vAlign w:val="bottom"/>
            <w:gridSpan w:val="2"/>
            <w:shd w:val="clear" w:color="auto" w:fill="B8CDE8"/>
          </w:tcPr>
          <w:p>
            <w:pPr>
              <w:jc w:val="center"/>
              <w:ind w:left="48"/>
              <w:spacing w:after="0"/>
              <w:rPr>
                <w:sz w:val="20"/>
                <w:szCs w:val="20"/>
                <w:color w:val="auto"/>
              </w:rPr>
            </w:pPr>
            <w:r>
              <w:rPr>
                <w:rFonts w:ascii="Arial" w:cs="Arial" w:eastAsia="Arial" w:hAnsi="Arial"/>
                <w:sz w:val="14"/>
                <w:szCs w:val="14"/>
                <w:color w:val="auto"/>
              </w:rPr>
              <w:t>12,501</w:t>
            </w:r>
          </w:p>
        </w:tc>
        <w:tc>
          <w:tcPr>
            <w:tcW w:w="120" w:type="dxa"/>
            <w:vAlign w:val="bottom"/>
            <w:shd w:val="clear" w:color="auto" w:fill="B8CDE8"/>
          </w:tcPr>
          <w:p>
            <w:pPr>
              <w:spacing w:after="0"/>
              <w:rPr>
                <w:sz w:val="15"/>
                <w:szCs w:val="15"/>
                <w:color w:val="auto"/>
              </w:rPr>
            </w:pPr>
          </w:p>
        </w:tc>
        <w:tc>
          <w:tcPr>
            <w:tcW w:w="752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100% of the Revenue-Linked PRSUs will vest on December 31, 2017, subject to the banking feature described in</w:t>
            </w:r>
          </w:p>
        </w:tc>
      </w:tr>
      <w:tr>
        <w:trPr>
          <w:trHeight w:val="171"/>
        </w:trPr>
        <w:tc>
          <w:tcPr>
            <w:tcW w:w="2200" w:type="dxa"/>
            <w:vAlign w:val="bottom"/>
            <w:shd w:val="clear" w:color="auto" w:fill="B8CDE8"/>
          </w:tcPr>
          <w:p>
            <w:pPr>
              <w:spacing w:after="0"/>
              <w:rPr>
                <w:sz w:val="14"/>
                <w:szCs w:val="14"/>
                <w:color w:val="auto"/>
              </w:rPr>
            </w:pPr>
          </w:p>
        </w:tc>
        <w:tc>
          <w:tcPr>
            <w:tcW w:w="10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136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752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“Compensation Discussion and Analysis – Long-Term Equity Incentives” on page 36.</w:t>
            </w:r>
          </w:p>
        </w:tc>
      </w:tr>
      <w:tr>
        <w:trPr>
          <w:trHeight w:val="191"/>
        </w:trPr>
        <w:tc>
          <w:tcPr>
            <w:tcW w:w="220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1480" w:type="dxa"/>
            <w:vAlign w:val="bottom"/>
            <w:gridSpan w:val="2"/>
            <w:shd w:val="clear" w:color="auto" w:fill="B8CDE8"/>
          </w:tcPr>
          <w:p>
            <w:pPr>
              <w:jc w:val="center"/>
              <w:ind w:left="48"/>
              <w:spacing w:after="0"/>
              <w:rPr>
                <w:sz w:val="20"/>
                <w:szCs w:val="20"/>
                <w:color w:val="auto"/>
              </w:rPr>
            </w:pPr>
            <w:r>
              <w:rPr>
                <w:rFonts w:ascii="Arial" w:cs="Arial" w:eastAsia="Arial" w:hAnsi="Arial"/>
                <w:sz w:val="14"/>
                <w:szCs w:val="14"/>
                <w:color w:val="auto"/>
              </w:rPr>
              <w:t>37,500</w:t>
            </w:r>
          </w:p>
        </w:tc>
        <w:tc>
          <w:tcPr>
            <w:tcW w:w="120" w:type="dxa"/>
            <w:vAlign w:val="bottom"/>
            <w:shd w:val="clear" w:color="auto" w:fill="B8CDE8"/>
          </w:tcPr>
          <w:p>
            <w:pPr>
              <w:spacing w:after="0"/>
              <w:rPr>
                <w:sz w:val="16"/>
                <w:szCs w:val="16"/>
                <w:color w:val="auto"/>
              </w:rPr>
            </w:pPr>
          </w:p>
        </w:tc>
        <w:tc>
          <w:tcPr>
            <w:tcW w:w="752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100% of the Relative TSR-Linked PRSUs will vest on December 31, 2016.</w:t>
            </w:r>
          </w:p>
        </w:tc>
      </w:tr>
      <w:tr>
        <w:trPr>
          <w:trHeight w:val="189"/>
        </w:trPr>
        <w:tc>
          <w:tcPr>
            <w:tcW w:w="220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1480" w:type="dxa"/>
            <w:vAlign w:val="bottom"/>
            <w:gridSpan w:val="2"/>
            <w:shd w:val="clear" w:color="auto" w:fill="B8CDE8"/>
          </w:tcPr>
          <w:p>
            <w:pPr>
              <w:jc w:val="center"/>
              <w:ind w:left="48"/>
              <w:spacing w:after="0"/>
              <w:rPr>
                <w:sz w:val="20"/>
                <w:szCs w:val="20"/>
                <w:color w:val="auto"/>
              </w:rPr>
            </w:pPr>
            <w:r>
              <w:rPr>
                <w:rFonts w:ascii="Arial" w:cs="Arial" w:eastAsia="Arial" w:hAnsi="Arial"/>
                <w:sz w:val="14"/>
                <w:szCs w:val="14"/>
                <w:color w:val="auto"/>
              </w:rPr>
              <w:t>18,750</w:t>
            </w:r>
          </w:p>
        </w:tc>
        <w:tc>
          <w:tcPr>
            <w:tcW w:w="120" w:type="dxa"/>
            <w:vAlign w:val="bottom"/>
            <w:shd w:val="clear" w:color="auto" w:fill="B8CDE8"/>
          </w:tcPr>
          <w:p>
            <w:pPr>
              <w:spacing w:after="0"/>
              <w:rPr>
                <w:sz w:val="16"/>
                <w:szCs w:val="16"/>
                <w:color w:val="auto"/>
              </w:rPr>
            </w:pPr>
          </w:p>
        </w:tc>
        <w:tc>
          <w:tcPr>
            <w:tcW w:w="752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100% of the Relative TSR-Linked PRSUs will vest on December 31, 2017.</w:t>
            </w:r>
          </w:p>
        </w:tc>
      </w:tr>
      <w:tr>
        <w:trPr>
          <w:trHeight w:val="188"/>
        </w:trPr>
        <w:tc>
          <w:tcPr>
            <w:tcW w:w="220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1480" w:type="dxa"/>
            <w:vAlign w:val="bottom"/>
            <w:gridSpan w:val="2"/>
            <w:shd w:val="clear" w:color="auto" w:fill="B8CDE8"/>
          </w:tcPr>
          <w:p>
            <w:pPr>
              <w:jc w:val="center"/>
              <w:ind w:left="48"/>
              <w:spacing w:after="0"/>
              <w:rPr>
                <w:sz w:val="20"/>
                <w:szCs w:val="20"/>
                <w:color w:val="auto"/>
              </w:rPr>
            </w:pPr>
            <w:r>
              <w:rPr>
                <w:rFonts w:ascii="Arial" w:cs="Arial" w:eastAsia="Arial" w:hAnsi="Arial"/>
                <w:sz w:val="14"/>
                <w:szCs w:val="14"/>
                <w:color w:val="auto"/>
              </w:rPr>
              <w:t>100,000</w:t>
            </w:r>
          </w:p>
        </w:tc>
        <w:tc>
          <w:tcPr>
            <w:tcW w:w="120" w:type="dxa"/>
            <w:vAlign w:val="bottom"/>
            <w:shd w:val="clear" w:color="auto" w:fill="B8CDE8"/>
          </w:tcPr>
          <w:p>
            <w:pPr>
              <w:spacing w:after="0"/>
              <w:rPr>
                <w:sz w:val="16"/>
                <w:szCs w:val="16"/>
                <w:color w:val="auto"/>
              </w:rPr>
            </w:pPr>
          </w:p>
        </w:tc>
        <w:tc>
          <w:tcPr>
            <w:tcW w:w="752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100% of the Stock Price Performance Award will vest on December 31, 2017.</w:t>
            </w:r>
          </w:p>
        </w:tc>
      </w:tr>
      <w:tr>
        <w:trPr>
          <w:trHeight w:val="180"/>
        </w:trPr>
        <w:tc>
          <w:tcPr>
            <w:tcW w:w="2300" w:type="dxa"/>
            <w:vAlign w:val="bottom"/>
            <w:gridSpan w:val="2"/>
          </w:tcPr>
          <w:p>
            <w:pPr>
              <w:ind w:left="120"/>
              <w:spacing w:after="0"/>
              <w:rPr>
                <w:sz w:val="20"/>
                <w:szCs w:val="20"/>
                <w:color w:val="auto"/>
              </w:rPr>
            </w:pPr>
            <w:r>
              <w:rPr>
                <w:rFonts w:ascii="Arial" w:cs="Arial" w:eastAsia="Arial" w:hAnsi="Arial"/>
                <w:sz w:val="14"/>
                <w:szCs w:val="14"/>
                <w:color w:val="auto"/>
              </w:rPr>
              <w:t>Vishal Chhibbar</w:t>
            </w:r>
          </w:p>
        </w:tc>
        <w:tc>
          <w:tcPr>
            <w:tcW w:w="1480" w:type="dxa"/>
            <w:vAlign w:val="bottom"/>
            <w:gridSpan w:val="2"/>
          </w:tcPr>
          <w:p>
            <w:pPr>
              <w:jc w:val="center"/>
              <w:ind w:left="48"/>
              <w:spacing w:after="0"/>
              <w:rPr>
                <w:sz w:val="20"/>
                <w:szCs w:val="20"/>
                <w:color w:val="auto"/>
              </w:rPr>
            </w:pPr>
            <w:r>
              <w:rPr>
                <w:rFonts w:ascii="Arial" w:cs="Arial" w:eastAsia="Arial" w:hAnsi="Arial"/>
                <w:sz w:val="14"/>
                <w:szCs w:val="14"/>
                <w:color w:val="auto"/>
              </w:rPr>
              <w:t>2,334</w:t>
            </w:r>
          </w:p>
        </w:tc>
        <w:tc>
          <w:tcPr>
            <w:tcW w:w="120" w:type="dxa"/>
            <w:vAlign w:val="bottom"/>
          </w:tcPr>
          <w:p>
            <w:pPr>
              <w:spacing w:after="0"/>
              <w:rPr>
                <w:sz w:val="15"/>
                <w:szCs w:val="15"/>
                <w:color w:val="auto"/>
              </w:rPr>
            </w:pPr>
          </w:p>
        </w:tc>
        <w:tc>
          <w:tcPr>
            <w:tcW w:w="7520" w:type="dxa"/>
            <w:vAlign w:val="bottom"/>
            <w:gridSpan w:val="3"/>
          </w:tcPr>
          <w:p>
            <w:pPr>
              <w:ind w:left="100"/>
              <w:spacing w:after="0"/>
              <w:rPr>
                <w:sz w:val="20"/>
                <w:szCs w:val="20"/>
                <w:color w:val="auto"/>
              </w:rPr>
            </w:pPr>
            <w:r>
              <w:rPr>
                <w:rFonts w:ascii="Arial" w:cs="Arial" w:eastAsia="Arial" w:hAnsi="Arial"/>
                <w:sz w:val="14"/>
                <w:szCs w:val="14"/>
                <w:color w:val="auto"/>
              </w:rPr>
              <w:t>100% of the Revenue-Linked PRSUs will vest on December 31, 2016, subject to the banking feature described in</w:t>
            </w:r>
          </w:p>
        </w:tc>
      </w:tr>
      <w:tr>
        <w:trPr>
          <w:trHeight w:val="172"/>
        </w:trPr>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520" w:type="dxa"/>
            <w:vAlign w:val="bottom"/>
            <w:gridSpan w:val="3"/>
          </w:tcPr>
          <w:p>
            <w:pPr>
              <w:ind w:left="100"/>
              <w:spacing w:after="0"/>
              <w:rPr>
                <w:sz w:val="20"/>
                <w:szCs w:val="20"/>
                <w:color w:val="auto"/>
              </w:rPr>
            </w:pPr>
            <w:r>
              <w:rPr>
                <w:rFonts w:ascii="Arial" w:cs="Arial" w:eastAsia="Arial" w:hAnsi="Arial"/>
                <w:sz w:val="14"/>
                <w:szCs w:val="14"/>
                <w:color w:val="auto"/>
              </w:rPr>
              <w:t>“Compensation Discussion and Analysis – Long-Term Equity Incentives” on page 36.</w:t>
            </w:r>
          </w:p>
        </w:tc>
      </w:tr>
      <w:tr>
        <w:trPr>
          <w:trHeight w:val="179"/>
        </w:trPr>
        <w:tc>
          <w:tcPr>
            <w:tcW w:w="2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jc w:val="center"/>
              <w:ind w:left="48"/>
              <w:spacing w:after="0"/>
              <w:rPr>
                <w:sz w:val="20"/>
                <w:szCs w:val="20"/>
                <w:color w:val="auto"/>
              </w:rPr>
            </w:pPr>
            <w:r>
              <w:rPr>
                <w:rFonts w:ascii="Arial" w:cs="Arial" w:eastAsia="Arial" w:hAnsi="Arial"/>
                <w:sz w:val="14"/>
                <w:szCs w:val="14"/>
                <w:color w:val="auto"/>
              </w:rPr>
              <w:t>2,501</w:t>
            </w:r>
          </w:p>
        </w:tc>
        <w:tc>
          <w:tcPr>
            <w:tcW w:w="120" w:type="dxa"/>
            <w:vAlign w:val="bottom"/>
          </w:tcPr>
          <w:p>
            <w:pPr>
              <w:spacing w:after="0"/>
              <w:rPr>
                <w:sz w:val="15"/>
                <w:szCs w:val="15"/>
                <w:color w:val="auto"/>
              </w:rPr>
            </w:pPr>
          </w:p>
        </w:tc>
        <w:tc>
          <w:tcPr>
            <w:tcW w:w="7520" w:type="dxa"/>
            <w:vAlign w:val="bottom"/>
            <w:gridSpan w:val="3"/>
          </w:tcPr>
          <w:p>
            <w:pPr>
              <w:ind w:left="100"/>
              <w:spacing w:after="0"/>
              <w:rPr>
                <w:sz w:val="20"/>
                <w:szCs w:val="20"/>
                <w:color w:val="auto"/>
              </w:rPr>
            </w:pPr>
            <w:r>
              <w:rPr>
                <w:rFonts w:ascii="Arial" w:cs="Arial" w:eastAsia="Arial" w:hAnsi="Arial"/>
                <w:sz w:val="14"/>
                <w:szCs w:val="14"/>
                <w:color w:val="auto"/>
              </w:rPr>
              <w:t>100% of the Revenue-Linked PRSUs will vest on December 31, 2017, subject to the banking feature described in</w:t>
            </w:r>
          </w:p>
        </w:tc>
      </w:tr>
      <w:tr>
        <w:trPr>
          <w:trHeight w:val="172"/>
        </w:trPr>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520" w:type="dxa"/>
            <w:vAlign w:val="bottom"/>
            <w:gridSpan w:val="3"/>
          </w:tcPr>
          <w:p>
            <w:pPr>
              <w:ind w:left="100"/>
              <w:spacing w:after="0"/>
              <w:rPr>
                <w:sz w:val="20"/>
                <w:szCs w:val="20"/>
                <w:color w:val="auto"/>
              </w:rPr>
            </w:pPr>
            <w:r>
              <w:rPr>
                <w:rFonts w:ascii="Arial" w:cs="Arial" w:eastAsia="Arial" w:hAnsi="Arial"/>
                <w:sz w:val="14"/>
                <w:szCs w:val="14"/>
                <w:color w:val="auto"/>
              </w:rPr>
              <w:t>“Compensation Discussion and Analysis – Long-Term Equity Incentives” on page 36.</w:t>
            </w:r>
          </w:p>
        </w:tc>
      </w:tr>
      <w:tr>
        <w:trPr>
          <w:trHeight w:val="189"/>
        </w:trPr>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left="48"/>
              <w:spacing w:after="0"/>
              <w:rPr>
                <w:sz w:val="20"/>
                <w:szCs w:val="20"/>
                <w:color w:val="auto"/>
              </w:rPr>
            </w:pPr>
            <w:r>
              <w:rPr>
                <w:rFonts w:ascii="Arial" w:cs="Arial" w:eastAsia="Arial" w:hAnsi="Arial"/>
                <w:sz w:val="14"/>
                <w:szCs w:val="14"/>
                <w:color w:val="auto"/>
              </w:rPr>
              <w:t>7,000</w:t>
            </w:r>
          </w:p>
        </w:tc>
        <w:tc>
          <w:tcPr>
            <w:tcW w:w="120" w:type="dxa"/>
            <w:vAlign w:val="bottom"/>
          </w:tcPr>
          <w:p>
            <w:pPr>
              <w:spacing w:after="0"/>
              <w:rPr>
                <w:sz w:val="16"/>
                <w:szCs w:val="16"/>
                <w:color w:val="auto"/>
              </w:rPr>
            </w:pPr>
          </w:p>
        </w:tc>
        <w:tc>
          <w:tcPr>
            <w:tcW w:w="7520" w:type="dxa"/>
            <w:vAlign w:val="bottom"/>
            <w:gridSpan w:val="3"/>
          </w:tcPr>
          <w:p>
            <w:pPr>
              <w:ind w:left="100"/>
              <w:spacing w:after="0"/>
              <w:rPr>
                <w:sz w:val="20"/>
                <w:szCs w:val="20"/>
                <w:color w:val="auto"/>
              </w:rPr>
            </w:pPr>
            <w:r>
              <w:rPr>
                <w:rFonts w:ascii="Arial" w:cs="Arial" w:eastAsia="Arial" w:hAnsi="Arial"/>
                <w:sz w:val="14"/>
                <w:szCs w:val="14"/>
                <w:color w:val="auto"/>
              </w:rPr>
              <w:t>100% of the Relative TSR-Linked PRSUs will vest on December 31, 2016.</w:t>
            </w:r>
          </w:p>
        </w:tc>
      </w:tr>
      <w:tr>
        <w:trPr>
          <w:trHeight w:val="188"/>
        </w:trPr>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left="48"/>
              <w:spacing w:after="0"/>
              <w:rPr>
                <w:sz w:val="20"/>
                <w:szCs w:val="20"/>
                <w:color w:val="auto"/>
              </w:rPr>
            </w:pPr>
            <w:r>
              <w:rPr>
                <w:rFonts w:ascii="Arial" w:cs="Arial" w:eastAsia="Arial" w:hAnsi="Arial"/>
                <w:sz w:val="14"/>
                <w:szCs w:val="14"/>
                <w:color w:val="auto"/>
              </w:rPr>
              <w:t>3,750</w:t>
            </w:r>
          </w:p>
        </w:tc>
        <w:tc>
          <w:tcPr>
            <w:tcW w:w="120" w:type="dxa"/>
            <w:vAlign w:val="bottom"/>
          </w:tcPr>
          <w:p>
            <w:pPr>
              <w:spacing w:after="0"/>
              <w:rPr>
                <w:sz w:val="16"/>
                <w:szCs w:val="16"/>
                <w:color w:val="auto"/>
              </w:rPr>
            </w:pPr>
          </w:p>
        </w:tc>
        <w:tc>
          <w:tcPr>
            <w:tcW w:w="7520" w:type="dxa"/>
            <w:vAlign w:val="bottom"/>
            <w:gridSpan w:val="3"/>
          </w:tcPr>
          <w:p>
            <w:pPr>
              <w:ind w:left="100"/>
              <w:spacing w:after="0"/>
              <w:rPr>
                <w:sz w:val="20"/>
                <w:szCs w:val="20"/>
                <w:color w:val="auto"/>
              </w:rPr>
            </w:pPr>
            <w:r>
              <w:rPr>
                <w:rFonts w:ascii="Arial" w:cs="Arial" w:eastAsia="Arial" w:hAnsi="Arial"/>
                <w:sz w:val="14"/>
                <w:szCs w:val="14"/>
                <w:color w:val="auto"/>
              </w:rPr>
              <w:t>100% of the Relative TSR-Linked PRSUs will vest on December 31, 2017.</w:t>
            </w:r>
          </w:p>
        </w:tc>
      </w:tr>
      <w:tr>
        <w:trPr>
          <w:trHeight w:val="180"/>
        </w:trPr>
        <w:tc>
          <w:tcPr>
            <w:tcW w:w="2300" w:type="dxa"/>
            <w:vAlign w:val="bottom"/>
            <w:gridSpan w:val="2"/>
            <w:shd w:val="clear" w:color="auto" w:fill="B8CDE8"/>
          </w:tcPr>
          <w:p>
            <w:pPr>
              <w:ind w:left="120"/>
              <w:spacing w:after="0"/>
              <w:rPr>
                <w:sz w:val="20"/>
                <w:szCs w:val="20"/>
                <w:color w:val="auto"/>
              </w:rPr>
            </w:pPr>
            <w:r>
              <w:rPr>
                <w:rFonts w:ascii="Arial" w:cs="Arial" w:eastAsia="Arial" w:hAnsi="Arial"/>
                <w:sz w:val="14"/>
                <w:szCs w:val="14"/>
                <w:color w:val="auto"/>
              </w:rPr>
              <w:t>Pavan Bagai</w:t>
            </w:r>
          </w:p>
        </w:tc>
        <w:tc>
          <w:tcPr>
            <w:tcW w:w="1480" w:type="dxa"/>
            <w:vAlign w:val="bottom"/>
            <w:gridSpan w:val="2"/>
            <w:shd w:val="clear" w:color="auto" w:fill="B8CDE8"/>
          </w:tcPr>
          <w:p>
            <w:pPr>
              <w:jc w:val="center"/>
              <w:ind w:left="48"/>
              <w:spacing w:after="0"/>
              <w:rPr>
                <w:sz w:val="20"/>
                <w:szCs w:val="20"/>
                <w:color w:val="auto"/>
              </w:rPr>
            </w:pPr>
            <w:r>
              <w:rPr>
                <w:rFonts w:ascii="Arial" w:cs="Arial" w:eastAsia="Arial" w:hAnsi="Arial"/>
                <w:sz w:val="14"/>
                <w:szCs w:val="14"/>
                <w:color w:val="auto"/>
              </w:rPr>
              <w:t>3,834</w:t>
            </w:r>
          </w:p>
        </w:tc>
        <w:tc>
          <w:tcPr>
            <w:tcW w:w="120" w:type="dxa"/>
            <w:vAlign w:val="bottom"/>
            <w:shd w:val="clear" w:color="auto" w:fill="B8CDE8"/>
          </w:tcPr>
          <w:p>
            <w:pPr>
              <w:spacing w:after="0"/>
              <w:rPr>
                <w:sz w:val="15"/>
                <w:szCs w:val="15"/>
                <w:color w:val="auto"/>
              </w:rPr>
            </w:pPr>
          </w:p>
        </w:tc>
        <w:tc>
          <w:tcPr>
            <w:tcW w:w="752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100% of the Revenue-Linked PRSUs will vest on December 31, 2016, subject to the banking feature described in</w:t>
            </w:r>
          </w:p>
        </w:tc>
      </w:tr>
      <w:tr>
        <w:trPr>
          <w:trHeight w:val="171"/>
        </w:trPr>
        <w:tc>
          <w:tcPr>
            <w:tcW w:w="2200" w:type="dxa"/>
            <w:vAlign w:val="bottom"/>
            <w:shd w:val="clear" w:color="auto" w:fill="B8CDE8"/>
          </w:tcPr>
          <w:p>
            <w:pPr>
              <w:spacing w:after="0"/>
              <w:rPr>
                <w:sz w:val="14"/>
                <w:szCs w:val="14"/>
                <w:color w:val="auto"/>
              </w:rPr>
            </w:pPr>
          </w:p>
        </w:tc>
        <w:tc>
          <w:tcPr>
            <w:tcW w:w="10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136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752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“Compensation Discussion and Analysis – Long-Term Equity Incentives” on page 36.</w:t>
            </w:r>
          </w:p>
        </w:tc>
      </w:tr>
      <w:tr>
        <w:trPr>
          <w:trHeight w:val="180"/>
        </w:trPr>
        <w:tc>
          <w:tcPr>
            <w:tcW w:w="2200" w:type="dxa"/>
            <w:vAlign w:val="bottom"/>
            <w:shd w:val="clear" w:color="auto" w:fill="B8CDE8"/>
          </w:tcPr>
          <w:p>
            <w:pPr>
              <w:spacing w:after="0"/>
              <w:rPr>
                <w:sz w:val="15"/>
                <w:szCs w:val="15"/>
                <w:color w:val="auto"/>
              </w:rPr>
            </w:pPr>
          </w:p>
        </w:tc>
        <w:tc>
          <w:tcPr>
            <w:tcW w:w="100" w:type="dxa"/>
            <w:vAlign w:val="bottom"/>
            <w:shd w:val="clear" w:color="auto" w:fill="B8CDE8"/>
          </w:tcPr>
          <w:p>
            <w:pPr>
              <w:spacing w:after="0"/>
              <w:rPr>
                <w:sz w:val="15"/>
                <w:szCs w:val="15"/>
                <w:color w:val="auto"/>
              </w:rPr>
            </w:pPr>
          </w:p>
        </w:tc>
        <w:tc>
          <w:tcPr>
            <w:tcW w:w="1480" w:type="dxa"/>
            <w:vAlign w:val="bottom"/>
            <w:gridSpan w:val="2"/>
            <w:shd w:val="clear" w:color="auto" w:fill="B8CDE8"/>
          </w:tcPr>
          <w:p>
            <w:pPr>
              <w:jc w:val="center"/>
              <w:ind w:left="48"/>
              <w:spacing w:after="0"/>
              <w:rPr>
                <w:sz w:val="20"/>
                <w:szCs w:val="20"/>
                <w:color w:val="auto"/>
              </w:rPr>
            </w:pPr>
            <w:r>
              <w:rPr>
                <w:rFonts w:ascii="Arial" w:cs="Arial" w:eastAsia="Arial" w:hAnsi="Arial"/>
                <w:sz w:val="14"/>
                <w:szCs w:val="14"/>
                <w:color w:val="auto"/>
              </w:rPr>
              <w:t>4,167</w:t>
            </w:r>
          </w:p>
        </w:tc>
        <w:tc>
          <w:tcPr>
            <w:tcW w:w="120" w:type="dxa"/>
            <w:vAlign w:val="bottom"/>
            <w:shd w:val="clear" w:color="auto" w:fill="B8CDE8"/>
          </w:tcPr>
          <w:p>
            <w:pPr>
              <w:spacing w:after="0"/>
              <w:rPr>
                <w:sz w:val="15"/>
                <w:szCs w:val="15"/>
                <w:color w:val="auto"/>
              </w:rPr>
            </w:pPr>
          </w:p>
        </w:tc>
        <w:tc>
          <w:tcPr>
            <w:tcW w:w="752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100% of the Revenue-Linked PRSUs will vest on December 31, 2017, subject to the banking feature described in</w:t>
            </w:r>
          </w:p>
        </w:tc>
      </w:tr>
      <w:tr>
        <w:trPr>
          <w:trHeight w:val="171"/>
        </w:trPr>
        <w:tc>
          <w:tcPr>
            <w:tcW w:w="2200" w:type="dxa"/>
            <w:vAlign w:val="bottom"/>
            <w:shd w:val="clear" w:color="auto" w:fill="B8CDE8"/>
          </w:tcPr>
          <w:p>
            <w:pPr>
              <w:spacing w:after="0"/>
              <w:rPr>
                <w:sz w:val="14"/>
                <w:szCs w:val="14"/>
                <w:color w:val="auto"/>
              </w:rPr>
            </w:pPr>
          </w:p>
        </w:tc>
        <w:tc>
          <w:tcPr>
            <w:tcW w:w="10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136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752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“Compensation Discussion and Analysis – Long-Term Equity Incentives” on page 36.</w:t>
            </w:r>
          </w:p>
        </w:tc>
      </w:tr>
      <w:tr>
        <w:trPr>
          <w:trHeight w:val="191"/>
        </w:trPr>
        <w:tc>
          <w:tcPr>
            <w:tcW w:w="220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1480" w:type="dxa"/>
            <w:vAlign w:val="bottom"/>
            <w:gridSpan w:val="2"/>
            <w:shd w:val="clear" w:color="auto" w:fill="B8CDE8"/>
          </w:tcPr>
          <w:p>
            <w:pPr>
              <w:jc w:val="center"/>
              <w:ind w:left="48"/>
              <w:spacing w:after="0"/>
              <w:rPr>
                <w:sz w:val="20"/>
                <w:szCs w:val="20"/>
                <w:color w:val="auto"/>
              </w:rPr>
            </w:pPr>
            <w:r>
              <w:rPr>
                <w:rFonts w:ascii="Arial" w:cs="Arial" w:eastAsia="Arial" w:hAnsi="Arial"/>
                <w:sz w:val="14"/>
                <w:szCs w:val="14"/>
                <w:color w:val="auto"/>
              </w:rPr>
              <w:t>11,500</w:t>
            </w:r>
          </w:p>
        </w:tc>
        <w:tc>
          <w:tcPr>
            <w:tcW w:w="120" w:type="dxa"/>
            <w:vAlign w:val="bottom"/>
            <w:shd w:val="clear" w:color="auto" w:fill="B8CDE8"/>
          </w:tcPr>
          <w:p>
            <w:pPr>
              <w:spacing w:after="0"/>
              <w:rPr>
                <w:sz w:val="16"/>
                <w:szCs w:val="16"/>
                <w:color w:val="auto"/>
              </w:rPr>
            </w:pPr>
          </w:p>
        </w:tc>
        <w:tc>
          <w:tcPr>
            <w:tcW w:w="752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100% of the Relative TSR-Linked PRSUs will vest on December 31, 2016.</w:t>
            </w:r>
          </w:p>
        </w:tc>
      </w:tr>
      <w:tr>
        <w:trPr>
          <w:trHeight w:val="188"/>
        </w:trPr>
        <w:tc>
          <w:tcPr>
            <w:tcW w:w="2200" w:type="dxa"/>
            <w:vAlign w:val="bottom"/>
            <w:shd w:val="clear" w:color="auto" w:fill="B8CDE8"/>
          </w:tcPr>
          <w:p>
            <w:pPr>
              <w:spacing w:after="0"/>
              <w:rPr>
                <w:sz w:val="16"/>
                <w:szCs w:val="16"/>
                <w:color w:val="auto"/>
              </w:rPr>
            </w:pPr>
          </w:p>
        </w:tc>
        <w:tc>
          <w:tcPr>
            <w:tcW w:w="100" w:type="dxa"/>
            <w:vAlign w:val="bottom"/>
            <w:shd w:val="clear" w:color="auto" w:fill="B8CDE8"/>
          </w:tcPr>
          <w:p>
            <w:pPr>
              <w:spacing w:after="0"/>
              <w:rPr>
                <w:sz w:val="16"/>
                <w:szCs w:val="16"/>
                <w:color w:val="auto"/>
              </w:rPr>
            </w:pPr>
          </w:p>
        </w:tc>
        <w:tc>
          <w:tcPr>
            <w:tcW w:w="1480" w:type="dxa"/>
            <w:vAlign w:val="bottom"/>
            <w:gridSpan w:val="2"/>
            <w:shd w:val="clear" w:color="auto" w:fill="B8CDE8"/>
          </w:tcPr>
          <w:p>
            <w:pPr>
              <w:jc w:val="center"/>
              <w:ind w:left="48"/>
              <w:spacing w:after="0"/>
              <w:rPr>
                <w:sz w:val="20"/>
                <w:szCs w:val="20"/>
                <w:color w:val="auto"/>
              </w:rPr>
            </w:pPr>
            <w:r>
              <w:rPr>
                <w:rFonts w:ascii="Arial" w:cs="Arial" w:eastAsia="Arial" w:hAnsi="Arial"/>
                <w:sz w:val="14"/>
                <w:szCs w:val="14"/>
                <w:color w:val="auto"/>
              </w:rPr>
              <w:t>6,250</w:t>
            </w:r>
          </w:p>
        </w:tc>
        <w:tc>
          <w:tcPr>
            <w:tcW w:w="120" w:type="dxa"/>
            <w:vAlign w:val="bottom"/>
            <w:shd w:val="clear" w:color="auto" w:fill="B8CDE8"/>
          </w:tcPr>
          <w:p>
            <w:pPr>
              <w:spacing w:after="0"/>
              <w:rPr>
                <w:sz w:val="16"/>
                <w:szCs w:val="16"/>
                <w:color w:val="auto"/>
              </w:rPr>
            </w:pPr>
          </w:p>
        </w:tc>
        <w:tc>
          <w:tcPr>
            <w:tcW w:w="7520" w:type="dxa"/>
            <w:vAlign w:val="bottom"/>
            <w:gridSpan w:val="3"/>
            <w:shd w:val="clear" w:color="auto" w:fill="B8CDE8"/>
          </w:tcPr>
          <w:p>
            <w:pPr>
              <w:ind w:left="100"/>
              <w:spacing w:after="0"/>
              <w:rPr>
                <w:sz w:val="20"/>
                <w:szCs w:val="20"/>
                <w:color w:val="auto"/>
              </w:rPr>
            </w:pPr>
            <w:r>
              <w:rPr>
                <w:rFonts w:ascii="Arial" w:cs="Arial" w:eastAsia="Arial" w:hAnsi="Arial"/>
                <w:sz w:val="14"/>
                <w:szCs w:val="14"/>
                <w:color w:val="auto"/>
              </w:rPr>
              <w:t>100% of the Relative TSR-Linked PRSUs will vest on December 31, 2017.</w:t>
            </w:r>
          </w:p>
        </w:tc>
      </w:tr>
      <w:tr>
        <w:trPr>
          <w:trHeight w:val="180"/>
        </w:trPr>
        <w:tc>
          <w:tcPr>
            <w:tcW w:w="2300" w:type="dxa"/>
            <w:vAlign w:val="bottom"/>
            <w:gridSpan w:val="2"/>
          </w:tcPr>
          <w:p>
            <w:pPr>
              <w:ind w:left="120"/>
              <w:spacing w:after="0"/>
              <w:rPr>
                <w:sz w:val="20"/>
                <w:szCs w:val="20"/>
                <w:color w:val="auto"/>
              </w:rPr>
            </w:pPr>
            <w:r>
              <w:rPr>
                <w:rFonts w:ascii="Arial" w:cs="Arial" w:eastAsia="Arial" w:hAnsi="Arial"/>
                <w:sz w:val="14"/>
                <w:szCs w:val="14"/>
                <w:color w:val="auto"/>
              </w:rPr>
              <w:t>Nalin Miglani</w:t>
            </w:r>
          </w:p>
        </w:tc>
        <w:tc>
          <w:tcPr>
            <w:tcW w:w="1480" w:type="dxa"/>
            <w:vAlign w:val="bottom"/>
            <w:gridSpan w:val="2"/>
          </w:tcPr>
          <w:p>
            <w:pPr>
              <w:jc w:val="center"/>
              <w:ind w:left="48"/>
              <w:spacing w:after="0"/>
              <w:rPr>
                <w:sz w:val="20"/>
                <w:szCs w:val="20"/>
                <w:color w:val="auto"/>
              </w:rPr>
            </w:pPr>
            <w:r>
              <w:rPr>
                <w:rFonts w:ascii="Arial" w:cs="Arial" w:eastAsia="Arial" w:hAnsi="Arial"/>
                <w:sz w:val="14"/>
                <w:szCs w:val="14"/>
                <w:color w:val="auto"/>
              </w:rPr>
              <w:t>2,001</w:t>
            </w:r>
          </w:p>
        </w:tc>
        <w:tc>
          <w:tcPr>
            <w:tcW w:w="120" w:type="dxa"/>
            <w:vAlign w:val="bottom"/>
          </w:tcPr>
          <w:p>
            <w:pPr>
              <w:spacing w:after="0"/>
              <w:rPr>
                <w:sz w:val="15"/>
                <w:szCs w:val="15"/>
                <w:color w:val="auto"/>
              </w:rPr>
            </w:pPr>
          </w:p>
        </w:tc>
        <w:tc>
          <w:tcPr>
            <w:tcW w:w="7520" w:type="dxa"/>
            <w:vAlign w:val="bottom"/>
            <w:gridSpan w:val="3"/>
          </w:tcPr>
          <w:p>
            <w:pPr>
              <w:ind w:left="100"/>
              <w:spacing w:after="0"/>
              <w:rPr>
                <w:sz w:val="20"/>
                <w:szCs w:val="20"/>
                <w:color w:val="auto"/>
              </w:rPr>
            </w:pPr>
            <w:r>
              <w:rPr>
                <w:rFonts w:ascii="Arial" w:cs="Arial" w:eastAsia="Arial" w:hAnsi="Arial"/>
                <w:sz w:val="14"/>
                <w:szCs w:val="14"/>
                <w:color w:val="auto"/>
              </w:rPr>
              <w:t>100% of the Revenue-Linked PRSUs will vest on December 31, 2017, subject to the banking feature described in</w:t>
            </w:r>
          </w:p>
        </w:tc>
      </w:tr>
      <w:tr>
        <w:trPr>
          <w:trHeight w:val="172"/>
        </w:trPr>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520" w:type="dxa"/>
            <w:vAlign w:val="bottom"/>
            <w:gridSpan w:val="3"/>
          </w:tcPr>
          <w:p>
            <w:pPr>
              <w:ind w:left="100"/>
              <w:spacing w:after="0"/>
              <w:rPr>
                <w:sz w:val="20"/>
                <w:szCs w:val="20"/>
                <w:color w:val="auto"/>
              </w:rPr>
            </w:pPr>
            <w:r>
              <w:rPr>
                <w:rFonts w:ascii="Arial" w:cs="Arial" w:eastAsia="Arial" w:hAnsi="Arial"/>
                <w:sz w:val="14"/>
                <w:szCs w:val="14"/>
                <w:color w:val="auto"/>
              </w:rPr>
              <w:t>“Compensation Discussion and Analysis – Long-Term Equity Incentives” on page 36.</w:t>
            </w:r>
          </w:p>
        </w:tc>
      </w:tr>
      <w:tr>
        <w:trPr>
          <w:trHeight w:val="189"/>
        </w:trPr>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left="48"/>
              <w:spacing w:after="0"/>
              <w:rPr>
                <w:sz w:val="20"/>
                <w:szCs w:val="20"/>
                <w:color w:val="auto"/>
              </w:rPr>
            </w:pPr>
            <w:r>
              <w:rPr>
                <w:rFonts w:ascii="Arial" w:cs="Arial" w:eastAsia="Arial" w:hAnsi="Arial"/>
                <w:sz w:val="14"/>
                <w:szCs w:val="14"/>
                <w:color w:val="auto"/>
              </w:rPr>
              <w:t>3,000</w:t>
            </w:r>
          </w:p>
        </w:tc>
        <w:tc>
          <w:tcPr>
            <w:tcW w:w="120" w:type="dxa"/>
            <w:vAlign w:val="bottom"/>
          </w:tcPr>
          <w:p>
            <w:pPr>
              <w:spacing w:after="0"/>
              <w:rPr>
                <w:sz w:val="16"/>
                <w:szCs w:val="16"/>
                <w:color w:val="auto"/>
              </w:rPr>
            </w:pPr>
          </w:p>
        </w:tc>
        <w:tc>
          <w:tcPr>
            <w:tcW w:w="7520" w:type="dxa"/>
            <w:vAlign w:val="bottom"/>
            <w:gridSpan w:val="3"/>
          </w:tcPr>
          <w:p>
            <w:pPr>
              <w:ind w:left="100"/>
              <w:spacing w:after="0"/>
              <w:rPr>
                <w:sz w:val="20"/>
                <w:szCs w:val="20"/>
                <w:color w:val="auto"/>
              </w:rPr>
            </w:pPr>
            <w:r>
              <w:rPr>
                <w:rFonts w:ascii="Arial" w:cs="Arial" w:eastAsia="Arial" w:hAnsi="Arial"/>
                <w:sz w:val="14"/>
                <w:szCs w:val="14"/>
                <w:color w:val="auto"/>
              </w:rPr>
              <w:t>100% of the Relative TSR-Linked PRSUs will vest on December 31, 2017.</w:t>
            </w:r>
          </w:p>
        </w:tc>
      </w:tr>
    </w:tbl>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type w:val="continuous"/>
        </w:sectPr>
      </w:pPr>
    </w:p>
    <w:bookmarkStart w:id="57" w:name="page58"/>
    <w:bookmarkEnd w:id="57"/>
    <w:tbl>
      <w:tblPr>
        <w:tblLayout w:type="fixed"/>
        <w:tblInd w:w="0" w:type="dxa"/>
        <w:tblCellMar>
          <w:top w:w="0" w:type="dxa"/>
          <w:left w:w="0" w:type="dxa"/>
          <w:bottom w:w="0" w:type="dxa"/>
          <w:right w:w="0" w:type="dxa"/>
        </w:tblCellMar>
      </w:tblPr>
      <w:tr>
        <w:trPr>
          <w:trHeight w:val="162"/>
        </w:trPr>
        <w:tc>
          <w:tcPr>
            <w:tcW w:w="22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36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 of Units</w:t>
            </w:r>
          </w:p>
        </w:tc>
        <w:tc>
          <w:tcPr>
            <w:tcW w:w="220" w:type="dxa"/>
            <w:vAlign w:val="bottom"/>
            <w:shd w:val="clear" w:color="auto" w:fill="5591C7"/>
          </w:tcPr>
          <w:p>
            <w:pPr>
              <w:spacing w:after="0"/>
              <w:rPr>
                <w:sz w:val="14"/>
                <w:szCs w:val="14"/>
                <w:color w:val="auto"/>
              </w:rPr>
            </w:pPr>
          </w:p>
        </w:tc>
        <w:tc>
          <w:tcPr>
            <w:tcW w:w="732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r>
      <w:tr>
        <w:trPr>
          <w:trHeight w:val="162"/>
        </w:trPr>
        <w:tc>
          <w:tcPr>
            <w:tcW w:w="22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36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Unvested as</w:t>
            </w:r>
          </w:p>
        </w:tc>
        <w:tc>
          <w:tcPr>
            <w:tcW w:w="220" w:type="dxa"/>
            <w:vAlign w:val="bottom"/>
            <w:shd w:val="clear" w:color="auto" w:fill="5591C7"/>
          </w:tcPr>
          <w:p>
            <w:pPr>
              <w:spacing w:after="0"/>
              <w:rPr>
                <w:sz w:val="14"/>
                <w:szCs w:val="14"/>
                <w:color w:val="auto"/>
              </w:rPr>
            </w:pPr>
          </w:p>
        </w:tc>
        <w:tc>
          <w:tcPr>
            <w:tcW w:w="732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r>
      <w:tr>
        <w:trPr>
          <w:trHeight w:val="182"/>
        </w:trPr>
        <w:tc>
          <w:tcPr>
            <w:tcW w:w="2200" w:type="dxa"/>
            <w:vAlign w:val="bottom"/>
            <w:tcBorders>
              <w:bottom w:val="single" w:sz="8" w:color="auto"/>
            </w:tcBorders>
            <w:shd w:val="clear" w:color="auto" w:fill="5591C7"/>
          </w:tcPr>
          <w:p>
            <w:pPr>
              <w:ind w:left="900"/>
              <w:spacing w:after="0"/>
              <w:rPr>
                <w:sz w:val="20"/>
                <w:szCs w:val="20"/>
                <w:color w:val="auto"/>
              </w:rPr>
            </w:pPr>
            <w:r>
              <w:rPr>
                <w:rFonts w:ascii="Arial" w:cs="Arial" w:eastAsia="Arial" w:hAnsi="Arial"/>
                <w:sz w:val="14"/>
                <w:szCs w:val="14"/>
                <w:b w:val="1"/>
                <w:bCs w:val="1"/>
                <w:color w:val="auto"/>
              </w:rPr>
              <w:t>Name</w:t>
            </w:r>
          </w:p>
        </w:tc>
        <w:tc>
          <w:tcPr>
            <w:tcW w:w="100" w:type="dxa"/>
            <w:vAlign w:val="bottom"/>
            <w:tcBorders>
              <w:bottom w:val="single" w:sz="8" w:color="5591C7"/>
            </w:tcBorders>
            <w:shd w:val="clear" w:color="auto" w:fill="5591C7"/>
          </w:tcPr>
          <w:p>
            <w:pPr>
              <w:spacing w:after="0"/>
              <w:rPr>
                <w:sz w:val="15"/>
                <w:szCs w:val="15"/>
                <w:color w:val="auto"/>
              </w:rPr>
            </w:pPr>
          </w:p>
        </w:tc>
        <w:tc>
          <w:tcPr>
            <w:tcW w:w="120" w:type="dxa"/>
            <w:vAlign w:val="bottom"/>
            <w:tcBorders>
              <w:bottom w:val="single" w:sz="8" w:color="5591C7"/>
            </w:tcBorders>
            <w:shd w:val="clear" w:color="auto" w:fill="5591C7"/>
          </w:tcPr>
          <w:p>
            <w:pPr>
              <w:spacing w:after="0"/>
              <w:rPr>
                <w:sz w:val="15"/>
                <w:szCs w:val="15"/>
                <w:color w:val="auto"/>
              </w:rPr>
            </w:pPr>
          </w:p>
        </w:tc>
        <w:tc>
          <w:tcPr>
            <w:tcW w:w="136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of 12/31/15</w:t>
            </w:r>
          </w:p>
        </w:tc>
        <w:tc>
          <w:tcPr>
            <w:tcW w:w="220" w:type="dxa"/>
            <w:vAlign w:val="bottom"/>
            <w:tcBorders>
              <w:bottom w:val="single" w:sz="8" w:color="5591C7"/>
            </w:tcBorders>
            <w:shd w:val="clear" w:color="auto" w:fill="5591C7"/>
          </w:tcPr>
          <w:p>
            <w:pPr>
              <w:spacing w:after="0"/>
              <w:rPr>
                <w:sz w:val="15"/>
                <w:szCs w:val="15"/>
                <w:color w:val="auto"/>
              </w:rPr>
            </w:pPr>
          </w:p>
        </w:tc>
        <w:tc>
          <w:tcPr>
            <w:tcW w:w="7320" w:type="dxa"/>
            <w:vAlign w:val="bottom"/>
            <w:tcBorders>
              <w:bottom w:val="single" w:sz="8" w:color="auto"/>
            </w:tcBorders>
            <w:shd w:val="clear" w:color="auto" w:fill="5591C7"/>
          </w:tcPr>
          <w:p>
            <w:pPr>
              <w:ind w:left="2480"/>
              <w:spacing w:after="0"/>
              <w:rPr>
                <w:sz w:val="20"/>
                <w:szCs w:val="20"/>
                <w:color w:val="auto"/>
              </w:rPr>
            </w:pPr>
            <w:r>
              <w:rPr>
                <w:rFonts w:ascii="Arial" w:cs="Arial" w:eastAsia="Arial" w:hAnsi="Arial"/>
                <w:sz w:val="14"/>
                <w:szCs w:val="14"/>
                <w:b w:val="1"/>
                <w:bCs w:val="1"/>
                <w:color w:val="auto"/>
              </w:rPr>
              <w:t>Vesting Schedule of Original Grant</w:t>
            </w:r>
          </w:p>
        </w:tc>
        <w:tc>
          <w:tcPr>
            <w:tcW w:w="100" w:type="dxa"/>
            <w:vAlign w:val="bottom"/>
            <w:tcBorders>
              <w:bottom w:val="single" w:sz="8" w:color="5591C7"/>
            </w:tcBorders>
            <w:shd w:val="clear" w:color="auto" w:fill="5591C7"/>
          </w:tcPr>
          <w:p>
            <w:pPr>
              <w:spacing w:after="0"/>
              <w:rPr>
                <w:sz w:val="15"/>
                <w:szCs w:val="15"/>
                <w:color w:val="auto"/>
              </w:rPr>
            </w:pPr>
          </w:p>
        </w:tc>
      </w:tr>
      <w:tr>
        <w:trPr>
          <w:trHeight w:val="180"/>
        </w:trPr>
        <w:tc>
          <w:tcPr>
            <w:tcW w:w="2300" w:type="dxa"/>
            <w:vAlign w:val="bottom"/>
            <w:gridSpan w:val="2"/>
            <w:shd w:val="clear" w:color="auto" w:fill="B8CCE4"/>
          </w:tcPr>
          <w:p>
            <w:pPr>
              <w:ind w:left="120"/>
              <w:spacing w:after="0"/>
              <w:rPr>
                <w:sz w:val="20"/>
                <w:szCs w:val="20"/>
                <w:color w:val="auto"/>
              </w:rPr>
            </w:pPr>
            <w:r>
              <w:rPr>
                <w:rFonts w:ascii="Arial" w:cs="Arial" w:eastAsia="Arial" w:hAnsi="Arial"/>
                <w:sz w:val="14"/>
                <w:szCs w:val="14"/>
                <w:color w:val="auto"/>
              </w:rPr>
              <w:t>Henry Schweppe</w:t>
            </w:r>
          </w:p>
        </w:tc>
        <w:tc>
          <w:tcPr>
            <w:tcW w:w="1480" w:type="dxa"/>
            <w:vAlign w:val="bottom"/>
            <w:gridSpan w:val="2"/>
            <w:shd w:val="clear" w:color="auto" w:fill="B8CCE4"/>
          </w:tcPr>
          <w:p>
            <w:pPr>
              <w:jc w:val="center"/>
              <w:ind w:left="48"/>
              <w:spacing w:after="0"/>
              <w:rPr>
                <w:sz w:val="20"/>
                <w:szCs w:val="20"/>
                <w:color w:val="auto"/>
              </w:rPr>
            </w:pPr>
            <w:r>
              <w:rPr>
                <w:rFonts w:ascii="Arial" w:cs="Arial" w:eastAsia="Arial" w:hAnsi="Arial"/>
                <w:sz w:val="14"/>
                <w:szCs w:val="14"/>
                <w:color w:val="auto"/>
              </w:rPr>
              <w:t>2,501</w:t>
            </w:r>
          </w:p>
        </w:tc>
        <w:tc>
          <w:tcPr>
            <w:tcW w:w="7640" w:type="dxa"/>
            <w:vAlign w:val="bottom"/>
            <w:gridSpan w:val="3"/>
            <w:shd w:val="clear" w:color="auto" w:fill="B8CCE4"/>
          </w:tcPr>
          <w:p>
            <w:pPr>
              <w:ind w:left="220"/>
              <w:spacing w:after="0"/>
              <w:rPr>
                <w:sz w:val="20"/>
                <w:szCs w:val="20"/>
                <w:color w:val="auto"/>
              </w:rPr>
            </w:pPr>
            <w:r>
              <w:rPr>
                <w:rFonts w:ascii="Arial" w:cs="Arial" w:eastAsia="Arial" w:hAnsi="Arial"/>
                <w:sz w:val="14"/>
                <w:szCs w:val="14"/>
                <w:color w:val="auto"/>
              </w:rPr>
              <w:t>All of these remaining Revenue-Linked PRSUs were forfeited upon his termination of employment with the</w:t>
            </w:r>
          </w:p>
        </w:tc>
      </w:tr>
      <w:tr>
        <w:trPr>
          <w:trHeight w:val="171"/>
        </w:trPr>
        <w:tc>
          <w:tcPr>
            <w:tcW w:w="2200" w:type="dxa"/>
            <w:vAlign w:val="bottom"/>
            <w:shd w:val="clear" w:color="auto" w:fill="B8CCE4"/>
          </w:tcPr>
          <w:p>
            <w:pPr>
              <w:spacing w:after="0"/>
              <w:rPr>
                <w:sz w:val="14"/>
                <w:szCs w:val="14"/>
                <w:color w:val="auto"/>
              </w:rPr>
            </w:pPr>
          </w:p>
        </w:tc>
        <w:tc>
          <w:tcPr>
            <w:tcW w:w="100" w:type="dxa"/>
            <w:vAlign w:val="bottom"/>
            <w:shd w:val="clear" w:color="auto" w:fill="B8CCE4"/>
          </w:tcPr>
          <w:p>
            <w:pPr>
              <w:spacing w:after="0"/>
              <w:rPr>
                <w:sz w:val="14"/>
                <w:szCs w:val="14"/>
                <w:color w:val="auto"/>
              </w:rPr>
            </w:pPr>
          </w:p>
        </w:tc>
        <w:tc>
          <w:tcPr>
            <w:tcW w:w="120" w:type="dxa"/>
            <w:vAlign w:val="bottom"/>
            <w:shd w:val="clear" w:color="auto" w:fill="B8CCE4"/>
          </w:tcPr>
          <w:p>
            <w:pPr>
              <w:spacing w:after="0"/>
              <w:rPr>
                <w:sz w:val="14"/>
                <w:szCs w:val="14"/>
                <w:color w:val="auto"/>
              </w:rPr>
            </w:pPr>
          </w:p>
        </w:tc>
        <w:tc>
          <w:tcPr>
            <w:tcW w:w="1360" w:type="dxa"/>
            <w:vAlign w:val="bottom"/>
            <w:shd w:val="clear" w:color="auto" w:fill="B8CCE4"/>
          </w:tcPr>
          <w:p>
            <w:pPr>
              <w:spacing w:after="0"/>
              <w:rPr>
                <w:sz w:val="14"/>
                <w:szCs w:val="14"/>
                <w:color w:val="auto"/>
              </w:rPr>
            </w:pPr>
          </w:p>
        </w:tc>
        <w:tc>
          <w:tcPr>
            <w:tcW w:w="7640" w:type="dxa"/>
            <w:vAlign w:val="bottom"/>
            <w:gridSpan w:val="3"/>
            <w:shd w:val="clear" w:color="auto" w:fill="B8CCE4"/>
          </w:tcPr>
          <w:p>
            <w:pPr>
              <w:ind w:left="220"/>
              <w:spacing w:after="0"/>
              <w:rPr>
                <w:sz w:val="20"/>
                <w:szCs w:val="20"/>
                <w:color w:val="auto"/>
              </w:rPr>
            </w:pPr>
            <w:r>
              <w:rPr>
                <w:rFonts w:ascii="Arial" w:cs="Arial" w:eastAsia="Arial" w:hAnsi="Arial"/>
                <w:sz w:val="14"/>
                <w:szCs w:val="14"/>
                <w:color w:val="auto"/>
              </w:rPr>
              <w:t>Company.</w:t>
            </w:r>
          </w:p>
        </w:tc>
      </w:tr>
      <w:tr>
        <w:trPr>
          <w:trHeight w:val="180"/>
        </w:trPr>
        <w:tc>
          <w:tcPr>
            <w:tcW w:w="2200" w:type="dxa"/>
            <w:vAlign w:val="bottom"/>
            <w:shd w:val="clear" w:color="auto" w:fill="B8CCE4"/>
          </w:tcPr>
          <w:p>
            <w:pPr>
              <w:spacing w:after="0"/>
              <w:rPr>
                <w:sz w:val="15"/>
                <w:szCs w:val="15"/>
                <w:color w:val="auto"/>
              </w:rPr>
            </w:pPr>
          </w:p>
        </w:tc>
        <w:tc>
          <w:tcPr>
            <w:tcW w:w="100" w:type="dxa"/>
            <w:vAlign w:val="bottom"/>
            <w:shd w:val="clear" w:color="auto" w:fill="B8CCE4"/>
          </w:tcPr>
          <w:p>
            <w:pPr>
              <w:spacing w:after="0"/>
              <w:rPr>
                <w:sz w:val="15"/>
                <w:szCs w:val="15"/>
                <w:color w:val="auto"/>
              </w:rPr>
            </w:pPr>
          </w:p>
        </w:tc>
        <w:tc>
          <w:tcPr>
            <w:tcW w:w="1480" w:type="dxa"/>
            <w:vAlign w:val="bottom"/>
            <w:gridSpan w:val="2"/>
            <w:shd w:val="clear" w:color="auto" w:fill="B8CCE4"/>
          </w:tcPr>
          <w:p>
            <w:pPr>
              <w:jc w:val="center"/>
              <w:ind w:left="48"/>
              <w:spacing w:after="0"/>
              <w:rPr>
                <w:sz w:val="20"/>
                <w:szCs w:val="20"/>
                <w:color w:val="auto"/>
              </w:rPr>
            </w:pPr>
            <w:r>
              <w:rPr>
                <w:rFonts w:ascii="Arial" w:cs="Arial" w:eastAsia="Arial" w:hAnsi="Arial"/>
                <w:sz w:val="14"/>
                <w:szCs w:val="14"/>
                <w:color w:val="auto"/>
              </w:rPr>
              <w:t>3,750</w:t>
            </w:r>
          </w:p>
        </w:tc>
        <w:tc>
          <w:tcPr>
            <w:tcW w:w="7640" w:type="dxa"/>
            <w:vAlign w:val="bottom"/>
            <w:gridSpan w:val="3"/>
            <w:shd w:val="clear" w:color="auto" w:fill="B8CCE4"/>
          </w:tcPr>
          <w:p>
            <w:pPr>
              <w:ind w:left="220"/>
              <w:spacing w:after="0"/>
              <w:rPr>
                <w:sz w:val="20"/>
                <w:szCs w:val="20"/>
                <w:color w:val="auto"/>
              </w:rPr>
            </w:pPr>
            <w:r>
              <w:rPr>
                <w:rFonts w:ascii="Arial" w:cs="Arial" w:eastAsia="Arial" w:hAnsi="Arial"/>
                <w:sz w:val="14"/>
                <w:szCs w:val="14"/>
                <w:color w:val="auto"/>
              </w:rPr>
              <w:t>All of these remaining Relative TSR-Linked PRSUs were forfeited upon his termination of employment with</w:t>
            </w:r>
          </w:p>
        </w:tc>
      </w:tr>
      <w:tr>
        <w:trPr>
          <w:trHeight w:val="171"/>
        </w:trPr>
        <w:tc>
          <w:tcPr>
            <w:tcW w:w="2200" w:type="dxa"/>
            <w:vAlign w:val="bottom"/>
            <w:shd w:val="clear" w:color="auto" w:fill="B8CCE4"/>
          </w:tcPr>
          <w:p>
            <w:pPr>
              <w:spacing w:after="0"/>
              <w:rPr>
                <w:sz w:val="14"/>
                <w:szCs w:val="14"/>
                <w:color w:val="auto"/>
              </w:rPr>
            </w:pPr>
          </w:p>
        </w:tc>
        <w:tc>
          <w:tcPr>
            <w:tcW w:w="100" w:type="dxa"/>
            <w:vAlign w:val="bottom"/>
            <w:shd w:val="clear" w:color="auto" w:fill="B8CCE4"/>
          </w:tcPr>
          <w:p>
            <w:pPr>
              <w:spacing w:after="0"/>
              <w:rPr>
                <w:sz w:val="14"/>
                <w:szCs w:val="14"/>
                <w:color w:val="auto"/>
              </w:rPr>
            </w:pPr>
          </w:p>
        </w:tc>
        <w:tc>
          <w:tcPr>
            <w:tcW w:w="120" w:type="dxa"/>
            <w:vAlign w:val="bottom"/>
            <w:shd w:val="clear" w:color="auto" w:fill="B8CCE4"/>
          </w:tcPr>
          <w:p>
            <w:pPr>
              <w:spacing w:after="0"/>
              <w:rPr>
                <w:sz w:val="14"/>
                <w:szCs w:val="14"/>
                <w:color w:val="auto"/>
              </w:rPr>
            </w:pPr>
          </w:p>
        </w:tc>
        <w:tc>
          <w:tcPr>
            <w:tcW w:w="1360" w:type="dxa"/>
            <w:vAlign w:val="bottom"/>
            <w:shd w:val="clear" w:color="auto" w:fill="B8CCE4"/>
          </w:tcPr>
          <w:p>
            <w:pPr>
              <w:spacing w:after="0"/>
              <w:rPr>
                <w:sz w:val="14"/>
                <w:szCs w:val="14"/>
                <w:color w:val="auto"/>
              </w:rPr>
            </w:pPr>
          </w:p>
        </w:tc>
        <w:tc>
          <w:tcPr>
            <w:tcW w:w="7640" w:type="dxa"/>
            <w:vAlign w:val="bottom"/>
            <w:gridSpan w:val="3"/>
            <w:shd w:val="clear" w:color="auto" w:fill="B8CCE4"/>
          </w:tcPr>
          <w:p>
            <w:pPr>
              <w:ind w:left="220"/>
              <w:spacing w:after="0"/>
              <w:rPr>
                <w:sz w:val="20"/>
                <w:szCs w:val="20"/>
                <w:color w:val="auto"/>
              </w:rPr>
            </w:pPr>
            <w:r>
              <w:rPr>
                <w:rFonts w:ascii="Arial" w:cs="Arial" w:eastAsia="Arial" w:hAnsi="Arial"/>
                <w:sz w:val="14"/>
                <w:szCs w:val="14"/>
                <w:color w:val="auto"/>
              </w:rPr>
              <w:t>the Company.</w:t>
            </w:r>
          </w:p>
        </w:tc>
      </w:tr>
    </w:tbl>
    <w:p>
      <w:pPr>
        <w:spacing w:after="0" w:line="167"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price used in determining the market values set forth in this table is $44.93, which was the closing price of our stock on December 31, 2015.</w:t>
      </w:r>
    </w:p>
    <w:p>
      <w:pPr>
        <w:spacing w:after="0" w:line="1" w:lineRule="exact"/>
        <w:rPr>
          <w:rFonts w:ascii="Arial" w:cs="Arial" w:eastAsia="Arial" w:hAnsi="Arial"/>
          <w:sz w:val="14"/>
          <w:szCs w:val="14"/>
          <w:color w:val="auto"/>
        </w:rPr>
      </w:pPr>
    </w:p>
    <w:p>
      <w:pPr>
        <w:ind w:left="660" w:right="520" w:hanging="328"/>
        <w:spacing w:after="0" w:line="258" w:lineRule="auto"/>
        <w:tabs>
          <w:tab w:leader="none" w:pos="66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amounts shown in this column reflect target performance with the exception of the 2014 Revenue-Linked PRSUs and the 2014 Relative TSR-Linked PRSUs. Amounts shown in this column for the 2014 Revenue-Linked PRSUs and the 2014 Relative TSR-Linked PRSUs reflect maximum performance.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Option Exercises and Stock Vested During Fiscal Year 2015</w:t>
      </w:r>
    </w:p>
    <w:p>
      <w:pPr>
        <w:spacing w:after="0" w:line="220" w:lineRule="exact"/>
        <w:rPr>
          <w:sz w:val="20"/>
          <w:szCs w:val="20"/>
          <w:color w:val="auto"/>
        </w:rPr>
      </w:pPr>
    </w:p>
    <w:p>
      <w:pPr>
        <w:ind w:right="80" w:firstLine="648"/>
        <w:spacing w:after="0" w:line="246" w:lineRule="auto"/>
        <w:rPr>
          <w:sz w:val="20"/>
          <w:szCs w:val="20"/>
          <w:color w:val="auto"/>
        </w:rPr>
      </w:pPr>
      <w:r>
        <w:rPr>
          <w:rFonts w:ascii="Arial" w:cs="Arial" w:eastAsia="Arial" w:hAnsi="Arial"/>
          <w:sz w:val="18"/>
          <w:szCs w:val="18"/>
          <w:color w:val="auto"/>
        </w:rPr>
        <w:t>The following table provides additional information about the value realized by our named executive officers on option award exercises and stock award vesting during fiscal year 2015:</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shd w:val="clear" w:color="auto" w:fill="5591C7"/>
          </w:tcPr>
          <w:p>
            <w:pPr>
              <w:spacing w:after="0"/>
              <w:rPr>
                <w:sz w:val="18"/>
                <w:szCs w:val="18"/>
                <w:color w:val="auto"/>
              </w:rPr>
            </w:pPr>
          </w:p>
        </w:tc>
        <w:tc>
          <w:tcPr>
            <w:tcW w:w="240" w:type="dxa"/>
            <w:vAlign w:val="bottom"/>
            <w:shd w:val="clear" w:color="auto" w:fill="5591C7"/>
          </w:tcPr>
          <w:p>
            <w:pPr>
              <w:spacing w:after="0"/>
              <w:rPr>
                <w:sz w:val="18"/>
                <w:szCs w:val="18"/>
                <w:color w:val="auto"/>
              </w:rPr>
            </w:pPr>
          </w:p>
        </w:tc>
        <w:tc>
          <w:tcPr>
            <w:tcW w:w="3880" w:type="dxa"/>
            <w:vAlign w:val="bottom"/>
            <w:gridSpan w:val="4"/>
            <w:shd w:val="clear" w:color="auto" w:fill="5591C7"/>
          </w:tcPr>
          <w:p>
            <w:pPr>
              <w:ind w:left="1320"/>
              <w:spacing w:after="0"/>
              <w:rPr>
                <w:sz w:val="20"/>
                <w:szCs w:val="20"/>
                <w:color w:val="auto"/>
              </w:rPr>
            </w:pPr>
            <w:r>
              <w:rPr>
                <w:rFonts w:ascii="Arial" w:cs="Arial" w:eastAsia="Arial" w:hAnsi="Arial"/>
                <w:sz w:val="14"/>
                <w:szCs w:val="14"/>
                <w:b w:val="1"/>
                <w:bCs w:val="1"/>
                <w:color w:val="auto"/>
              </w:rPr>
              <w:t>Option Awards</w:t>
            </w:r>
          </w:p>
        </w:tc>
        <w:tc>
          <w:tcPr>
            <w:tcW w:w="3640" w:type="dxa"/>
            <w:vAlign w:val="bottom"/>
            <w:gridSpan w:val="3"/>
            <w:shd w:val="clear" w:color="auto" w:fill="5591C7"/>
          </w:tcPr>
          <w:p>
            <w:pPr>
              <w:jc w:val="right"/>
              <w:ind w:right="1252"/>
              <w:spacing w:after="0"/>
              <w:rPr>
                <w:sz w:val="20"/>
                <w:szCs w:val="20"/>
                <w:color w:val="auto"/>
              </w:rPr>
            </w:pPr>
            <w:r>
              <w:rPr>
                <w:rFonts w:ascii="Arial" w:cs="Arial" w:eastAsia="Arial" w:hAnsi="Arial"/>
                <w:sz w:val="14"/>
                <w:szCs w:val="14"/>
                <w:b w:val="1"/>
                <w:bCs w:val="1"/>
                <w:color w:val="auto"/>
              </w:rPr>
              <w:t>Stock Awards</w:t>
            </w:r>
          </w:p>
        </w:tc>
      </w:tr>
      <w:tr>
        <w:trPr>
          <w:trHeight w:val="142"/>
        </w:trPr>
        <w:tc>
          <w:tcPr>
            <w:tcW w:w="3660" w:type="dxa"/>
            <w:vAlign w:val="bottom"/>
            <w:tcBorders>
              <w:top w:val="single" w:sz="8" w:color="5591C7"/>
            </w:tcBorders>
            <w:shd w:val="clear" w:color="auto" w:fill="5591C7"/>
          </w:tcPr>
          <w:p>
            <w:pPr>
              <w:spacing w:after="0"/>
              <w:rPr>
                <w:sz w:val="12"/>
                <w:szCs w:val="12"/>
                <w:color w:val="auto"/>
              </w:rPr>
            </w:pPr>
          </w:p>
        </w:tc>
        <w:tc>
          <w:tcPr>
            <w:tcW w:w="240" w:type="dxa"/>
            <w:vAlign w:val="bottom"/>
            <w:tcBorders>
              <w:top w:val="single" w:sz="8" w:color="5591C7"/>
            </w:tcBorders>
            <w:shd w:val="clear" w:color="auto" w:fill="5591C7"/>
          </w:tcPr>
          <w:p>
            <w:pPr>
              <w:spacing w:after="0"/>
              <w:rPr>
                <w:sz w:val="12"/>
                <w:szCs w:val="12"/>
                <w:color w:val="auto"/>
              </w:rPr>
            </w:pPr>
          </w:p>
        </w:tc>
        <w:tc>
          <w:tcPr>
            <w:tcW w:w="1940" w:type="dxa"/>
            <w:vAlign w:val="bottom"/>
            <w:tcBorders>
              <w:top w:val="single" w:sz="8" w:color="auto"/>
            </w:tcBorders>
            <w:gridSpan w:val="2"/>
            <w:shd w:val="clear" w:color="auto" w:fill="5591C7"/>
          </w:tcPr>
          <w:p>
            <w:pPr>
              <w:jc w:val="center"/>
              <w:ind w:right="260"/>
              <w:spacing w:after="0" w:line="143" w:lineRule="exact"/>
              <w:rPr>
                <w:sz w:val="20"/>
                <w:szCs w:val="20"/>
                <w:color w:val="auto"/>
              </w:rPr>
            </w:pPr>
            <w:r>
              <w:rPr>
                <w:rFonts w:ascii="Arial" w:cs="Arial" w:eastAsia="Arial" w:hAnsi="Arial"/>
                <w:sz w:val="14"/>
                <w:szCs w:val="14"/>
                <w:b w:val="1"/>
                <w:bCs w:val="1"/>
                <w:color w:val="auto"/>
              </w:rPr>
              <w:t>Number of Shares</w:t>
            </w:r>
          </w:p>
        </w:tc>
        <w:tc>
          <w:tcPr>
            <w:tcW w:w="1720" w:type="dxa"/>
            <w:vAlign w:val="bottom"/>
            <w:tcBorders>
              <w:top w:val="single" w:sz="8" w:color="auto"/>
            </w:tcBorders>
            <w:shd w:val="clear" w:color="auto" w:fill="5591C7"/>
          </w:tcPr>
          <w:p>
            <w:pPr>
              <w:jc w:val="center"/>
              <w:spacing w:after="0" w:line="143" w:lineRule="exact"/>
              <w:rPr>
                <w:sz w:val="20"/>
                <w:szCs w:val="20"/>
                <w:color w:val="auto"/>
              </w:rPr>
            </w:pPr>
            <w:r>
              <w:rPr>
                <w:rFonts w:ascii="Arial" w:cs="Arial" w:eastAsia="Arial" w:hAnsi="Arial"/>
                <w:sz w:val="14"/>
                <w:szCs w:val="14"/>
                <w:b w:val="1"/>
                <w:bCs w:val="1"/>
                <w:color w:val="auto"/>
              </w:rPr>
              <w:t>Value Realized</w:t>
            </w:r>
          </w:p>
        </w:tc>
        <w:tc>
          <w:tcPr>
            <w:tcW w:w="220" w:type="dxa"/>
            <w:vAlign w:val="bottom"/>
            <w:tcBorders>
              <w:top w:val="single" w:sz="8" w:color="5591C7"/>
            </w:tcBorders>
            <w:shd w:val="clear" w:color="auto" w:fill="5591C7"/>
          </w:tcPr>
          <w:p>
            <w:pPr>
              <w:spacing w:after="0"/>
              <w:rPr>
                <w:sz w:val="12"/>
                <w:szCs w:val="12"/>
                <w:color w:val="auto"/>
              </w:rPr>
            </w:pPr>
          </w:p>
        </w:tc>
        <w:tc>
          <w:tcPr>
            <w:tcW w:w="1940" w:type="dxa"/>
            <w:vAlign w:val="bottom"/>
            <w:tcBorders>
              <w:top w:val="single" w:sz="8" w:color="auto"/>
            </w:tcBorders>
            <w:gridSpan w:val="2"/>
            <w:shd w:val="clear" w:color="auto" w:fill="5591C7"/>
          </w:tcPr>
          <w:p>
            <w:pPr>
              <w:jc w:val="center"/>
              <w:ind w:right="260"/>
              <w:spacing w:after="0" w:line="143" w:lineRule="exact"/>
              <w:rPr>
                <w:sz w:val="20"/>
                <w:szCs w:val="20"/>
                <w:color w:val="auto"/>
              </w:rPr>
            </w:pPr>
            <w:r>
              <w:rPr>
                <w:rFonts w:ascii="Arial" w:cs="Arial" w:eastAsia="Arial" w:hAnsi="Arial"/>
                <w:sz w:val="14"/>
                <w:szCs w:val="14"/>
                <w:b w:val="1"/>
                <w:bCs w:val="1"/>
                <w:color w:val="auto"/>
              </w:rPr>
              <w:t>Number of Shares</w:t>
            </w:r>
          </w:p>
        </w:tc>
        <w:tc>
          <w:tcPr>
            <w:tcW w:w="1700" w:type="dxa"/>
            <w:vAlign w:val="bottom"/>
            <w:tcBorders>
              <w:top w:val="single" w:sz="8" w:color="auto"/>
            </w:tcBorders>
            <w:shd w:val="clear" w:color="auto" w:fill="5591C7"/>
          </w:tcPr>
          <w:p>
            <w:pPr>
              <w:jc w:val="center"/>
              <w:spacing w:after="0" w:line="143" w:lineRule="exact"/>
              <w:rPr>
                <w:sz w:val="20"/>
                <w:szCs w:val="20"/>
                <w:color w:val="auto"/>
              </w:rPr>
            </w:pPr>
            <w:r>
              <w:rPr>
                <w:rFonts w:ascii="Arial" w:cs="Arial" w:eastAsia="Arial" w:hAnsi="Arial"/>
                <w:sz w:val="14"/>
                <w:szCs w:val="14"/>
                <w:b w:val="1"/>
                <w:bCs w:val="1"/>
                <w:color w:val="auto"/>
              </w:rPr>
              <w:t>Value Realized</w:t>
            </w:r>
          </w:p>
        </w:tc>
      </w:tr>
      <w:tr>
        <w:trPr>
          <w:trHeight w:val="162"/>
        </w:trPr>
        <w:tc>
          <w:tcPr>
            <w:tcW w:w="3660" w:type="dxa"/>
            <w:vAlign w:val="bottom"/>
            <w:shd w:val="clear" w:color="auto" w:fill="5591C7"/>
          </w:tcPr>
          <w:p>
            <w:pPr>
              <w:spacing w:after="0"/>
              <w:rPr>
                <w:sz w:val="14"/>
                <w:szCs w:val="14"/>
                <w:color w:val="auto"/>
              </w:rPr>
            </w:pPr>
          </w:p>
        </w:tc>
        <w:tc>
          <w:tcPr>
            <w:tcW w:w="240" w:type="dxa"/>
            <w:vAlign w:val="bottom"/>
            <w:shd w:val="clear" w:color="auto" w:fill="5591C7"/>
          </w:tcPr>
          <w:p>
            <w:pPr>
              <w:spacing w:after="0"/>
              <w:rPr>
                <w:sz w:val="14"/>
                <w:szCs w:val="14"/>
                <w:color w:val="auto"/>
              </w:rPr>
            </w:pPr>
          </w:p>
        </w:tc>
        <w:tc>
          <w:tcPr>
            <w:tcW w:w="1940" w:type="dxa"/>
            <w:vAlign w:val="bottom"/>
            <w:gridSpan w:val="2"/>
            <w:shd w:val="clear" w:color="auto" w:fill="5591C7"/>
          </w:tcPr>
          <w:p>
            <w:pPr>
              <w:jc w:val="center"/>
              <w:ind w:right="220"/>
              <w:spacing w:after="0"/>
              <w:rPr>
                <w:sz w:val="20"/>
                <w:szCs w:val="20"/>
                <w:color w:val="auto"/>
              </w:rPr>
            </w:pPr>
            <w:r>
              <w:rPr>
                <w:rFonts w:ascii="Arial" w:cs="Arial" w:eastAsia="Arial" w:hAnsi="Arial"/>
                <w:sz w:val="14"/>
                <w:szCs w:val="14"/>
                <w:b w:val="1"/>
                <w:bCs w:val="1"/>
                <w:color w:val="auto"/>
              </w:rPr>
              <w:t>Acquired on Exercise</w:t>
            </w:r>
          </w:p>
        </w:tc>
        <w:tc>
          <w:tcPr>
            <w:tcW w:w="1940" w:type="dxa"/>
            <w:vAlign w:val="bottom"/>
            <w:gridSpan w:val="2"/>
            <w:shd w:val="clear" w:color="auto" w:fill="5591C7"/>
          </w:tcPr>
          <w:p>
            <w:pPr>
              <w:jc w:val="center"/>
              <w:ind w:right="220"/>
              <w:spacing w:after="0"/>
              <w:rPr>
                <w:sz w:val="20"/>
                <w:szCs w:val="20"/>
                <w:color w:val="auto"/>
              </w:rPr>
            </w:pPr>
            <w:r>
              <w:rPr>
                <w:rFonts w:ascii="Arial" w:cs="Arial" w:eastAsia="Arial" w:hAnsi="Arial"/>
                <w:sz w:val="14"/>
                <w:szCs w:val="14"/>
                <w:b w:val="1"/>
                <w:bCs w:val="1"/>
                <w:color w:val="auto"/>
              </w:rPr>
              <w:t>on Exercise</w:t>
            </w:r>
          </w:p>
        </w:tc>
        <w:tc>
          <w:tcPr>
            <w:tcW w:w="1940" w:type="dxa"/>
            <w:vAlign w:val="bottom"/>
            <w:gridSpan w:val="2"/>
            <w:shd w:val="clear" w:color="auto" w:fill="5591C7"/>
          </w:tcPr>
          <w:p>
            <w:pPr>
              <w:jc w:val="center"/>
              <w:ind w:right="220"/>
              <w:spacing w:after="0"/>
              <w:rPr>
                <w:sz w:val="20"/>
                <w:szCs w:val="20"/>
                <w:color w:val="auto"/>
              </w:rPr>
            </w:pPr>
            <w:r>
              <w:rPr>
                <w:rFonts w:ascii="Arial" w:cs="Arial" w:eastAsia="Arial" w:hAnsi="Arial"/>
                <w:sz w:val="14"/>
                <w:szCs w:val="14"/>
                <w:b w:val="1"/>
                <w:bCs w:val="1"/>
                <w:color w:val="auto"/>
              </w:rPr>
              <w:t>Acquired on Vesting</w:t>
            </w:r>
          </w:p>
        </w:tc>
        <w:tc>
          <w:tcPr>
            <w:tcW w:w="170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on Vesting</w:t>
            </w:r>
          </w:p>
        </w:tc>
      </w:tr>
      <w:tr>
        <w:trPr>
          <w:trHeight w:val="175"/>
        </w:trPr>
        <w:tc>
          <w:tcPr>
            <w:tcW w:w="3660" w:type="dxa"/>
            <w:vAlign w:val="bottom"/>
            <w:shd w:val="clear" w:color="auto" w:fill="5591C7"/>
          </w:tcPr>
          <w:p>
            <w:pPr>
              <w:ind w:left="1640"/>
              <w:spacing w:after="0"/>
              <w:rPr>
                <w:sz w:val="20"/>
                <w:szCs w:val="20"/>
                <w:color w:val="auto"/>
              </w:rPr>
            </w:pPr>
            <w:r>
              <w:rPr>
                <w:rFonts w:ascii="Arial" w:cs="Arial" w:eastAsia="Arial" w:hAnsi="Arial"/>
                <w:sz w:val="14"/>
                <w:szCs w:val="14"/>
                <w:b w:val="1"/>
                <w:bCs w:val="1"/>
                <w:color w:val="auto"/>
              </w:rPr>
              <w:t>Name</w:t>
            </w:r>
          </w:p>
        </w:tc>
        <w:tc>
          <w:tcPr>
            <w:tcW w:w="1960" w:type="dxa"/>
            <w:vAlign w:val="bottom"/>
            <w:gridSpan w:val="2"/>
            <w:shd w:val="clear" w:color="auto" w:fill="5591C7"/>
          </w:tcPr>
          <w:p>
            <w:pPr>
              <w:jc w:val="center"/>
              <w:ind w:left="132"/>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5591C7"/>
          </w:tcPr>
          <w:p>
            <w:pPr>
              <w:spacing w:after="0"/>
              <w:rPr>
                <w:sz w:val="15"/>
                <w:szCs w:val="15"/>
                <w:color w:val="auto"/>
              </w:rPr>
            </w:pPr>
          </w:p>
        </w:tc>
        <w:tc>
          <w:tcPr>
            <w:tcW w:w="172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shd w:val="clear" w:color="auto" w:fill="5591C7"/>
          </w:tcPr>
          <w:p>
            <w:pPr>
              <w:spacing w:after="0"/>
              <w:rPr>
                <w:sz w:val="15"/>
                <w:szCs w:val="15"/>
                <w:color w:val="auto"/>
              </w:rPr>
            </w:pPr>
          </w:p>
        </w:tc>
        <w:tc>
          <w:tcPr>
            <w:tcW w:w="172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5591C7"/>
          </w:tcPr>
          <w:p>
            <w:pPr>
              <w:spacing w:after="0"/>
              <w:rPr>
                <w:sz w:val="15"/>
                <w:szCs w:val="15"/>
                <w:color w:val="auto"/>
              </w:rPr>
            </w:pPr>
          </w:p>
        </w:tc>
        <w:tc>
          <w:tcPr>
            <w:tcW w:w="170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w:t>
            </w:r>
          </w:p>
        </w:tc>
      </w:tr>
      <w:tr>
        <w:trPr>
          <w:trHeight w:val="195"/>
        </w:trPr>
        <w:tc>
          <w:tcPr>
            <w:tcW w:w="3660" w:type="dxa"/>
            <w:vAlign w:val="bottom"/>
            <w:tcBorders>
              <w:top w:val="single" w:sz="8" w:color="auto"/>
            </w:tcBorders>
            <w:shd w:val="clear" w:color="auto" w:fill="C6D9F1"/>
          </w:tcPr>
          <w:p>
            <w:pPr>
              <w:spacing w:after="0" w:line="195" w:lineRule="exact"/>
              <w:rPr>
                <w:sz w:val="20"/>
                <w:szCs w:val="20"/>
                <w:color w:val="auto"/>
              </w:rPr>
            </w:pPr>
            <w:r>
              <w:rPr>
                <w:rFonts w:ascii="Arial" w:cs="Arial" w:eastAsia="Arial" w:hAnsi="Arial"/>
                <w:sz w:val="18"/>
                <w:szCs w:val="18"/>
                <w:color w:val="auto"/>
              </w:rPr>
              <w:t>Rohit Kapoor</w:t>
            </w:r>
          </w:p>
        </w:tc>
        <w:tc>
          <w:tcPr>
            <w:tcW w:w="240" w:type="dxa"/>
            <w:vAlign w:val="bottom"/>
            <w:tcBorders>
              <w:top w:val="single" w:sz="8" w:color="C6D9F1"/>
            </w:tcBorders>
            <w:shd w:val="clear" w:color="auto" w:fill="C6D9F1"/>
          </w:tcPr>
          <w:p>
            <w:pPr>
              <w:spacing w:after="0"/>
              <w:rPr>
                <w:sz w:val="16"/>
                <w:szCs w:val="16"/>
                <w:color w:val="auto"/>
              </w:rPr>
            </w:pPr>
          </w:p>
        </w:tc>
        <w:tc>
          <w:tcPr>
            <w:tcW w:w="1720" w:type="dxa"/>
            <w:vAlign w:val="bottom"/>
            <w:tcBorders>
              <w:top w:val="single" w:sz="8" w:color="auto"/>
            </w:tcBorders>
            <w:shd w:val="clear" w:color="auto" w:fill="C6D9F1"/>
          </w:tcPr>
          <w:p>
            <w:pPr>
              <w:jc w:val="right"/>
              <w:spacing w:after="0" w:line="195"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6D9F1"/>
            </w:tcBorders>
            <w:shd w:val="clear" w:color="auto" w:fill="C6D9F1"/>
          </w:tcPr>
          <w:p>
            <w:pPr>
              <w:spacing w:after="0"/>
              <w:rPr>
                <w:sz w:val="16"/>
                <w:szCs w:val="16"/>
                <w:color w:val="auto"/>
              </w:rPr>
            </w:pPr>
          </w:p>
        </w:tc>
        <w:tc>
          <w:tcPr>
            <w:tcW w:w="1720" w:type="dxa"/>
            <w:vAlign w:val="bottom"/>
            <w:tcBorders>
              <w:top w:val="single" w:sz="8" w:color="auto"/>
            </w:tcBorders>
            <w:shd w:val="clear" w:color="auto" w:fill="C6D9F1"/>
          </w:tcPr>
          <w:p>
            <w:pPr>
              <w:jc w:val="right"/>
              <w:spacing w:after="0" w:line="195"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6D9F1"/>
            </w:tcBorders>
            <w:shd w:val="clear" w:color="auto" w:fill="C6D9F1"/>
          </w:tcPr>
          <w:p>
            <w:pPr>
              <w:spacing w:after="0"/>
              <w:rPr>
                <w:sz w:val="16"/>
                <w:szCs w:val="16"/>
                <w:color w:val="auto"/>
              </w:rPr>
            </w:pPr>
          </w:p>
        </w:tc>
        <w:tc>
          <w:tcPr>
            <w:tcW w:w="1720" w:type="dxa"/>
            <w:vAlign w:val="bottom"/>
            <w:tcBorders>
              <w:top w:val="single" w:sz="8" w:color="auto"/>
            </w:tcBorders>
            <w:shd w:val="clear" w:color="auto" w:fill="C6D9F1"/>
          </w:tcPr>
          <w:p>
            <w:pPr>
              <w:jc w:val="right"/>
              <w:spacing w:after="0" w:line="195" w:lineRule="exact"/>
              <w:rPr>
                <w:sz w:val="20"/>
                <w:szCs w:val="20"/>
                <w:color w:val="auto"/>
              </w:rPr>
            </w:pPr>
            <w:r>
              <w:rPr>
                <w:rFonts w:ascii="Arial" w:cs="Arial" w:eastAsia="Arial" w:hAnsi="Arial"/>
                <w:sz w:val="18"/>
                <w:szCs w:val="18"/>
                <w:color w:val="auto"/>
              </w:rPr>
              <w:t>9,375</w:t>
            </w:r>
          </w:p>
        </w:tc>
        <w:tc>
          <w:tcPr>
            <w:tcW w:w="220" w:type="dxa"/>
            <w:vAlign w:val="bottom"/>
            <w:tcBorders>
              <w:top w:val="single" w:sz="8" w:color="C6D9F1"/>
            </w:tcBorders>
            <w:shd w:val="clear" w:color="auto" w:fill="C6D9F1"/>
          </w:tcPr>
          <w:p>
            <w:pPr>
              <w:spacing w:after="0"/>
              <w:rPr>
                <w:sz w:val="16"/>
                <w:szCs w:val="16"/>
                <w:color w:val="auto"/>
              </w:rPr>
            </w:pPr>
          </w:p>
        </w:tc>
        <w:tc>
          <w:tcPr>
            <w:tcW w:w="1700" w:type="dxa"/>
            <w:vAlign w:val="bottom"/>
            <w:tcBorders>
              <w:top w:val="single" w:sz="8" w:color="auto"/>
            </w:tcBorders>
            <w:shd w:val="clear" w:color="auto" w:fill="C6D9F1"/>
          </w:tcPr>
          <w:p>
            <w:pPr>
              <w:jc w:val="right"/>
              <w:spacing w:after="0" w:line="195" w:lineRule="exact"/>
              <w:rPr>
                <w:sz w:val="20"/>
                <w:szCs w:val="20"/>
                <w:color w:val="auto"/>
              </w:rPr>
            </w:pPr>
            <w:r>
              <w:rPr>
                <w:rFonts w:ascii="Arial" w:cs="Arial" w:eastAsia="Arial" w:hAnsi="Arial"/>
                <w:sz w:val="18"/>
                <w:szCs w:val="18"/>
                <w:color w:val="auto"/>
              </w:rPr>
              <w:t>277,008</w:t>
            </w:r>
          </w:p>
        </w:tc>
      </w:tr>
      <w:tr>
        <w:trPr>
          <w:trHeight w:val="203"/>
        </w:trPr>
        <w:tc>
          <w:tcPr>
            <w:tcW w:w="3660" w:type="dxa"/>
            <w:vAlign w:val="bottom"/>
            <w:shd w:val="clear" w:color="auto" w:fill="C6D9F1"/>
          </w:tcPr>
          <w:p>
            <w:pPr>
              <w:spacing w:after="0"/>
              <w:rPr>
                <w:sz w:val="17"/>
                <w:szCs w:val="17"/>
                <w:color w:val="auto"/>
              </w:rPr>
            </w:pPr>
          </w:p>
        </w:tc>
        <w:tc>
          <w:tcPr>
            <w:tcW w:w="240" w:type="dxa"/>
            <w:vAlign w:val="bottom"/>
            <w:shd w:val="clear" w:color="auto" w:fill="C6D9F1"/>
          </w:tcPr>
          <w:p>
            <w:pPr>
              <w:spacing w:after="0"/>
              <w:rPr>
                <w:sz w:val="17"/>
                <w:szCs w:val="17"/>
                <w:color w:val="auto"/>
              </w:rPr>
            </w:pPr>
          </w:p>
        </w:tc>
        <w:tc>
          <w:tcPr>
            <w:tcW w:w="1720" w:type="dxa"/>
            <w:vAlign w:val="bottom"/>
            <w:shd w:val="clear" w:color="auto" w:fill="C6D9F1"/>
          </w:tcPr>
          <w:p>
            <w:pPr>
              <w:spacing w:after="0"/>
              <w:rPr>
                <w:sz w:val="17"/>
                <w:szCs w:val="17"/>
                <w:color w:val="auto"/>
              </w:rPr>
            </w:pPr>
          </w:p>
        </w:tc>
        <w:tc>
          <w:tcPr>
            <w:tcW w:w="220" w:type="dxa"/>
            <w:vAlign w:val="bottom"/>
            <w:shd w:val="clear" w:color="auto" w:fill="C6D9F1"/>
          </w:tcPr>
          <w:p>
            <w:pPr>
              <w:spacing w:after="0"/>
              <w:rPr>
                <w:sz w:val="17"/>
                <w:szCs w:val="17"/>
                <w:color w:val="auto"/>
              </w:rPr>
            </w:pPr>
          </w:p>
        </w:tc>
        <w:tc>
          <w:tcPr>
            <w:tcW w:w="1720" w:type="dxa"/>
            <w:vAlign w:val="bottom"/>
            <w:shd w:val="clear" w:color="auto" w:fill="C6D9F1"/>
          </w:tcPr>
          <w:p>
            <w:pPr>
              <w:spacing w:after="0"/>
              <w:rPr>
                <w:sz w:val="17"/>
                <w:szCs w:val="17"/>
                <w:color w:val="auto"/>
              </w:rPr>
            </w:pPr>
          </w:p>
        </w:tc>
        <w:tc>
          <w:tcPr>
            <w:tcW w:w="220" w:type="dxa"/>
            <w:vAlign w:val="bottom"/>
            <w:shd w:val="clear" w:color="auto" w:fill="C6D9F1"/>
          </w:tcPr>
          <w:p>
            <w:pPr>
              <w:spacing w:after="0"/>
              <w:rPr>
                <w:sz w:val="17"/>
                <w:szCs w:val="17"/>
                <w:color w:val="auto"/>
              </w:rPr>
            </w:pPr>
          </w:p>
        </w:tc>
        <w:tc>
          <w:tcPr>
            <w:tcW w:w="1940" w:type="dxa"/>
            <w:vAlign w:val="bottom"/>
            <w:gridSpan w:val="2"/>
            <w:shd w:val="clear" w:color="auto" w:fill="C6D9F1"/>
          </w:tcPr>
          <w:p>
            <w:pPr>
              <w:jc w:val="right"/>
              <w:ind w:right="220"/>
              <w:spacing w:after="0" w:line="202" w:lineRule="exact"/>
              <w:rPr>
                <w:sz w:val="20"/>
                <w:szCs w:val="20"/>
                <w:color w:val="auto"/>
              </w:rPr>
            </w:pPr>
            <w:r>
              <w:rPr>
                <w:rFonts w:ascii="Arial" w:cs="Arial" w:eastAsia="Arial" w:hAnsi="Arial"/>
                <w:sz w:val="18"/>
                <w:szCs w:val="18"/>
                <w:color w:val="auto"/>
              </w:rPr>
              <w:t>9,375</w:t>
            </w:r>
          </w:p>
        </w:tc>
        <w:tc>
          <w:tcPr>
            <w:tcW w:w="1700" w:type="dxa"/>
            <w:vAlign w:val="bottom"/>
            <w:shd w:val="clear" w:color="auto" w:fill="C6D9F1"/>
          </w:tcPr>
          <w:p>
            <w:pPr>
              <w:jc w:val="right"/>
              <w:spacing w:after="0" w:line="202" w:lineRule="exact"/>
              <w:rPr>
                <w:sz w:val="20"/>
                <w:szCs w:val="20"/>
                <w:color w:val="auto"/>
              </w:rPr>
            </w:pPr>
            <w:r>
              <w:rPr>
                <w:rFonts w:ascii="Arial" w:cs="Arial" w:eastAsia="Arial" w:hAnsi="Arial"/>
                <w:sz w:val="18"/>
                <w:szCs w:val="18"/>
                <w:color w:val="auto"/>
              </w:rPr>
              <w:t>293,438</w:t>
            </w:r>
          </w:p>
        </w:tc>
      </w:tr>
      <w:tr>
        <w:trPr>
          <w:trHeight w:val="203"/>
        </w:trPr>
        <w:tc>
          <w:tcPr>
            <w:tcW w:w="3660" w:type="dxa"/>
            <w:vAlign w:val="bottom"/>
            <w:shd w:val="clear" w:color="auto" w:fill="C6D9F1"/>
          </w:tcPr>
          <w:p>
            <w:pPr>
              <w:spacing w:after="0"/>
              <w:rPr>
                <w:sz w:val="17"/>
                <w:szCs w:val="17"/>
                <w:color w:val="auto"/>
              </w:rPr>
            </w:pPr>
          </w:p>
        </w:tc>
        <w:tc>
          <w:tcPr>
            <w:tcW w:w="240" w:type="dxa"/>
            <w:vAlign w:val="bottom"/>
            <w:shd w:val="clear" w:color="auto" w:fill="C6D9F1"/>
          </w:tcPr>
          <w:p>
            <w:pPr>
              <w:spacing w:after="0"/>
              <w:rPr>
                <w:sz w:val="17"/>
                <w:szCs w:val="17"/>
                <w:color w:val="auto"/>
              </w:rPr>
            </w:pPr>
          </w:p>
        </w:tc>
        <w:tc>
          <w:tcPr>
            <w:tcW w:w="1720" w:type="dxa"/>
            <w:vAlign w:val="bottom"/>
            <w:shd w:val="clear" w:color="auto" w:fill="C6D9F1"/>
          </w:tcPr>
          <w:p>
            <w:pPr>
              <w:spacing w:after="0"/>
              <w:rPr>
                <w:sz w:val="17"/>
                <w:szCs w:val="17"/>
                <w:color w:val="auto"/>
              </w:rPr>
            </w:pPr>
          </w:p>
        </w:tc>
        <w:tc>
          <w:tcPr>
            <w:tcW w:w="220" w:type="dxa"/>
            <w:vAlign w:val="bottom"/>
            <w:shd w:val="clear" w:color="auto" w:fill="C6D9F1"/>
          </w:tcPr>
          <w:p>
            <w:pPr>
              <w:spacing w:after="0"/>
              <w:rPr>
                <w:sz w:val="17"/>
                <w:szCs w:val="17"/>
                <w:color w:val="auto"/>
              </w:rPr>
            </w:pPr>
          </w:p>
        </w:tc>
        <w:tc>
          <w:tcPr>
            <w:tcW w:w="1720" w:type="dxa"/>
            <w:vAlign w:val="bottom"/>
            <w:shd w:val="clear" w:color="auto" w:fill="C6D9F1"/>
          </w:tcPr>
          <w:p>
            <w:pPr>
              <w:spacing w:after="0"/>
              <w:rPr>
                <w:sz w:val="17"/>
                <w:szCs w:val="17"/>
                <w:color w:val="auto"/>
              </w:rPr>
            </w:pPr>
          </w:p>
        </w:tc>
        <w:tc>
          <w:tcPr>
            <w:tcW w:w="220" w:type="dxa"/>
            <w:vAlign w:val="bottom"/>
            <w:shd w:val="clear" w:color="auto" w:fill="C6D9F1"/>
          </w:tcPr>
          <w:p>
            <w:pPr>
              <w:spacing w:after="0"/>
              <w:rPr>
                <w:sz w:val="17"/>
                <w:szCs w:val="17"/>
                <w:color w:val="auto"/>
              </w:rPr>
            </w:pPr>
          </w:p>
        </w:tc>
        <w:tc>
          <w:tcPr>
            <w:tcW w:w="1940" w:type="dxa"/>
            <w:vAlign w:val="bottom"/>
            <w:gridSpan w:val="2"/>
            <w:shd w:val="clear" w:color="auto" w:fill="C6D9F1"/>
          </w:tcPr>
          <w:p>
            <w:pPr>
              <w:jc w:val="right"/>
              <w:ind w:right="220"/>
              <w:spacing w:after="0" w:line="202" w:lineRule="exact"/>
              <w:rPr>
                <w:sz w:val="20"/>
                <w:szCs w:val="20"/>
                <w:color w:val="auto"/>
              </w:rPr>
            </w:pPr>
            <w:r>
              <w:rPr>
                <w:rFonts w:ascii="Arial" w:cs="Arial" w:eastAsia="Arial" w:hAnsi="Arial"/>
                <w:sz w:val="18"/>
                <w:szCs w:val="18"/>
                <w:color w:val="auto"/>
              </w:rPr>
              <w:t>1,244</w:t>
            </w:r>
          </w:p>
        </w:tc>
        <w:tc>
          <w:tcPr>
            <w:tcW w:w="1700" w:type="dxa"/>
            <w:vAlign w:val="bottom"/>
            <w:shd w:val="clear" w:color="auto" w:fill="C6D9F1"/>
          </w:tcPr>
          <w:p>
            <w:pPr>
              <w:jc w:val="right"/>
              <w:spacing w:after="0" w:line="202" w:lineRule="exact"/>
              <w:rPr>
                <w:sz w:val="20"/>
                <w:szCs w:val="20"/>
                <w:color w:val="auto"/>
              </w:rPr>
            </w:pPr>
            <w:r>
              <w:rPr>
                <w:rFonts w:ascii="Arial" w:cs="Arial" w:eastAsia="Arial" w:hAnsi="Arial"/>
                <w:sz w:val="18"/>
                <w:szCs w:val="18"/>
                <w:color w:val="auto"/>
              </w:rPr>
              <w:t>38,937</w:t>
            </w:r>
          </w:p>
        </w:tc>
      </w:tr>
      <w:tr>
        <w:trPr>
          <w:trHeight w:val="203"/>
        </w:trPr>
        <w:tc>
          <w:tcPr>
            <w:tcW w:w="3660" w:type="dxa"/>
            <w:vAlign w:val="bottom"/>
            <w:shd w:val="clear" w:color="auto" w:fill="C6D9F1"/>
          </w:tcPr>
          <w:p>
            <w:pPr>
              <w:spacing w:after="0"/>
              <w:rPr>
                <w:sz w:val="17"/>
                <w:szCs w:val="17"/>
                <w:color w:val="auto"/>
              </w:rPr>
            </w:pPr>
          </w:p>
        </w:tc>
        <w:tc>
          <w:tcPr>
            <w:tcW w:w="240" w:type="dxa"/>
            <w:vAlign w:val="bottom"/>
            <w:shd w:val="clear" w:color="auto" w:fill="C6D9F1"/>
          </w:tcPr>
          <w:p>
            <w:pPr>
              <w:spacing w:after="0"/>
              <w:rPr>
                <w:sz w:val="17"/>
                <w:szCs w:val="17"/>
                <w:color w:val="auto"/>
              </w:rPr>
            </w:pPr>
          </w:p>
        </w:tc>
        <w:tc>
          <w:tcPr>
            <w:tcW w:w="1720" w:type="dxa"/>
            <w:vAlign w:val="bottom"/>
            <w:shd w:val="clear" w:color="auto" w:fill="C6D9F1"/>
          </w:tcPr>
          <w:p>
            <w:pPr>
              <w:spacing w:after="0"/>
              <w:rPr>
                <w:sz w:val="17"/>
                <w:szCs w:val="17"/>
                <w:color w:val="auto"/>
              </w:rPr>
            </w:pPr>
          </w:p>
        </w:tc>
        <w:tc>
          <w:tcPr>
            <w:tcW w:w="220" w:type="dxa"/>
            <w:vAlign w:val="bottom"/>
            <w:shd w:val="clear" w:color="auto" w:fill="C6D9F1"/>
          </w:tcPr>
          <w:p>
            <w:pPr>
              <w:spacing w:after="0"/>
              <w:rPr>
                <w:sz w:val="17"/>
                <w:szCs w:val="17"/>
                <w:color w:val="auto"/>
              </w:rPr>
            </w:pPr>
          </w:p>
        </w:tc>
        <w:tc>
          <w:tcPr>
            <w:tcW w:w="1720" w:type="dxa"/>
            <w:vAlign w:val="bottom"/>
            <w:shd w:val="clear" w:color="auto" w:fill="C6D9F1"/>
          </w:tcPr>
          <w:p>
            <w:pPr>
              <w:spacing w:after="0"/>
              <w:rPr>
                <w:sz w:val="17"/>
                <w:szCs w:val="17"/>
                <w:color w:val="auto"/>
              </w:rPr>
            </w:pPr>
          </w:p>
        </w:tc>
        <w:tc>
          <w:tcPr>
            <w:tcW w:w="220" w:type="dxa"/>
            <w:vAlign w:val="bottom"/>
            <w:shd w:val="clear" w:color="auto" w:fill="C6D9F1"/>
          </w:tcPr>
          <w:p>
            <w:pPr>
              <w:spacing w:after="0"/>
              <w:rPr>
                <w:sz w:val="17"/>
                <w:szCs w:val="17"/>
                <w:color w:val="auto"/>
              </w:rPr>
            </w:pPr>
          </w:p>
        </w:tc>
        <w:tc>
          <w:tcPr>
            <w:tcW w:w="1720" w:type="dxa"/>
            <w:vAlign w:val="bottom"/>
            <w:shd w:val="clear" w:color="auto" w:fill="C6D9F1"/>
          </w:tcPr>
          <w:p>
            <w:pPr>
              <w:jc w:val="right"/>
              <w:spacing w:after="0" w:line="202" w:lineRule="exact"/>
              <w:rPr>
                <w:sz w:val="20"/>
                <w:szCs w:val="20"/>
                <w:color w:val="auto"/>
              </w:rPr>
            </w:pPr>
            <w:r>
              <w:rPr>
                <w:rFonts w:ascii="Arial" w:cs="Arial" w:eastAsia="Arial" w:hAnsi="Arial"/>
                <w:sz w:val="18"/>
                <w:szCs w:val="18"/>
                <w:color w:val="auto"/>
              </w:rPr>
              <w:t>673</w:t>
            </w:r>
          </w:p>
        </w:tc>
        <w:tc>
          <w:tcPr>
            <w:tcW w:w="220" w:type="dxa"/>
            <w:vAlign w:val="bottom"/>
            <w:shd w:val="clear" w:color="auto" w:fill="C6D9F1"/>
          </w:tcPr>
          <w:p>
            <w:pPr>
              <w:spacing w:after="0"/>
              <w:rPr>
                <w:sz w:val="17"/>
                <w:szCs w:val="17"/>
                <w:color w:val="auto"/>
              </w:rPr>
            </w:pPr>
          </w:p>
        </w:tc>
        <w:tc>
          <w:tcPr>
            <w:tcW w:w="1700" w:type="dxa"/>
            <w:vAlign w:val="bottom"/>
            <w:shd w:val="clear" w:color="auto" w:fill="C6D9F1"/>
          </w:tcPr>
          <w:p>
            <w:pPr>
              <w:jc w:val="right"/>
              <w:spacing w:after="0" w:line="202" w:lineRule="exact"/>
              <w:rPr>
                <w:sz w:val="20"/>
                <w:szCs w:val="20"/>
                <w:color w:val="auto"/>
              </w:rPr>
            </w:pPr>
            <w:r>
              <w:rPr>
                <w:rFonts w:ascii="Arial" w:cs="Arial" w:eastAsia="Arial" w:hAnsi="Arial"/>
                <w:sz w:val="18"/>
                <w:szCs w:val="18"/>
                <w:color w:val="auto"/>
              </w:rPr>
              <w:t>21,065</w:t>
            </w:r>
          </w:p>
        </w:tc>
      </w:tr>
      <w:tr>
        <w:trPr>
          <w:trHeight w:val="203"/>
        </w:trPr>
        <w:tc>
          <w:tcPr>
            <w:tcW w:w="3660" w:type="dxa"/>
            <w:vAlign w:val="bottom"/>
            <w:shd w:val="clear" w:color="auto" w:fill="C6D9F1"/>
          </w:tcPr>
          <w:p>
            <w:pPr>
              <w:spacing w:after="0"/>
              <w:rPr>
                <w:sz w:val="17"/>
                <w:szCs w:val="17"/>
                <w:color w:val="auto"/>
              </w:rPr>
            </w:pPr>
          </w:p>
        </w:tc>
        <w:tc>
          <w:tcPr>
            <w:tcW w:w="240" w:type="dxa"/>
            <w:vAlign w:val="bottom"/>
            <w:shd w:val="clear" w:color="auto" w:fill="C6D9F1"/>
          </w:tcPr>
          <w:p>
            <w:pPr>
              <w:spacing w:after="0"/>
              <w:rPr>
                <w:sz w:val="17"/>
                <w:szCs w:val="17"/>
                <w:color w:val="auto"/>
              </w:rPr>
            </w:pPr>
          </w:p>
        </w:tc>
        <w:tc>
          <w:tcPr>
            <w:tcW w:w="1720" w:type="dxa"/>
            <w:vAlign w:val="bottom"/>
            <w:shd w:val="clear" w:color="auto" w:fill="C6D9F1"/>
          </w:tcPr>
          <w:p>
            <w:pPr>
              <w:spacing w:after="0"/>
              <w:rPr>
                <w:sz w:val="17"/>
                <w:szCs w:val="17"/>
                <w:color w:val="auto"/>
              </w:rPr>
            </w:pPr>
          </w:p>
        </w:tc>
        <w:tc>
          <w:tcPr>
            <w:tcW w:w="220" w:type="dxa"/>
            <w:vAlign w:val="bottom"/>
            <w:shd w:val="clear" w:color="auto" w:fill="C6D9F1"/>
          </w:tcPr>
          <w:p>
            <w:pPr>
              <w:spacing w:after="0"/>
              <w:rPr>
                <w:sz w:val="17"/>
                <w:szCs w:val="17"/>
                <w:color w:val="auto"/>
              </w:rPr>
            </w:pPr>
          </w:p>
        </w:tc>
        <w:tc>
          <w:tcPr>
            <w:tcW w:w="1720" w:type="dxa"/>
            <w:vAlign w:val="bottom"/>
            <w:shd w:val="clear" w:color="auto" w:fill="C6D9F1"/>
          </w:tcPr>
          <w:p>
            <w:pPr>
              <w:spacing w:after="0"/>
              <w:rPr>
                <w:sz w:val="17"/>
                <w:szCs w:val="17"/>
                <w:color w:val="auto"/>
              </w:rPr>
            </w:pPr>
          </w:p>
        </w:tc>
        <w:tc>
          <w:tcPr>
            <w:tcW w:w="220" w:type="dxa"/>
            <w:vAlign w:val="bottom"/>
            <w:shd w:val="clear" w:color="auto" w:fill="C6D9F1"/>
          </w:tcPr>
          <w:p>
            <w:pPr>
              <w:spacing w:after="0"/>
              <w:rPr>
                <w:sz w:val="17"/>
                <w:szCs w:val="17"/>
                <w:color w:val="auto"/>
              </w:rPr>
            </w:pPr>
          </w:p>
        </w:tc>
        <w:tc>
          <w:tcPr>
            <w:tcW w:w="1940" w:type="dxa"/>
            <w:vAlign w:val="bottom"/>
            <w:gridSpan w:val="2"/>
            <w:shd w:val="clear" w:color="auto" w:fill="C6D9F1"/>
          </w:tcPr>
          <w:p>
            <w:pPr>
              <w:jc w:val="right"/>
              <w:ind w:right="220"/>
              <w:spacing w:after="0" w:line="202" w:lineRule="exact"/>
              <w:rPr>
                <w:sz w:val="20"/>
                <w:szCs w:val="20"/>
                <w:color w:val="auto"/>
              </w:rPr>
            </w:pPr>
            <w:r>
              <w:rPr>
                <w:rFonts w:ascii="Arial" w:cs="Arial" w:eastAsia="Arial" w:hAnsi="Arial"/>
                <w:sz w:val="18"/>
                <w:szCs w:val="18"/>
                <w:color w:val="auto"/>
              </w:rPr>
              <w:t>18,750</w:t>
            </w:r>
          </w:p>
        </w:tc>
        <w:tc>
          <w:tcPr>
            <w:tcW w:w="1700" w:type="dxa"/>
            <w:vAlign w:val="bottom"/>
            <w:shd w:val="clear" w:color="auto" w:fill="C6D9F1"/>
          </w:tcPr>
          <w:p>
            <w:pPr>
              <w:jc w:val="right"/>
              <w:spacing w:after="0" w:line="202" w:lineRule="exact"/>
              <w:rPr>
                <w:sz w:val="20"/>
                <w:szCs w:val="20"/>
                <w:color w:val="auto"/>
              </w:rPr>
            </w:pPr>
            <w:r>
              <w:rPr>
                <w:rFonts w:ascii="Arial" w:cs="Arial" w:eastAsia="Arial" w:hAnsi="Arial"/>
                <w:sz w:val="18"/>
                <w:szCs w:val="18"/>
                <w:color w:val="auto"/>
              </w:rPr>
              <w:t>586,875</w:t>
            </w:r>
          </w:p>
        </w:tc>
      </w:tr>
      <w:tr>
        <w:trPr>
          <w:trHeight w:val="203"/>
        </w:trPr>
        <w:tc>
          <w:tcPr>
            <w:tcW w:w="3660" w:type="dxa"/>
            <w:vAlign w:val="bottom"/>
            <w:shd w:val="clear" w:color="auto" w:fill="C6D9F1"/>
          </w:tcPr>
          <w:p>
            <w:pPr>
              <w:spacing w:after="0"/>
              <w:rPr>
                <w:sz w:val="17"/>
                <w:szCs w:val="17"/>
                <w:color w:val="auto"/>
              </w:rPr>
            </w:pPr>
          </w:p>
        </w:tc>
        <w:tc>
          <w:tcPr>
            <w:tcW w:w="240" w:type="dxa"/>
            <w:vAlign w:val="bottom"/>
            <w:shd w:val="clear" w:color="auto" w:fill="C6D9F1"/>
          </w:tcPr>
          <w:p>
            <w:pPr>
              <w:spacing w:after="0"/>
              <w:rPr>
                <w:sz w:val="17"/>
                <w:szCs w:val="17"/>
                <w:color w:val="auto"/>
              </w:rPr>
            </w:pPr>
          </w:p>
        </w:tc>
        <w:tc>
          <w:tcPr>
            <w:tcW w:w="1720" w:type="dxa"/>
            <w:vAlign w:val="bottom"/>
            <w:shd w:val="clear" w:color="auto" w:fill="C6D9F1"/>
          </w:tcPr>
          <w:p>
            <w:pPr>
              <w:spacing w:after="0"/>
              <w:rPr>
                <w:sz w:val="17"/>
                <w:szCs w:val="17"/>
                <w:color w:val="auto"/>
              </w:rPr>
            </w:pPr>
          </w:p>
        </w:tc>
        <w:tc>
          <w:tcPr>
            <w:tcW w:w="220" w:type="dxa"/>
            <w:vAlign w:val="bottom"/>
            <w:shd w:val="clear" w:color="auto" w:fill="C6D9F1"/>
          </w:tcPr>
          <w:p>
            <w:pPr>
              <w:spacing w:after="0"/>
              <w:rPr>
                <w:sz w:val="17"/>
                <w:szCs w:val="17"/>
                <w:color w:val="auto"/>
              </w:rPr>
            </w:pPr>
          </w:p>
        </w:tc>
        <w:tc>
          <w:tcPr>
            <w:tcW w:w="1720" w:type="dxa"/>
            <w:vAlign w:val="bottom"/>
            <w:shd w:val="clear" w:color="auto" w:fill="C6D9F1"/>
          </w:tcPr>
          <w:p>
            <w:pPr>
              <w:spacing w:after="0"/>
              <w:rPr>
                <w:sz w:val="17"/>
                <w:szCs w:val="17"/>
                <w:color w:val="auto"/>
              </w:rPr>
            </w:pPr>
          </w:p>
        </w:tc>
        <w:tc>
          <w:tcPr>
            <w:tcW w:w="220" w:type="dxa"/>
            <w:vAlign w:val="bottom"/>
            <w:shd w:val="clear" w:color="auto" w:fill="C6D9F1"/>
          </w:tcPr>
          <w:p>
            <w:pPr>
              <w:spacing w:after="0"/>
              <w:rPr>
                <w:sz w:val="17"/>
                <w:szCs w:val="17"/>
                <w:color w:val="auto"/>
              </w:rPr>
            </w:pPr>
          </w:p>
        </w:tc>
        <w:tc>
          <w:tcPr>
            <w:tcW w:w="1940" w:type="dxa"/>
            <w:vAlign w:val="bottom"/>
            <w:gridSpan w:val="2"/>
            <w:shd w:val="clear" w:color="auto" w:fill="C6D9F1"/>
          </w:tcPr>
          <w:p>
            <w:pPr>
              <w:jc w:val="right"/>
              <w:ind w:right="220"/>
              <w:spacing w:after="0" w:line="202" w:lineRule="exact"/>
              <w:rPr>
                <w:sz w:val="20"/>
                <w:szCs w:val="20"/>
                <w:color w:val="auto"/>
              </w:rPr>
            </w:pPr>
            <w:r>
              <w:rPr>
                <w:rFonts w:ascii="Arial" w:cs="Arial" w:eastAsia="Arial" w:hAnsi="Arial"/>
                <w:sz w:val="18"/>
                <w:szCs w:val="18"/>
                <w:color w:val="auto"/>
              </w:rPr>
              <w:t>9,375</w:t>
            </w:r>
          </w:p>
        </w:tc>
        <w:tc>
          <w:tcPr>
            <w:tcW w:w="1700" w:type="dxa"/>
            <w:vAlign w:val="bottom"/>
            <w:shd w:val="clear" w:color="auto" w:fill="C6D9F1"/>
          </w:tcPr>
          <w:p>
            <w:pPr>
              <w:jc w:val="right"/>
              <w:spacing w:after="0" w:line="202" w:lineRule="exact"/>
              <w:rPr>
                <w:sz w:val="20"/>
                <w:szCs w:val="20"/>
                <w:color w:val="auto"/>
              </w:rPr>
            </w:pPr>
            <w:r>
              <w:rPr>
                <w:rFonts w:ascii="Arial" w:cs="Arial" w:eastAsia="Arial" w:hAnsi="Arial"/>
                <w:sz w:val="18"/>
                <w:szCs w:val="18"/>
                <w:color w:val="auto"/>
              </w:rPr>
              <w:t>294,094</w:t>
            </w:r>
          </w:p>
        </w:tc>
      </w:tr>
      <w:tr>
        <w:trPr>
          <w:trHeight w:val="203"/>
        </w:trPr>
        <w:tc>
          <w:tcPr>
            <w:tcW w:w="3660" w:type="dxa"/>
            <w:vAlign w:val="bottom"/>
            <w:shd w:val="clear" w:color="auto" w:fill="C6D9F1"/>
          </w:tcPr>
          <w:p>
            <w:pPr>
              <w:spacing w:after="0"/>
              <w:rPr>
                <w:sz w:val="17"/>
                <w:szCs w:val="17"/>
                <w:color w:val="auto"/>
              </w:rPr>
            </w:pPr>
          </w:p>
        </w:tc>
        <w:tc>
          <w:tcPr>
            <w:tcW w:w="240" w:type="dxa"/>
            <w:vAlign w:val="bottom"/>
            <w:shd w:val="clear" w:color="auto" w:fill="C6D9F1"/>
          </w:tcPr>
          <w:p>
            <w:pPr>
              <w:spacing w:after="0"/>
              <w:rPr>
                <w:sz w:val="17"/>
                <w:szCs w:val="17"/>
                <w:color w:val="auto"/>
              </w:rPr>
            </w:pPr>
          </w:p>
        </w:tc>
        <w:tc>
          <w:tcPr>
            <w:tcW w:w="1720" w:type="dxa"/>
            <w:vAlign w:val="bottom"/>
            <w:shd w:val="clear" w:color="auto" w:fill="C6D9F1"/>
          </w:tcPr>
          <w:p>
            <w:pPr>
              <w:spacing w:after="0"/>
              <w:rPr>
                <w:sz w:val="17"/>
                <w:szCs w:val="17"/>
                <w:color w:val="auto"/>
              </w:rPr>
            </w:pPr>
          </w:p>
        </w:tc>
        <w:tc>
          <w:tcPr>
            <w:tcW w:w="220" w:type="dxa"/>
            <w:vAlign w:val="bottom"/>
            <w:shd w:val="clear" w:color="auto" w:fill="C6D9F1"/>
          </w:tcPr>
          <w:p>
            <w:pPr>
              <w:spacing w:after="0"/>
              <w:rPr>
                <w:sz w:val="17"/>
                <w:szCs w:val="17"/>
                <w:color w:val="auto"/>
              </w:rPr>
            </w:pPr>
          </w:p>
        </w:tc>
        <w:tc>
          <w:tcPr>
            <w:tcW w:w="1720" w:type="dxa"/>
            <w:vAlign w:val="bottom"/>
            <w:shd w:val="clear" w:color="auto" w:fill="C6D9F1"/>
          </w:tcPr>
          <w:p>
            <w:pPr>
              <w:spacing w:after="0"/>
              <w:rPr>
                <w:sz w:val="17"/>
                <w:szCs w:val="17"/>
                <w:color w:val="auto"/>
              </w:rPr>
            </w:pPr>
          </w:p>
        </w:tc>
        <w:tc>
          <w:tcPr>
            <w:tcW w:w="220" w:type="dxa"/>
            <w:vAlign w:val="bottom"/>
            <w:shd w:val="clear" w:color="auto" w:fill="C6D9F1"/>
          </w:tcPr>
          <w:p>
            <w:pPr>
              <w:spacing w:after="0"/>
              <w:rPr>
                <w:sz w:val="17"/>
                <w:szCs w:val="17"/>
                <w:color w:val="auto"/>
              </w:rPr>
            </w:pPr>
          </w:p>
        </w:tc>
        <w:tc>
          <w:tcPr>
            <w:tcW w:w="1940" w:type="dxa"/>
            <w:vAlign w:val="bottom"/>
            <w:gridSpan w:val="2"/>
            <w:shd w:val="clear" w:color="auto" w:fill="C6D9F1"/>
          </w:tcPr>
          <w:p>
            <w:pPr>
              <w:jc w:val="right"/>
              <w:ind w:right="220"/>
              <w:spacing w:after="0" w:line="203" w:lineRule="exact"/>
              <w:rPr>
                <w:sz w:val="20"/>
                <w:szCs w:val="20"/>
                <w:color w:val="auto"/>
              </w:rPr>
            </w:pPr>
            <w:r>
              <w:rPr>
                <w:rFonts w:ascii="Arial" w:cs="Arial" w:eastAsia="Arial" w:hAnsi="Arial"/>
                <w:sz w:val="18"/>
                <w:szCs w:val="18"/>
                <w:color w:val="auto"/>
              </w:rPr>
              <w:t>1,203</w:t>
            </w:r>
          </w:p>
        </w:tc>
        <w:tc>
          <w:tcPr>
            <w:tcW w:w="1700" w:type="dxa"/>
            <w:vAlign w:val="bottom"/>
            <w:shd w:val="clear" w:color="auto" w:fill="C6D9F1"/>
          </w:tcPr>
          <w:p>
            <w:pPr>
              <w:jc w:val="right"/>
              <w:spacing w:after="0" w:line="203" w:lineRule="exact"/>
              <w:rPr>
                <w:sz w:val="20"/>
                <w:szCs w:val="20"/>
                <w:color w:val="auto"/>
              </w:rPr>
            </w:pPr>
            <w:r>
              <w:rPr>
                <w:rFonts w:ascii="Arial" w:cs="Arial" w:eastAsia="Arial" w:hAnsi="Arial"/>
                <w:sz w:val="18"/>
                <w:szCs w:val="18"/>
                <w:color w:val="auto"/>
              </w:rPr>
              <w:t>37,738</w:t>
            </w:r>
          </w:p>
        </w:tc>
      </w:tr>
      <w:tr>
        <w:trPr>
          <w:trHeight w:val="202"/>
        </w:trPr>
        <w:tc>
          <w:tcPr>
            <w:tcW w:w="3660" w:type="dxa"/>
            <w:vAlign w:val="bottom"/>
          </w:tcPr>
          <w:p>
            <w:pPr>
              <w:spacing w:after="0" w:line="201" w:lineRule="exact"/>
              <w:rPr>
                <w:sz w:val="20"/>
                <w:szCs w:val="20"/>
                <w:color w:val="auto"/>
              </w:rPr>
            </w:pPr>
            <w:r>
              <w:rPr>
                <w:rFonts w:ascii="Arial" w:cs="Arial" w:eastAsia="Arial" w:hAnsi="Arial"/>
                <w:sz w:val="18"/>
                <w:szCs w:val="18"/>
                <w:color w:val="auto"/>
              </w:rPr>
              <w:t>Vishal Chhibbar</w:t>
            </w:r>
          </w:p>
        </w:tc>
        <w:tc>
          <w:tcPr>
            <w:tcW w:w="2180" w:type="dxa"/>
            <w:vAlign w:val="bottom"/>
            <w:gridSpan w:val="3"/>
          </w:tcPr>
          <w:p>
            <w:pPr>
              <w:jc w:val="right"/>
              <w:ind w:right="220"/>
              <w:spacing w:after="0" w:line="201" w:lineRule="exact"/>
              <w:rPr>
                <w:sz w:val="20"/>
                <w:szCs w:val="20"/>
                <w:color w:val="auto"/>
              </w:rPr>
            </w:pPr>
            <w:r>
              <w:rPr>
                <w:rFonts w:ascii="Arial" w:cs="Arial" w:eastAsia="Arial" w:hAnsi="Arial"/>
                <w:sz w:val="18"/>
                <w:szCs w:val="18"/>
                <w:color w:val="auto"/>
              </w:rPr>
              <w:t>1,800</w:t>
            </w:r>
          </w:p>
        </w:tc>
        <w:tc>
          <w:tcPr>
            <w:tcW w:w="194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26,694</w:t>
            </w:r>
          </w:p>
        </w:tc>
        <w:tc>
          <w:tcPr>
            <w:tcW w:w="194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1,700</w:t>
            </w:r>
          </w:p>
        </w:tc>
        <w:tc>
          <w:tcPr>
            <w:tcW w:w="1700" w:type="dxa"/>
            <w:vAlign w:val="bottom"/>
          </w:tcPr>
          <w:p>
            <w:pPr>
              <w:jc w:val="right"/>
              <w:spacing w:after="0" w:line="201" w:lineRule="exact"/>
              <w:rPr>
                <w:sz w:val="20"/>
                <w:szCs w:val="20"/>
                <w:color w:val="auto"/>
              </w:rPr>
            </w:pPr>
            <w:r>
              <w:rPr>
                <w:rFonts w:ascii="Arial" w:cs="Arial" w:eastAsia="Arial" w:hAnsi="Arial"/>
                <w:sz w:val="18"/>
                <w:szCs w:val="18"/>
                <w:color w:val="auto"/>
              </w:rPr>
              <w:t>50,231</w:t>
            </w:r>
          </w:p>
        </w:tc>
      </w:tr>
      <w:tr>
        <w:trPr>
          <w:trHeight w:val="203"/>
        </w:trPr>
        <w:tc>
          <w:tcPr>
            <w:tcW w:w="3660" w:type="dxa"/>
            <w:vAlign w:val="bottom"/>
          </w:tcPr>
          <w:p>
            <w:pPr>
              <w:spacing w:after="0"/>
              <w:rPr>
                <w:sz w:val="17"/>
                <w:szCs w:val="17"/>
                <w:color w:val="auto"/>
              </w:rPr>
            </w:pPr>
          </w:p>
        </w:tc>
        <w:tc>
          <w:tcPr>
            <w:tcW w:w="218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3,600</w:t>
            </w:r>
          </w:p>
        </w:tc>
        <w:tc>
          <w:tcPr>
            <w:tcW w:w="19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74,664</w:t>
            </w:r>
          </w:p>
        </w:tc>
        <w:tc>
          <w:tcPr>
            <w:tcW w:w="19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1,275</w:t>
            </w: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39,908</w:t>
            </w:r>
          </w:p>
        </w:tc>
      </w:tr>
      <w:tr>
        <w:trPr>
          <w:trHeight w:val="203"/>
        </w:trPr>
        <w:tc>
          <w:tcPr>
            <w:tcW w:w="3660" w:type="dxa"/>
            <w:vAlign w:val="bottom"/>
          </w:tcPr>
          <w:p>
            <w:pPr>
              <w:spacing w:after="0"/>
              <w:rPr>
                <w:sz w:val="17"/>
                <w:szCs w:val="17"/>
                <w:color w:val="auto"/>
              </w:rPr>
            </w:pPr>
          </w:p>
        </w:tc>
        <w:tc>
          <w:tcPr>
            <w:tcW w:w="218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6,300</w:t>
            </w:r>
          </w:p>
        </w:tc>
        <w:tc>
          <w:tcPr>
            <w:tcW w:w="19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160,083</w:t>
            </w: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554</w:t>
            </w:r>
          </w:p>
        </w:tc>
        <w:tc>
          <w:tcPr>
            <w:tcW w:w="220" w:type="dxa"/>
            <w:vAlign w:val="bottom"/>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17,340</w:t>
            </w:r>
          </w:p>
        </w:tc>
      </w:tr>
      <w:tr>
        <w:trPr>
          <w:trHeight w:val="203"/>
        </w:trPr>
        <w:tc>
          <w:tcPr>
            <w:tcW w:w="3660" w:type="dxa"/>
            <w:vAlign w:val="bottom"/>
          </w:tcPr>
          <w:p>
            <w:pPr>
              <w:spacing w:after="0"/>
              <w:rPr>
                <w:sz w:val="17"/>
                <w:szCs w:val="17"/>
                <w:color w:val="auto"/>
              </w:rPr>
            </w:pPr>
          </w:p>
        </w:tc>
        <w:tc>
          <w:tcPr>
            <w:tcW w:w="218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900</w:t>
            </w:r>
          </w:p>
        </w:tc>
        <w:tc>
          <w:tcPr>
            <w:tcW w:w="19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23,769</w:t>
            </w: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297</w:t>
            </w:r>
          </w:p>
        </w:tc>
        <w:tc>
          <w:tcPr>
            <w:tcW w:w="220" w:type="dxa"/>
            <w:vAlign w:val="bottom"/>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9,296</w:t>
            </w:r>
          </w:p>
        </w:tc>
      </w:tr>
      <w:tr>
        <w:trPr>
          <w:trHeight w:val="203"/>
        </w:trPr>
        <w:tc>
          <w:tcPr>
            <w:tcW w:w="3660" w:type="dxa"/>
            <w:vAlign w:val="bottom"/>
          </w:tcPr>
          <w:p>
            <w:pPr>
              <w:spacing w:after="0"/>
              <w:rPr>
                <w:sz w:val="17"/>
                <w:szCs w:val="17"/>
                <w:color w:val="auto"/>
              </w:rPr>
            </w:pPr>
          </w:p>
        </w:tc>
        <w:tc>
          <w:tcPr>
            <w:tcW w:w="218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900</w:t>
            </w:r>
          </w:p>
        </w:tc>
        <w:tc>
          <w:tcPr>
            <w:tcW w:w="19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24,669</w:t>
            </w:r>
          </w:p>
        </w:tc>
        <w:tc>
          <w:tcPr>
            <w:tcW w:w="19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2,400</w:t>
            </w: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75,120</w:t>
            </w:r>
          </w:p>
        </w:tc>
      </w:tr>
      <w:tr>
        <w:trPr>
          <w:trHeight w:val="203"/>
        </w:trPr>
        <w:tc>
          <w:tcPr>
            <w:tcW w:w="3660" w:type="dxa"/>
            <w:vAlign w:val="bottom"/>
          </w:tcPr>
          <w:p>
            <w:pPr>
              <w:spacing w:after="0"/>
              <w:rPr>
                <w:sz w:val="17"/>
                <w:szCs w:val="17"/>
                <w:color w:val="auto"/>
              </w:rPr>
            </w:pPr>
          </w:p>
        </w:tc>
        <w:tc>
          <w:tcPr>
            <w:tcW w:w="218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900</w:t>
            </w:r>
          </w:p>
        </w:tc>
        <w:tc>
          <w:tcPr>
            <w:tcW w:w="19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25,389</w:t>
            </w: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700</w:t>
            </w:r>
          </w:p>
        </w:tc>
        <w:tc>
          <w:tcPr>
            <w:tcW w:w="220" w:type="dxa"/>
            <w:vAlign w:val="bottom"/>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21,959</w:t>
            </w:r>
          </w:p>
        </w:tc>
      </w:tr>
      <w:tr>
        <w:trPr>
          <w:trHeight w:val="203"/>
        </w:trPr>
        <w:tc>
          <w:tcPr>
            <w:tcW w:w="3660" w:type="dxa"/>
            <w:vAlign w:val="bottom"/>
          </w:tcPr>
          <w:p>
            <w:pPr>
              <w:spacing w:after="0"/>
              <w:rPr>
                <w:sz w:val="17"/>
                <w:szCs w:val="17"/>
                <w:color w:val="auto"/>
              </w:rPr>
            </w:pPr>
          </w:p>
        </w:tc>
        <w:tc>
          <w:tcPr>
            <w:tcW w:w="2180" w:type="dxa"/>
            <w:vAlign w:val="bottom"/>
            <w:gridSpan w:val="3"/>
          </w:tcPr>
          <w:p>
            <w:pPr>
              <w:jc w:val="right"/>
              <w:ind w:right="220"/>
              <w:spacing w:after="0" w:line="203" w:lineRule="exact"/>
              <w:rPr>
                <w:sz w:val="20"/>
                <w:szCs w:val="20"/>
                <w:color w:val="auto"/>
              </w:rPr>
            </w:pPr>
            <w:r>
              <w:rPr>
                <w:rFonts w:ascii="Arial" w:cs="Arial" w:eastAsia="Arial" w:hAnsi="Arial"/>
                <w:sz w:val="18"/>
                <w:szCs w:val="18"/>
                <w:color w:val="auto"/>
              </w:rPr>
              <w:t>900</w:t>
            </w:r>
          </w:p>
        </w:tc>
        <w:tc>
          <w:tcPr>
            <w:tcW w:w="194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26,199</w:t>
            </w:r>
          </w:p>
        </w:tc>
        <w:tc>
          <w:tcPr>
            <w:tcW w:w="1720" w:type="dxa"/>
            <w:vAlign w:val="bottom"/>
          </w:tcPr>
          <w:p>
            <w:pPr>
              <w:jc w:val="right"/>
              <w:spacing w:after="0" w:line="203" w:lineRule="exact"/>
              <w:rPr>
                <w:sz w:val="20"/>
                <w:szCs w:val="20"/>
                <w:color w:val="auto"/>
              </w:rPr>
            </w:pPr>
            <w:r>
              <w:rPr>
                <w:rFonts w:ascii="Arial" w:cs="Arial" w:eastAsia="Arial" w:hAnsi="Arial"/>
                <w:sz w:val="18"/>
                <w:szCs w:val="18"/>
                <w:color w:val="auto"/>
              </w:rPr>
              <w:t>374</w:t>
            </w:r>
          </w:p>
        </w:tc>
        <w:tc>
          <w:tcPr>
            <w:tcW w:w="220" w:type="dxa"/>
            <w:vAlign w:val="bottom"/>
          </w:tcPr>
          <w:p>
            <w:pPr>
              <w:spacing w:after="0"/>
              <w:rPr>
                <w:sz w:val="17"/>
                <w:szCs w:val="17"/>
                <w:color w:val="auto"/>
              </w:rPr>
            </w:pPr>
          </w:p>
        </w:tc>
        <w:tc>
          <w:tcPr>
            <w:tcW w:w="1700" w:type="dxa"/>
            <w:vAlign w:val="bottom"/>
          </w:tcPr>
          <w:p>
            <w:pPr>
              <w:jc w:val="right"/>
              <w:spacing w:after="0" w:line="203" w:lineRule="exact"/>
              <w:rPr>
                <w:sz w:val="20"/>
                <w:szCs w:val="20"/>
                <w:color w:val="auto"/>
              </w:rPr>
            </w:pPr>
            <w:r>
              <w:rPr>
                <w:rFonts w:ascii="Arial" w:cs="Arial" w:eastAsia="Arial" w:hAnsi="Arial"/>
                <w:sz w:val="18"/>
                <w:szCs w:val="18"/>
                <w:color w:val="auto"/>
              </w:rPr>
              <w:t>11,732</w:t>
            </w:r>
          </w:p>
        </w:tc>
      </w:tr>
      <w:tr>
        <w:trPr>
          <w:trHeight w:val="202"/>
        </w:trPr>
        <w:tc>
          <w:tcPr>
            <w:tcW w:w="3660" w:type="dxa"/>
            <w:vAlign w:val="bottom"/>
            <w:shd w:val="clear" w:color="auto" w:fill="C6D9F1"/>
          </w:tcPr>
          <w:p>
            <w:pPr>
              <w:spacing w:after="0" w:line="201" w:lineRule="exact"/>
              <w:rPr>
                <w:sz w:val="20"/>
                <w:szCs w:val="20"/>
                <w:color w:val="auto"/>
              </w:rPr>
            </w:pPr>
            <w:r>
              <w:rPr>
                <w:rFonts w:ascii="Arial" w:cs="Arial" w:eastAsia="Arial" w:hAnsi="Arial"/>
                <w:sz w:val="18"/>
                <w:szCs w:val="18"/>
                <w:color w:val="auto"/>
              </w:rPr>
              <w:t>Pavan Bagai</w:t>
            </w:r>
          </w:p>
        </w:tc>
        <w:tc>
          <w:tcPr>
            <w:tcW w:w="240" w:type="dxa"/>
            <w:vAlign w:val="bottom"/>
            <w:shd w:val="clear" w:color="auto" w:fill="C6D9F1"/>
          </w:tcPr>
          <w:p>
            <w:pPr>
              <w:spacing w:after="0"/>
              <w:rPr>
                <w:sz w:val="17"/>
                <w:szCs w:val="17"/>
                <w:color w:val="auto"/>
              </w:rPr>
            </w:pPr>
          </w:p>
        </w:tc>
        <w:tc>
          <w:tcPr>
            <w:tcW w:w="1940" w:type="dxa"/>
            <w:vAlign w:val="bottom"/>
            <w:gridSpan w:val="2"/>
            <w:shd w:val="clear" w:color="auto" w:fill="C6D9F1"/>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1940" w:type="dxa"/>
            <w:vAlign w:val="bottom"/>
            <w:gridSpan w:val="2"/>
            <w:shd w:val="clear" w:color="auto" w:fill="C6D9F1"/>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1940" w:type="dxa"/>
            <w:vAlign w:val="bottom"/>
            <w:gridSpan w:val="2"/>
            <w:shd w:val="clear" w:color="auto" w:fill="C6D9F1"/>
          </w:tcPr>
          <w:p>
            <w:pPr>
              <w:jc w:val="right"/>
              <w:ind w:right="220"/>
              <w:spacing w:after="0" w:line="201" w:lineRule="exact"/>
              <w:rPr>
                <w:sz w:val="20"/>
                <w:szCs w:val="20"/>
                <w:color w:val="auto"/>
              </w:rPr>
            </w:pPr>
            <w:r>
              <w:rPr>
                <w:rFonts w:ascii="Arial" w:cs="Arial" w:eastAsia="Arial" w:hAnsi="Arial"/>
                <w:sz w:val="18"/>
                <w:szCs w:val="18"/>
                <w:color w:val="auto"/>
              </w:rPr>
              <w:t>5,000</w:t>
            </w:r>
          </w:p>
        </w:tc>
        <w:tc>
          <w:tcPr>
            <w:tcW w:w="1700" w:type="dxa"/>
            <w:vAlign w:val="bottom"/>
            <w:shd w:val="clear" w:color="auto" w:fill="C6D9F1"/>
          </w:tcPr>
          <w:p>
            <w:pPr>
              <w:jc w:val="right"/>
              <w:spacing w:after="0" w:line="201" w:lineRule="exact"/>
              <w:rPr>
                <w:sz w:val="20"/>
                <w:szCs w:val="20"/>
                <w:color w:val="auto"/>
              </w:rPr>
            </w:pPr>
            <w:r>
              <w:rPr>
                <w:rFonts w:ascii="Arial" w:cs="Arial" w:eastAsia="Arial" w:hAnsi="Arial"/>
                <w:sz w:val="18"/>
                <w:szCs w:val="18"/>
                <w:color w:val="auto"/>
              </w:rPr>
              <w:t>147,738</w:t>
            </w:r>
          </w:p>
        </w:tc>
      </w:tr>
      <w:tr>
        <w:trPr>
          <w:trHeight w:val="203"/>
        </w:trPr>
        <w:tc>
          <w:tcPr>
            <w:tcW w:w="3660" w:type="dxa"/>
            <w:vAlign w:val="bottom"/>
            <w:shd w:val="clear" w:color="auto" w:fill="C6D9F1"/>
          </w:tcPr>
          <w:p>
            <w:pPr>
              <w:spacing w:after="0"/>
              <w:rPr>
                <w:sz w:val="17"/>
                <w:szCs w:val="17"/>
                <w:color w:val="auto"/>
              </w:rPr>
            </w:pPr>
          </w:p>
        </w:tc>
        <w:tc>
          <w:tcPr>
            <w:tcW w:w="240" w:type="dxa"/>
            <w:vAlign w:val="bottom"/>
            <w:shd w:val="clear" w:color="auto" w:fill="C6D9F1"/>
          </w:tcPr>
          <w:p>
            <w:pPr>
              <w:spacing w:after="0"/>
              <w:rPr>
                <w:sz w:val="17"/>
                <w:szCs w:val="17"/>
                <w:color w:val="auto"/>
              </w:rPr>
            </w:pPr>
          </w:p>
        </w:tc>
        <w:tc>
          <w:tcPr>
            <w:tcW w:w="1720" w:type="dxa"/>
            <w:vAlign w:val="bottom"/>
            <w:shd w:val="clear" w:color="auto" w:fill="C6D9F1"/>
          </w:tcPr>
          <w:p>
            <w:pPr>
              <w:spacing w:after="0"/>
              <w:rPr>
                <w:sz w:val="17"/>
                <w:szCs w:val="17"/>
                <w:color w:val="auto"/>
              </w:rPr>
            </w:pPr>
          </w:p>
        </w:tc>
        <w:tc>
          <w:tcPr>
            <w:tcW w:w="220" w:type="dxa"/>
            <w:vAlign w:val="bottom"/>
            <w:shd w:val="clear" w:color="auto" w:fill="C6D9F1"/>
          </w:tcPr>
          <w:p>
            <w:pPr>
              <w:spacing w:after="0"/>
              <w:rPr>
                <w:sz w:val="17"/>
                <w:szCs w:val="17"/>
                <w:color w:val="auto"/>
              </w:rPr>
            </w:pPr>
          </w:p>
        </w:tc>
        <w:tc>
          <w:tcPr>
            <w:tcW w:w="1720" w:type="dxa"/>
            <w:vAlign w:val="bottom"/>
            <w:shd w:val="clear" w:color="auto" w:fill="C6D9F1"/>
          </w:tcPr>
          <w:p>
            <w:pPr>
              <w:spacing w:after="0"/>
              <w:rPr>
                <w:sz w:val="17"/>
                <w:szCs w:val="17"/>
                <w:color w:val="auto"/>
              </w:rPr>
            </w:pPr>
          </w:p>
        </w:tc>
        <w:tc>
          <w:tcPr>
            <w:tcW w:w="220" w:type="dxa"/>
            <w:vAlign w:val="bottom"/>
            <w:shd w:val="clear" w:color="auto" w:fill="C6D9F1"/>
          </w:tcPr>
          <w:p>
            <w:pPr>
              <w:spacing w:after="0"/>
              <w:rPr>
                <w:sz w:val="17"/>
                <w:szCs w:val="17"/>
                <w:color w:val="auto"/>
              </w:rPr>
            </w:pPr>
          </w:p>
        </w:tc>
        <w:tc>
          <w:tcPr>
            <w:tcW w:w="1940" w:type="dxa"/>
            <w:vAlign w:val="bottom"/>
            <w:gridSpan w:val="2"/>
            <w:shd w:val="clear" w:color="auto" w:fill="C6D9F1"/>
          </w:tcPr>
          <w:p>
            <w:pPr>
              <w:jc w:val="right"/>
              <w:ind w:right="220"/>
              <w:spacing w:after="0" w:line="202" w:lineRule="exact"/>
              <w:rPr>
                <w:sz w:val="20"/>
                <w:szCs w:val="20"/>
                <w:color w:val="auto"/>
              </w:rPr>
            </w:pPr>
            <w:r>
              <w:rPr>
                <w:rFonts w:ascii="Arial" w:cs="Arial" w:eastAsia="Arial" w:hAnsi="Arial"/>
                <w:sz w:val="18"/>
                <w:szCs w:val="18"/>
                <w:color w:val="auto"/>
              </w:rPr>
              <w:t>3,750</w:t>
            </w:r>
          </w:p>
        </w:tc>
        <w:tc>
          <w:tcPr>
            <w:tcW w:w="1700" w:type="dxa"/>
            <w:vAlign w:val="bottom"/>
            <w:shd w:val="clear" w:color="auto" w:fill="C6D9F1"/>
          </w:tcPr>
          <w:p>
            <w:pPr>
              <w:jc w:val="right"/>
              <w:spacing w:after="0" w:line="202" w:lineRule="exact"/>
              <w:rPr>
                <w:sz w:val="20"/>
                <w:szCs w:val="20"/>
                <w:color w:val="auto"/>
              </w:rPr>
            </w:pPr>
            <w:r>
              <w:rPr>
                <w:rFonts w:ascii="Arial" w:cs="Arial" w:eastAsia="Arial" w:hAnsi="Arial"/>
                <w:sz w:val="18"/>
                <w:szCs w:val="18"/>
                <w:color w:val="auto"/>
              </w:rPr>
              <w:t>117,375</w:t>
            </w:r>
          </w:p>
        </w:tc>
      </w:tr>
      <w:tr>
        <w:trPr>
          <w:trHeight w:val="203"/>
        </w:trPr>
        <w:tc>
          <w:tcPr>
            <w:tcW w:w="3660" w:type="dxa"/>
            <w:vAlign w:val="bottom"/>
            <w:shd w:val="clear" w:color="auto" w:fill="C6D9F1"/>
          </w:tcPr>
          <w:p>
            <w:pPr>
              <w:spacing w:after="0"/>
              <w:rPr>
                <w:sz w:val="17"/>
                <w:szCs w:val="17"/>
                <w:color w:val="auto"/>
              </w:rPr>
            </w:pPr>
          </w:p>
        </w:tc>
        <w:tc>
          <w:tcPr>
            <w:tcW w:w="240" w:type="dxa"/>
            <w:vAlign w:val="bottom"/>
            <w:shd w:val="clear" w:color="auto" w:fill="C6D9F1"/>
          </w:tcPr>
          <w:p>
            <w:pPr>
              <w:spacing w:after="0"/>
              <w:rPr>
                <w:sz w:val="17"/>
                <w:szCs w:val="17"/>
                <w:color w:val="auto"/>
              </w:rPr>
            </w:pPr>
          </w:p>
        </w:tc>
        <w:tc>
          <w:tcPr>
            <w:tcW w:w="1720" w:type="dxa"/>
            <w:vAlign w:val="bottom"/>
            <w:shd w:val="clear" w:color="auto" w:fill="C6D9F1"/>
          </w:tcPr>
          <w:p>
            <w:pPr>
              <w:spacing w:after="0"/>
              <w:rPr>
                <w:sz w:val="17"/>
                <w:szCs w:val="17"/>
                <w:color w:val="auto"/>
              </w:rPr>
            </w:pPr>
          </w:p>
        </w:tc>
        <w:tc>
          <w:tcPr>
            <w:tcW w:w="220" w:type="dxa"/>
            <w:vAlign w:val="bottom"/>
            <w:shd w:val="clear" w:color="auto" w:fill="C6D9F1"/>
          </w:tcPr>
          <w:p>
            <w:pPr>
              <w:spacing w:after="0"/>
              <w:rPr>
                <w:sz w:val="17"/>
                <w:szCs w:val="17"/>
                <w:color w:val="auto"/>
              </w:rPr>
            </w:pPr>
          </w:p>
        </w:tc>
        <w:tc>
          <w:tcPr>
            <w:tcW w:w="1720" w:type="dxa"/>
            <w:vAlign w:val="bottom"/>
            <w:shd w:val="clear" w:color="auto" w:fill="C6D9F1"/>
          </w:tcPr>
          <w:p>
            <w:pPr>
              <w:spacing w:after="0"/>
              <w:rPr>
                <w:sz w:val="17"/>
                <w:szCs w:val="17"/>
                <w:color w:val="auto"/>
              </w:rPr>
            </w:pPr>
          </w:p>
        </w:tc>
        <w:tc>
          <w:tcPr>
            <w:tcW w:w="220" w:type="dxa"/>
            <w:vAlign w:val="bottom"/>
            <w:shd w:val="clear" w:color="auto" w:fill="C6D9F1"/>
          </w:tcPr>
          <w:p>
            <w:pPr>
              <w:spacing w:after="0"/>
              <w:rPr>
                <w:sz w:val="17"/>
                <w:szCs w:val="17"/>
                <w:color w:val="auto"/>
              </w:rPr>
            </w:pPr>
          </w:p>
        </w:tc>
        <w:tc>
          <w:tcPr>
            <w:tcW w:w="1720" w:type="dxa"/>
            <w:vAlign w:val="bottom"/>
            <w:shd w:val="clear" w:color="auto" w:fill="C6D9F1"/>
          </w:tcPr>
          <w:p>
            <w:pPr>
              <w:jc w:val="right"/>
              <w:spacing w:after="0" w:line="202" w:lineRule="exact"/>
              <w:rPr>
                <w:sz w:val="20"/>
                <w:szCs w:val="20"/>
                <w:color w:val="auto"/>
              </w:rPr>
            </w:pPr>
            <w:r>
              <w:rPr>
                <w:rFonts w:ascii="Arial" w:cs="Arial" w:eastAsia="Arial" w:hAnsi="Arial"/>
                <w:sz w:val="18"/>
                <w:szCs w:val="18"/>
                <w:color w:val="auto"/>
              </w:rPr>
              <w:t>817</w:t>
            </w:r>
          </w:p>
        </w:tc>
        <w:tc>
          <w:tcPr>
            <w:tcW w:w="220" w:type="dxa"/>
            <w:vAlign w:val="bottom"/>
            <w:shd w:val="clear" w:color="auto" w:fill="C6D9F1"/>
          </w:tcPr>
          <w:p>
            <w:pPr>
              <w:spacing w:after="0"/>
              <w:rPr>
                <w:sz w:val="17"/>
                <w:szCs w:val="17"/>
                <w:color w:val="auto"/>
              </w:rPr>
            </w:pPr>
          </w:p>
        </w:tc>
        <w:tc>
          <w:tcPr>
            <w:tcW w:w="1700" w:type="dxa"/>
            <w:vAlign w:val="bottom"/>
            <w:shd w:val="clear" w:color="auto" w:fill="C6D9F1"/>
          </w:tcPr>
          <w:p>
            <w:pPr>
              <w:jc w:val="right"/>
              <w:spacing w:after="0" w:line="202" w:lineRule="exact"/>
              <w:rPr>
                <w:sz w:val="20"/>
                <w:szCs w:val="20"/>
                <w:color w:val="auto"/>
              </w:rPr>
            </w:pPr>
            <w:r>
              <w:rPr>
                <w:rFonts w:ascii="Arial" w:cs="Arial" w:eastAsia="Arial" w:hAnsi="Arial"/>
                <w:sz w:val="18"/>
                <w:szCs w:val="18"/>
                <w:color w:val="auto"/>
              </w:rPr>
              <w:t>25,572</w:t>
            </w:r>
          </w:p>
        </w:tc>
      </w:tr>
      <w:tr>
        <w:trPr>
          <w:trHeight w:val="203"/>
        </w:trPr>
        <w:tc>
          <w:tcPr>
            <w:tcW w:w="3660" w:type="dxa"/>
            <w:vAlign w:val="bottom"/>
            <w:shd w:val="clear" w:color="auto" w:fill="C6D9F1"/>
          </w:tcPr>
          <w:p>
            <w:pPr>
              <w:spacing w:after="0"/>
              <w:rPr>
                <w:sz w:val="17"/>
                <w:szCs w:val="17"/>
                <w:color w:val="auto"/>
              </w:rPr>
            </w:pPr>
          </w:p>
        </w:tc>
        <w:tc>
          <w:tcPr>
            <w:tcW w:w="240" w:type="dxa"/>
            <w:vAlign w:val="bottom"/>
            <w:shd w:val="clear" w:color="auto" w:fill="C6D9F1"/>
          </w:tcPr>
          <w:p>
            <w:pPr>
              <w:spacing w:after="0"/>
              <w:rPr>
                <w:sz w:val="17"/>
                <w:szCs w:val="17"/>
                <w:color w:val="auto"/>
              </w:rPr>
            </w:pPr>
          </w:p>
        </w:tc>
        <w:tc>
          <w:tcPr>
            <w:tcW w:w="1720" w:type="dxa"/>
            <w:vAlign w:val="bottom"/>
            <w:shd w:val="clear" w:color="auto" w:fill="C6D9F1"/>
          </w:tcPr>
          <w:p>
            <w:pPr>
              <w:spacing w:after="0"/>
              <w:rPr>
                <w:sz w:val="17"/>
                <w:szCs w:val="17"/>
                <w:color w:val="auto"/>
              </w:rPr>
            </w:pPr>
          </w:p>
        </w:tc>
        <w:tc>
          <w:tcPr>
            <w:tcW w:w="220" w:type="dxa"/>
            <w:vAlign w:val="bottom"/>
            <w:shd w:val="clear" w:color="auto" w:fill="C6D9F1"/>
          </w:tcPr>
          <w:p>
            <w:pPr>
              <w:spacing w:after="0"/>
              <w:rPr>
                <w:sz w:val="17"/>
                <w:szCs w:val="17"/>
                <w:color w:val="auto"/>
              </w:rPr>
            </w:pPr>
          </w:p>
        </w:tc>
        <w:tc>
          <w:tcPr>
            <w:tcW w:w="1720" w:type="dxa"/>
            <w:vAlign w:val="bottom"/>
            <w:shd w:val="clear" w:color="auto" w:fill="C6D9F1"/>
          </w:tcPr>
          <w:p>
            <w:pPr>
              <w:spacing w:after="0"/>
              <w:rPr>
                <w:sz w:val="17"/>
                <w:szCs w:val="17"/>
                <w:color w:val="auto"/>
              </w:rPr>
            </w:pPr>
          </w:p>
        </w:tc>
        <w:tc>
          <w:tcPr>
            <w:tcW w:w="220" w:type="dxa"/>
            <w:vAlign w:val="bottom"/>
            <w:shd w:val="clear" w:color="auto" w:fill="C6D9F1"/>
          </w:tcPr>
          <w:p>
            <w:pPr>
              <w:spacing w:after="0"/>
              <w:rPr>
                <w:sz w:val="17"/>
                <w:szCs w:val="17"/>
                <w:color w:val="auto"/>
              </w:rPr>
            </w:pPr>
          </w:p>
        </w:tc>
        <w:tc>
          <w:tcPr>
            <w:tcW w:w="1720" w:type="dxa"/>
            <w:vAlign w:val="bottom"/>
            <w:shd w:val="clear" w:color="auto" w:fill="C6D9F1"/>
          </w:tcPr>
          <w:p>
            <w:pPr>
              <w:jc w:val="right"/>
              <w:spacing w:after="0" w:line="202" w:lineRule="exact"/>
              <w:rPr>
                <w:sz w:val="20"/>
                <w:szCs w:val="20"/>
                <w:color w:val="auto"/>
              </w:rPr>
            </w:pPr>
            <w:r>
              <w:rPr>
                <w:rFonts w:ascii="Arial" w:cs="Arial" w:eastAsia="Arial" w:hAnsi="Arial"/>
                <w:sz w:val="18"/>
                <w:szCs w:val="18"/>
                <w:color w:val="auto"/>
              </w:rPr>
              <w:t>460</w:t>
            </w:r>
          </w:p>
        </w:tc>
        <w:tc>
          <w:tcPr>
            <w:tcW w:w="220" w:type="dxa"/>
            <w:vAlign w:val="bottom"/>
            <w:shd w:val="clear" w:color="auto" w:fill="C6D9F1"/>
          </w:tcPr>
          <w:p>
            <w:pPr>
              <w:spacing w:after="0"/>
              <w:rPr>
                <w:sz w:val="17"/>
                <w:szCs w:val="17"/>
                <w:color w:val="auto"/>
              </w:rPr>
            </w:pPr>
          </w:p>
        </w:tc>
        <w:tc>
          <w:tcPr>
            <w:tcW w:w="1700" w:type="dxa"/>
            <w:vAlign w:val="bottom"/>
            <w:shd w:val="clear" w:color="auto" w:fill="C6D9F1"/>
          </w:tcPr>
          <w:p>
            <w:pPr>
              <w:jc w:val="right"/>
              <w:spacing w:after="0" w:line="202" w:lineRule="exact"/>
              <w:rPr>
                <w:sz w:val="20"/>
                <w:szCs w:val="20"/>
                <w:color w:val="auto"/>
              </w:rPr>
            </w:pPr>
            <w:r>
              <w:rPr>
                <w:rFonts w:ascii="Arial" w:cs="Arial" w:eastAsia="Arial" w:hAnsi="Arial"/>
                <w:sz w:val="18"/>
                <w:szCs w:val="18"/>
                <w:color w:val="auto"/>
              </w:rPr>
              <w:t>14,398</w:t>
            </w:r>
          </w:p>
        </w:tc>
      </w:tr>
      <w:tr>
        <w:trPr>
          <w:trHeight w:val="203"/>
        </w:trPr>
        <w:tc>
          <w:tcPr>
            <w:tcW w:w="3660" w:type="dxa"/>
            <w:vAlign w:val="bottom"/>
            <w:shd w:val="clear" w:color="auto" w:fill="C6D9F1"/>
          </w:tcPr>
          <w:p>
            <w:pPr>
              <w:spacing w:after="0"/>
              <w:rPr>
                <w:sz w:val="17"/>
                <w:szCs w:val="17"/>
                <w:color w:val="auto"/>
              </w:rPr>
            </w:pPr>
          </w:p>
        </w:tc>
        <w:tc>
          <w:tcPr>
            <w:tcW w:w="240" w:type="dxa"/>
            <w:vAlign w:val="bottom"/>
            <w:shd w:val="clear" w:color="auto" w:fill="C6D9F1"/>
          </w:tcPr>
          <w:p>
            <w:pPr>
              <w:spacing w:after="0"/>
              <w:rPr>
                <w:sz w:val="17"/>
                <w:szCs w:val="17"/>
                <w:color w:val="auto"/>
              </w:rPr>
            </w:pPr>
          </w:p>
        </w:tc>
        <w:tc>
          <w:tcPr>
            <w:tcW w:w="1720" w:type="dxa"/>
            <w:vAlign w:val="bottom"/>
            <w:shd w:val="clear" w:color="auto" w:fill="C6D9F1"/>
          </w:tcPr>
          <w:p>
            <w:pPr>
              <w:spacing w:after="0"/>
              <w:rPr>
                <w:sz w:val="17"/>
                <w:szCs w:val="17"/>
                <w:color w:val="auto"/>
              </w:rPr>
            </w:pPr>
          </w:p>
        </w:tc>
        <w:tc>
          <w:tcPr>
            <w:tcW w:w="220" w:type="dxa"/>
            <w:vAlign w:val="bottom"/>
            <w:shd w:val="clear" w:color="auto" w:fill="C6D9F1"/>
          </w:tcPr>
          <w:p>
            <w:pPr>
              <w:spacing w:after="0"/>
              <w:rPr>
                <w:sz w:val="17"/>
                <w:szCs w:val="17"/>
                <w:color w:val="auto"/>
              </w:rPr>
            </w:pPr>
          </w:p>
        </w:tc>
        <w:tc>
          <w:tcPr>
            <w:tcW w:w="1720" w:type="dxa"/>
            <w:vAlign w:val="bottom"/>
            <w:shd w:val="clear" w:color="auto" w:fill="C6D9F1"/>
          </w:tcPr>
          <w:p>
            <w:pPr>
              <w:spacing w:after="0"/>
              <w:rPr>
                <w:sz w:val="17"/>
                <w:szCs w:val="17"/>
                <w:color w:val="auto"/>
              </w:rPr>
            </w:pPr>
          </w:p>
        </w:tc>
        <w:tc>
          <w:tcPr>
            <w:tcW w:w="220" w:type="dxa"/>
            <w:vAlign w:val="bottom"/>
            <w:shd w:val="clear" w:color="auto" w:fill="C6D9F1"/>
          </w:tcPr>
          <w:p>
            <w:pPr>
              <w:spacing w:after="0"/>
              <w:rPr>
                <w:sz w:val="17"/>
                <w:szCs w:val="17"/>
                <w:color w:val="auto"/>
              </w:rPr>
            </w:pPr>
          </w:p>
        </w:tc>
        <w:tc>
          <w:tcPr>
            <w:tcW w:w="1940" w:type="dxa"/>
            <w:vAlign w:val="bottom"/>
            <w:gridSpan w:val="2"/>
            <w:shd w:val="clear" w:color="auto" w:fill="C6D9F1"/>
          </w:tcPr>
          <w:p>
            <w:pPr>
              <w:jc w:val="right"/>
              <w:ind w:right="220"/>
              <w:spacing w:after="0" w:line="202" w:lineRule="exact"/>
              <w:rPr>
                <w:sz w:val="20"/>
                <w:szCs w:val="20"/>
                <w:color w:val="auto"/>
              </w:rPr>
            </w:pPr>
            <w:r>
              <w:rPr>
                <w:rFonts w:ascii="Arial" w:cs="Arial" w:eastAsia="Arial" w:hAnsi="Arial"/>
                <w:sz w:val="18"/>
                <w:szCs w:val="18"/>
                <w:color w:val="auto"/>
              </w:rPr>
              <w:t>4,600</w:t>
            </w:r>
          </w:p>
        </w:tc>
        <w:tc>
          <w:tcPr>
            <w:tcW w:w="1700" w:type="dxa"/>
            <w:vAlign w:val="bottom"/>
            <w:shd w:val="clear" w:color="auto" w:fill="C6D9F1"/>
          </w:tcPr>
          <w:p>
            <w:pPr>
              <w:jc w:val="right"/>
              <w:spacing w:after="0" w:line="202" w:lineRule="exact"/>
              <w:rPr>
                <w:sz w:val="20"/>
                <w:szCs w:val="20"/>
                <w:color w:val="auto"/>
              </w:rPr>
            </w:pPr>
            <w:r>
              <w:rPr>
                <w:rFonts w:ascii="Arial" w:cs="Arial" w:eastAsia="Arial" w:hAnsi="Arial"/>
                <w:sz w:val="18"/>
                <w:szCs w:val="18"/>
                <w:color w:val="auto"/>
              </w:rPr>
              <w:t>143,980</w:t>
            </w:r>
          </w:p>
        </w:tc>
      </w:tr>
      <w:tr>
        <w:trPr>
          <w:trHeight w:val="203"/>
        </w:trPr>
        <w:tc>
          <w:tcPr>
            <w:tcW w:w="3660" w:type="dxa"/>
            <w:vAlign w:val="bottom"/>
            <w:shd w:val="clear" w:color="auto" w:fill="C6D9F1"/>
          </w:tcPr>
          <w:p>
            <w:pPr>
              <w:spacing w:after="0"/>
              <w:rPr>
                <w:sz w:val="17"/>
                <w:szCs w:val="17"/>
                <w:color w:val="auto"/>
              </w:rPr>
            </w:pPr>
          </w:p>
        </w:tc>
        <w:tc>
          <w:tcPr>
            <w:tcW w:w="240" w:type="dxa"/>
            <w:vAlign w:val="bottom"/>
            <w:shd w:val="clear" w:color="auto" w:fill="C6D9F1"/>
          </w:tcPr>
          <w:p>
            <w:pPr>
              <w:spacing w:after="0"/>
              <w:rPr>
                <w:sz w:val="17"/>
                <w:szCs w:val="17"/>
                <w:color w:val="auto"/>
              </w:rPr>
            </w:pPr>
          </w:p>
        </w:tc>
        <w:tc>
          <w:tcPr>
            <w:tcW w:w="1720" w:type="dxa"/>
            <w:vAlign w:val="bottom"/>
            <w:shd w:val="clear" w:color="auto" w:fill="C6D9F1"/>
          </w:tcPr>
          <w:p>
            <w:pPr>
              <w:spacing w:after="0"/>
              <w:rPr>
                <w:sz w:val="17"/>
                <w:szCs w:val="17"/>
                <w:color w:val="auto"/>
              </w:rPr>
            </w:pPr>
          </w:p>
        </w:tc>
        <w:tc>
          <w:tcPr>
            <w:tcW w:w="220" w:type="dxa"/>
            <w:vAlign w:val="bottom"/>
            <w:shd w:val="clear" w:color="auto" w:fill="C6D9F1"/>
          </w:tcPr>
          <w:p>
            <w:pPr>
              <w:spacing w:after="0"/>
              <w:rPr>
                <w:sz w:val="17"/>
                <w:szCs w:val="17"/>
                <w:color w:val="auto"/>
              </w:rPr>
            </w:pPr>
          </w:p>
        </w:tc>
        <w:tc>
          <w:tcPr>
            <w:tcW w:w="1720" w:type="dxa"/>
            <w:vAlign w:val="bottom"/>
            <w:shd w:val="clear" w:color="auto" w:fill="C6D9F1"/>
          </w:tcPr>
          <w:p>
            <w:pPr>
              <w:spacing w:after="0"/>
              <w:rPr>
                <w:sz w:val="17"/>
                <w:szCs w:val="17"/>
                <w:color w:val="auto"/>
              </w:rPr>
            </w:pPr>
          </w:p>
        </w:tc>
        <w:tc>
          <w:tcPr>
            <w:tcW w:w="220" w:type="dxa"/>
            <w:vAlign w:val="bottom"/>
            <w:shd w:val="clear" w:color="auto" w:fill="C6D9F1"/>
          </w:tcPr>
          <w:p>
            <w:pPr>
              <w:spacing w:after="0"/>
              <w:rPr>
                <w:sz w:val="17"/>
                <w:szCs w:val="17"/>
                <w:color w:val="auto"/>
              </w:rPr>
            </w:pPr>
          </w:p>
        </w:tc>
        <w:tc>
          <w:tcPr>
            <w:tcW w:w="1940" w:type="dxa"/>
            <w:vAlign w:val="bottom"/>
            <w:gridSpan w:val="2"/>
            <w:shd w:val="clear" w:color="auto" w:fill="C6D9F1"/>
          </w:tcPr>
          <w:p>
            <w:pPr>
              <w:jc w:val="right"/>
              <w:ind w:right="220"/>
              <w:spacing w:after="0" w:line="202" w:lineRule="exact"/>
              <w:rPr>
                <w:sz w:val="20"/>
                <w:szCs w:val="20"/>
                <w:color w:val="auto"/>
              </w:rPr>
            </w:pPr>
            <w:r>
              <w:rPr>
                <w:rFonts w:ascii="Arial" w:cs="Arial" w:eastAsia="Arial" w:hAnsi="Arial"/>
                <w:sz w:val="18"/>
                <w:szCs w:val="18"/>
                <w:color w:val="auto"/>
              </w:rPr>
              <w:t>1,150</w:t>
            </w:r>
          </w:p>
        </w:tc>
        <w:tc>
          <w:tcPr>
            <w:tcW w:w="1700" w:type="dxa"/>
            <w:vAlign w:val="bottom"/>
            <w:shd w:val="clear" w:color="auto" w:fill="C6D9F1"/>
          </w:tcPr>
          <w:p>
            <w:pPr>
              <w:jc w:val="right"/>
              <w:spacing w:after="0" w:line="202" w:lineRule="exact"/>
              <w:rPr>
                <w:sz w:val="20"/>
                <w:szCs w:val="20"/>
                <w:color w:val="auto"/>
              </w:rPr>
            </w:pPr>
            <w:r>
              <w:rPr>
                <w:rFonts w:ascii="Arial" w:cs="Arial" w:eastAsia="Arial" w:hAnsi="Arial"/>
                <w:sz w:val="18"/>
                <w:szCs w:val="18"/>
                <w:color w:val="auto"/>
              </w:rPr>
              <w:t>36,076</w:t>
            </w:r>
          </w:p>
        </w:tc>
      </w:tr>
      <w:tr>
        <w:trPr>
          <w:trHeight w:val="203"/>
        </w:trPr>
        <w:tc>
          <w:tcPr>
            <w:tcW w:w="3660" w:type="dxa"/>
            <w:vAlign w:val="bottom"/>
            <w:shd w:val="clear" w:color="auto" w:fill="C6D9F1"/>
          </w:tcPr>
          <w:p>
            <w:pPr>
              <w:spacing w:after="0"/>
              <w:rPr>
                <w:sz w:val="17"/>
                <w:szCs w:val="17"/>
                <w:color w:val="auto"/>
              </w:rPr>
            </w:pPr>
          </w:p>
        </w:tc>
        <w:tc>
          <w:tcPr>
            <w:tcW w:w="240" w:type="dxa"/>
            <w:vAlign w:val="bottom"/>
            <w:shd w:val="clear" w:color="auto" w:fill="C6D9F1"/>
          </w:tcPr>
          <w:p>
            <w:pPr>
              <w:spacing w:after="0"/>
              <w:rPr>
                <w:sz w:val="17"/>
                <w:szCs w:val="17"/>
                <w:color w:val="auto"/>
              </w:rPr>
            </w:pPr>
          </w:p>
        </w:tc>
        <w:tc>
          <w:tcPr>
            <w:tcW w:w="1720" w:type="dxa"/>
            <w:vAlign w:val="bottom"/>
            <w:shd w:val="clear" w:color="auto" w:fill="C6D9F1"/>
          </w:tcPr>
          <w:p>
            <w:pPr>
              <w:spacing w:after="0"/>
              <w:rPr>
                <w:sz w:val="17"/>
                <w:szCs w:val="17"/>
                <w:color w:val="auto"/>
              </w:rPr>
            </w:pPr>
          </w:p>
        </w:tc>
        <w:tc>
          <w:tcPr>
            <w:tcW w:w="220" w:type="dxa"/>
            <w:vAlign w:val="bottom"/>
            <w:shd w:val="clear" w:color="auto" w:fill="C6D9F1"/>
          </w:tcPr>
          <w:p>
            <w:pPr>
              <w:spacing w:after="0"/>
              <w:rPr>
                <w:sz w:val="17"/>
                <w:szCs w:val="17"/>
                <w:color w:val="auto"/>
              </w:rPr>
            </w:pPr>
          </w:p>
        </w:tc>
        <w:tc>
          <w:tcPr>
            <w:tcW w:w="1720" w:type="dxa"/>
            <w:vAlign w:val="bottom"/>
            <w:shd w:val="clear" w:color="auto" w:fill="C6D9F1"/>
          </w:tcPr>
          <w:p>
            <w:pPr>
              <w:spacing w:after="0"/>
              <w:rPr>
                <w:sz w:val="17"/>
                <w:szCs w:val="17"/>
                <w:color w:val="auto"/>
              </w:rPr>
            </w:pPr>
          </w:p>
        </w:tc>
        <w:tc>
          <w:tcPr>
            <w:tcW w:w="220" w:type="dxa"/>
            <w:vAlign w:val="bottom"/>
            <w:shd w:val="clear" w:color="auto" w:fill="C6D9F1"/>
          </w:tcPr>
          <w:p>
            <w:pPr>
              <w:spacing w:after="0"/>
              <w:rPr>
                <w:sz w:val="17"/>
                <w:szCs w:val="17"/>
                <w:color w:val="auto"/>
              </w:rPr>
            </w:pPr>
          </w:p>
        </w:tc>
        <w:tc>
          <w:tcPr>
            <w:tcW w:w="1720" w:type="dxa"/>
            <w:vAlign w:val="bottom"/>
            <w:shd w:val="clear" w:color="auto" w:fill="C6D9F1"/>
          </w:tcPr>
          <w:p>
            <w:pPr>
              <w:jc w:val="right"/>
              <w:spacing w:after="0" w:line="203" w:lineRule="exact"/>
              <w:rPr>
                <w:sz w:val="20"/>
                <w:szCs w:val="20"/>
                <w:color w:val="auto"/>
              </w:rPr>
            </w:pPr>
            <w:r>
              <w:rPr>
                <w:rFonts w:ascii="Arial" w:cs="Arial" w:eastAsia="Arial" w:hAnsi="Arial"/>
                <w:sz w:val="18"/>
                <w:szCs w:val="18"/>
                <w:color w:val="auto"/>
              </w:rPr>
              <w:t>601</w:t>
            </w:r>
          </w:p>
        </w:tc>
        <w:tc>
          <w:tcPr>
            <w:tcW w:w="220" w:type="dxa"/>
            <w:vAlign w:val="bottom"/>
            <w:shd w:val="clear" w:color="auto" w:fill="C6D9F1"/>
          </w:tcPr>
          <w:p>
            <w:pPr>
              <w:spacing w:after="0"/>
              <w:rPr>
                <w:sz w:val="17"/>
                <w:szCs w:val="17"/>
                <w:color w:val="auto"/>
              </w:rPr>
            </w:pPr>
          </w:p>
        </w:tc>
        <w:tc>
          <w:tcPr>
            <w:tcW w:w="1700" w:type="dxa"/>
            <w:vAlign w:val="bottom"/>
            <w:shd w:val="clear" w:color="auto" w:fill="C6D9F1"/>
          </w:tcPr>
          <w:p>
            <w:pPr>
              <w:jc w:val="right"/>
              <w:spacing w:after="0" w:line="203" w:lineRule="exact"/>
              <w:rPr>
                <w:sz w:val="20"/>
                <w:szCs w:val="20"/>
                <w:color w:val="auto"/>
              </w:rPr>
            </w:pPr>
            <w:r>
              <w:rPr>
                <w:rFonts w:ascii="Arial" w:cs="Arial" w:eastAsia="Arial" w:hAnsi="Arial"/>
                <w:sz w:val="18"/>
                <w:szCs w:val="18"/>
                <w:color w:val="auto"/>
              </w:rPr>
              <w:t>18,853</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Nalin Miglani</w:t>
            </w:r>
          </w:p>
        </w:tc>
        <w:tc>
          <w:tcPr>
            <w:tcW w:w="240" w:type="dxa"/>
            <w:vAlign w:val="bottom"/>
          </w:tcPr>
          <w:p>
            <w:pPr>
              <w:spacing w:after="0"/>
              <w:rPr>
                <w:sz w:val="18"/>
                <w:szCs w:val="18"/>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2,000</w:t>
            </w:r>
          </w:p>
        </w:tc>
        <w:tc>
          <w:tcPr>
            <w:tcW w:w="1700" w:type="dxa"/>
            <w:vAlign w:val="bottom"/>
          </w:tcPr>
          <w:p>
            <w:pPr>
              <w:jc w:val="right"/>
              <w:spacing w:after="0"/>
              <w:rPr>
                <w:sz w:val="20"/>
                <w:szCs w:val="20"/>
                <w:color w:val="auto"/>
              </w:rPr>
            </w:pPr>
            <w:r>
              <w:rPr>
                <w:rFonts w:ascii="Arial" w:cs="Arial" w:eastAsia="Arial" w:hAnsi="Arial"/>
                <w:sz w:val="18"/>
                <w:szCs w:val="18"/>
                <w:color w:val="auto"/>
              </w:rPr>
              <w:t>91,100</w:t>
            </w:r>
          </w:p>
        </w:tc>
      </w:tr>
      <w:tr>
        <w:trPr>
          <w:trHeight w:val="216"/>
        </w:trPr>
        <w:tc>
          <w:tcPr>
            <w:tcW w:w="3660" w:type="dxa"/>
            <w:vAlign w:val="bottom"/>
            <w:shd w:val="clear" w:color="auto" w:fill="C6D9F1"/>
          </w:tcPr>
          <w:p>
            <w:pPr>
              <w:spacing w:after="0"/>
              <w:rPr>
                <w:sz w:val="20"/>
                <w:szCs w:val="20"/>
                <w:color w:val="auto"/>
              </w:rPr>
            </w:pPr>
            <w:r>
              <w:rPr>
                <w:rFonts w:ascii="Arial" w:cs="Arial" w:eastAsia="Arial" w:hAnsi="Arial"/>
                <w:sz w:val="18"/>
                <w:szCs w:val="18"/>
                <w:color w:val="auto"/>
              </w:rPr>
              <w:t>Henry Schweppe</w:t>
            </w:r>
          </w:p>
        </w:tc>
        <w:tc>
          <w:tcPr>
            <w:tcW w:w="240" w:type="dxa"/>
            <w:vAlign w:val="bottom"/>
            <w:shd w:val="clear" w:color="auto" w:fill="C6D9F1"/>
          </w:tcPr>
          <w:p>
            <w:pPr>
              <w:spacing w:after="0"/>
              <w:rPr>
                <w:sz w:val="18"/>
                <w:szCs w:val="18"/>
                <w:color w:val="auto"/>
              </w:rPr>
            </w:pPr>
          </w:p>
        </w:tc>
        <w:tc>
          <w:tcPr>
            <w:tcW w:w="1940" w:type="dxa"/>
            <w:vAlign w:val="bottom"/>
            <w:gridSpan w:val="2"/>
            <w:shd w:val="clear" w:color="auto" w:fill="C6D9F1"/>
          </w:tcPr>
          <w:p>
            <w:pPr>
              <w:jc w:val="right"/>
              <w:ind w:right="220"/>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6D9F1"/>
          </w:tcPr>
          <w:p>
            <w:pPr>
              <w:jc w:val="right"/>
              <w:ind w:right="220"/>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6D9F1"/>
          </w:tcPr>
          <w:p>
            <w:pPr>
              <w:jc w:val="right"/>
              <w:ind w:right="220"/>
              <w:spacing w:after="0"/>
              <w:rPr>
                <w:sz w:val="20"/>
                <w:szCs w:val="20"/>
                <w:color w:val="auto"/>
              </w:rPr>
            </w:pPr>
            <w:r>
              <w:rPr>
                <w:rFonts w:ascii="Arial" w:cs="Arial" w:eastAsia="Arial" w:hAnsi="Arial"/>
                <w:sz w:val="18"/>
                <w:szCs w:val="18"/>
                <w:color w:val="auto"/>
              </w:rPr>
              <w:t>2,016</w:t>
            </w:r>
          </w:p>
        </w:tc>
        <w:tc>
          <w:tcPr>
            <w:tcW w:w="1700" w:type="dxa"/>
            <w:vAlign w:val="bottom"/>
            <w:shd w:val="clear" w:color="auto" w:fill="C6D9F1"/>
          </w:tcPr>
          <w:p>
            <w:pPr>
              <w:jc w:val="right"/>
              <w:spacing w:after="0"/>
              <w:rPr>
                <w:sz w:val="20"/>
                <w:szCs w:val="20"/>
                <w:color w:val="auto"/>
              </w:rPr>
            </w:pPr>
            <w:r>
              <w:rPr>
                <w:rFonts w:ascii="Arial" w:cs="Arial" w:eastAsia="Arial" w:hAnsi="Arial"/>
                <w:sz w:val="18"/>
                <w:szCs w:val="18"/>
                <w:color w:val="auto"/>
              </w:rPr>
              <w:t>77,576</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 For Fiscal Year 2015</w:t>
      </w:r>
    </w:p>
    <w:p>
      <w:pPr>
        <w:spacing w:after="0" w:line="220" w:lineRule="exact"/>
        <w:rPr>
          <w:sz w:val="20"/>
          <w:szCs w:val="20"/>
          <w:color w:val="auto"/>
        </w:rPr>
      </w:pPr>
    </w:p>
    <w:p>
      <w:pPr>
        <w:ind w:right="100" w:firstLine="648"/>
        <w:spacing w:after="0" w:line="246" w:lineRule="auto"/>
        <w:rPr>
          <w:sz w:val="20"/>
          <w:szCs w:val="20"/>
          <w:color w:val="auto"/>
        </w:rPr>
      </w:pPr>
      <w:r>
        <w:rPr>
          <w:rFonts w:ascii="Arial" w:cs="Arial" w:eastAsia="Arial" w:hAnsi="Arial"/>
          <w:sz w:val="18"/>
          <w:szCs w:val="18"/>
          <w:color w:val="auto"/>
        </w:rPr>
        <w:t>The following table discloses the present value of accumulated benefits payable to each of the named executive officers and the years of service credited to each named executive under the Gratuity Plan for Indian Employees as of December 31, 2015: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shd w:val="clear" w:color="auto" w:fill="5591C7"/>
          </w:tcPr>
          <w:p>
            <w:pPr>
              <w:spacing w:after="0"/>
              <w:rPr>
                <w:sz w:val="14"/>
                <w:szCs w:val="14"/>
                <w:color w:val="auto"/>
              </w:rPr>
            </w:pPr>
          </w:p>
        </w:tc>
        <w:tc>
          <w:tcPr>
            <w:tcW w:w="220" w:type="dxa"/>
            <w:vAlign w:val="bottom"/>
            <w:shd w:val="clear" w:color="auto" w:fill="5591C7"/>
          </w:tcPr>
          <w:p>
            <w:pPr>
              <w:spacing w:after="0"/>
              <w:rPr>
                <w:sz w:val="14"/>
                <w:szCs w:val="14"/>
                <w:color w:val="auto"/>
              </w:rPr>
            </w:pPr>
          </w:p>
        </w:tc>
        <w:tc>
          <w:tcPr>
            <w:tcW w:w="2880" w:type="dxa"/>
            <w:vAlign w:val="bottom"/>
            <w:shd w:val="clear" w:color="auto" w:fill="5591C7"/>
          </w:tcPr>
          <w:p>
            <w:pPr>
              <w:spacing w:after="0"/>
              <w:rPr>
                <w:sz w:val="14"/>
                <w:szCs w:val="14"/>
                <w:color w:val="auto"/>
              </w:rPr>
            </w:pPr>
          </w:p>
        </w:tc>
        <w:tc>
          <w:tcPr>
            <w:tcW w:w="220" w:type="dxa"/>
            <w:vAlign w:val="bottom"/>
            <w:shd w:val="clear" w:color="auto" w:fill="5591C7"/>
          </w:tcPr>
          <w:p>
            <w:pPr>
              <w:spacing w:after="0"/>
              <w:rPr>
                <w:sz w:val="14"/>
                <w:szCs w:val="14"/>
                <w:color w:val="auto"/>
              </w:rPr>
            </w:pPr>
          </w:p>
        </w:tc>
        <w:tc>
          <w:tcPr>
            <w:tcW w:w="1940" w:type="dxa"/>
            <w:vAlign w:val="bottom"/>
            <w:gridSpan w:val="2"/>
            <w:vMerge w:val="restart"/>
            <w:shd w:val="clear" w:color="auto" w:fill="5591C7"/>
          </w:tcPr>
          <w:p>
            <w:pPr>
              <w:ind w:left="280"/>
              <w:spacing w:after="0"/>
              <w:rPr>
                <w:sz w:val="20"/>
                <w:szCs w:val="20"/>
                <w:color w:val="auto"/>
              </w:rPr>
            </w:pPr>
            <w:r>
              <w:rPr>
                <w:rFonts w:ascii="Arial" w:cs="Arial" w:eastAsia="Arial" w:hAnsi="Arial"/>
                <w:sz w:val="14"/>
                <w:szCs w:val="14"/>
                <w:b w:val="1"/>
                <w:bCs w:val="1"/>
                <w:color w:val="auto"/>
              </w:rPr>
              <w:t>Number of Years</w:t>
            </w:r>
          </w:p>
        </w:tc>
        <w:tc>
          <w:tcPr>
            <w:tcW w:w="1940" w:type="dxa"/>
            <w:vAlign w:val="bottom"/>
            <w:gridSpan w:val="2"/>
            <w:shd w:val="clear" w:color="auto" w:fill="5591C7"/>
          </w:tcPr>
          <w:p>
            <w:pPr>
              <w:jc w:val="center"/>
              <w:ind w:right="200"/>
              <w:spacing w:after="0"/>
              <w:rPr>
                <w:sz w:val="20"/>
                <w:szCs w:val="20"/>
                <w:color w:val="auto"/>
              </w:rPr>
            </w:pPr>
            <w:r>
              <w:rPr>
                <w:rFonts w:ascii="Arial" w:cs="Arial" w:eastAsia="Arial" w:hAnsi="Arial"/>
                <w:sz w:val="14"/>
                <w:szCs w:val="14"/>
                <w:b w:val="1"/>
                <w:bCs w:val="1"/>
                <w:color w:val="auto"/>
              </w:rPr>
              <w:t>Present Value</w:t>
            </w:r>
          </w:p>
        </w:tc>
        <w:tc>
          <w:tcPr>
            <w:tcW w:w="1700" w:type="dxa"/>
            <w:vAlign w:val="bottom"/>
            <w:shd w:val="clear" w:color="auto" w:fill="5591C7"/>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20" w:type="dxa"/>
            <w:vAlign w:val="bottom"/>
            <w:shd w:val="clear" w:color="auto" w:fill="5591C7"/>
          </w:tcPr>
          <w:p>
            <w:pPr>
              <w:spacing w:after="0"/>
              <w:rPr>
                <w:sz w:val="12"/>
                <w:szCs w:val="12"/>
                <w:color w:val="auto"/>
              </w:rPr>
            </w:pPr>
          </w:p>
        </w:tc>
        <w:tc>
          <w:tcPr>
            <w:tcW w:w="220" w:type="dxa"/>
            <w:vAlign w:val="bottom"/>
            <w:shd w:val="clear" w:color="auto" w:fill="5591C7"/>
          </w:tcPr>
          <w:p>
            <w:pPr>
              <w:spacing w:after="0"/>
              <w:rPr>
                <w:sz w:val="12"/>
                <w:szCs w:val="12"/>
                <w:color w:val="auto"/>
              </w:rPr>
            </w:pPr>
          </w:p>
        </w:tc>
        <w:tc>
          <w:tcPr>
            <w:tcW w:w="2880" w:type="dxa"/>
            <w:vAlign w:val="bottom"/>
            <w:shd w:val="clear" w:color="auto" w:fill="5591C7"/>
          </w:tcPr>
          <w:p>
            <w:pPr>
              <w:spacing w:after="0"/>
              <w:rPr>
                <w:sz w:val="12"/>
                <w:szCs w:val="12"/>
                <w:color w:val="auto"/>
              </w:rPr>
            </w:pPr>
          </w:p>
        </w:tc>
        <w:tc>
          <w:tcPr>
            <w:tcW w:w="220" w:type="dxa"/>
            <w:vAlign w:val="bottom"/>
            <w:shd w:val="clear" w:color="auto" w:fill="5591C7"/>
          </w:tcPr>
          <w:p>
            <w:pPr>
              <w:spacing w:after="0"/>
              <w:rPr>
                <w:sz w:val="12"/>
                <w:szCs w:val="12"/>
                <w:color w:val="auto"/>
              </w:rPr>
            </w:pPr>
          </w:p>
        </w:tc>
        <w:tc>
          <w:tcPr>
            <w:tcW w:w="1940" w:type="dxa"/>
            <w:vAlign w:val="bottom"/>
            <w:gridSpan w:val="2"/>
            <w:vMerge w:val="continue"/>
            <w:shd w:val="clear" w:color="auto" w:fill="5591C7"/>
          </w:tcPr>
          <w:p>
            <w:pPr>
              <w:spacing w:after="0"/>
              <w:rPr>
                <w:sz w:val="12"/>
                <w:szCs w:val="12"/>
                <w:color w:val="auto"/>
              </w:rPr>
            </w:pPr>
          </w:p>
        </w:tc>
        <w:tc>
          <w:tcPr>
            <w:tcW w:w="1940" w:type="dxa"/>
            <w:vAlign w:val="bottom"/>
            <w:gridSpan w:val="2"/>
            <w:shd w:val="clear" w:color="auto" w:fill="5591C7"/>
          </w:tcPr>
          <w:p>
            <w:pPr>
              <w:jc w:val="center"/>
              <w:ind w:right="220"/>
              <w:spacing w:after="0" w:line="149" w:lineRule="exact"/>
              <w:rPr>
                <w:sz w:val="20"/>
                <w:szCs w:val="20"/>
                <w:color w:val="auto"/>
              </w:rPr>
            </w:pPr>
            <w:r>
              <w:rPr>
                <w:rFonts w:ascii="Arial" w:cs="Arial" w:eastAsia="Arial" w:hAnsi="Arial"/>
                <w:sz w:val="14"/>
                <w:szCs w:val="14"/>
                <w:b w:val="1"/>
                <w:bCs w:val="1"/>
                <w:color w:val="auto"/>
              </w:rPr>
              <w:t>of Accumulated</w:t>
            </w:r>
          </w:p>
        </w:tc>
        <w:tc>
          <w:tcPr>
            <w:tcW w:w="1700" w:type="dxa"/>
            <w:vAlign w:val="bottom"/>
            <w:shd w:val="clear" w:color="auto" w:fill="5591C7"/>
          </w:tcPr>
          <w:p>
            <w:pPr>
              <w:jc w:val="center"/>
              <w:spacing w:after="0" w:line="149" w:lineRule="exact"/>
              <w:rPr>
                <w:sz w:val="20"/>
                <w:szCs w:val="20"/>
                <w:color w:val="auto"/>
              </w:rPr>
            </w:pPr>
            <w:r>
              <w:rPr>
                <w:rFonts w:ascii="Arial" w:cs="Arial" w:eastAsia="Arial" w:hAnsi="Arial"/>
                <w:sz w:val="14"/>
                <w:szCs w:val="14"/>
                <w:b w:val="1"/>
                <w:bCs w:val="1"/>
                <w:color w:val="auto"/>
              </w:rPr>
              <w:t>Payments During</w:t>
            </w:r>
          </w:p>
        </w:tc>
        <w:tc>
          <w:tcPr>
            <w:tcW w:w="0" w:type="dxa"/>
            <w:vAlign w:val="bottom"/>
          </w:tcPr>
          <w:p>
            <w:pPr>
              <w:spacing w:after="0"/>
              <w:rPr>
                <w:sz w:val="1"/>
                <w:szCs w:val="1"/>
                <w:color w:val="auto"/>
              </w:rPr>
            </w:pPr>
          </w:p>
        </w:tc>
      </w:tr>
      <w:tr>
        <w:trPr>
          <w:trHeight w:val="162"/>
        </w:trPr>
        <w:tc>
          <w:tcPr>
            <w:tcW w:w="2520" w:type="dxa"/>
            <w:vAlign w:val="bottom"/>
            <w:shd w:val="clear" w:color="auto" w:fill="5591C7"/>
          </w:tcPr>
          <w:p>
            <w:pPr>
              <w:spacing w:after="0"/>
              <w:rPr>
                <w:sz w:val="14"/>
                <w:szCs w:val="14"/>
                <w:color w:val="auto"/>
              </w:rPr>
            </w:pPr>
          </w:p>
        </w:tc>
        <w:tc>
          <w:tcPr>
            <w:tcW w:w="220" w:type="dxa"/>
            <w:vAlign w:val="bottom"/>
            <w:shd w:val="clear" w:color="auto" w:fill="5591C7"/>
          </w:tcPr>
          <w:p>
            <w:pPr>
              <w:spacing w:after="0"/>
              <w:rPr>
                <w:sz w:val="14"/>
                <w:szCs w:val="14"/>
                <w:color w:val="auto"/>
              </w:rPr>
            </w:pPr>
          </w:p>
        </w:tc>
        <w:tc>
          <w:tcPr>
            <w:tcW w:w="2880" w:type="dxa"/>
            <w:vAlign w:val="bottom"/>
            <w:shd w:val="clear" w:color="auto" w:fill="5591C7"/>
          </w:tcPr>
          <w:p>
            <w:pPr>
              <w:spacing w:after="0"/>
              <w:rPr>
                <w:sz w:val="14"/>
                <w:szCs w:val="14"/>
                <w:color w:val="auto"/>
              </w:rPr>
            </w:pPr>
          </w:p>
        </w:tc>
        <w:tc>
          <w:tcPr>
            <w:tcW w:w="220" w:type="dxa"/>
            <w:vAlign w:val="bottom"/>
            <w:shd w:val="clear" w:color="auto" w:fill="5591C7"/>
          </w:tcPr>
          <w:p>
            <w:pPr>
              <w:spacing w:after="0"/>
              <w:rPr>
                <w:sz w:val="14"/>
                <w:szCs w:val="14"/>
                <w:color w:val="auto"/>
              </w:rPr>
            </w:pPr>
          </w:p>
        </w:tc>
        <w:tc>
          <w:tcPr>
            <w:tcW w:w="1940" w:type="dxa"/>
            <w:vAlign w:val="bottom"/>
            <w:gridSpan w:val="2"/>
            <w:shd w:val="clear" w:color="auto" w:fill="5591C7"/>
          </w:tcPr>
          <w:p>
            <w:pPr>
              <w:ind w:left="300"/>
              <w:spacing w:after="0"/>
              <w:rPr>
                <w:sz w:val="20"/>
                <w:szCs w:val="20"/>
                <w:color w:val="auto"/>
              </w:rPr>
            </w:pPr>
            <w:r>
              <w:rPr>
                <w:rFonts w:ascii="Arial" w:cs="Arial" w:eastAsia="Arial" w:hAnsi="Arial"/>
                <w:sz w:val="14"/>
                <w:szCs w:val="14"/>
                <w:b w:val="1"/>
                <w:bCs w:val="1"/>
                <w:color w:val="auto"/>
              </w:rPr>
              <w:t>Credited Service</w:t>
            </w:r>
          </w:p>
        </w:tc>
        <w:tc>
          <w:tcPr>
            <w:tcW w:w="1940" w:type="dxa"/>
            <w:vAlign w:val="bottom"/>
            <w:gridSpan w:val="2"/>
            <w:shd w:val="clear" w:color="auto" w:fill="5591C7"/>
          </w:tcPr>
          <w:p>
            <w:pPr>
              <w:jc w:val="center"/>
              <w:ind w:right="220"/>
              <w:spacing w:after="0"/>
              <w:rPr>
                <w:sz w:val="20"/>
                <w:szCs w:val="20"/>
                <w:color w:val="auto"/>
              </w:rPr>
            </w:pPr>
            <w:r>
              <w:rPr>
                <w:rFonts w:ascii="Arial" w:cs="Arial" w:eastAsia="Arial" w:hAnsi="Arial"/>
                <w:sz w:val="14"/>
                <w:szCs w:val="14"/>
                <w:b w:val="1"/>
                <w:bCs w:val="1"/>
                <w:color w:val="auto"/>
              </w:rPr>
              <w:t>Benefit</w:t>
            </w:r>
          </w:p>
        </w:tc>
        <w:tc>
          <w:tcPr>
            <w:tcW w:w="170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Last Fiscal Year</w:t>
            </w:r>
          </w:p>
        </w:tc>
        <w:tc>
          <w:tcPr>
            <w:tcW w:w="0" w:type="dxa"/>
            <w:vAlign w:val="bottom"/>
          </w:tcPr>
          <w:p>
            <w:pPr>
              <w:spacing w:after="0"/>
              <w:rPr>
                <w:sz w:val="1"/>
                <w:szCs w:val="1"/>
                <w:color w:val="auto"/>
              </w:rPr>
            </w:pPr>
          </w:p>
        </w:tc>
      </w:tr>
      <w:tr>
        <w:trPr>
          <w:trHeight w:val="189"/>
        </w:trPr>
        <w:tc>
          <w:tcPr>
            <w:tcW w:w="2740" w:type="dxa"/>
            <w:vAlign w:val="bottom"/>
            <w:gridSpan w:val="2"/>
            <w:shd w:val="clear" w:color="auto" w:fill="5591C7"/>
          </w:tcPr>
          <w:p>
            <w:pPr>
              <w:ind w:left="1060"/>
              <w:spacing w:after="0"/>
              <w:rPr>
                <w:sz w:val="20"/>
                <w:szCs w:val="20"/>
                <w:color w:val="auto"/>
              </w:rPr>
            </w:pPr>
            <w:r>
              <w:rPr>
                <w:rFonts w:ascii="Arial" w:cs="Arial" w:eastAsia="Arial" w:hAnsi="Arial"/>
                <w:sz w:val="14"/>
                <w:szCs w:val="14"/>
                <w:b w:val="1"/>
                <w:bCs w:val="1"/>
                <w:color w:val="auto"/>
              </w:rPr>
              <w:t>Name</w:t>
            </w:r>
          </w:p>
        </w:tc>
        <w:tc>
          <w:tcPr>
            <w:tcW w:w="3100" w:type="dxa"/>
            <w:vAlign w:val="bottom"/>
            <w:gridSpan w:val="2"/>
            <w:shd w:val="clear" w:color="auto" w:fill="5591C7"/>
          </w:tcPr>
          <w:p>
            <w:pPr>
              <w:jc w:val="center"/>
              <w:ind w:right="220"/>
              <w:spacing w:after="0"/>
              <w:rPr>
                <w:sz w:val="20"/>
                <w:szCs w:val="20"/>
                <w:color w:val="auto"/>
              </w:rPr>
            </w:pPr>
            <w:r>
              <w:rPr>
                <w:rFonts w:ascii="Arial" w:cs="Arial" w:eastAsia="Arial" w:hAnsi="Arial"/>
                <w:sz w:val="14"/>
                <w:szCs w:val="14"/>
                <w:b w:val="1"/>
                <w:bCs w:val="1"/>
                <w:color w:val="auto"/>
              </w:rPr>
              <w:t>Plan Name</w:t>
            </w:r>
          </w:p>
        </w:tc>
        <w:tc>
          <w:tcPr>
            <w:tcW w:w="1720" w:type="dxa"/>
            <w:vAlign w:val="bottom"/>
            <w:shd w:val="clear" w:color="auto" w:fill="5591C7"/>
          </w:tcPr>
          <w:p>
            <w:pPr>
              <w:jc w:val="center"/>
              <w:spacing w:after="0" w:line="189" w:lineRule="exact"/>
              <w:rPr>
                <w:sz w:val="20"/>
                <w:szCs w:val="20"/>
                <w:color w:val="auto"/>
              </w:rPr>
            </w:pPr>
            <w:r>
              <w:rPr>
                <w:rFonts w:ascii="Arial" w:cs="Arial" w:eastAsia="Arial" w:hAnsi="Arial"/>
                <w:sz w:val="13"/>
                <w:szCs w:val="13"/>
                <w:b w:val="1"/>
                <w:bCs w:val="1"/>
                <w:color w:val="auto"/>
                <w:w w:val="96"/>
              </w:rPr>
              <w:t>(#)</w:t>
            </w:r>
            <w:r>
              <w:rPr>
                <w:rFonts w:ascii="Arial" w:cs="Arial" w:eastAsia="Arial" w:hAnsi="Arial"/>
                <w:sz w:val="21"/>
                <w:szCs w:val="21"/>
                <w:b w:val="1"/>
                <w:bCs w:val="1"/>
                <w:color w:val="auto"/>
                <w:w w:val="96"/>
                <w:vertAlign w:val="superscript"/>
              </w:rPr>
              <w:t>(1)</w:t>
            </w:r>
          </w:p>
        </w:tc>
        <w:tc>
          <w:tcPr>
            <w:tcW w:w="220" w:type="dxa"/>
            <w:vAlign w:val="bottom"/>
            <w:shd w:val="clear" w:color="auto" w:fill="5591C7"/>
          </w:tcPr>
          <w:p>
            <w:pPr>
              <w:spacing w:after="0"/>
              <w:rPr>
                <w:sz w:val="16"/>
                <w:szCs w:val="16"/>
                <w:color w:val="auto"/>
              </w:rPr>
            </w:pPr>
          </w:p>
        </w:tc>
        <w:tc>
          <w:tcPr>
            <w:tcW w:w="172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5591C7"/>
          </w:tcPr>
          <w:p>
            <w:pPr>
              <w:spacing w:after="0"/>
              <w:rPr>
                <w:sz w:val="16"/>
                <w:szCs w:val="16"/>
                <w:color w:val="auto"/>
              </w:rPr>
            </w:pPr>
          </w:p>
        </w:tc>
        <w:tc>
          <w:tcPr>
            <w:tcW w:w="170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2520" w:type="dxa"/>
            <w:vAlign w:val="bottom"/>
            <w:tcBorders>
              <w:top w:val="single" w:sz="8" w:color="auto"/>
            </w:tcBorders>
            <w:shd w:val="clear" w:color="auto" w:fill="C6D9F1"/>
          </w:tcPr>
          <w:p>
            <w:pPr>
              <w:spacing w:after="0" w:line="196" w:lineRule="exact"/>
              <w:rPr>
                <w:sz w:val="20"/>
                <w:szCs w:val="20"/>
                <w:color w:val="auto"/>
              </w:rPr>
            </w:pPr>
            <w:r>
              <w:rPr>
                <w:rFonts w:ascii="Arial" w:cs="Arial" w:eastAsia="Arial" w:hAnsi="Arial"/>
                <w:sz w:val="18"/>
                <w:szCs w:val="18"/>
                <w:color w:val="auto"/>
              </w:rPr>
              <w:t>Vishal Chhibbar</w:t>
            </w:r>
          </w:p>
        </w:tc>
        <w:tc>
          <w:tcPr>
            <w:tcW w:w="220" w:type="dxa"/>
            <w:vAlign w:val="bottom"/>
            <w:tcBorders>
              <w:top w:val="single" w:sz="8" w:color="C6D9F1"/>
            </w:tcBorders>
            <w:shd w:val="clear" w:color="auto" w:fill="C6D9F1"/>
          </w:tcPr>
          <w:p>
            <w:pPr>
              <w:spacing w:after="0"/>
              <w:rPr>
                <w:sz w:val="17"/>
                <w:szCs w:val="17"/>
                <w:color w:val="auto"/>
              </w:rPr>
            </w:pPr>
          </w:p>
        </w:tc>
        <w:tc>
          <w:tcPr>
            <w:tcW w:w="2880" w:type="dxa"/>
            <w:vAlign w:val="bottom"/>
            <w:tcBorders>
              <w:top w:val="single" w:sz="8" w:color="auto"/>
            </w:tcBorders>
            <w:shd w:val="clear" w:color="auto" w:fill="C6D9F1"/>
          </w:tcPr>
          <w:p>
            <w:pPr>
              <w:jc w:val="center"/>
              <w:spacing w:after="0" w:line="196" w:lineRule="exact"/>
              <w:rPr>
                <w:sz w:val="20"/>
                <w:szCs w:val="20"/>
                <w:color w:val="auto"/>
              </w:rPr>
            </w:pPr>
            <w:r>
              <w:rPr>
                <w:rFonts w:ascii="Arial" w:cs="Arial" w:eastAsia="Arial" w:hAnsi="Arial"/>
                <w:sz w:val="18"/>
                <w:szCs w:val="18"/>
                <w:color w:val="auto"/>
                <w:w w:val="99"/>
              </w:rPr>
              <w:t>Gratuity Plan for Indian Employees</w:t>
            </w:r>
          </w:p>
        </w:tc>
        <w:tc>
          <w:tcPr>
            <w:tcW w:w="220" w:type="dxa"/>
            <w:vAlign w:val="bottom"/>
            <w:tcBorders>
              <w:top w:val="single" w:sz="8" w:color="C6D9F1"/>
            </w:tcBorders>
            <w:shd w:val="clear" w:color="auto" w:fill="C6D9F1"/>
          </w:tcPr>
          <w:p>
            <w:pPr>
              <w:spacing w:after="0"/>
              <w:rPr>
                <w:sz w:val="17"/>
                <w:szCs w:val="17"/>
                <w:color w:val="auto"/>
              </w:rPr>
            </w:pPr>
          </w:p>
        </w:tc>
        <w:tc>
          <w:tcPr>
            <w:tcW w:w="1720" w:type="dxa"/>
            <w:vAlign w:val="bottom"/>
            <w:tcBorders>
              <w:top w:val="single" w:sz="8" w:color="auto"/>
            </w:tcBorders>
            <w:shd w:val="clear" w:color="auto" w:fill="C6D9F1"/>
          </w:tcPr>
          <w:p>
            <w:pPr>
              <w:jc w:val="center"/>
              <w:spacing w:after="0" w:line="196" w:lineRule="exact"/>
              <w:rPr>
                <w:sz w:val="20"/>
                <w:szCs w:val="20"/>
                <w:color w:val="auto"/>
              </w:rPr>
            </w:pPr>
            <w:r>
              <w:rPr>
                <w:rFonts w:ascii="Arial" w:cs="Arial" w:eastAsia="Arial" w:hAnsi="Arial"/>
                <w:sz w:val="18"/>
                <w:szCs w:val="18"/>
                <w:color w:val="auto"/>
              </w:rPr>
              <w:t>7</w:t>
            </w:r>
          </w:p>
        </w:tc>
        <w:tc>
          <w:tcPr>
            <w:tcW w:w="220" w:type="dxa"/>
            <w:vAlign w:val="bottom"/>
            <w:tcBorders>
              <w:top w:val="single" w:sz="8" w:color="C6D9F1"/>
            </w:tcBorders>
            <w:shd w:val="clear" w:color="auto" w:fill="C6D9F1"/>
          </w:tcPr>
          <w:p>
            <w:pPr>
              <w:spacing w:after="0"/>
              <w:rPr>
                <w:sz w:val="17"/>
                <w:szCs w:val="17"/>
                <w:color w:val="auto"/>
              </w:rPr>
            </w:pPr>
          </w:p>
        </w:tc>
        <w:tc>
          <w:tcPr>
            <w:tcW w:w="1720" w:type="dxa"/>
            <w:vAlign w:val="bottom"/>
            <w:tcBorders>
              <w:top w:val="single" w:sz="8" w:color="auto"/>
            </w:tcBorders>
            <w:shd w:val="clear" w:color="auto" w:fill="C6D9F1"/>
          </w:tcPr>
          <w:p>
            <w:pPr>
              <w:jc w:val="right"/>
              <w:spacing w:after="0" w:line="196" w:lineRule="exact"/>
              <w:rPr>
                <w:sz w:val="20"/>
                <w:szCs w:val="20"/>
                <w:color w:val="auto"/>
              </w:rPr>
            </w:pPr>
            <w:r>
              <w:rPr>
                <w:rFonts w:ascii="Arial" w:cs="Arial" w:eastAsia="Arial" w:hAnsi="Arial"/>
                <w:sz w:val="18"/>
                <w:szCs w:val="18"/>
                <w:color w:val="auto"/>
              </w:rPr>
              <w:t>44,643</w:t>
            </w:r>
          </w:p>
        </w:tc>
        <w:tc>
          <w:tcPr>
            <w:tcW w:w="220" w:type="dxa"/>
            <w:vAlign w:val="bottom"/>
            <w:tcBorders>
              <w:top w:val="single" w:sz="8" w:color="C6D9F1"/>
            </w:tcBorders>
            <w:shd w:val="clear" w:color="auto" w:fill="C6D9F1"/>
          </w:tcPr>
          <w:p>
            <w:pPr>
              <w:spacing w:after="0"/>
              <w:rPr>
                <w:sz w:val="17"/>
                <w:szCs w:val="17"/>
                <w:color w:val="auto"/>
              </w:rPr>
            </w:pPr>
          </w:p>
        </w:tc>
        <w:tc>
          <w:tcPr>
            <w:tcW w:w="1700" w:type="dxa"/>
            <w:vAlign w:val="bottom"/>
            <w:tcBorders>
              <w:top w:val="single" w:sz="8" w:color="auto"/>
            </w:tcBorders>
            <w:shd w:val="clear" w:color="auto" w:fill="C6D9F1"/>
          </w:tcPr>
          <w:p>
            <w:pPr>
              <w:ind w:left="1520"/>
              <w:spacing w:after="0" w:line="196" w:lineRule="exact"/>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30"/>
        </w:trPr>
        <w:tc>
          <w:tcPr>
            <w:tcW w:w="2740" w:type="dxa"/>
            <w:vAlign w:val="bottom"/>
            <w:gridSpan w:val="2"/>
          </w:tcPr>
          <w:p>
            <w:pPr>
              <w:spacing w:after="0"/>
              <w:rPr>
                <w:sz w:val="20"/>
                <w:szCs w:val="20"/>
                <w:color w:val="auto"/>
              </w:rPr>
            </w:pPr>
            <w:r>
              <w:rPr>
                <w:rFonts w:ascii="Arial" w:cs="Arial" w:eastAsia="Arial" w:hAnsi="Arial"/>
                <w:sz w:val="18"/>
                <w:szCs w:val="18"/>
                <w:color w:val="auto"/>
              </w:rPr>
              <w:t>Pavan Bagai</w:t>
            </w:r>
          </w:p>
        </w:tc>
        <w:tc>
          <w:tcPr>
            <w:tcW w:w="310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Gratuity Plan for Indian Employees</w:t>
            </w: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13</w:t>
            </w:r>
          </w:p>
        </w:tc>
        <w:tc>
          <w:tcPr>
            <w:tcW w:w="220" w:type="dxa"/>
            <w:vAlign w:val="bottom"/>
          </w:tcPr>
          <w:p>
            <w:pPr>
              <w:spacing w:after="0"/>
              <w:rPr>
                <w:sz w:val="19"/>
                <w:szCs w:val="19"/>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70,437</w:t>
            </w:r>
          </w:p>
        </w:tc>
        <w:tc>
          <w:tcPr>
            <w:tcW w:w="1700" w:type="dxa"/>
            <w:vAlign w:val="bottom"/>
          </w:tcPr>
          <w:p>
            <w:pPr>
              <w:ind w:left="152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660" w:right="160" w:hanging="328"/>
        <w:spacing w:after="0" w:line="253" w:lineRule="auto"/>
        <w:tabs>
          <w:tab w:leader="none" w:pos="6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Consists of the number of years of service credited as of December 31, 2015 for the purpose of determining benefit service under the Gratuity Plan. Credited service is determined based on the completed years of continuous employment (rounded to the nearest whole number of years) with the Company since the executive’s date of hire.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59" w:right="239" w:bottom="1440" w:gutter="0" w:footer="0" w:header="0"/>
        </w:sectPr>
      </w:pPr>
    </w:p>
    <w:bookmarkStart w:id="59" w:name="page60"/>
    <w:bookmarkEnd w:id="59"/>
    <w:p>
      <w:pPr>
        <w:ind w:left="660" w:right="20" w:hanging="328"/>
        <w:spacing w:after="0" w:line="244" w:lineRule="auto"/>
        <w:tabs>
          <w:tab w:leader="none" w:pos="660" w:val="left"/>
        </w:tabs>
        <w:numPr>
          <w:ilvl w:val="0"/>
          <w:numId w:val="61"/>
        </w:numPr>
        <w:rPr>
          <w:rFonts w:ascii="Arial" w:cs="Arial" w:eastAsia="Arial" w:hAnsi="Arial"/>
          <w:sz w:val="14"/>
          <w:szCs w:val="14"/>
          <w:color w:val="auto"/>
        </w:rPr>
      </w:pPr>
      <w:r>
        <w:rPr>
          <w:rFonts w:ascii="Arial" w:cs="Arial" w:eastAsia="Arial" w:hAnsi="Arial"/>
          <w:sz w:val="14"/>
          <w:szCs w:val="14"/>
          <w:color w:val="auto"/>
        </w:rPr>
        <w:t>Liabilities with regard to the Gratuity Plans are determined by actuarial valuation using the projected unit credit method. Under this method, we determine our liability based upon the discounted value of salary increases until the date of separation arising from retirement, death, resignation or other termination of services. Critical assumptions used in measuring the plan expense and projected liability under the projected unit credit method include the discount rate, expected return on assets and the expected increase in the compensation rates. Details regarding the assumptions used in the calculation of these amounts are included in footnote 11 to the audited financial statements for the fiscal year ended December 31, 2015 included in our Annual Report on Form 10-K filed with the Securities and Exchange Commission on February 26, 2016.</w:t>
      </w:r>
    </w:p>
    <w:p>
      <w:pPr>
        <w:spacing w:after="0" w:line="187"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We are required to provide all Indian employees with benefits under the Gratuity Plan, a defined benefit pension plan in India. Distributions from the Gratuity Plan are made in a single lump sum following retirement from the Company. An executive’s benefit under the Gratuity Plan is determined at any time as the executive’s annual base salary (determined based on the executive’s most recent monthly base salary) divided by 26, multiplied by 15, and the product multiplied by the executive’s completed years of continuous service with the Company. An executive has a vested and nonforfeitable right to payment of his accrued Gratuity Plan benefit only after five years of service. The present value of Mr. Chhibbar’s and Mr. Bagai’s accumulated benefits has been determined based on their monthly basic salary rates in effect on December 31, 2015, which were approximately $11,054 and $9,392, respectively.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 at Fiscal 2015 Year-End</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Rohit Kapoor</w:t>
      </w:r>
    </w:p>
    <w:p>
      <w:pPr>
        <w:spacing w:after="0" w:line="198" w:lineRule="exact"/>
        <w:rPr>
          <w:sz w:val="20"/>
          <w:szCs w:val="20"/>
          <w:color w:val="auto"/>
        </w:rPr>
      </w:pPr>
    </w:p>
    <w:p>
      <w:pPr>
        <w:ind w:right="240" w:firstLine="648"/>
        <w:spacing w:after="0" w:line="267" w:lineRule="auto"/>
        <w:rPr>
          <w:sz w:val="20"/>
          <w:szCs w:val="20"/>
          <w:color w:val="auto"/>
        </w:rPr>
      </w:pPr>
      <w:r>
        <w:rPr>
          <w:rFonts w:ascii="Arial" w:cs="Arial" w:eastAsia="Arial" w:hAnsi="Arial"/>
          <w:sz w:val="18"/>
          <w:szCs w:val="18"/>
          <w:i w:val="1"/>
          <w:iCs w:val="1"/>
          <w:color w:val="auto"/>
        </w:rPr>
        <w:t>Cash Severance</w:t>
      </w:r>
      <w:r>
        <w:rPr>
          <w:rFonts w:ascii="Arial" w:cs="Arial" w:eastAsia="Arial" w:hAnsi="Arial"/>
          <w:sz w:val="18"/>
          <w:szCs w:val="18"/>
          <w:color w:val="auto"/>
        </w:rPr>
        <w:t>. If Mr. Kapoor’s employment were terminated by us without “cause” or by the executive for “good reason” (in each</w:t>
      </w:r>
      <w:r>
        <w:rPr>
          <w:rFonts w:ascii="Arial" w:cs="Arial" w:eastAsia="Arial" w:hAnsi="Arial"/>
          <w:sz w:val="18"/>
          <w:szCs w:val="18"/>
          <w:i w:val="1"/>
          <w:iCs w:val="1"/>
          <w:color w:val="auto"/>
        </w:rPr>
        <w:t xml:space="preserve"> </w:t>
      </w:r>
      <w:r>
        <w:rPr>
          <w:rFonts w:ascii="Arial" w:cs="Arial" w:eastAsia="Arial" w:hAnsi="Arial"/>
          <w:sz w:val="18"/>
          <w:szCs w:val="18"/>
          <w:color w:val="auto"/>
        </w:rPr>
        <w:t>case, as described below) on December 31, 2015, he would have been entitled to cash severance consisting of:</w:t>
      </w:r>
    </w:p>
    <w:p>
      <w:pPr>
        <w:spacing w:after="0" w:line="165" w:lineRule="exact"/>
        <w:rPr>
          <w:sz w:val="20"/>
          <w:szCs w:val="20"/>
          <w:color w:val="auto"/>
        </w:rPr>
      </w:pPr>
    </w:p>
    <w:p>
      <w:pPr>
        <w:ind w:left="1200" w:hanging="297"/>
        <w:spacing w:after="0"/>
        <w:tabs>
          <w:tab w:leader="none" w:pos="12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continuation of his base salary for 24 months;</w:t>
      </w:r>
    </w:p>
    <w:p>
      <w:pPr>
        <w:spacing w:after="0" w:line="211" w:lineRule="exact"/>
        <w:rPr>
          <w:rFonts w:ascii="Arial" w:cs="Arial" w:eastAsia="Arial" w:hAnsi="Arial"/>
          <w:sz w:val="18"/>
          <w:szCs w:val="18"/>
          <w:color w:val="auto"/>
        </w:rPr>
      </w:pPr>
    </w:p>
    <w:p>
      <w:pPr>
        <w:ind w:left="580" w:right="820" w:firstLine="323"/>
        <w:spacing w:after="0" w:line="262" w:lineRule="auto"/>
        <w:tabs>
          <w:tab w:leader="none" w:pos="1199" w:val="left"/>
        </w:tabs>
        <w:numPr>
          <w:ilvl w:val="0"/>
          <w:numId w:val="62"/>
        </w:numPr>
        <w:rPr>
          <w:rFonts w:ascii="Arial" w:cs="Arial" w:eastAsia="Arial" w:hAnsi="Arial"/>
          <w:sz w:val="18"/>
          <w:szCs w:val="18"/>
          <w:color w:val="auto"/>
        </w:rPr>
      </w:pPr>
      <w:r>
        <w:rPr>
          <w:rFonts w:ascii="Arial" w:cs="Arial" w:eastAsia="Arial" w:hAnsi="Arial"/>
          <w:sz w:val="18"/>
          <w:szCs w:val="18"/>
          <w:color w:val="auto"/>
        </w:rPr>
        <w:t>his actual bonus, if any, earned for the year of termination, determined as if he had been employed for the full year of termination, paid ratably over the remaining period of base salary payments;</w:t>
      </w:r>
    </w:p>
    <w:p>
      <w:pPr>
        <w:spacing w:after="0" w:line="169" w:lineRule="exact"/>
        <w:rPr>
          <w:rFonts w:ascii="Arial" w:cs="Arial" w:eastAsia="Arial" w:hAnsi="Arial"/>
          <w:sz w:val="18"/>
          <w:szCs w:val="18"/>
          <w:color w:val="auto"/>
        </w:rPr>
      </w:pPr>
    </w:p>
    <w:p>
      <w:pPr>
        <w:ind w:left="1200" w:hanging="297"/>
        <w:spacing w:after="0"/>
        <w:tabs>
          <w:tab w:leader="none" w:pos="12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unpaid bonus amounts from prior periods;</w:t>
      </w:r>
    </w:p>
    <w:p>
      <w:pPr>
        <w:spacing w:after="0" w:line="211" w:lineRule="exact"/>
        <w:rPr>
          <w:rFonts w:ascii="Arial" w:cs="Arial" w:eastAsia="Arial" w:hAnsi="Arial"/>
          <w:sz w:val="18"/>
          <w:szCs w:val="18"/>
          <w:color w:val="auto"/>
        </w:rPr>
      </w:pPr>
    </w:p>
    <w:p>
      <w:pPr>
        <w:ind w:left="1200" w:hanging="297"/>
        <w:spacing w:after="0"/>
        <w:tabs>
          <w:tab w:leader="none" w:pos="12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accrued but unpaid base salary and vacation days or unreimbursed expenses</w:t>
      </w:r>
    </w:p>
    <w:p>
      <w:pPr>
        <w:spacing w:after="0" w:line="211" w:lineRule="exact"/>
        <w:rPr>
          <w:rFonts w:ascii="Arial" w:cs="Arial" w:eastAsia="Arial" w:hAnsi="Arial"/>
          <w:sz w:val="18"/>
          <w:szCs w:val="18"/>
          <w:color w:val="auto"/>
        </w:rPr>
      </w:pPr>
    </w:p>
    <w:p>
      <w:pPr>
        <w:jc w:val="both"/>
        <w:ind w:left="580" w:right="600" w:firstLine="323"/>
        <w:spacing w:after="0" w:line="248" w:lineRule="auto"/>
        <w:tabs>
          <w:tab w:leader="none" w:pos="1199"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costs of continued COBRA coverage under the Company’s group health plan on behalf of the executive and his eligible dependents (described in more detail below), until the earlier of (x) the 18-month anniversary of termination and (y) the date the executive becomes eligible to receive comparable benefits from a subsequent employer; and</w:t>
      </w:r>
    </w:p>
    <w:p>
      <w:pPr>
        <w:spacing w:after="0" w:line="182" w:lineRule="exact"/>
        <w:rPr>
          <w:rFonts w:ascii="Arial" w:cs="Arial" w:eastAsia="Arial" w:hAnsi="Arial"/>
          <w:sz w:val="18"/>
          <w:szCs w:val="18"/>
          <w:color w:val="auto"/>
        </w:rPr>
      </w:pPr>
    </w:p>
    <w:p>
      <w:pPr>
        <w:ind w:left="580" w:right="500" w:firstLine="323"/>
        <w:spacing w:after="0" w:line="262" w:lineRule="auto"/>
        <w:tabs>
          <w:tab w:leader="none" w:pos="1199"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continuation of life insurance coverage until the earlier of (x) the 18-month anniversary of termination and (y) the date the executive commences employment with a subsequent employer.</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“Cause” will occur when:</w:t>
      </w:r>
    </w:p>
    <w:p>
      <w:pPr>
        <w:spacing w:after="0" w:line="198" w:lineRule="exact"/>
        <w:rPr>
          <w:sz w:val="20"/>
          <w:szCs w:val="20"/>
          <w:color w:val="auto"/>
        </w:rPr>
      </w:pPr>
    </w:p>
    <w:p>
      <w:pPr>
        <w:ind w:left="580" w:right="460" w:firstLine="323"/>
        <w:spacing w:after="0" w:line="262" w:lineRule="auto"/>
        <w:tabs>
          <w:tab w:leader="none" w:pos="1199"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there is a final nonappealable conviction of, or pleading of no contest to, (1) a felony, or (2) a crime of moral turpitude that causes serious economic injury or serious injury to our reputation;</w:t>
      </w:r>
    </w:p>
    <w:p>
      <w:pPr>
        <w:spacing w:after="0" w:line="38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887" w:right="359" w:bottom="1440" w:gutter="0" w:footer="0" w:header="0"/>
        </w:sectPr>
      </w:pPr>
    </w:p>
    <w:bookmarkStart w:id="60" w:name="page61"/>
    <w:bookmarkEnd w:id="60"/>
    <w:p>
      <w:pPr>
        <w:ind w:left="580" w:right="60" w:firstLine="323"/>
        <w:spacing w:after="0" w:line="262" w:lineRule="auto"/>
        <w:tabs>
          <w:tab w:leader="none" w:pos="1199"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executive engages in fraud, embezzlement, self-dealing, gross negligence, dishonesty or other gross and willful misconduct that causes serious and demonstrable injury to us;</w:t>
      </w:r>
    </w:p>
    <w:p>
      <w:pPr>
        <w:spacing w:after="0" w:line="169" w:lineRule="exact"/>
        <w:rPr>
          <w:rFonts w:ascii="Arial" w:cs="Arial" w:eastAsia="Arial" w:hAnsi="Arial"/>
          <w:sz w:val="18"/>
          <w:szCs w:val="18"/>
          <w:color w:val="auto"/>
        </w:rPr>
      </w:pPr>
    </w:p>
    <w:p>
      <w:pPr>
        <w:ind w:left="1200" w:hanging="297"/>
        <w:spacing w:after="0"/>
        <w:tabs>
          <w:tab w:leader="none" w:pos="12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executive materially violates any of our material policies;</w:t>
      </w:r>
    </w:p>
    <w:p>
      <w:pPr>
        <w:spacing w:after="0" w:line="211" w:lineRule="exact"/>
        <w:rPr>
          <w:rFonts w:ascii="Arial" w:cs="Arial" w:eastAsia="Arial" w:hAnsi="Arial"/>
          <w:sz w:val="18"/>
          <w:szCs w:val="18"/>
          <w:color w:val="auto"/>
        </w:rPr>
      </w:pPr>
    </w:p>
    <w:p>
      <w:pPr>
        <w:ind w:left="580" w:right="20" w:firstLine="323"/>
        <w:spacing w:after="0" w:line="241" w:lineRule="auto"/>
        <w:tabs>
          <w:tab w:leader="none" w:pos="1199"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executive willfully and continually fails to substantially perform his duties (other than for reason of physical or mental incapacity) which continues beyond 15 days after we notify him in writing of his need to substantially improve his performance; provided that a failure to achieve performance objectives will not by itself constitute cause and no act or failure to act shall be considered “willful” unless done or failed to be done by the executive in bad faith and without a reasonable belief that his actions or omission was in our best interest;</w:t>
      </w:r>
    </w:p>
    <w:p>
      <w:pPr>
        <w:spacing w:after="0" w:line="189" w:lineRule="exact"/>
        <w:rPr>
          <w:rFonts w:ascii="Arial" w:cs="Arial" w:eastAsia="Arial" w:hAnsi="Arial"/>
          <w:sz w:val="18"/>
          <w:szCs w:val="18"/>
          <w:color w:val="auto"/>
        </w:rPr>
      </w:pPr>
    </w:p>
    <w:p>
      <w:pPr>
        <w:ind w:left="1200" w:hanging="297"/>
        <w:spacing w:after="0"/>
        <w:tabs>
          <w:tab w:leader="none" w:pos="12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executive fails to reasonably cooperate in a governmental investigation involving us;</w:t>
      </w:r>
    </w:p>
    <w:p>
      <w:pPr>
        <w:spacing w:after="0" w:line="211" w:lineRule="exact"/>
        <w:rPr>
          <w:rFonts w:ascii="Arial" w:cs="Arial" w:eastAsia="Arial" w:hAnsi="Arial"/>
          <w:sz w:val="18"/>
          <w:szCs w:val="18"/>
          <w:color w:val="auto"/>
        </w:rPr>
      </w:pPr>
    </w:p>
    <w:p>
      <w:pPr>
        <w:ind w:left="580" w:right="420" w:firstLine="323"/>
        <w:spacing w:after="0" w:line="262" w:lineRule="auto"/>
        <w:tabs>
          <w:tab w:leader="none" w:pos="1199"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executive materially, knowingly and intentionally fails to comply with applicable laws with respect to the execution of the Company’s business operations (subject to a presumption of good faith if the executive is following advice of counsel);</w:t>
      </w:r>
    </w:p>
    <w:p>
      <w:pPr>
        <w:spacing w:after="0" w:line="169" w:lineRule="exact"/>
        <w:rPr>
          <w:rFonts w:ascii="Arial" w:cs="Arial" w:eastAsia="Arial" w:hAnsi="Arial"/>
          <w:sz w:val="18"/>
          <w:szCs w:val="18"/>
          <w:color w:val="auto"/>
        </w:rPr>
      </w:pPr>
    </w:p>
    <w:p>
      <w:pPr>
        <w:ind w:left="580" w:right="180" w:firstLine="323"/>
        <w:spacing w:after="0" w:line="262" w:lineRule="auto"/>
        <w:tabs>
          <w:tab w:leader="none" w:pos="1199"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executive fails to follow our board of directors’ lawful instructions and does not remedy the failure for 15 days after we give him written notice;</w:t>
      </w:r>
    </w:p>
    <w:p>
      <w:pPr>
        <w:spacing w:after="0" w:line="169" w:lineRule="exact"/>
        <w:rPr>
          <w:rFonts w:ascii="Arial" w:cs="Arial" w:eastAsia="Arial" w:hAnsi="Arial"/>
          <w:sz w:val="18"/>
          <w:szCs w:val="18"/>
          <w:color w:val="auto"/>
        </w:rPr>
      </w:pPr>
    </w:p>
    <w:p>
      <w:pPr>
        <w:ind w:left="1200" w:hanging="297"/>
        <w:spacing w:after="0"/>
        <w:tabs>
          <w:tab w:leader="none" w:pos="12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executive’s use of alcohol or drugs materially interferes with the performance of his duties;</w:t>
      </w:r>
    </w:p>
    <w:p>
      <w:pPr>
        <w:spacing w:after="0" w:line="211" w:lineRule="exact"/>
        <w:rPr>
          <w:rFonts w:ascii="Arial" w:cs="Arial" w:eastAsia="Arial" w:hAnsi="Arial"/>
          <w:sz w:val="18"/>
          <w:szCs w:val="18"/>
          <w:color w:val="auto"/>
        </w:rPr>
      </w:pPr>
    </w:p>
    <w:p>
      <w:pPr>
        <w:ind w:left="580" w:right="160" w:firstLine="323"/>
        <w:spacing w:after="0" w:line="262" w:lineRule="auto"/>
        <w:tabs>
          <w:tab w:leader="none" w:pos="1199"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executive fails to take reasonable steps to end certain affiliations specified in his employment agreement within six months after a request by our board of directors; or</w:t>
      </w:r>
    </w:p>
    <w:p>
      <w:pPr>
        <w:spacing w:after="0" w:line="169" w:lineRule="exact"/>
        <w:rPr>
          <w:rFonts w:ascii="Arial" w:cs="Arial" w:eastAsia="Arial" w:hAnsi="Arial"/>
          <w:sz w:val="18"/>
          <w:szCs w:val="18"/>
          <w:color w:val="auto"/>
        </w:rPr>
      </w:pPr>
    </w:p>
    <w:p>
      <w:pPr>
        <w:ind w:left="580" w:right="460" w:firstLine="323"/>
        <w:spacing w:after="0" w:line="262" w:lineRule="auto"/>
        <w:tabs>
          <w:tab w:leader="none" w:pos="1199"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executive materially breaches any material term of his employment agreement which is not remedied within 15 days of receipt of notice from the Company specifying the breach in reasonable detail.</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“Good reason” means:</w:t>
      </w:r>
    </w:p>
    <w:p>
      <w:pPr>
        <w:spacing w:after="0" w:line="198" w:lineRule="exact"/>
        <w:rPr>
          <w:sz w:val="20"/>
          <w:szCs w:val="20"/>
          <w:color w:val="auto"/>
        </w:rPr>
      </w:pPr>
    </w:p>
    <w:p>
      <w:pPr>
        <w:ind w:left="580" w:firstLine="323"/>
        <w:spacing w:after="0" w:line="270" w:lineRule="auto"/>
        <w:tabs>
          <w:tab w:leader="none" w:pos="1199"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executive’s duties or responsibilities are substantially reduced, he is required to report to anyone other than our board of directors, or his title as our officer is adversely changed; however, if following a change in control, his new title and authority are similar to his old title and authority, then any change in the executive’s title will not constitute a significant reduction in his duties and authorities;</w:t>
      </w:r>
    </w:p>
    <w:p>
      <w:pPr>
        <w:spacing w:after="0" w:line="164" w:lineRule="exact"/>
        <w:rPr>
          <w:rFonts w:ascii="Arial" w:cs="Arial" w:eastAsia="Arial" w:hAnsi="Arial"/>
          <w:sz w:val="17"/>
          <w:szCs w:val="17"/>
          <w:color w:val="auto"/>
        </w:rPr>
      </w:pPr>
    </w:p>
    <w:p>
      <w:pPr>
        <w:ind w:left="580" w:right="320" w:firstLine="323"/>
        <w:spacing w:after="0" w:line="262" w:lineRule="auto"/>
        <w:tabs>
          <w:tab w:leader="none" w:pos="1199"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executive’s base salary is reduced (other than in connection with a Company-wide decrease in pay), or his target annual bonus opportunity is reduced below 100% of his base salary;</w:t>
      </w:r>
    </w:p>
    <w:p>
      <w:pPr>
        <w:spacing w:after="0" w:line="169" w:lineRule="exact"/>
        <w:rPr>
          <w:rFonts w:ascii="Arial" w:cs="Arial" w:eastAsia="Arial" w:hAnsi="Arial"/>
          <w:sz w:val="18"/>
          <w:szCs w:val="18"/>
          <w:color w:val="auto"/>
        </w:rPr>
      </w:pPr>
    </w:p>
    <w:p>
      <w:pPr>
        <w:ind w:left="580" w:right="40" w:firstLine="323"/>
        <w:spacing w:after="0" w:line="262" w:lineRule="auto"/>
        <w:tabs>
          <w:tab w:leader="none" w:pos="1199"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office or location where the executive is based in the metropolitan New York City area is moved more than 30 miles, and the new location is more than 30 miles from his primary residence in the metropolitan New York City area; or</w:t>
      </w:r>
    </w:p>
    <w:p>
      <w:pPr>
        <w:spacing w:after="0" w:line="169" w:lineRule="exact"/>
        <w:rPr>
          <w:rFonts w:ascii="Arial" w:cs="Arial" w:eastAsia="Arial" w:hAnsi="Arial"/>
          <w:sz w:val="18"/>
          <w:szCs w:val="18"/>
          <w:color w:val="auto"/>
        </w:rPr>
      </w:pPr>
    </w:p>
    <w:p>
      <w:pPr>
        <w:ind w:left="1200" w:hanging="297"/>
        <w:spacing w:after="0"/>
        <w:tabs>
          <w:tab w:leader="none" w:pos="12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breach any material term of the executive’s employment agreement.</w:t>
      </w:r>
    </w:p>
    <w:p>
      <w:pPr>
        <w:spacing w:after="0" w:line="212" w:lineRule="exact"/>
        <w:rPr>
          <w:sz w:val="20"/>
          <w:szCs w:val="20"/>
          <w:color w:val="auto"/>
        </w:rPr>
      </w:pPr>
    </w:p>
    <w:p>
      <w:pPr>
        <w:ind w:right="200" w:firstLine="648"/>
        <w:spacing w:after="0" w:line="246" w:lineRule="auto"/>
        <w:rPr>
          <w:sz w:val="20"/>
          <w:szCs w:val="20"/>
          <w:color w:val="auto"/>
        </w:rPr>
      </w:pPr>
      <w:r>
        <w:rPr>
          <w:rFonts w:ascii="Arial" w:cs="Arial" w:eastAsia="Arial" w:hAnsi="Arial"/>
          <w:sz w:val="18"/>
          <w:szCs w:val="18"/>
          <w:color w:val="auto"/>
        </w:rPr>
        <w:t>If the executive plans to terminate his employment for good reason, he must notify us within 45 days following the date the executive first becomes aware of the circumstances giving rise to good reason and must allow us 30 days to remedy the problem.</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61" w:name="page62"/>
    <w:bookmarkEnd w:id="61"/>
    <w:p>
      <w:pPr>
        <w:ind w:right="60" w:firstLine="648"/>
        <w:spacing w:after="0" w:line="242" w:lineRule="auto"/>
        <w:rPr>
          <w:sz w:val="20"/>
          <w:szCs w:val="20"/>
          <w:color w:val="auto"/>
        </w:rPr>
      </w:pPr>
      <w:r>
        <w:rPr>
          <w:rFonts w:ascii="Arial" w:cs="Arial" w:eastAsia="Arial" w:hAnsi="Arial"/>
          <w:sz w:val="18"/>
          <w:szCs w:val="18"/>
          <w:i w:val="1"/>
          <w:iCs w:val="1"/>
          <w:color w:val="auto"/>
        </w:rPr>
        <w:t>Change-in-Control Cash Severance</w:t>
      </w:r>
      <w:r>
        <w:rPr>
          <w:rFonts w:ascii="Arial" w:cs="Arial" w:eastAsia="Arial" w:hAnsi="Arial"/>
          <w:sz w:val="18"/>
          <w:szCs w:val="18"/>
          <w:color w:val="auto"/>
        </w:rPr>
        <w:t>. If Mr. Kapoor’s employment is terminated by us without “cause” or by the executive for “good</w:t>
      </w:r>
      <w:r>
        <w:rPr>
          <w:rFonts w:ascii="Arial" w:cs="Arial" w:eastAsia="Arial" w:hAnsi="Arial"/>
          <w:sz w:val="18"/>
          <w:szCs w:val="18"/>
          <w:i w:val="1"/>
          <w:iCs w:val="1"/>
          <w:color w:val="auto"/>
        </w:rPr>
        <w:t xml:space="preserve"> </w:t>
      </w:r>
      <w:r>
        <w:rPr>
          <w:rFonts w:ascii="Arial" w:cs="Arial" w:eastAsia="Arial" w:hAnsi="Arial"/>
          <w:sz w:val="18"/>
          <w:szCs w:val="18"/>
          <w:color w:val="auto"/>
        </w:rPr>
        <w:t>reason” (in each case, as described above) within 12 months following a “change of control” or in specific contemplation of a change in control, the executive will receive, in lieu of the cash severance described above, (1) a lump sum payment equal to 24 months of base salary and (2) his actual bonus, if any, earned for the year of termination, determined as if he had been employed for the full year of termination, paid ratably over the remaining period of base salary payments.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“change in control” (as generally defined in Mr. Kapoor’s employment agreement, the 2006 Plan and the 2015 Plan, as applicable)</w:t>
      </w:r>
    </w:p>
    <w:p>
      <w:pPr>
        <w:spacing w:after="0"/>
        <w:rPr>
          <w:sz w:val="20"/>
          <w:szCs w:val="20"/>
          <w:color w:val="auto"/>
        </w:rPr>
      </w:pPr>
      <w:r>
        <w:rPr>
          <w:rFonts w:ascii="Arial" w:cs="Arial" w:eastAsia="Arial" w:hAnsi="Arial"/>
          <w:sz w:val="18"/>
          <w:szCs w:val="18"/>
          <w:color w:val="auto"/>
        </w:rPr>
        <w:t>generally means any of the following events:</w:t>
      </w:r>
    </w:p>
    <w:p>
      <w:pPr>
        <w:spacing w:after="0" w:line="198" w:lineRule="exact"/>
        <w:rPr>
          <w:sz w:val="20"/>
          <w:szCs w:val="20"/>
          <w:color w:val="auto"/>
        </w:rPr>
      </w:pPr>
    </w:p>
    <w:p>
      <w:pPr>
        <w:ind w:left="580" w:right="80" w:firstLine="323"/>
        <w:spacing w:after="0" w:line="243" w:lineRule="auto"/>
        <w:tabs>
          <w:tab w:leader="none" w:pos="1199"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person or group becomes a beneficial owner (within the meaning of Rule 13d-3 under the Exchange Act) of more than 50% (50% or more in the 2006 Plan) of either (1) the combined voting power of our then-outstanding voting securities entitled to vote in the election of directors or (2) our outstanding shares of common stock, assuming all rights to acquire common stock through options, warrants, conversion of convertible stock or debt, and the like are exercised;</w:t>
      </w:r>
    </w:p>
    <w:p>
      <w:pPr>
        <w:spacing w:after="0" w:line="188" w:lineRule="exact"/>
        <w:rPr>
          <w:rFonts w:ascii="Arial" w:cs="Arial" w:eastAsia="Arial" w:hAnsi="Arial"/>
          <w:sz w:val="18"/>
          <w:szCs w:val="18"/>
          <w:color w:val="auto"/>
        </w:rPr>
      </w:pPr>
    </w:p>
    <w:p>
      <w:pPr>
        <w:ind w:left="580" w:right="140" w:firstLine="323"/>
        <w:spacing w:after="0" w:line="243" w:lineRule="auto"/>
        <w:tabs>
          <w:tab w:leader="none" w:pos="1199"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majority of the members of our board of directors changes from those in office as of the date of Mr. Kapoor’s employment agreement or the effective date of the 2006 or 2015 Plan (as applicable), except that the election of any new director whose election or nomination was approved by at least two-thirds of our incumbent directors will not be regarded towards a change in the majority for these purposes;</w:t>
      </w:r>
    </w:p>
    <w:p>
      <w:pPr>
        <w:spacing w:after="0" w:line="188" w:lineRule="exact"/>
        <w:rPr>
          <w:rFonts w:ascii="Arial" w:cs="Arial" w:eastAsia="Arial" w:hAnsi="Arial"/>
          <w:sz w:val="18"/>
          <w:szCs w:val="18"/>
          <w:color w:val="auto"/>
        </w:rPr>
      </w:pPr>
    </w:p>
    <w:p>
      <w:pPr>
        <w:ind w:left="1200" w:hanging="297"/>
        <w:spacing w:after="0"/>
        <w:tabs>
          <w:tab w:leader="none" w:pos="12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our dissolution or liquidation;</w:t>
      </w:r>
    </w:p>
    <w:p>
      <w:pPr>
        <w:spacing w:after="0" w:line="211" w:lineRule="exact"/>
        <w:rPr>
          <w:rFonts w:ascii="Arial" w:cs="Arial" w:eastAsia="Arial" w:hAnsi="Arial"/>
          <w:sz w:val="18"/>
          <w:szCs w:val="18"/>
          <w:color w:val="auto"/>
        </w:rPr>
      </w:pPr>
    </w:p>
    <w:p>
      <w:pPr>
        <w:ind w:left="1200" w:hanging="297"/>
        <w:spacing w:after="0"/>
        <w:tabs>
          <w:tab w:leader="none" w:pos="12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sale, transfer or other disposition of all or substantially all of our business or our assets; or</w:t>
      </w:r>
    </w:p>
    <w:p>
      <w:pPr>
        <w:spacing w:after="0" w:line="211" w:lineRule="exact"/>
        <w:rPr>
          <w:rFonts w:ascii="Arial" w:cs="Arial" w:eastAsia="Arial" w:hAnsi="Arial"/>
          <w:sz w:val="18"/>
          <w:szCs w:val="18"/>
          <w:color w:val="auto"/>
        </w:rPr>
      </w:pPr>
    </w:p>
    <w:p>
      <w:pPr>
        <w:ind w:left="580" w:right="660" w:firstLine="323"/>
        <w:spacing w:after="0" w:line="291" w:lineRule="auto"/>
        <w:tabs>
          <w:tab w:leader="none" w:pos="1199" w:val="left"/>
        </w:tabs>
        <w:numPr>
          <w:ilvl w:val="0"/>
          <w:numId w:val="66"/>
        </w:numPr>
        <w:rPr>
          <w:rFonts w:ascii="Arial" w:cs="Arial" w:eastAsia="Arial" w:hAnsi="Arial"/>
          <w:sz w:val="17"/>
          <w:szCs w:val="17"/>
          <w:color w:val="auto"/>
        </w:rPr>
      </w:pPr>
      <w:r>
        <w:rPr>
          <w:rFonts w:ascii="Arial" w:cs="Arial" w:eastAsia="Arial" w:hAnsi="Arial"/>
          <w:sz w:val="17"/>
          <w:szCs w:val="17"/>
          <w:color w:val="auto"/>
        </w:rPr>
        <w:t>consummation of a reorganization, recapitalization, merger, consolidation or similar transaction with another entity which requires the approval of our stockholders; however, any such transaction will not be a change in control if after the transaction:</w:t>
      </w:r>
    </w:p>
    <w:p>
      <w:pPr>
        <w:spacing w:after="0" w:line="147" w:lineRule="exact"/>
        <w:rPr>
          <w:rFonts w:ascii="Arial" w:cs="Arial" w:eastAsia="Arial" w:hAnsi="Arial"/>
          <w:sz w:val="17"/>
          <w:szCs w:val="17"/>
          <w:color w:val="auto"/>
        </w:rPr>
      </w:pPr>
    </w:p>
    <w:p>
      <w:pPr>
        <w:ind w:left="1620" w:right="600" w:hanging="315"/>
        <w:spacing w:after="0" w:line="246" w:lineRule="auto"/>
        <w:tabs>
          <w:tab w:leader="none" w:pos="16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more than 50% of the total voting power of the resulting entity or its ultimate parent is represented by what were our outstanding voting securities before the transaction in substantially the same proportion among holders;</w:t>
      </w:r>
    </w:p>
    <w:p>
      <w:pPr>
        <w:spacing w:after="0" w:line="183" w:lineRule="exact"/>
        <w:rPr>
          <w:rFonts w:ascii="Arial" w:cs="Arial" w:eastAsia="Arial" w:hAnsi="Arial"/>
          <w:sz w:val="18"/>
          <w:szCs w:val="18"/>
          <w:color w:val="auto"/>
        </w:rPr>
      </w:pPr>
    </w:p>
    <w:p>
      <w:pPr>
        <w:ind w:left="1620" w:hanging="315"/>
        <w:spacing w:after="0"/>
        <w:tabs>
          <w:tab w:leader="none" w:pos="16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no person or group is or becomes the beneficial owner of more than 50% (50% or more in the 2006 Plan) of the total voting power of the outstanding voting securities eligible to elect members of our board of directors of the parent or surviving company; and</w:t>
      </w:r>
    </w:p>
    <w:p>
      <w:pPr>
        <w:spacing w:after="0" w:line="189" w:lineRule="exact"/>
        <w:rPr>
          <w:rFonts w:ascii="Arial" w:cs="Arial" w:eastAsia="Arial" w:hAnsi="Arial"/>
          <w:sz w:val="18"/>
          <w:szCs w:val="18"/>
          <w:color w:val="auto"/>
        </w:rPr>
      </w:pPr>
    </w:p>
    <w:p>
      <w:pPr>
        <w:ind w:left="1620" w:right="320" w:hanging="315"/>
        <w:spacing w:after="0" w:line="246" w:lineRule="auto"/>
        <w:tabs>
          <w:tab w:leader="none" w:pos="16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at least a majority of the members of our board of directors of the parent or surviving company following the transaction were our board members when our board first approved the transaction.</w:t>
      </w:r>
    </w:p>
    <w:p>
      <w:pPr>
        <w:spacing w:after="0" w:line="165" w:lineRule="exact"/>
        <w:rPr>
          <w:sz w:val="20"/>
          <w:szCs w:val="20"/>
          <w:color w:val="auto"/>
        </w:rPr>
      </w:pPr>
    </w:p>
    <w:p>
      <w:pPr>
        <w:ind w:right="360" w:firstLine="648"/>
        <w:spacing w:after="0" w:line="267" w:lineRule="auto"/>
        <w:rPr>
          <w:sz w:val="20"/>
          <w:szCs w:val="20"/>
          <w:color w:val="auto"/>
        </w:rPr>
      </w:pPr>
      <w:r>
        <w:rPr>
          <w:rFonts w:ascii="Arial" w:cs="Arial" w:eastAsia="Arial" w:hAnsi="Arial"/>
          <w:sz w:val="18"/>
          <w:szCs w:val="18"/>
          <w:i w:val="1"/>
          <w:iCs w:val="1"/>
          <w:color w:val="auto"/>
        </w:rPr>
        <w:t>Death or Disability</w:t>
      </w:r>
      <w:r>
        <w:rPr>
          <w:rFonts w:ascii="Arial" w:cs="Arial" w:eastAsia="Arial" w:hAnsi="Arial"/>
          <w:sz w:val="18"/>
          <w:szCs w:val="18"/>
          <w:color w:val="auto"/>
        </w:rPr>
        <w:t>. If Mr. Kapoor’s employment terminates due to his death or is terminated by either the executive or us due to his</w:t>
      </w:r>
      <w:r>
        <w:rPr>
          <w:rFonts w:ascii="Arial" w:cs="Arial" w:eastAsia="Arial" w:hAnsi="Arial"/>
          <w:sz w:val="18"/>
          <w:szCs w:val="18"/>
          <w:i w:val="1"/>
          <w:iCs w:val="1"/>
          <w:color w:val="auto"/>
        </w:rPr>
        <w:t xml:space="preserve"> </w:t>
      </w:r>
      <w:r>
        <w:rPr>
          <w:rFonts w:ascii="Arial" w:cs="Arial" w:eastAsia="Arial" w:hAnsi="Arial"/>
          <w:sz w:val="18"/>
          <w:szCs w:val="18"/>
          <w:color w:val="auto"/>
        </w:rPr>
        <w:t>disability, he (or his estate) will be entitled to a prorated portion of his projected bonus amount for the year of termination.</w:t>
      </w:r>
    </w:p>
    <w:p>
      <w:pPr>
        <w:spacing w:after="0" w:line="147" w:lineRule="exact"/>
        <w:rPr>
          <w:sz w:val="20"/>
          <w:szCs w:val="20"/>
          <w:color w:val="auto"/>
        </w:rPr>
      </w:pPr>
    </w:p>
    <w:p>
      <w:pPr>
        <w:ind w:right="160" w:firstLine="648"/>
        <w:spacing w:after="0" w:line="267" w:lineRule="auto"/>
        <w:rPr>
          <w:sz w:val="20"/>
          <w:szCs w:val="20"/>
          <w:color w:val="auto"/>
        </w:rPr>
      </w:pPr>
      <w:r>
        <w:rPr>
          <w:rFonts w:ascii="Arial" w:cs="Arial" w:eastAsia="Arial" w:hAnsi="Arial"/>
          <w:sz w:val="18"/>
          <w:szCs w:val="18"/>
          <w:i w:val="1"/>
          <w:iCs w:val="1"/>
          <w:color w:val="auto"/>
        </w:rPr>
        <w:t>Noncompetition and Nonsolicitation Provisions</w:t>
      </w:r>
      <w:r>
        <w:rPr>
          <w:rFonts w:ascii="Arial" w:cs="Arial" w:eastAsia="Arial" w:hAnsi="Arial"/>
          <w:sz w:val="18"/>
          <w:szCs w:val="18"/>
          <w:color w:val="auto"/>
        </w:rPr>
        <w:t>. Mr. Kapoor is subject to confidentiality and nondisparagement restrictions at all times,</w:t>
      </w:r>
      <w:r>
        <w:rPr>
          <w:rFonts w:ascii="Arial" w:cs="Arial" w:eastAsia="Arial" w:hAnsi="Arial"/>
          <w:sz w:val="18"/>
          <w:szCs w:val="18"/>
          <w:i w:val="1"/>
          <w:iCs w:val="1"/>
          <w:color w:val="auto"/>
        </w:rPr>
        <w:t xml:space="preserve"> </w:t>
      </w:r>
      <w:r>
        <w:rPr>
          <w:rFonts w:ascii="Arial" w:cs="Arial" w:eastAsia="Arial" w:hAnsi="Arial"/>
          <w:sz w:val="18"/>
          <w:szCs w:val="18"/>
          <w:color w:val="auto"/>
        </w:rPr>
        <w:t>as well as noncompetition and nonsolicitation restrictions during his employment and for one year thereafter.</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62" w:name="page63"/>
    <w:bookmarkEnd w:id="62"/>
    <w:p>
      <w:pPr>
        <w:ind w:right="180" w:firstLine="648"/>
        <w:spacing w:after="0" w:line="251" w:lineRule="auto"/>
        <w:rPr>
          <w:sz w:val="20"/>
          <w:szCs w:val="20"/>
          <w:color w:val="auto"/>
        </w:rPr>
      </w:pPr>
      <w:r>
        <w:rPr>
          <w:rFonts w:ascii="Arial" w:cs="Arial" w:eastAsia="Arial" w:hAnsi="Arial"/>
          <w:sz w:val="18"/>
          <w:szCs w:val="18"/>
          <w:i w:val="1"/>
          <w:iCs w:val="1"/>
          <w:color w:val="auto"/>
        </w:rPr>
        <w:t>Annual Equity Awards</w:t>
      </w:r>
      <w:r>
        <w:rPr>
          <w:rFonts w:ascii="Arial" w:cs="Arial" w:eastAsia="Arial" w:hAnsi="Arial"/>
          <w:sz w:val="18"/>
          <w:szCs w:val="18"/>
          <w:color w:val="auto"/>
        </w:rPr>
        <w:t>. If Mr. Kapoor’s employment is terminated with good reason or without cause, Mr. Kapoor shall be treated as if</w:t>
      </w:r>
      <w:r>
        <w:rPr>
          <w:rFonts w:ascii="Arial" w:cs="Arial" w:eastAsia="Arial" w:hAnsi="Arial"/>
          <w:sz w:val="18"/>
          <w:szCs w:val="18"/>
          <w:i w:val="1"/>
          <w:iCs w:val="1"/>
          <w:color w:val="auto"/>
        </w:rPr>
        <w:t xml:space="preserve"> </w:t>
      </w:r>
      <w:r>
        <w:rPr>
          <w:rFonts w:ascii="Arial" w:cs="Arial" w:eastAsia="Arial" w:hAnsi="Arial"/>
          <w:sz w:val="18"/>
          <w:szCs w:val="18"/>
          <w:color w:val="auto"/>
        </w:rPr>
        <w:t>he were still employed by the Company for a period of two years following the termination date. On a “change in control” (as defined in the 2006 Plan or 2015 Plan, as applicable), Mr. Kapoor’s outstanding annual equity awards will vest as described below:</w:t>
      </w:r>
    </w:p>
    <w:p>
      <w:pPr>
        <w:spacing w:after="0" w:line="161" w:lineRule="exact"/>
        <w:rPr>
          <w:sz w:val="20"/>
          <w:szCs w:val="20"/>
          <w:color w:val="auto"/>
        </w:rPr>
      </w:pPr>
    </w:p>
    <w:p>
      <w:pPr>
        <w:ind w:left="1300" w:hanging="320"/>
        <w:spacing w:after="0" w:line="245" w:lineRule="auto"/>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Time-Vested RSUs</w:t>
      </w:r>
      <w:r>
        <w:rPr>
          <w:rFonts w:ascii="Arial" w:cs="Arial" w:eastAsia="Arial" w:hAnsi="Arial"/>
          <w:sz w:val="18"/>
          <w:szCs w:val="18"/>
          <w:color w:val="auto"/>
        </w:rPr>
        <w:t>: If a change in control occurs prior to the end of the performance period, Mr. Kapoor’s Time-Vested RSUs</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advanced by one year. In addition, all of Mr. Kapoor’s outstanding Time-Vested RSUs will become fully vested if, following or in specific contemplation of a change in control, he is terminated without cause or, following a change in control, he voluntarily terminates his employment for good reason.</w:t>
      </w:r>
    </w:p>
    <w:p>
      <w:pPr>
        <w:spacing w:after="0" w:line="167" w:lineRule="exact"/>
        <w:rPr>
          <w:rFonts w:ascii="Arial" w:cs="Arial" w:eastAsia="Arial" w:hAnsi="Arial"/>
          <w:sz w:val="18"/>
          <w:szCs w:val="18"/>
          <w:color w:val="auto"/>
        </w:rPr>
      </w:pPr>
    </w:p>
    <w:p>
      <w:pPr>
        <w:ind w:left="1300" w:right="40" w:hanging="320"/>
        <w:spacing w:after="0" w:line="242" w:lineRule="auto"/>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Revenue-Linked PRSUs</w:t>
      </w:r>
      <w:r>
        <w:rPr>
          <w:rFonts w:ascii="Arial" w:cs="Arial" w:eastAsia="Arial" w:hAnsi="Arial"/>
          <w:sz w:val="18"/>
          <w:szCs w:val="18"/>
          <w:color w:val="auto"/>
        </w:rPr>
        <w:t>: If a change in control occurs prior to the end of the performance period, 100% of target of Mr.</w:t>
      </w:r>
      <w:r>
        <w:rPr>
          <w:rFonts w:ascii="Arial" w:cs="Arial" w:eastAsia="Arial" w:hAnsi="Arial"/>
          <w:sz w:val="18"/>
          <w:szCs w:val="18"/>
          <w:i w:val="1"/>
          <w:iCs w:val="1"/>
          <w:color w:val="auto"/>
        </w:rPr>
        <w:t xml:space="preserve"> </w:t>
      </w:r>
      <w:r>
        <w:rPr>
          <w:rFonts w:ascii="Arial" w:cs="Arial" w:eastAsia="Arial" w:hAnsi="Arial"/>
          <w:sz w:val="18"/>
          <w:szCs w:val="18"/>
          <w:color w:val="auto"/>
        </w:rPr>
        <w:t>Kapoor’s Revenue-Linked PRSUs will be deemed earned, will be subject to a three year installment vesting schedule and will be advanced by one year under such schedule. In addition, all of Mr. Kapoor’s outstanding Revenue-Linked PRSUs will become fully vested if, following or in specific contemplation of a change in control, he is terminated without cause or, following a change in control, he voluntarily terminates his employment for good reason.</w:t>
      </w:r>
    </w:p>
    <w:p>
      <w:pPr>
        <w:spacing w:after="0" w:line="171" w:lineRule="exact"/>
        <w:rPr>
          <w:rFonts w:ascii="Arial" w:cs="Arial" w:eastAsia="Arial" w:hAnsi="Arial"/>
          <w:sz w:val="18"/>
          <w:szCs w:val="18"/>
          <w:color w:val="auto"/>
        </w:rPr>
      </w:pPr>
    </w:p>
    <w:p>
      <w:pPr>
        <w:ind w:left="1300" w:right="80" w:hanging="320"/>
        <w:spacing w:after="0" w:line="238" w:lineRule="auto"/>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Relative TSR-Linked PRSUs</w:t>
      </w:r>
      <w:r>
        <w:rPr>
          <w:rFonts w:ascii="Arial" w:cs="Arial" w:eastAsia="Arial" w:hAnsi="Arial"/>
          <w:sz w:val="18"/>
          <w:szCs w:val="18"/>
          <w:color w:val="auto"/>
        </w:rPr>
        <w:t>: If a change in control occurs on or prior to the first anniversary of the grant date, 100% of target</w:t>
      </w:r>
      <w:r>
        <w:rPr>
          <w:rFonts w:ascii="Arial" w:cs="Arial" w:eastAsia="Arial" w:hAnsi="Arial"/>
          <w:sz w:val="18"/>
          <w:szCs w:val="18"/>
          <w:i w:val="1"/>
          <w:iCs w:val="1"/>
          <w:color w:val="auto"/>
        </w:rPr>
        <w:t xml:space="preserve"> </w:t>
      </w:r>
      <w:r>
        <w:rPr>
          <w:rFonts w:ascii="Arial" w:cs="Arial" w:eastAsia="Arial" w:hAnsi="Arial"/>
          <w:sz w:val="18"/>
          <w:szCs w:val="18"/>
          <w:color w:val="auto"/>
        </w:rPr>
        <w:t>of Mr. Kapoor’s Relative TSR-Linked PRSUs will be deemed earned. If a change in control occurs after the first anniversary of the grant date, the performance period will be deemed to end on the date of the change in control and the Compensation Committee shall determine the number of earned Relative TSR-Linked PRSUs based on the TSR of the Company and the peer group as of such date. In either scenario, the Relative TSR-Linked PRSUs that are deemed earned will be subject to a three year installment vesting schedule and will be advanced by one year under such schedule. In addition, all of Mr. Kapoor’s outstanding Revenue-Linked PRSUs will become fully vested if, within 12 months following or in specific contemplation of a change in control, he is terminated without cause or, within 12 months following a change in control, he voluntarily terminates his employment for good reason. Furthermore, all of Mr. Kapoor’s outstanding, earned TSR-Linked PRSUs will become fully vested if, at any time following a change in control, he is terminated without cause or he voluntarily terminates his employment for good reason.</w:t>
      </w:r>
    </w:p>
    <w:p>
      <w:pPr>
        <w:spacing w:after="0" w:line="173" w:lineRule="exact"/>
        <w:rPr>
          <w:sz w:val="20"/>
          <w:szCs w:val="20"/>
          <w:color w:val="auto"/>
        </w:rPr>
      </w:pPr>
    </w:p>
    <w:p>
      <w:pPr>
        <w:ind w:firstLine="648"/>
        <w:spacing w:after="0" w:line="241" w:lineRule="auto"/>
        <w:rPr>
          <w:sz w:val="20"/>
          <w:szCs w:val="20"/>
          <w:color w:val="auto"/>
        </w:rPr>
      </w:pPr>
      <w:r>
        <w:rPr>
          <w:rFonts w:ascii="Arial" w:cs="Arial" w:eastAsia="Arial" w:hAnsi="Arial"/>
          <w:sz w:val="18"/>
          <w:szCs w:val="18"/>
          <w:i w:val="1"/>
          <w:iCs w:val="1"/>
          <w:color w:val="auto"/>
        </w:rPr>
        <w:t>Stock Price Performance Award</w:t>
      </w:r>
      <w:r>
        <w:rPr>
          <w:rFonts w:ascii="Arial" w:cs="Arial" w:eastAsia="Arial" w:hAnsi="Arial"/>
          <w:sz w:val="18"/>
          <w:szCs w:val="18"/>
          <w:color w:val="auto"/>
        </w:rPr>
        <w:t>. Mr. Kapoor will vest in a portion of his Stock Price Performance Award representing his service from</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1, 2015 through his termination date plus an additional year (the “Enhanced Pro-Rata Portion”) if his employment terminates prior to a change in control due to his death or disability. If, prior to a change in control, Mr. Kapoor is terminated by the Company without cause or he voluntarily terminates his employment with good reason, a portion of the PRSUs will be considered earned based on the Company’s average stock price during the 60 days prior to Mr. Kapoor’s termination date (the “Earned PRSUs”). An Enhanced Pro-Rata Portion of any such Earned PRSUs will vest immediately upon Mr. Kapoor’s termination date.</w:t>
      </w:r>
    </w:p>
    <w:p>
      <w:pPr>
        <w:spacing w:after="0" w:line="189" w:lineRule="exact"/>
        <w:rPr>
          <w:sz w:val="20"/>
          <w:szCs w:val="20"/>
          <w:color w:val="auto"/>
        </w:rPr>
      </w:pPr>
    </w:p>
    <w:p>
      <w:pPr>
        <w:ind w:right="440" w:firstLine="648"/>
        <w:spacing w:after="0" w:line="275" w:lineRule="auto"/>
        <w:rPr>
          <w:sz w:val="20"/>
          <w:szCs w:val="20"/>
          <w:color w:val="auto"/>
        </w:rPr>
      </w:pPr>
      <w:r>
        <w:rPr>
          <w:rFonts w:ascii="Arial" w:cs="Arial" w:eastAsia="Arial" w:hAnsi="Arial"/>
          <w:sz w:val="17"/>
          <w:szCs w:val="17"/>
          <w:color w:val="auto"/>
        </w:rPr>
        <w:t>If a change in control occurs prior to the end of the performance period, a portion of the PRSUs outstanding as of the date of the change of control will be deemed earned and convert to Time-Vested RSUs (“CIC PRSUs”), based on the Company’s average stock price</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63" w:right="259" w:bottom="1440" w:gutter="0" w:footer="0" w:header="0"/>
        </w:sectPr>
      </w:pPr>
    </w:p>
    <w:bookmarkStart w:id="63" w:name="page64"/>
    <w:bookmarkEnd w:id="63"/>
    <w:p>
      <w:pPr>
        <w:spacing w:after="0" w:line="237" w:lineRule="auto"/>
        <w:rPr>
          <w:sz w:val="20"/>
          <w:szCs w:val="20"/>
          <w:color w:val="auto"/>
        </w:rPr>
      </w:pPr>
      <w:r>
        <w:rPr>
          <w:rFonts w:ascii="Arial" w:cs="Arial" w:eastAsia="Arial" w:hAnsi="Arial"/>
          <w:sz w:val="18"/>
          <w:szCs w:val="18"/>
          <w:color w:val="auto"/>
        </w:rPr>
        <w:t>on the date of the change in control, that cliff-vest on December 31, 2017, contingent upon Mr. Kapoor’s continued employment through that date. One hundred percent of all PRSUs granted to Mr. Kapoor pursuant to the Stock Price Performance Award will become fully vested if (i) within 12 months following or in specific contemplation of a change in control, he is terminated without cause; (ii) within 12 months following a change in control, he voluntarily terminates his employment for good reason or (iii) there is a failure to substitute, assume, exchange or otherwise continue the PRSUs by an acquirer. In addition, following the 12-month period described above, an Enhanced Pro-Rata Portion of any earned CIC PRSUs will vest immediately upon Mr. Kapoor’s termination of employment at any time after a change in control due to his termination without cause, death or disability, or resignation for good reason.</w:t>
      </w:r>
    </w:p>
    <w:p>
      <w:pPr>
        <w:spacing w:after="0" w:line="172" w:lineRule="exact"/>
        <w:rPr>
          <w:sz w:val="20"/>
          <w:szCs w:val="20"/>
          <w:color w:val="auto"/>
        </w:rPr>
      </w:pPr>
    </w:p>
    <w:p>
      <w:pPr>
        <w:ind w:right="100" w:firstLine="648"/>
        <w:spacing w:after="0" w:line="245" w:lineRule="auto"/>
        <w:rPr>
          <w:sz w:val="20"/>
          <w:szCs w:val="20"/>
          <w:color w:val="auto"/>
        </w:rPr>
      </w:pPr>
      <w:r>
        <w:rPr>
          <w:rFonts w:ascii="Arial" w:cs="Arial" w:eastAsia="Arial" w:hAnsi="Arial"/>
          <w:sz w:val="18"/>
          <w:szCs w:val="18"/>
          <w:i w:val="1"/>
          <w:iCs w:val="1"/>
          <w:color w:val="auto"/>
        </w:rPr>
        <w:t>Release of Claims</w:t>
      </w:r>
      <w:r>
        <w:rPr>
          <w:rFonts w:ascii="Arial" w:cs="Arial" w:eastAsia="Arial" w:hAnsi="Arial"/>
          <w:sz w:val="18"/>
          <w:szCs w:val="18"/>
          <w:color w:val="auto"/>
        </w:rPr>
        <w:t>. Mr. Kapoor’s severance payments and termination-related equity acceleration are subject to his execution of a</w:t>
      </w:r>
      <w:r>
        <w:rPr>
          <w:rFonts w:ascii="Arial" w:cs="Arial" w:eastAsia="Arial" w:hAnsi="Arial"/>
          <w:sz w:val="18"/>
          <w:szCs w:val="18"/>
          <w:i w:val="1"/>
          <w:iCs w:val="1"/>
          <w:color w:val="auto"/>
        </w:rPr>
        <w:t xml:space="preserve"> </w:t>
      </w:r>
      <w:r>
        <w:rPr>
          <w:rFonts w:ascii="Arial" w:cs="Arial" w:eastAsia="Arial" w:hAnsi="Arial"/>
          <w:sz w:val="18"/>
          <w:szCs w:val="18"/>
          <w:color w:val="auto"/>
        </w:rPr>
        <w:t>release of claims against us, his not having committed a material breach of the restrictive covenants that has remained uncured for 15 days after we have given him notice of such breach and his resignation from the board of directors and all committees thereof, if requested by the Company.</w:t>
      </w:r>
    </w:p>
    <w:p>
      <w:pPr>
        <w:spacing w:after="0" w:line="168" w:lineRule="exact"/>
        <w:rPr>
          <w:sz w:val="20"/>
          <w:szCs w:val="20"/>
          <w:color w:val="auto"/>
        </w:rPr>
      </w:pPr>
    </w:p>
    <w:p>
      <w:pPr>
        <w:ind w:right="60" w:firstLine="648"/>
        <w:spacing w:after="0" w:line="245" w:lineRule="auto"/>
        <w:rPr>
          <w:sz w:val="20"/>
          <w:szCs w:val="20"/>
          <w:color w:val="auto"/>
        </w:rPr>
      </w:pPr>
      <w:r>
        <w:rPr>
          <w:rFonts w:ascii="Arial" w:cs="Arial" w:eastAsia="Arial" w:hAnsi="Arial"/>
          <w:sz w:val="18"/>
          <w:szCs w:val="18"/>
          <w:i w:val="1"/>
          <w:iCs w:val="1"/>
          <w:color w:val="auto"/>
        </w:rPr>
        <w:t>Code Section 280G</w:t>
      </w:r>
      <w:r>
        <w:rPr>
          <w:rFonts w:ascii="Arial" w:cs="Arial" w:eastAsia="Arial" w:hAnsi="Arial"/>
          <w:sz w:val="18"/>
          <w:szCs w:val="18"/>
          <w:color w:val="auto"/>
        </w:rPr>
        <w:t>. Mr. Kapoor’s employment agreement also contains a “modified cut-back” provision such that any payments that</w:t>
      </w:r>
      <w:r>
        <w:rPr>
          <w:rFonts w:ascii="Arial" w:cs="Arial" w:eastAsia="Arial" w:hAnsi="Arial"/>
          <w:sz w:val="18"/>
          <w:szCs w:val="18"/>
          <w:i w:val="1"/>
          <w:iCs w:val="1"/>
          <w:color w:val="auto"/>
        </w:rPr>
        <w:t xml:space="preserve"> </w:t>
      </w:r>
      <w:r>
        <w:rPr>
          <w:rFonts w:ascii="Arial" w:cs="Arial" w:eastAsia="Arial" w:hAnsi="Arial"/>
          <w:sz w:val="18"/>
          <w:szCs w:val="18"/>
          <w:color w:val="auto"/>
        </w:rPr>
        <w:t>constitute “excess parachute payments” under Section 280G of the Code will be reduced to an amount that does not trigger the applicable excise taxes, to the extent such reduced amount is larger than the amount Mr. Kapoor would have received on a present-value net-after-tax basis (including excise taxes) absent such a reduction.</w:t>
      </w:r>
    </w:p>
    <w:p>
      <w:pPr>
        <w:spacing w:after="0" w:line="186" w:lineRule="exact"/>
        <w:rPr>
          <w:sz w:val="20"/>
          <w:szCs w:val="20"/>
          <w:color w:val="auto"/>
        </w:rPr>
      </w:pPr>
    </w:p>
    <w:p>
      <w:pPr>
        <w:ind w:right="60" w:firstLine="648"/>
        <w:spacing w:after="0" w:line="246" w:lineRule="auto"/>
        <w:rPr>
          <w:sz w:val="20"/>
          <w:szCs w:val="20"/>
          <w:color w:val="auto"/>
        </w:rPr>
      </w:pPr>
      <w:r>
        <w:rPr>
          <w:rFonts w:ascii="Arial" w:cs="Arial" w:eastAsia="Arial" w:hAnsi="Arial"/>
          <w:sz w:val="18"/>
          <w:szCs w:val="18"/>
          <w:color w:val="auto"/>
        </w:rPr>
        <w:t>In quantifying potential payments for purposes of this disclosure, we have quantified our equity-based payments by using the closing price of our stock on December 31, 2015, which was $44.93.</w:t>
      </w:r>
    </w:p>
    <w:p>
      <w:pPr>
        <w:spacing w:after="0" w:line="40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240" w:top="882" w:right="419" w:bottom="1440" w:gutter="0" w:footer="0" w:header="0"/>
        </w:sectPr>
      </w:pPr>
    </w:p>
    <w:bookmarkStart w:id="64" w:name="page65"/>
    <w:bookmarkEnd w:id="64"/>
    <w:p>
      <w:pPr>
        <w:ind w:left="340"/>
        <w:spacing w:after="0"/>
        <w:rPr>
          <w:sz w:val="20"/>
          <w:szCs w:val="20"/>
          <w:color w:val="auto"/>
        </w:rPr>
      </w:pPr>
      <w:r>
        <w:rPr>
          <w:rFonts w:ascii="Arial" w:cs="Arial" w:eastAsia="Arial" w:hAnsi="Arial"/>
          <w:sz w:val="18"/>
          <w:szCs w:val="18"/>
          <w:i w:val="1"/>
          <w:iCs w:val="1"/>
          <w:color w:val="auto"/>
        </w:rPr>
        <w:t>Indicative Payouts for Rohit Kapoor</w:t>
      </w:r>
    </w:p>
    <w:p>
      <w:pPr>
        <w:spacing w:after="0" w:line="216" w:lineRule="exact"/>
        <w:rPr>
          <w:sz w:val="20"/>
          <w:szCs w:val="20"/>
          <w:color w:val="auto"/>
        </w:rPr>
      </w:pPr>
    </w:p>
    <w:p>
      <w:pPr>
        <w:ind w:right="100" w:firstLine="648"/>
        <w:spacing w:after="0" w:line="246" w:lineRule="auto"/>
        <w:rPr>
          <w:sz w:val="20"/>
          <w:szCs w:val="20"/>
          <w:color w:val="auto"/>
        </w:rPr>
      </w:pPr>
      <w:r>
        <w:rPr>
          <w:rFonts w:ascii="Arial" w:cs="Arial" w:eastAsia="Arial" w:hAnsi="Arial"/>
          <w:sz w:val="18"/>
          <w:szCs w:val="18"/>
          <w:color w:val="auto"/>
        </w:rPr>
        <w:t>The following table summarizes the amounts payable to Mr. Kapoor upon a change in control or termination of his employment with us on December 31, 2015: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8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9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4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04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9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2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w w:val="99"/>
              </w:rPr>
              <w:t>Termination</w:t>
            </w:r>
          </w:p>
        </w:tc>
        <w:tc>
          <w:tcPr>
            <w:tcW w:w="11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360" w:type="dxa"/>
            <w:vAlign w:val="bottom"/>
            <w:shd w:val="clear" w:color="auto" w:fill="5591C7"/>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8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8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9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4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04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9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2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w w:val="99"/>
              </w:rPr>
              <w:t>Without</w:t>
            </w:r>
          </w:p>
        </w:tc>
        <w:tc>
          <w:tcPr>
            <w:tcW w:w="11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360" w:type="dxa"/>
            <w:vAlign w:val="bottom"/>
            <w:shd w:val="clear" w:color="auto" w:fill="5591C7"/>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8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8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9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4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04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9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2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Cause or for</w:t>
            </w:r>
          </w:p>
        </w:tc>
        <w:tc>
          <w:tcPr>
            <w:tcW w:w="12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w w:val="99"/>
              </w:rPr>
              <w:t>Termination</w:t>
            </w:r>
          </w:p>
        </w:tc>
        <w:tc>
          <w:tcPr>
            <w:tcW w:w="136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w w:val="99"/>
              </w:rPr>
              <w:t>Termination</w:t>
            </w:r>
          </w:p>
        </w:tc>
        <w:tc>
          <w:tcPr>
            <w:tcW w:w="0" w:type="dxa"/>
            <w:vAlign w:val="bottom"/>
          </w:tcPr>
          <w:p>
            <w:pPr>
              <w:spacing w:after="0"/>
              <w:rPr>
                <w:sz w:val="1"/>
                <w:szCs w:val="1"/>
                <w:color w:val="auto"/>
              </w:rPr>
            </w:pPr>
          </w:p>
        </w:tc>
      </w:tr>
      <w:tr>
        <w:trPr>
          <w:trHeight w:val="162"/>
        </w:trPr>
        <w:tc>
          <w:tcPr>
            <w:tcW w:w="218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8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9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4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1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w w:val="99"/>
              </w:rPr>
              <w:t>Termination</w:t>
            </w:r>
          </w:p>
        </w:tc>
        <w:tc>
          <w:tcPr>
            <w:tcW w:w="9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240" w:type="dxa"/>
            <w:vAlign w:val="bottom"/>
            <w:gridSpan w:val="2"/>
            <w:shd w:val="clear" w:color="auto" w:fill="5591C7"/>
          </w:tcPr>
          <w:p>
            <w:pPr>
              <w:jc w:val="center"/>
              <w:ind w:right="160"/>
              <w:spacing w:after="0"/>
              <w:rPr>
                <w:sz w:val="20"/>
                <w:szCs w:val="20"/>
                <w:color w:val="auto"/>
              </w:rPr>
            </w:pPr>
            <w:r>
              <w:rPr>
                <w:rFonts w:ascii="Arial" w:cs="Arial" w:eastAsia="Arial" w:hAnsi="Arial"/>
                <w:sz w:val="14"/>
                <w:szCs w:val="14"/>
                <w:b w:val="1"/>
                <w:bCs w:val="1"/>
                <w:color w:val="auto"/>
                <w:w w:val="98"/>
              </w:rPr>
              <w:t>Good</w:t>
            </w:r>
          </w:p>
        </w:tc>
        <w:tc>
          <w:tcPr>
            <w:tcW w:w="1240" w:type="dxa"/>
            <w:vAlign w:val="bottom"/>
            <w:gridSpan w:val="2"/>
            <w:shd w:val="clear" w:color="auto" w:fill="5591C7"/>
          </w:tcPr>
          <w:p>
            <w:pPr>
              <w:jc w:val="center"/>
              <w:ind w:right="160"/>
              <w:spacing w:after="0"/>
              <w:rPr>
                <w:sz w:val="20"/>
                <w:szCs w:val="20"/>
                <w:color w:val="auto"/>
              </w:rPr>
            </w:pPr>
            <w:r>
              <w:rPr>
                <w:rFonts w:ascii="Arial" w:cs="Arial" w:eastAsia="Arial" w:hAnsi="Arial"/>
                <w:sz w:val="14"/>
                <w:szCs w:val="14"/>
                <w:b w:val="1"/>
                <w:bCs w:val="1"/>
                <w:color w:val="auto"/>
              </w:rPr>
              <w:t>Due to Death</w:t>
            </w:r>
          </w:p>
        </w:tc>
        <w:tc>
          <w:tcPr>
            <w:tcW w:w="136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Without Cause</w:t>
            </w:r>
          </w:p>
        </w:tc>
        <w:tc>
          <w:tcPr>
            <w:tcW w:w="0" w:type="dxa"/>
            <w:vAlign w:val="bottom"/>
          </w:tcPr>
          <w:p>
            <w:pPr>
              <w:spacing w:after="0"/>
              <w:rPr>
                <w:sz w:val="1"/>
                <w:szCs w:val="1"/>
                <w:color w:val="auto"/>
              </w:rPr>
            </w:pPr>
          </w:p>
        </w:tc>
      </w:tr>
      <w:tr>
        <w:trPr>
          <w:trHeight w:val="162"/>
        </w:trPr>
        <w:tc>
          <w:tcPr>
            <w:tcW w:w="218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8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9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1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Expiration</w:t>
            </w:r>
          </w:p>
        </w:tc>
        <w:tc>
          <w:tcPr>
            <w:tcW w:w="11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for Good</w:t>
            </w:r>
          </w:p>
        </w:tc>
        <w:tc>
          <w:tcPr>
            <w:tcW w:w="9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2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Reason</w:t>
            </w:r>
          </w:p>
        </w:tc>
        <w:tc>
          <w:tcPr>
            <w:tcW w:w="12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or Disability</w:t>
            </w:r>
          </w:p>
        </w:tc>
        <w:tc>
          <w:tcPr>
            <w:tcW w:w="136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in Specific</w:t>
            </w:r>
          </w:p>
        </w:tc>
        <w:tc>
          <w:tcPr>
            <w:tcW w:w="0" w:type="dxa"/>
            <w:vAlign w:val="bottom"/>
          </w:tcPr>
          <w:p>
            <w:pPr>
              <w:spacing w:after="0"/>
              <w:rPr>
                <w:sz w:val="1"/>
                <w:szCs w:val="1"/>
                <w:color w:val="auto"/>
              </w:rPr>
            </w:pPr>
          </w:p>
        </w:tc>
      </w:tr>
      <w:tr>
        <w:trPr>
          <w:trHeight w:val="162"/>
        </w:trPr>
        <w:tc>
          <w:tcPr>
            <w:tcW w:w="218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8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9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1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of the</w:t>
            </w:r>
          </w:p>
        </w:tc>
        <w:tc>
          <w:tcPr>
            <w:tcW w:w="11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Reason or</w:t>
            </w:r>
          </w:p>
        </w:tc>
        <w:tc>
          <w:tcPr>
            <w:tcW w:w="9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2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Following</w:t>
            </w:r>
          </w:p>
        </w:tc>
        <w:tc>
          <w:tcPr>
            <w:tcW w:w="12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Following</w:t>
            </w:r>
          </w:p>
        </w:tc>
        <w:tc>
          <w:tcPr>
            <w:tcW w:w="136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Contemplation</w:t>
            </w:r>
          </w:p>
        </w:tc>
        <w:tc>
          <w:tcPr>
            <w:tcW w:w="0" w:type="dxa"/>
            <w:vAlign w:val="bottom"/>
          </w:tcPr>
          <w:p>
            <w:pPr>
              <w:spacing w:after="0"/>
              <w:rPr>
                <w:sz w:val="1"/>
                <w:szCs w:val="1"/>
                <w:color w:val="auto"/>
              </w:rPr>
            </w:pPr>
          </w:p>
        </w:tc>
      </w:tr>
      <w:tr>
        <w:trPr>
          <w:trHeight w:val="162"/>
        </w:trPr>
        <w:tc>
          <w:tcPr>
            <w:tcW w:w="218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8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9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1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Employment</w:t>
            </w:r>
          </w:p>
        </w:tc>
        <w:tc>
          <w:tcPr>
            <w:tcW w:w="11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Without</w:t>
            </w:r>
          </w:p>
        </w:tc>
        <w:tc>
          <w:tcPr>
            <w:tcW w:w="102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Change in</w:t>
            </w:r>
          </w:p>
        </w:tc>
        <w:tc>
          <w:tcPr>
            <w:tcW w:w="12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Change in</w:t>
            </w:r>
          </w:p>
        </w:tc>
        <w:tc>
          <w:tcPr>
            <w:tcW w:w="12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Change in</w:t>
            </w:r>
          </w:p>
        </w:tc>
        <w:tc>
          <w:tcPr>
            <w:tcW w:w="136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of Change in</w:t>
            </w:r>
          </w:p>
        </w:tc>
        <w:tc>
          <w:tcPr>
            <w:tcW w:w="0" w:type="dxa"/>
            <w:vAlign w:val="bottom"/>
          </w:tcPr>
          <w:p>
            <w:pPr>
              <w:spacing w:after="0"/>
              <w:rPr>
                <w:sz w:val="1"/>
                <w:szCs w:val="1"/>
                <w:color w:val="auto"/>
              </w:rPr>
            </w:pPr>
          </w:p>
        </w:tc>
      </w:tr>
      <w:tr>
        <w:trPr>
          <w:trHeight w:val="162"/>
        </w:trPr>
        <w:tc>
          <w:tcPr>
            <w:tcW w:w="2300" w:type="dxa"/>
            <w:vAlign w:val="bottom"/>
            <w:gridSpan w:val="2"/>
            <w:shd w:val="clear" w:color="auto" w:fill="5591C7"/>
          </w:tcPr>
          <w:p>
            <w:pPr>
              <w:ind w:left="560"/>
              <w:spacing w:after="0"/>
              <w:rPr>
                <w:sz w:val="20"/>
                <w:szCs w:val="20"/>
                <w:color w:val="auto"/>
              </w:rPr>
            </w:pPr>
            <w:r>
              <w:rPr>
                <w:rFonts w:ascii="Arial" w:cs="Arial" w:eastAsia="Arial" w:hAnsi="Arial"/>
                <w:sz w:val="14"/>
                <w:szCs w:val="14"/>
                <w:b w:val="1"/>
                <w:bCs w:val="1"/>
                <w:color w:val="auto"/>
              </w:rPr>
              <w:t>Payments upon</w:t>
            </w:r>
          </w:p>
        </w:tc>
        <w:tc>
          <w:tcPr>
            <w:tcW w:w="940" w:type="dxa"/>
            <w:vAlign w:val="bottom"/>
            <w:gridSpan w:val="2"/>
            <w:shd w:val="clear" w:color="auto" w:fill="5591C7"/>
          </w:tcPr>
          <w:p>
            <w:pPr>
              <w:ind w:left="200"/>
              <w:spacing w:after="0"/>
              <w:rPr>
                <w:sz w:val="20"/>
                <w:szCs w:val="20"/>
                <w:color w:val="auto"/>
              </w:rPr>
            </w:pPr>
            <w:r>
              <w:rPr>
                <w:rFonts w:ascii="Arial" w:cs="Arial" w:eastAsia="Arial" w:hAnsi="Arial"/>
                <w:sz w:val="14"/>
                <w:szCs w:val="14"/>
                <w:b w:val="1"/>
                <w:bCs w:val="1"/>
                <w:color w:val="auto"/>
              </w:rPr>
              <w:t>Death</w:t>
            </w:r>
          </w:p>
        </w:tc>
        <w:tc>
          <w:tcPr>
            <w:tcW w:w="1040" w:type="dxa"/>
            <w:vAlign w:val="bottom"/>
            <w:gridSpan w:val="2"/>
            <w:shd w:val="clear" w:color="auto" w:fill="5591C7"/>
          </w:tcPr>
          <w:p>
            <w:pPr>
              <w:ind w:left="140"/>
              <w:spacing w:after="0"/>
              <w:rPr>
                <w:sz w:val="20"/>
                <w:szCs w:val="20"/>
                <w:color w:val="auto"/>
              </w:rPr>
            </w:pPr>
            <w:r>
              <w:rPr>
                <w:rFonts w:ascii="Arial" w:cs="Arial" w:eastAsia="Arial" w:hAnsi="Arial"/>
                <w:sz w:val="14"/>
                <w:szCs w:val="14"/>
                <w:b w:val="1"/>
                <w:bCs w:val="1"/>
                <w:color w:val="auto"/>
              </w:rPr>
              <w:t>Disability</w:t>
            </w:r>
          </w:p>
        </w:tc>
        <w:tc>
          <w:tcPr>
            <w:tcW w:w="11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w w:val="99"/>
              </w:rPr>
              <w:t>Terms</w:t>
            </w:r>
          </w:p>
        </w:tc>
        <w:tc>
          <w:tcPr>
            <w:tcW w:w="11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Cause</w:t>
            </w:r>
          </w:p>
        </w:tc>
        <w:tc>
          <w:tcPr>
            <w:tcW w:w="102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Control</w:t>
            </w:r>
          </w:p>
        </w:tc>
        <w:tc>
          <w:tcPr>
            <w:tcW w:w="12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Control</w:t>
            </w:r>
          </w:p>
        </w:tc>
        <w:tc>
          <w:tcPr>
            <w:tcW w:w="12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Control</w:t>
            </w:r>
          </w:p>
        </w:tc>
        <w:tc>
          <w:tcPr>
            <w:tcW w:w="136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Control</w:t>
            </w:r>
          </w:p>
        </w:tc>
        <w:tc>
          <w:tcPr>
            <w:tcW w:w="0" w:type="dxa"/>
            <w:vAlign w:val="bottom"/>
          </w:tcPr>
          <w:p>
            <w:pPr>
              <w:spacing w:after="0"/>
              <w:rPr>
                <w:sz w:val="1"/>
                <w:szCs w:val="1"/>
                <w:color w:val="auto"/>
              </w:rPr>
            </w:pPr>
          </w:p>
        </w:tc>
      </w:tr>
      <w:tr>
        <w:trPr>
          <w:trHeight w:val="175"/>
        </w:trPr>
        <w:tc>
          <w:tcPr>
            <w:tcW w:w="2180" w:type="dxa"/>
            <w:vAlign w:val="bottom"/>
            <w:tcBorders>
              <w:bottom w:val="single" w:sz="8" w:color="auto"/>
            </w:tcBorders>
            <w:shd w:val="clear" w:color="auto" w:fill="5591C7"/>
          </w:tcPr>
          <w:p>
            <w:pPr>
              <w:ind w:left="680"/>
              <w:spacing w:after="0"/>
              <w:rPr>
                <w:sz w:val="20"/>
                <w:szCs w:val="20"/>
                <w:color w:val="auto"/>
              </w:rPr>
            </w:pPr>
            <w:r>
              <w:rPr>
                <w:rFonts w:ascii="Arial" w:cs="Arial" w:eastAsia="Arial" w:hAnsi="Arial"/>
                <w:sz w:val="14"/>
                <w:szCs w:val="14"/>
                <w:b w:val="1"/>
                <w:bCs w:val="1"/>
                <w:color w:val="auto"/>
              </w:rPr>
              <w:t>Termination</w:t>
            </w:r>
          </w:p>
        </w:tc>
        <w:tc>
          <w:tcPr>
            <w:tcW w:w="120" w:type="dxa"/>
            <w:vAlign w:val="bottom"/>
            <w:tcBorders>
              <w:bottom w:val="single" w:sz="8" w:color="C6D9F1"/>
            </w:tcBorders>
            <w:shd w:val="clear" w:color="auto" w:fill="5591C7"/>
          </w:tcPr>
          <w:p>
            <w:pPr>
              <w:spacing w:after="0"/>
              <w:rPr>
                <w:sz w:val="15"/>
                <w:szCs w:val="15"/>
                <w:color w:val="auto"/>
              </w:rPr>
            </w:pPr>
          </w:p>
        </w:tc>
        <w:tc>
          <w:tcPr>
            <w:tcW w:w="820" w:type="dxa"/>
            <w:vAlign w:val="bottom"/>
            <w:tcBorders>
              <w:bottom w:val="single" w:sz="8" w:color="auto"/>
            </w:tcBorders>
            <w:shd w:val="clear" w:color="auto" w:fill="5591C7"/>
          </w:tcPr>
          <w:p>
            <w:pPr>
              <w:jc w:val="right"/>
              <w:ind w:right="24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6D9F1"/>
            </w:tcBorders>
            <w:shd w:val="clear" w:color="auto" w:fill="5591C7"/>
          </w:tcPr>
          <w:p>
            <w:pPr>
              <w:spacing w:after="0"/>
              <w:rPr>
                <w:sz w:val="15"/>
                <w:szCs w:val="15"/>
                <w:color w:val="auto"/>
              </w:rPr>
            </w:pPr>
          </w:p>
        </w:tc>
        <w:tc>
          <w:tcPr>
            <w:tcW w:w="920" w:type="dxa"/>
            <w:vAlign w:val="bottom"/>
            <w:tcBorders>
              <w:bottom w:val="single" w:sz="8" w:color="auto"/>
            </w:tcBorders>
            <w:shd w:val="clear" w:color="auto" w:fill="5591C7"/>
          </w:tcPr>
          <w:p>
            <w:pPr>
              <w:jc w:val="right"/>
              <w:ind w:right="30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6D9F1"/>
            </w:tcBorders>
            <w:shd w:val="clear" w:color="auto" w:fill="5591C7"/>
          </w:tcPr>
          <w:p>
            <w:pPr>
              <w:spacing w:after="0"/>
              <w:rPr>
                <w:sz w:val="15"/>
                <w:szCs w:val="15"/>
                <w:color w:val="auto"/>
              </w:rPr>
            </w:pPr>
          </w:p>
        </w:tc>
        <w:tc>
          <w:tcPr>
            <w:tcW w:w="104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6D9F1"/>
            </w:tcBorders>
            <w:shd w:val="clear" w:color="auto" w:fill="5591C7"/>
          </w:tcPr>
          <w:p>
            <w:pPr>
              <w:spacing w:after="0"/>
              <w:rPr>
                <w:sz w:val="15"/>
                <w:szCs w:val="15"/>
                <w:color w:val="auto"/>
              </w:rPr>
            </w:pPr>
          </w:p>
        </w:tc>
        <w:tc>
          <w:tcPr>
            <w:tcW w:w="104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6D9F1"/>
            </w:tcBorders>
            <w:shd w:val="clear" w:color="auto" w:fill="5591C7"/>
          </w:tcPr>
          <w:p>
            <w:pPr>
              <w:spacing w:after="0"/>
              <w:rPr>
                <w:sz w:val="15"/>
                <w:szCs w:val="15"/>
                <w:color w:val="auto"/>
              </w:rPr>
            </w:pPr>
          </w:p>
        </w:tc>
        <w:tc>
          <w:tcPr>
            <w:tcW w:w="90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6D9F1"/>
            </w:tcBorders>
            <w:shd w:val="clear" w:color="auto" w:fill="5591C7"/>
          </w:tcPr>
          <w:p>
            <w:pPr>
              <w:spacing w:after="0"/>
              <w:rPr>
                <w:sz w:val="15"/>
                <w:szCs w:val="15"/>
                <w:color w:val="auto"/>
              </w:rPr>
            </w:pPr>
          </w:p>
        </w:tc>
        <w:tc>
          <w:tcPr>
            <w:tcW w:w="112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Borders>
              <w:bottom w:val="single" w:sz="8" w:color="C6D9F1"/>
            </w:tcBorders>
            <w:shd w:val="clear" w:color="auto" w:fill="5591C7"/>
          </w:tcPr>
          <w:p>
            <w:pPr>
              <w:spacing w:after="0"/>
              <w:rPr>
                <w:sz w:val="15"/>
                <w:szCs w:val="15"/>
                <w:color w:val="auto"/>
              </w:rPr>
            </w:pPr>
          </w:p>
        </w:tc>
        <w:tc>
          <w:tcPr>
            <w:tcW w:w="112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Borders>
              <w:bottom w:val="single" w:sz="8" w:color="C6D9F1"/>
            </w:tcBorders>
            <w:shd w:val="clear" w:color="auto" w:fill="5591C7"/>
          </w:tcPr>
          <w:p>
            <w:pPr>
              <w:spacing w:after="0"/>
              <w:rPr>
                <w:sz w:val="15"/>
                <w:szCs w:val="15"/>
                <w:color w:val="auto"/>
              </w:rPr>
            </w:pPr>
          </w:p>
        </w:tc>
        <w:tc>
          <w:tcPr>
            <w:tcW w:w="136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156"/>
        </w:trPr>
        <w:tc>
          <w:tcPr>
            <w:tcW w:w="2300" w:type="dxa"/>
            <w:vAlign w:val="bottom"/>
            <w:gridSpan w:val="2"/>
            <w:shd w:val="clear" w:color="auto" w:fill="C6D9F1"/>
          </w:tcPr>
          <w:p>
            <w:pPr>
              <w:spacing w:after="0" w:line="155" w:lineRule="exact"/>
              <w:rPr>
                <w:sz w:val="20"/>
                <w:szCs w:val="20"/>
                <w:color w:val="auto"/>
              </w:rPr>
            </w:pPr>
            <w:r>
              <w:rPr>
                <w:rFonts w:ascii="Arial" w:cs="Arial" w:eastAsia="Arial" w:hAnsi="Arial"/>
                <w:sz w:val="14"/>
                <w:szCs w:val="14"/>
                <w:color w:val="auto"/>
              </w:rPr>
              <w:t>Base salary payout</w:t>
            </w:r>
          </w:p>
        </w:tc>
        <w:tc>
          <w:tcPr>
            <w:tcW w:w="940" w:type="dxa"/>
            <w:vAlign w:val="bottom"/>
            <w:gridSpan w:val="2"/>
            <w:shd w:val="clear" w:color="auto" w:fill="C6D9F1"/>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6D9F1"/>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6D9F1"/>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1040" w:type="dxa"/>
            <w:vAlign w:val="bottom"/>
            <w:shd w:val="clear" w:color="auto" w:fill="C6D9F1"/>
          </w:tcPr>
          <w:p>
            <w:pPr>
              <w:jc w:val="right"/>
              <w:spacing w:after="0" w:line="155" w:lineRule="exact"/>
              <w:rPr>
                <w:sz w:val="20"/>
                <w:szCs w:val="20"/>
                <w:color w:val="auto"/>
              </w:rPr>
            </w:pPr>
            <w:r>
              <w:rPr>
                <w:rFonts w:ascii="Arial" w:cs="Arial" w:eastAsia="Arial" w:hAnsi="Arial"/>
                <w:sz w:val="14"/>
                <w:szCs w:val="14"/>
                <w:color w:val="auto"/>
              </w:rPr>
              <w:t>1,200,000</w:t>
            </w:r>
          </w:p>
        </w:tc>
        <w:tc>
          <w:tcPr>
            <w:tcW w:w="100" w:type="dxa"/>
            <w:vAlign w:val="bottom"/>
            <w:shd w:val="clear" w:color="auto" w:fill="C6D9F1"/>
          </w:tcPr>
          <w:p>
            <w:pPr>
              <w:spacing w:after="0"/>
              <w:rPr>
                <w:sz w:val="13"/>
                <w:szCs w:val="13"/>
                <w:color w:val="auto"/>
              </w:rPr>
            </w:pPr>
          </w:p>
        </w:tc>
        <w:tc>
          <w:tcPr>
            <w:tcW w:w="1020" w:type="dxa"/>
            <w:vAlign w:val="bottom"/>
            <w:gridSpan w:val="2"/>
            <w:shd w:val="clear" w:color="auto" w:fill="C6D9F1"/>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1120" w:type="dxa"/>
            <w:vAlign w:val="bottom"/>
            <w:shd w:val="clear" w:color="auto" w:fill="C6D9F1"/>
          </w:tcPr>
          <w:p>
            <w:pPr>
              <w:jc w:val="right"/>
              <w:spacing w:after="0" w:line="155" w:lineRule="exact"/>
              <w:rPr>
                <w:sz w:val="20"/>
                <w:szCs w:val="20"/>
                <w:color w:val="auto"/>
              </w:rPr>
            </w:pPr>
            <w:r>
              <w:rPr>
                <w:rFonts w:ascii="Arial" w:cs="Arial" w:eastAsia="Arial" w:hAnsi="Arial"/>
                <w:sz w:val="14"/>
                <w:szCs w:val="14"/>
                <w:color w:val="auto"/>
              </w:rPr>
              <w:t>1,200,000</w:t>
            </w:r>
          </w:p>
        </w:tc>
        <w:tc>
          <w:tcPr>
            <w:tcW w:w="120" w:type="dxa"/>
            <w:vAlign w:val="bottom"/>
            <w:shd w:val="clear" w:color="auto" w:fill="C6D9F1"/>
          </w:tcPr>
          <w:p>
            <w:pPr>
              <w:spacing w:after="0"/>
              <w:rPr>
                <w:sz w:val="13"/>
                <w:szCs w:val="13"/>
                <w:color w:val="auto"/>
              </w:rPr>
            </w:pPr>
          </w:p>
        </w:tc>
        <w:tc>
          <w:tcPr>
            <w:tcW w:w="1240" w:type="dxa"/>
            <w:vAlign w:val="bottom"/>
            <w:gridSpan w:val="2"/>
            <w:shd w:val="clear" w:color="auto" w:fill="C6D9F1"/>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1360" w:type="dxa"/>
            <w:vAlign w:val="bottom"/>
            <w:shd w:val="clear" w:color="auto" w:fill="C6D9F1"/>
          </w:tcPr>
          <w:p>
            <w:pPr>
              <w:jc w:val="right"/>
              <w:ind w:right="8"/>
              <w:spacing w:after="0" w:line="155" w:lineRule="exact"/>
              <w:rPr>
                <w:sz w:val="20"/>
                <w:szCs w:val="20"/>
                <w:color w:val="auto"/>
              </w:rPr>
            </w:pPr>
            <w:r>
              <w:rPr>
                <w:rFonts w:ascii="Arial" w:cs="Arial" w:eastAsia="Arial" w:hAnsi="Arial"/>
                <w:sz w:val="14"/>
                <w:szCs w:val="14"/>
                <w:color w:val="auto"/>
              </w:rPr>
              <w:t>1,200,000</w:t>
            </w:r>
          </w:p>
        </w:tc>
        <w:tc>
          <w:tcPr>
            <w:tcW w:w="0" w:type="dxa"/>
            <w:vAlign w:val="bottom"/>
          </w:tcPr>
          <w:p>
            <w:pPr>
              <w:spacing w:after="0"/>
              <w:rPr>
                <w:sz w:val="1"/>
                <w:szCs w:val="1"/>
                <w:color w:val="auto"/>
              </w:rPr>
            </w:pPr>
          </w:p>
        </w:tc>
      </w:tr>
      <w:tr>
        <w:trPr>
          <w:trHeight w:val="162"/>
        </w:trPr>
        <w:tc>
          <w:tcPr>
            <w:tcW w:w="2300" w:type="dxa"/>
            <w:vAlign w:val="bottom"/>
            <w:gridSpan w:val="2"/>
          </w:tcPr>
          <w:p>
            <w:pPr>
              <w:spacing w:after="0"/>
              <w:rPr>
                <w:sz w:val="20"/>
                <w:szCs w:val="20"/>
                <w:color w:val="auto"/>
              </w:rPr>
            </w:pPr>
            <w:r>
              <w:rPr>
                <w:rFonts w:ascii="Arial" w:cs="Arial" w:eastAsia="Arial" w:hAnsi="Arial"/>
                <w:sz w:val="14"/>
                <w:szCs w:val="14"/>
                <w:color w:val="auto"/>
              </w:rPr>
              <w:t>Bonus payout</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621,129</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621,129</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621,129</w:t>
            </w:r>
          </w:p>
        </w:tc>
        <w:tc>
          <w:tcPr>
            <w:tcW w:w="10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300" w:type="dxa"/>
            <w:vAlign w:val="bottom"/>
            <w:gridSpan w:val="2"/>
            <w:shd w:val="clear" w:color="auto" w:fill="C6D9F1"/>
          </w:tcPr>
          <w:p>
            <w:pPr>
              <w:spacing w:after="0"/>
              <w:rPr>
                <w:sz w:val="20"/>
                <w:szCs w:val="20"/>
                <w:color w:val="auto"/>
              </w:rPr>
            </w:pPr>
            <w:r>
              <w:rPr>
                <w:rFonts w:ascii="Arial" w:cs="Arial" w:eastAsia="Arial" w:hAnsi="Arial"/>
                <w:sz w:val="14"/>
                <w:szCs w:val="14"/>
                <w:color w:val="auto"/>
              </w:rPr>
              <w:t>Life insurance</w:t>
            </w:r>
          </w:p>
        </w:tc>
        <w:tc>
          <w:tcPr>
            <w:tcW w:w="940" w:type="dxa"/>
            <w:vAlign w:val="bottom"/>
            <w:gridSpan w:val="2"/>
            <w:shd w:val="clear" w:color="auto" w:fill="C6D9F1"/>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6D9F1"/>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6D9F1"/>
          </w:tcPr>
          <w:p>
            <w:pPr>
              <w:jc w:val="right"/>
              <w:ind w:right="100"/>
              <w:spacing w:after="0"/>
              <w:rPr>
                <w:sz w:val="20"/>
                <w:szCs w:val="20"/>
                <w:color w:val="auto"/>
              </w:rPr>
            </w:pPr>
            <w:r>
              <w:rPr>
                <w:rFonts w:ascii="Arial" w:cs="Arial" w:eastAsia="Arial" w:hAnsi="Arial"/>
                <w:sz w:val="14"/>
                <w:szCs w:val="14"/>
                <w:color w:val="auto"/>
              </w:rPr>
              <w:t>5,414</w:t>
            </w:r>
          </w:p>
        </w:tc>
        <w:tc>
          <w:tcPr>
            <w:tcW w:w="1140" w:type="dxa"/>
            <w:vAlign w:val="bottom"/>
            <w:gridSpan w:val="2"/>
            <w:shd w:val="clear" w:color="auto" w:fill="C6D9F1"/>
          </w:tcPr>
          <w:p>
            <w:pPr>
              <w:jc w:val="right"/>
              <w:ind w:right="100"/>
              <w:spacing w:after="0"/>
              <w:rPr>
                <w:sz w:val="20"/>
                <w:szCs w:val="20"/>
                <w:color w:val="auto"/>
              </w:rPr>
            </w:pPr>
            <w:r>
              <w:rPr>
                <w:rFonts w:ascii="Arial" w:cs="Arial" w:eastAsia="Arial" w:hAnsi="Arial"/>
                <w:sz w:val="14"/>
                <w:szCs w:val="14"/>
                <w:color w:val="auto"/>
              </w:rPr>
              <w:t>5,414</w:t>
            </w:r>
          </w:p>
        </w:tc>
        <w:tc>
          <w:tcPr>
            <w:tcW w:w="1020" w:type="dxa"/>
            <w:vAlign w:val="bottom"/>
            <w:gridSpan w:val="2"/>
            <w:shd w:val="clear" w:color="auto" w:fill="C6D9F1"/>
          </w:tcPr>
          <w:p>
            <w:pPr>
              <w:jc w:val="right"/>
              <w:ind w:right="120"/>
              <w:spacing w:after="0"/>
              <w:rPr>
                <w:sz w:val="20"/>
                <w:szCs w:val="20"/>
                <w:color w:val="auto"/>
              </w:rPr>
            </w:pPr>
            <w:r>
              <w:rPr>
                <w:rFonts w:ascii="Arial" w:cs="Arial" w:eastAsia="Arial" w:hAnsi="Arial"/>
                <w:sz w:val="14"/>
                <w:szCs w:val="14"/>
                <w:color w:val="auto"/>
              </w:rPr>
              <w:t>5,414</w:t>
            </w:r>
          </w:p>
        </w:tc>
        <w:tc>
          <w:tcPr>
            <w:tcW w:w="1240" w:type="dxa"/>
            <w:vAlign w:val="bottom"/>
            <w:gridSpan w:val="2"/>
            <w:shd w:val="clear" w:color="auto" w:fill="C6D9F1"/>
          </w:tcPr>
          <w:p>
            <w:pPr>
              <w:jc w:val="right"/>
              <w:ind w:right="120"/>
              <w:spacing w:after="0"/>
              <w:rPr>
                <w:sz w:val="20"/>
                <w:szCs w:val="20"/>
                <w:color w:val="auto"/>
              </w:rPr>
            </w:pPr>
            <w:r>
              <w:rPr>
                <w:rFonts w:ascii="Arial" w:cs="Arial" w:eastAsia="Arial" w:hAnsi="Arial"/>
                <w:sz w:val="14"/>
                <w:szCs w:val="14"/>
                <w:color w:val="auto"/>
              </w:rPr>
              <w:t>5,414</w:t>
            </w:r>
          </w:p>
        </w:tc>
        <w:tc>
          <w:tcPr>
            <w:tcW w:w="1240" w:type="dxa"/>
            <w:vAlign w:val="bottom"/>
            <w:gridSpan w:val="2"/>
            <w:shd w:val="clear" w:color="auto" w:fill="C6D9F1"/>
          </w:tcPr>
          <w:p>
            <w:pPr>
              <w:jc w:val="right"/>
              <w:ind w:right="12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6D9F1"/>
          </w:tcPr>
          <w:p>
            <w:pPr>
              <w:jc w:val="right"/>
              <w:ind w:right="8"/>
              <w:spacing w:after="0"/>
              <w:rPr>
                <w:sz w:val="20"/>
                <w:szCs w:val="20"/>
                <w:color w:val="auto"/>
              </w:rPr>
            </w:pPr>
            <w:r>
              <w:rPr>
                <w:rFonts w:ascii="Arial" w:cs="Arial" w:eastAsia="Arial" w:hAnsi="Arial"/>
                <w:sz w:val="14"/>
                <w:szCs w:val="14"/>
                <w:color w:val="auto"/>
              </w:rPr>
              <w:t>5,414</w:t>
            </w:r>
          </w:p>
        </w:tc>
        <w:tc>
          <w:tcPr>
            <w:tcW w:w="0" w:type="dxa"/>
            <w:vAlign w:val="bottom"/>
          </w:tcPr>
          <w:p>
            <w:pPr>
              <w:spacing w:after="0"/>
              <w:rPr>
                <w:sz w:val="1"/>
                <w:szCs w:val="1"/>
                <w:color w:val="auto"/>
              </w:rPr>
            </w:pPr>
          </w:p>
        </w:tc>
      </w:tr>
      <w:tr>
        <w:trPr>
          <w:trHeight w:val="162"/>
        </w:trPr>
        <w:tc>
          <w:tcPr>
            <w:tcW w:w="2300" w:type="dxa"/>
            <w:vAlign w:val="bottom"/>
            <w:gridSpan w:val="2"/>
          </w:tcPr>
          <w:p>
            <w:pPr>
              <w:spacing w:after="0"/>
              <w:rPr>
                <w:sz w:val="20"/>
                <w:szCs w:val="20"/>
                <w:color w:val="auto"/>
              </w:rPr>
            </w:pPr>
            <w:r>
              <w:rPr>
                <w:rFonts w:ascii="Arial" w:cs="Arial" w:eastAsia="Arial" w:hAnsi="Arial"/>
                <w:sz w:val="14"/>
                <w:szCs w:val="14"/>
                <w:color w:val="auto"/>
              </w:rPr>
              <w:t>Health insurance</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19,569</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19,569</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19,569</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19,569</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19,569</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19,569</w:t>
            </w:r>
          </w:p>
        </w:tc>
        <w:tc>
          <w:tcPr>
            <w:tcW w:w="0" w:type="dxa"/>
            <w:vAlign w:val="bottom"/>
          </w:tcPr>
          <w:p>
            <w:pPr>
              <w:spacing w:after="0"/>
              <w:rPr>
                <w:sz w:val="1"/>
                <w:szCs w:val="1"/>
                <w:color w:val="auto"/>
              </w:rPr>
            </w:pPr>
          </w:p>
        </w:tc>
      </w:tr>
      <w:tr>
        <w:trPr>
          <w:trHeight w:val="167"/>
        </w:trPr>
        <w:tc>
          <w:tcPr>
            <w:tcW w:w="2300" w:type="dxa"/>
            <w:vAlign w:val="bottom"/>
            <w:gridSpan w:val="2"/>
            <w:shd w:val="clear" w:color="auto" w:fill="C6D9F1"/>
          </w:tcPr>
          <w:p>
            <w:pPr>
              <w:spacing w:after="0"/>
              <w:rPr>
                <w:sz w:val="20"/>
                <w:szCs w:val="20"/>
                <w:color w:val="auto"/>
              </w:rPr>
            </w:pPr>
            <w:r>
              <w:rPr>
                <w:rFonts w:ascii="Arial" w:cs="Arial" w:eastAsia="Arial" w:hAnsi="Arial"/>
                <w:sz w:val="14"/>
                <w:szCs w:val="14"/>
                <w:color w:val="auto"/>
              </w:rPr>
              <w:t>Stock options (unvested and</w:t>
            </w:r>
          </w:p>
        </w:tc>
        <w:tc>
          <w:tcPr>
            <w:tcW w:w="820" w:type="dxa"/>
            <w:vAlign w:val="bottom"/>
            <w:shd w:val="clear" w:color="auto" w:fill="C6D9F1"/>
          </w:tcPr>
          <w:p>
            <w:pPr>
              <w:spacing w:after="0"/>
              <w:rPr>
                <w:sz w:val="14"/>
                <w:szCs w:val="14"/>
                <w:color w:val="auto"/>
              </w:rPr>
            </w:pPr>
          </w:p>
        </w:tc>
        <w:tc>
          <w:tcPr>
            <w:tcW w:w="120" w:type="dxa"/>
            <w:vAlign w:val="bottom"/>
            <w:shd w:val="clear" w:color="auto" w:fill="C6D9F1"/>
          </w:tcPr>
          <w:p>
            <w:pPr>
              <w:spacing w:after="0"/>
              <w:rPr>
                <w:sz w:val="14"/>
                <w:szCs w:val="14"/>
                <w:color w:val="auto"/>
              </w:rPr>
            </w:pPr>
          </w:p>
        </w:tc>
        <w:tc>
          <w:tcPr>
            <w:tcW w:w="920" w:type="dxa"/>
            <w:vAlign w:val="bottom"/>
            <w:shd w:val="clear" w:color="auto" w:fill="C6D9F1"/>
          </w:tcPr>
          <w:p>
            <w:pPr>
              <w:spacing w:after="0"/>
              <w:rPr>
                <w:sz w:val="14"/>
                <w:szCs w:val="14"/>
                <w:color w:val="auto"/>
              </w:rPr>
            </w:pPr>
          </w:p>
        </w:tc>
        <w:tc>
          <w:tcPr>
            <w:tcW w:w="120" w:type="dxa"/>
            <w:vAlign w:val="bottom"/>
            <w:shd w:val="clear" w:color="auto" w:fill="C6D9F1"/>
          </w:tcPr>
          <w:p>
            <w:pPr>
              <w:spacing w:after="0"/>
              <w:rPr>
                <w:sz w:val="14"/>
                <w:szCs w:val="14"/>
                <w:color w:val="auto"/>
              </w:rPr>
            </w:pPr>
          </w:p>
        </w:tc>
        <w:tc>
          <w:tcPr>
            <w:tcW w:w="1040" w:type="dxa"/>
            <w:vAlign w:val="bottom"/>
            <w:shd w:val="clear" w:color="auto" w:fill="C6D9F1"/>
          </w:tcPr>
          <w:p>
            <w:pPr>
              <w:spacing w:after="0"/>
              <w:rPr>
                <w:sz w:val="14"/>
                <w:szCs w:val="14"/>
                <w:color w:val="auto"/>
              </w:rPr>
            </w:pPr>
          </w:p>
        </w:tc>
        <w:tc>
          <w:tcPr>
            <w:tcW w:w="100" w:type="dxa"/>
            <w:vAlign w:val="bottom"/>
            <w:shd w:val="clear" w:color="auto" w:fill="C6D9F1"/>
          </w:tcPr>
          <w:p>
            <w:pPr>
              <w:spacing w:after="0"/>
              <w:rPr>
                <w:sz w:val="14"/>
                <w:szCs w:val="14"/>
                <w:color w:val="auto"/>
              </w:rPr>
            </w:pPr>
          </w:p>
        </w:tc>
        <w:tc>
          <w:tcPr>
            <w:tcW w:w="1040" w:type="dxa"/>
            <w:vAlign w:val="bottom"/>
            <w:shd w:val="clear" w:color="auto" w:fill="C6D9F1"/>
          </w:tcPr>
          <w:p>
            <w:pPr>
              <w:spacing w:after="0"/>
              <w:rPr>
                <w:sz w:val="14"/>
                <w:szCs w:val="14"/>
                <w:color w:val="auto"/>
              </w:rPr>
            </w:pPr>
          </w:p>
        </w:tc>
        <w:tc>
          <w:tcPr>
            <w:tcW w:w="100" w:type="dxa"/>
            <w:vAlign w:val="bottom"/>
            <w:shd w:val="clear" w:color="auto" w:fill="C6D9F1"/>
          </w:tcPr>
          <w:p>
            <w:pPr>
              <w:spacing w:after="0"/>
              <w:rPr>
                <w:sz w:val="14"/>
                <w:szCs w:val="14"/>
                <w:color w:val="auto"/>
              </w:rPr>
            </w:pPr>
          </w:p>
        </w:tc>
        <w:tc>
          <w:tcPr>
            <w:tcW w:w="900" w:type="dxa"/>
            <w:vAlign w:val="bottom"/>
            <w:shd w:val="clear" w:color="auto" w:fill="C6D9F1"/>
          </w:tcPr>
          <w:p>
            <w:pPr>
              <w:spacing w:after="0"/>
              <w:rPr>
                <w:sz w:val="14"/>
                <w:szCs w:val="14"/>
                <w:color w:val="auto"/>
              </w:rPr>
            </w:pPr>
          </w:p>
        </w:tc>
        <w:tc>
          <w:tcPr>
            <w:tcW w:w="120" w:type="dxa"/>
            <w:vAlign w:val="bottom"/>
            <w:shd w:val="clear" w:color="auto" w:fill="C6D9F1"/>
          </w:tcPr>
          <w:p>
            <w:pPr>
              <w:spacing w:after="0"/>
              <w:rPr>
                <w:sz w:val="14"/>
                <w:szCs w:val="14"/>
                <w:color w:val="auto"/>
              </w:rPr>
            </w:pPr>
          </w:p>
        </w:tc>
        <w:tc>
          <w:tcPr>
            <w:tcW w:w="1120" w:type="dxa"/>
            <w:vAlign w:val="bottom"/>
            <w:shd w:val="clear" w:color="auto" w:fill="C6D9F1"/>
          </w:tcPr>
          <w:p>
            <w:pPr>
              <w:spacing w:after="0"/>
              <w:rPr>
                <w:sz w:val="14"/>
                <w:szCs w:val="14"/>
                <w:color w:val="auto"/>
              </w:rPr>
            </w:pPr>
          </w:p>
        </w:tc>
        <w:tc>
          <w:tcPr>
            <w:tcW w:w="120" w:type="dxa"/>
            <w:vAlign w:val="bottom"/>
            <w:shd w:val="clear" w:color="auto" w:fill="C6D9F1"/>
          </w:tcPr>
          <w:p>
            <w:pPr>
              <w:spacing w:after="0"/>
              <w:rPr>
                <w:sz w:val="14"/>
                <w:szCs w:val="14"/>
                <w:color w:val="auto"/>
              </w:rPr>
            </w:pPr>
          </w:p>
        </w:tc>
        <w:tc>
          <w:tcPr>
            <w:tcW w:w="1120" w:type="dxa"/>
            <w:vAlign w:val="bottom"/>
            <w:shd w:val="clear" w:color="auto" w:fill="C6D9F1"/>
          </w:tcPr>
          <w:p>
            <w:pPr>
              <w:spacing w:after="0"/>
              <w:rPr>
                <w:sz w:val="14"/>
                <w:szCs w:val="14"/>
                <w:color w:val="auto"/>
              </w:rPr>
            </w:pPr>
          </w:p>
        </w:tc>
        <w:tc>
          <w:tcPr>
            <w:tcW w:w="120" w:type="dxa"/>
            <w:vAlign w:val="bottom"/>
            <w:shd w:val="clear" w:color="auto" w:fill="C6D9F1"/>
          </w:tcPr>
          <w:p>
            <w:pPr>
              <w:spacing w:after="0"/>
              <w:rPr>
                <w:sz w:val="14"/>
                <w:szCs w:val="14"/>
                <w:color w:val="auto"/>
              </w:rPr>
            </w:pPr>
          </w:p>
        </w:tc>
        <w:tc>
          <w:tcPr>
            <w:tcW w:w="1360" w:type="dxa"/>
            <w:vAlign w:val="bottom"/>
            <w:shd w:val="clear" w:color="auto" w:fill="C6D9F1"/>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300" w:type="dxa"/>
            <w:vAlign w:val="bottom"/>
            <w:gridSpan w:val="2"/>
            <w:shd w:val="clear" w:color="auto" w:fill="C6D9F1"/>
          </w:tcPr>
          <w:p>
            <w:pPr>
              <w:ind w:left="160"/>
              <w:spacing w:after="0" w:line="157" w:lineRule="exact"/>
              <w:rPr>
                <w:sz w:val="20"/>
                <w:szCs w:val="20"/>
                <w:color w:val="auto"/>
              </w:rPr>
            </w:pPr>
            <w:r>
              <w:rPr>
                <w:rFonts w:ascii="Arial" w:cs="Arial" w:eastAsia="Arial" w:hAnsi="Arial"/>
                <w:sz w:val="14"/>
                <w:szCs w:val="14"/>
                <w:color w:val="auto"/>
              </w:rPr>
              <w:t>accelerated)</w:t>
            </w:r>
          </w:p>
        </w:tc>
        <w:tc>
          <w:tcPr>
            <w:tcW w:w="940" w:type="dxa"/>
            <w:vAlign w:val="bottom"/>
            <w:gridSpan w:val="2"/>
            <w:shd w:val="clear" w:color="auto" w:fill="C6D9F1"/>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6D9F1"/>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6D9F1"/>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040" w:type="dxa"/>
            <w:vAlign w:val="bottom"/>
            <w:shd w:val="clear" w:color="auto" w:fill="C6D9F1"/>
          </w:tcPr>
          <w:p>
            <w:pPr>
              <w:jc w:val="right"/>
              <w:spacing w:after="0" w:line="157" w:lineRule="exact"/>
              <w:rPr>
                <w:sz w:val="20"/>
                <w:szCs w:val="20"/>
                <w:color w:val="auto"/>
              </w:rPr>
            </w:pPr>
            <w:r>
              <w:rPr>
                <w:rFonts w:ascii="Arial" w:cs="Arial" w:eastAsia="Arial" w:hAnsi="Arial"/>
                <w:sz w:val="14"/>
                <w:szCs w:val="14"/>
                <w:color w:val="auto"/>
              </w:rPr>
              <w:t>491,400</w:t>
            </w:r>
          </w:p>
        </w:tc>
        <w:tc>
          <w:tcPr>
            <w:tcW w:w="100" w:type="dxa"/>
            <w:vAlign w:val="bottom"/>
            <w:shd w:val="clear" w:color="auto" w:fill="C6D9F1"/>
          </w:tcPr>
          <w:p>
            <w:pPr>
              <w:spacing w:after="0"/>
              <w:rPr>
                <w:sz w:val="13"/>
                <w:szCs w:val="13"/>
                <w:color w:val="auto"/>
              </w:rPr>
            </w:pPr>
          </w:p>
        </w:tc>
        <w:tc>
          <w:tcPr>
            <w:tcW w:w="1020" w:type="dxa"/>
            <w:vAlign w:val="bottom"/>
            <w:gridSpan w:val="2"/>
            <w:shd w:val="clear" w:color="auto" w:fill="C6D9F1"/>
          </w:tcPr>
          <w:p>
            <w:pPr>
              <w:jc w:val="right"/>
              <w:ind w:right="120"/>
              <w:spacing w:after="0" w:line="157" w:lineRule="exact"/>
              <w:rPr>
                <w:sz w:val="20"/>
                <w:szCs w:val="20"/>
                <w:color w:val="auto"/>
              </w:rPr>
            </w:pPr>
            <w:r>
              <w:rPr>
                <w:rFonts w:ascii="Arial" w:cs="Arial" w:eastAsia="Arial" w:hAnsi="Arial"/>
                <w:sz w:val="14"/>
                <w:szCs w:val="14"/>
                <w:color w:val="auto"/>
              </w:rPr>
              <w:t>491,400</w:t>
            </w:r>
          </w:p>
        </w:tc>
        <w:tc>
          <w:tcPr>
            <w:tcW w:w="1120" w:type="dxa"/>
            <w:vAlign w:val="bottom"/>
            <w:shd w:val="clear" w:color="auto" w:fill="C6D9F1"/>
          </w:tcPr>
          <w:p>
            <w:pPr>
              <w:jc w:val="right"/>
              <w:spacing w:after="0" w:line="157" w:lineRule="exact"/>
              <w:rPr>
                <w:sz w:val="20"/>
                <w:szCs w:val="20"/>
                <w:color w:val="auto"/>
              </w:rPr>
            </w:pPr>
            <w:r>
              <w:rPr>
                <w:rFonts w:ascii="Arial" w:cs="Arial" w:eastAsia="Arial" w:hAnsi="Arial"/>
                <w:sz w:val="14"/>
                <w:szCs w:val="14"/>
                <w:color w:val="auto"/>
              </w:rPr>
              <w:t>491,400</w:t>
            </w:r>
          </w:p>
        </w:tc>
        <w:tc>
          <w:tcPr>
            <w:tcW w:w="120" w:type="dxa"/>
            <w:vAlign w:val="bottom"/>
            <w:shd w:val="clear" w:color="auto" w:fill="C6D9F1"/>
          </w:tcPr>
          <w:p>
            <w:pPr>
              <w:spacing w:after="0"/>
              <w:rPr>
                <w:sz w:val="13"/>
                <w:szCs w:val="13"/>
                <w:color w:val="auto"/>
              </w:rPr>
            </w:pPr>
          </w:p>
        </w:tc>
        <w:tc>
          <w:tcPr>
            <w:tcW w:w="1240" w:type="dxa"/>
            <w:vAlign w:val="bottom"/>
            <w:gridSpan w:val="2"/>
            <w:shd w:val="clear" w:color="auto" w:fill="C6D9F1"/>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360" w:type="dxa"/>
            <w:vAlign w:val="bottom"/>
            <w:shd w:val="clear" w:color="auto" w:fill="C6D9F1"/>
          </w:tcPr>
          <w:p>
            <w:pPr>
              <w:jc w:val="right"/>
              <w:ind w:right="8"/>
              <w:spacing w:after="0" w:line="157" w:lineRule="exact"/>
              <w:rPr>
                <w:sz w:val="20"/>
                <w:szCs w:val="20"/>
                <w:color w:val="auto"/>
              </w:rPr>
            </w:pPr>
            <w:r>
              <w:rPr>
                <w:rFonts w:ascii="Arial" w:cs="Arial" w:eastAsia="Arial" w:hAnsi="Arial"/>
                <w:sz w:val="14"/>
                <w:szCs w:val="14"/>
                <w:color w:val="auto"/>
              </w:rPr>
              <w:t>491,400</w:t>
            </w:r>
          </w:p>
        </w:tc>
        <w:tc>
          <w:tcPr>
            <w:tcW w:w="0" w:type="dxa"/>
            <w:vAlign w:val="bottom"/>
          </w:tcPr>
          <w:p>
            <w:pPr>
              <w:spacing w:after="0"/>
              <w:rPr>
                <w:sz w:val="1"/>
                <w:szCs w:val="1"/>
                <w:color w:val="auto"/>
              </w:rPr>
            </w:pPr>
          </w:p>
        </w:tc>
      </w:tr>
      <w:tr>
        <w:trPr>
          <w:trHeight w:val="167"/>
        </w:trPr>
        <w:tc>
          <w:tcPr>
            <w:tcW w:w="2300" w:type="dxa"/>
            <w:vAlign w:val="bottom"/>
            <w:gridSpan w:val="2"/>
          </w:tcPr>
          <w:p>
            <w:pPr>
              <w:spacing w:after="0"/>
              <w:rPr>
                <w:sz w:val="20"/>
                <w:szCs w:val="20"/>
                <w:color w:val="auto"/>
              </w:rPr>
            </w:pPr>
            <w:r>
              <w:rPr>
                <w:rFonts w:ascii="Arial" w:cs="Arial" w:eastAsia="Arial" w:hAnsi="Arial"/>
                <w:sz w:val="14"/>
                <w:szCs w:val="14"/>
                <w:color w:val="auto"/>
              </w:rPr>
              <w:t>Restricted stock units (unvested</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300" w:type="dxa"/>
            <w:vAlign w:val="bottom"/>
            <w:gridSpan w:val="2"/>
          </w:tcPr>
          <w:p>
            <w:pPr>
              <w:ind w:left="160"/>
              <w:spacing w:after="0" w:line="157" w:lineRule="exact"/>
              <w:rPr>
                <w:sz w:val="20"/>
                <w:szCs w:val="20"/>
                <w:color w:val="auto"/>
              </w:rPr>
            </w:pPr>
            <w:r>
              <w:rPr>
                <w:rFonts w:ascii="Arial" w:cs="Arial" w:eastAsia="Arial" w:hAnsi="Arial"/>
                <w:sz w:val="14"/>
                <w:szCs w:val="14"/>
                <w:color w:val="auto"/>
              </w:rPr>
              <w:t>and accelerated)</w:t>
            </w:r>
          </w:p>
        </w:tc>
        <w:tc>
          <w:tcPr>
            <w:tcW w:w="94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040" w:type="dxa"/>
            <w:vAlign w:val="bottom"/>
          </w:tcPr>
          <w:p>
            <w:pPr>
              <w:jc w:val="right"/>
              <w:spacing w:after="0" w:line="157" w:lineRule="exact"/>
              <w:rPr>
                <w:sz w:val="20"/>
                <w:szCs w:val="20"/>
                <w:color w:val="auto"/>
              </w:rPr>
            </w:pPr>
            <w:r>
              <w:rPr>
                <w:rFonts w:ascii="Arial" w:cs="Arial" w:eastAsia="Arial" w:hAnsi="Arial"/>
                <w:sz w:val="14"/>
                <w:szCs w:val="14"/>
                <w:color w:val="auto"/>
              </w:rPr>
              <w:t>3,929,488</w:t>
            </w:r>
          </w:p>
        </w:tc>
        <w:tc>
          <w:tcPr>
            <w:tcW w:w="100" w:type="dxa"/>
            <w:vAlign w:val="bottom"/>
          </w:tcPr>
          <w:p>
            <w:pPr>
              <w:spacing w:after="0"/>
              <w:rPr>
                <w:sz w:val="13"/>
                <w:szCs w:val="13"/>
                <w:color w:val="auto"/>
              </w:rPr>
            </w:pPr>
          </w:p>
        </w:tc>
        <w:tc>
          <w:tcPr>
            <w:tcW w:w="102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2,190,472</w:t>
            </w:r>
          </w:p>
        </w:tc>
        <w:tc>
          <w:tcPr>
            <w:tcW w:w="1120" w:type="dxa"/>
            <w:vAlign w:val="bottom"/>
          </w:tcPr>
          <w:p>
            <w:pPr>
              <w:jc w:val="right"/>
              <w:spacing w:after="0" w:line="157" w:lineRule="exact"/>
              <w:rPr>
                <w:sz w:val="20"/>
                <w:szCs w:val="20"/>
                <w:color w:val="auto"/>
              </w:rPr>
            </w:pPr>
            <w:r>
              <w:rPr>
                <w:rFonts w:ascii="Arial" w:cs="Arial" w:eastAsia="Arial" w:hAnsi="Arial"/>
                <w:sz w:val="14"/>
                <w:szCs w:val="14"/>
                <w:color w:val="auto"/>
              </w:rPr>
              <w:t>5,193,144</w:t>
            </w:r>
          </w:p>
        </w:tc>
        <w:tc>
          <w:tcPr>
            <w:tcW w:w="120" w:type="dxa"/>
            <w:vAlign w:val="bottom"/>
          </w:tcPr>
          <w:p>
            <w:pPr>
              <w:spacing w:after="0"/>
              <w:rPr>
                <w:sz w:val="13"/>
                <w:szCs w:val="13"/>
                <w:color w:val="auto"/>
              </w:rPr>
            </w:pPr>
          </w:p>
        </w:tc>
        <w:tc>
          <w:tcPr>
            <w:tcW w:w="124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360" w:type="dxa"/>
            <w:vAlign w:val="bottom"/>
          </w:tcPr>
          <w:p>
            <w:pPr>
              <w:jc w:val="right"/>
              <w:ind w:right="8"/>
              <w:spacing w:after="0" w:line="157" w:lineRule="exact"/>
              <w:rPr>
                <w:sz w:val="20"/>
                <w:szCs w:val="20"/>
                <w:color w:val="auto"/>
              </w:rPr>
            </w:pPr>
            <w:r>
              <w:rPr>
                <w:rFonts w:ascii="Arial" w:cs="Arial" w:eastAsia="Arial" w:hAnsi="Arial"/>
                <w:sz w:val="14"/>
                <w:szCs w:val="14"/>
                <w:color w:val="auto"/>
              </w:rPr>
              <w:t>5,193,144</w:t>
            </w:r>
          </w:p>
        </w:tc>
        <w:tc>
          <w:tcPr>
            <w:tcW w:w="0" w:type="dxa"/>
            <w:vAlign w:val="bottom"/>
          </w:tcPr>
          <w:p>
            <w:pPr>
              <w:spacing w:after="0"/>
              <w:rPr>
                <w:sz w:val="1"/>
                <w:szCs w:val="1"/>
                <w:color w:val="auto"/>
              </w:rPr>
            </w:pPr>
          </w:p>
        </w:tc>
      </w:tr>
      <w:tr>
        <w:trPr>
          <w:trHeight w:val="167"/>
        </w:trPr>
        <w:tc>
          <w:tcPr>
            <w:tcW w:w="2300" w:type="dxa"/>
            <w:vAlign w:val="bottom"/>
            <w:gridSpan w:val="2"/>
            <w:shd w:val="clear" w:color="auto" w:fill="C6D9F1"/>
          </w:tcPr>
          <w:p>
            <w:pPr>
              <w:spacing w:after="0"/>
              <w:rPr>
                <w:sz w:val="20"/>
                <w:szCs w:val="20"/>
                <w:color w:val="auto"/>
              </w:rPr>
            </w:pPr>
            <w:r>
              <w:rPr>
                <w:rFonts w:ascii="Arial" w:cs="Arial" w:eastAsia="Arial" w:hAnsi="Arial"/>
                <w:sz w:val="14"/>
                <w:szCs w:val="14"/>
                <w:color w:val="auto"/>
              </w:rPr>
              <w:t>Performance restricted stock</w:t>
            </w:r>
          </w:p>
        </w:tc>
        <w:tc>
          <w:tcPr>
            <w:tcW w:w="820" w:type="dxa"/>
            <w:vAlign w:val="bottom"/>
            <w:shd w:val="clear" w:color="auto" w:fill="C6D9F1"/>
          </w:tcPr>
          <w:p>
            <w:pPr>
              <w:spacing w:after="0"/>
              <w:rPr>
                <w:sz w:val="14"/>
                <w:szCs w:val="14"/>
                <w:color w:val="auto"/>
              </w:rPr>
            </w:pPr>
          </w:p>
        </w:tc>
        <w:tc>
          <w:tcPr>
            <w:tcW w:w="120" w:type="dxa"/>
            <w:vAlign w:val="bottom"/>
            <w:shd w:val="clear" w:color="auto" w:fill="C6D9F1"/>
          </w:tcPr>
          <w:p>
            <w:pPr>
              <w:spacing w:after="0"/>
              <w:rPr>
                <w:sz w:val="14"/>
                <w:szCs w:val="14"/>
                <w:color w:val="auto"/>
              </w:rPr>
            </w:pPr>
          </w:p>
        </w:tc>
        <w:tc>
          <w:tcPr>
            <w:tcW w:w="920" w:type="dxa"/>
            <w:vAlign w:val="bottom"/>
            <w:shd w:val="clear" w:color="auto" w:fill="C6D9F1"/>
          </w:tcPr>
          <w:p>
            <w:pPr>
              <w:spacing w:after="0"/>
              <w:rPr>
                <w:sz w:val="14"/>
                <w:szCs w:val="14"/>
                <w:color w:val="auto"/>
              </w:rPr>
            </w:pPr>
          </w:p>
        </w:tc>
        <w:tc>
          <w:tcPr>
            <w:tcW w:w="120" w:type="dxa"/>
            <w:vAlign w:val="bottom"/>
            <w:shd w:val="clear" w:color="auto" w:fill="C6D9F1"/>
          </w:tcPr>
          <w:p>
            <w:pPr>
              <w:spacing w:after="0"/>
              <w:rPr>
                <w:sz w:val="14"/>
                <w:szCs w:val="14"/>
                <w:color w:val="auto"/>
              </w:rPr>
            </w:pPr>
          </w:p>
        </w:tc>
        <w:tc>
          <w:tcPr>
            <w:tcW w:w="1040" w:type="dxa"/>
            <w:vAlign w:val="bottom"/>
            <w:shd w:val="clear" w:color="auto" w:fill="C6D9F1"/>
          </w:tcPr>
          <w:p>
            <w:pPr>
              <w:spacing w:after="0"/>
              <w:rPr>
                <w:sz w:val="14"/>
                <w:szCs w:val="14"/>
                <w:color w:val="auto"/>
              </w:rPr>
            </w:pPr>
          </w:p>
        </w:tc>
        <w:tc>
          <w:tcPr>
            <w:tcW w:w="100" w:type="dxa"/>
            <w:vAlign w:val="bottom"/>
            <w:shd w:val="clear" w:color="auto" w:fill="C6D9F1"/>
          </w:tcPr>
          <w:p>
            <w:pPr>
              <w:spacing w:after="0"/>
              <w:rPr>
                <w:sz w:val="14"/>
                <w:szCs w:val="14"/>
                <w:color w:val="auto"/>
              </w:rPr>
            </w:pPr>
          </w:p>
        </w:tc>
        <w:tc>
          <w:tcPr>
            <w:tcW w:w="1040" w:type="dxa"/>
            <w:vAlign w:val="bottom"/>
            <w:shd w:val="clear" w:color="auto" w:fill="C6D9F1"/>
          </w:tcPr>
          <w:p>
            <w:pPr>
              <w:spacing w:after="0"/>
              <w:rPr>
                <w:sz w:val="14"/>
                <w:szCs w:val="14"/>
                <w:color w:val="auto"/>
              </w:rPr>
            </w:pPr>
          </w:p>
        </w:tc>
        <w:tc>
          <w:tcPr>
            <w:tcW w:w="100" w:type="dxa"/>
            <w:vAlign w:val="bottom"/>
            <w:shd w:val="clear" w:color="auto" w:fill="C6D9F1"/>
          </w:tcPr>
          <w:p>
            <w:pPr>
              <w:spacing w:after="0"/>
              <w:rPr>
                <w:sz w:val="14"/>
                <w:szCs w:val="14"/>
                <w:color w:val="auto"/>
              </w:rPr>
            </w:pPr>
          </w:p>
        </w:tc>
        <w:tc>
          <w:tcPr>
            <w:tcW w:w="900" w:type="dxa"/>
            <w:vAlign w:val="bottom"/>
            <w:shd w:val="clear" w:color="auto" w:fill="C6D9F1"/>
          </w:tcPr>
          <w:p>
            <w:pPr>
              <w:spacing w:after="0"/>
              <w:rPr>
                <w:sz w:val="14"/>
                <w:szCs w:val="14"/>
                <w:color w:val="auto"/>
              </w:rPr>
            </w:pPr>
          </w:p>
        </w:tc>
        <w:tc>
          <w:tcPr>
            <w:tcW w:w="120" w:type="dxa"/>
            <w:vAlign w:val="bottom"/>
            <w:shd w:val="clear" w:color="auto" w:fill="C6D9F1"/>
          </w:tcPr>
          <w:p>
            <w:pPr>
              <w:spacing w:after="0"/>
              <w:rPr>
                <w:sz w:val="14"/>
                <w:szCs w:val="14"/>
                <w:color w:val="auto"/>
              </w:rPr>
            </w:pPr>
          </w:p>
        </w:tc>
        <w:tc>
          <w:tcPr>
            <w:tcW w:w="1120" w:type="dxa"/>
            <w:vAlign w:val="bottom"/>
            <w:shd w:val="clear" w:color="auto" w:fill="C6D9F1"/>
          </w:tcPr>
          <w:p>
            <w:pPr>
              <w:spacing w:after="0"/>
              <w:rPr>
                <w:sz w:val="14"/>
                <w:szCs w:val="14"/>
                <w:color w:val="auto"/>
              </w:rPr>
            </w:pPr>
          </w:p>
        </w:tc>
        <w:tc>
          <w:tcPr>
            <w:tcW w:w="120" w:type="dxa"/>
            <w:vAlign w:val="bottom"/>
            <w:shd w:val="clear" w:color="auto" w:fill="C6D9F1"/>
          </w:tcPr>
          <w:p>
            <w:pPr>
              <w:spacing w:after="0"/>
              <w:rPr>
                <w:sz w:val="14"/>
                <w:szCs w:val="14"/>
                <w:color w:val="auto"/>
              </w:rPr>
            </w:pPr>
          </w:p>
        </w:tc>
        <w:tc>
          <w:tcPr>
            <w:tcW w:w="1120" w:type="dxa"/>
            <w:vAlign w:val="bottom"/>
            <w:shd w:val="clear" w:color="auto" w:fill="C6D9F1"/>
          </w:tcPr>
          <w:p>
            <w:pPr>
              <w:spacing w:after="0"/>
              <w:rPr>
                <w:sz w:val="14"/>
                <w:szCs w:val="14"/>
                <w:color w:val="auto"/>
              </w:rPr>
            </w:pPr>
          </w:p>
        </w:tc>
        <w:tc>
          <w:tcPr>
            <w:tcW w:w="120" w:type="dxa"/>
            <w:vAlign w:val="bottom"/>
            <w:shd w:val="clear" w:color="auto" w:fill="C6D9F1"/>
          </w:tcPr>
          <w:p>
            <w:pPr>
              <w:spacing w:after="0"/>
              <w:rPr>
                <w:sz w:val="14"/>
                <w:szCs w:val="14"/>
                <w:color w:val="auto"/>
              </w:rPr>
            </w:pPr>
          </w:p>
        </w:tc>
        <w:tc>
          <w:tcPr>
            <w:tcW w:w="1360" w:type="dxa"/>
            <w:vAlign w:val="bottom"/>
            <w:shd w:val="clear" w:color="auto" w:fill="C6D9F1"/>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gridSpan w:val="2"/>
            <w:shd w:val="clear" w:color="auto" w:fill="C6D9F1"/>
          </w:tcPr>
          <w:p>
            <w:pPr>
              <w:ind w:left="160"/>
              <w:spacing w:after="0"/>
              <w:rPr>
                <w:sz w:val="20"/>
                <w:szCs w:val="20"/>
                <w:color w:val="auto"/>
              </w:rPr>
            </w:pPr>
            <w:r>
              <w:rPr>
                <w:rFonts w:ascii="Arial" w:cs="Arial" w:eastAsia="Arial" w:hAnsi="Arial"/>
                <w:sz w:val="14"/>
                <w:szCs w:val="14"/>
                <w:color w:val="auto"/>
              </w:rPr>
              <w:t>units (unvested and</w:t>
            </w:r>
          </w:p>
        </w:tc>
        <w:tc>
          <w:tcPr>
            <w:tcW w:w="820" w:type="dxa"/>
            <w:vAlign w:val="bottom"/>
            <w:shd w:val="clear" w:color="auto" w:fill="C6D9F1"/>
          </w:tcPr>
          <w:p>
            <w:pPr>
              <w:spacing w:after="0"/>
              <w:rPr>
                <w:sz w:val="14"/>
                <w:szCs w:val="14"/>
                <w:color w:val="auto"/>
              </w:rPr>
            </w:pPr>
          </w:p>
        </w:tc>
        <w:tc>
          <w:tcPr>
            <w:tcW w:w="120" w:type="dxa"/>
            <w:vAlign w:val="bottom"/>
            <w:shd w:val="clear" w:color="auto" w:fill="C6D9F1"/>
          </w:tcPr>
          <w:p>
            <w:pPr>
              <w:spacing w:after="0"/>
              <w:rPr>
                <w:sz w:val="14"/>
                <w:szCs w:val="14"/>
                <w:color w:val="auto"/>
              </w:rPr>
            </w:pPr>
          </w:p>
        </w:tc>
        <w:tc>
          <w:tcPr>
            <w:tcW w:w="920" w:type="dxa"/>
            <w:vAlign w:val="bottom"/>
            <w:shd w:val="clear" w:color="auto" w:fill="C6D9F1"/>
          </w:tcPr>
          <w:p>
            <w:pPr>
              <w:spacing w:after="0"/>
              <w:rPr>
                <w:sz w:val="14"/>
                <w:szCs w:val="14"/>
                <w:color w:val="auto"/>
              </w:rPr>
            </w:pPr>
          </w:p>
        </w:tc>
        <w:tc>
          <w:tcPr>
            <w:tcW w:w="120" w:type="dxa"/>
            <w:vAlign w:val="bottom"/>
            <w:shd w:val="clear" w:color="auto" w:fill="C6D9F1"/>
          </w:tcPr>
          <w:p>
            <w:pPr>
              <w:spacing w:after="0"/>
              <w:rPr>
                <w:sz w:val="14"/>
                <w:szCs w:val="14"/>
                <w:color w:val="auto"/>
              </w:rPr>
            </w:pPr>
          </w:p>
        </w:tc>
        <w:tc>
          <w:tcPr>
            <w:tcW w:w="1040" w:type="dxa"/>
            <w:vAlign w:val="bottom"/>
            <w:shd w:val="clear" w:color="auto" w:fill="C6D9F1"/>
          </w:tcPr>
          <w:p>
            <w:pPr>
              <w:spacing w:after="0"/>
              <w:rPr>
                <w:sz w:val="14"/>
                <w:szCs w:val="14"/>
                <w:color w:val="auto"/>
              </w:rPr>
            </w:pPr>
          </w:p>
        </w:tc>
        <w:tc>
          <w:tcPr>
            <w:tcW w:w="100" w:type="dxa"/>
            <w:vAlign w:val="bottom"/>
            <w:shd w:val="clear" w:color="auto" w:fill="C6D9F1"/>
          </w:tcPr>
          <w:p>
            <w:pPr>
              <w:spacing w:after="0"/>
              <w:rPr>
                <w:sz w:val="14"/>
                <w:szCs w:val="14"/>
                <w:color w:val="auto"/>
              </w:rPr>
            </w:pPr>
          </w:p>
        </w:tc>
        <w:tc>
          <w:tcPr>
            <w:tcW w:w="1040" w:type="dxa"/>
            <w:vAlign w:val="bottom"/>
            <w:vMerge w:val="restart"/>
            <w:shd w:val="clear" w:color="auto" w:fill="C6D9F1"/>
          </w:tcPr>
          <w:p>
            <w:pPr>
              <w:jc w:val="right"/>
              <w:spacing w:after="0"/>
              <w:rPr>
                <w:sz w:val="20"/>
                <w:szCs w:val="20"/>
                <w:color w:val="auto"/>
              </w:rPr>
            </w:pPr>
            <w:r>
              <w:rPr>
                <w:rFonts w:ascii="Arial" w:cs="Arial" w:eastAsia="Arial" w:hAnsi="Arial"/>
                <w:sz w:val="14"/>
                <w:szCs w:val="14"/>
                <w:color w:val="auto"/>
              </w:rPr>
              <w:t>3,369,750</w:t>
            </w:r>
            <w:r>
              <w:rPr>
                <w:rFonts w:ascii="Arial" w:cs="Arial" w:eastAsia="Arial" w:hAnsi="Arial"/>
                <w:sz w:val="23"/>
                <w:szCs w:val="23"/>
                <w:color w:val="auto"/>
                <w:vertAlign w:val="superscript"/>
              </w:rPr>
              <w:t>(1)</w:t>
            </w:r>
          </w:p>
        </w:tc>
        <w:tc>
          <w:tcPr>
            <w:tcW w:w="100" w:type="dxa"/>
            <w:vAlign w:val="bottom"/>
            <w:shd w:val="clear" w:color="auto" w:fill="C6D9F1"/>
          </w:tcPr>
          <w:p>
            <w:pPr>
              <w:spacing w:after="0"/>
              <w:rPr>
                <w:sz w:val="14"/>
                <w:szCs w:val="14"/>
                <w:color w:val="auto"/>
              </w:rPr>
            </w:pPr>
          </w:p>
        </w:tc>
        <w:tc>
          <w:tcPr>
            <w:tcW w:w="900" w:type="dxa"/>
            <w:vAlign w:val="bottom"/>
            <w:shd w:val="clear" w:color="auto" w:fill="C6D9F1"/>
          </w:tcPr>
          <w:p>
            <w:pPr>
              <w:spacing w:after="0"/>
              <w:rPr>
                <w:sz w:val="14"/>
                <w:szCs w:val="14"/>
                <w:color w:val="auto"/>
              </w:rPr>
            </w:pPr>
          </w:p>
        </w:tc>
        <w:tc>
          <w:tcPr>
            <w:tcW w:w="120" w:type="dxa"/>
            <w:vAlign w:val="bottom"/>
            <w:shd w:val="clear" w:color="auto" w:fill="C6D9F1"/>
          </w:tcPr>
          <w:p>
            <w:pPr>
              <w:spacing w:after="0"/>
              <w:rPr>
                <w:sz w:val="14"/>
                <w:szCs w:val="14"/>
                <w:color w:val="auto"/>
              </w:rPr>
            </w:pPr>
          </w:p>
        </w:tc>
        <w:tc>
          <w:tcPr>
            <w:tcW w:w="1120" w:type="dxa"/>
            <w:vAlign w:val="bottom"/>
            <w:shd w:val="clear" w:color="auto" w:fill="C6D9F1"/>
          </w:tcPr>
          <w:p>
            <w:pPr>
              <w:spacing w:after="0"/>
              <w:rPr>
                <w:sz w:val="14"/>
                <w:szCs w:val="14"/>
                <w:color w:val="auto"/>
              </w:rPr>
            </w:pPr>
          </w:p>
        </w:tc>
        <w:tc>
          <w:tcPr>
            <w:tcW w:w="120" w:type="dxa"/>
            <w:vAlign w:val="bottom"/>
            <w:shd w:val="clear" w:color="auto" w:fill="C6D9F1"/>
          </w:tcPr>
          <w:p>
            <w:pPr>
              <w:spacing w:after="0"/>
              <w:rPr>
                <w:sz w:val="14"/>
                <w:szCs w:val="14"/>
                <w:color w:val="auto"/>
              </w:rPr>
            </w:pPr>
          </w:p>
        </w:tc>
        <w:tc>
          <w:tcPr>
            <w:tcW w:w="1120" w:type="dxa"/>
            <w:vAlign w:val="bottom"/>
            <w:shd w:val="clear" w:color="auto" w:fill="C6D9F1"/>
          </w:tcPr>
          <w:p>
            <w:pPr>
              <w:spacing w:after="0"/>
              <w:rPr>
                <w:sz w:val="14"/>
                <w:szCs w:val="14"/>
                <w:color w:val="auto"/>
              </w:rPr>
            </w:pPr>
          </w:p>
        </w:tc>
        <w:tc>
          <w:tcPr>
            <w:tcW w:w="120" w:type="dxa"/>
            <w:vAlign w:val="bottom"/>
            <w:shd w:val="clear" w:color="auto" w:fill="C6D9F1"/>
          </w:tcPr>
          <w:p>
            <w:pPr>
              <w:spacing w:after="0"/>
              <w:rPr>
                <w:sz w:val="14"/>
                <w:szCs w:val="14"/>
                <w:color w:val="auto"/>
              </w:rPr>
            </w:pPr>
          </w:p>
        </w:tc>
        <w:tc>
          <w:tcPr>
            <w:tcW w:w="1360" w:type="dxa"/>
            <w:vAlign w:val="bottom"/>
            <w:shd w:val="clear" w:color="auto" w:fill="C6D9F1"/>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300" w:type="dxa"/>
            <w:vAlign w:val="bottom"/>
            <w:gridSpan w:val="2"/>
            <w:shd w:val="clear" w:color="auto" w:fill="C6D9F1"/>
          </w:tcPr>
          <w:p>
            <w:pPr>
              <w:ind w:left="160"/>
              <w:spacing w:after="0" w:line="157" w:lineRule="exact"/>
              <w:rPr>
                <w:sz w:val="20"/>
                <w:szCs w:val="20"/>
                <w:color w:val="auto"/>
              </w:rPr>
            </w:pPr>
            <w:r>
              <w:rPr>
                <w:rFonts w:ascii="Arial" w:cs="Arial" w:eastAsia="Arial" w:hAnsi="Arial"/>
                <w:sz w:val="14"/>
                <w:szCs w:val="14"/>
                <w:color w:val="auto"/>
              </w:rPr>
              <w:t>accelerated)</w:t>
            </w:r>
          </w:p>
        </w:tc>
        <w:tc>
          <w:tcPr>
            <w:tcW w:w="940" w:type="dxa"/>
            <w:vAlign w:val="bottom"/>
            <w:gridSpan w:val="2"/>
            <w:shd w:val="clear" w:color="auto" w:fill="C6D9F1"/>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6D9F1"/>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6D9F1"/>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040" w:type="dxa"/>
            <w:vAlign w:val="bottom"/>
            <w:vMerge w:val="continue"/>
            <w:shd w:val="clear" w:color="auto" w:fill="C6D9F1"/>
          </w:tcPr>
          <w:p>
            <w:pPr>
              <w:spacing w:after="0"/>
              <w:rPr>
                <w:sz w:val="13"/>
                <w:szCs w:val="13"/>
                <w:color w:val="auto"/>
              </w:rPr>
            </w:pPr>
          </w:p>
        </w:tc>
        <w:tc>
          <w:tcPr>
            <w:tcW w:w="100" w:type="dxa"/>
            <w:vAlign w:val="bottom"/>
            <w:shd w:val="clear" w:color="auto" w:fill="C6D9F1"/>
          </w:tcPr>
          <w:p>
            <w:pPr>
              <w:spacing w:after="0"/>
              <w:rPr>
                <w:sz w:val="13"/>
                <w:szCs w:val="13"/>
                <w:color w:val="auto"/>
              </w:rPr>
            </w:pPr>
          </w:p>
        </w:tc>
        <w:tc>
          <w:tcPr>
            <w:tcW w:w="1020" w:type="dxa"/>
            <w:vAlign w:val="bottom"/>
            <w:gridSpan w:val="2"/>
            <w:shd w:val="clear" w:color="auto" w:fill="C6D9F1"/>
          </w:tcPr>
          <w:p>
            <w:pPr>
              <w:jc w:val="right"/>
              <w:ind w:right="120"/>
              <w:spacing w:after="0" w:line="157" w:lineRule="exact"/>
              <w:rPr>
                <w:sz w:val="20"/>
                <w:szCs w:val="20"/>
                <w:color w:val="auto"/>
              </w:rPr>
            </w:pPr>
            <w:r>
              <w:rPr>
                <w:rFonts w:ascii="Arial" w:cs="Arial" w:eastAsia="Arial" w:hAnsi="Arial"/>
                <w:sz w:val="14"/>
                <w:szCs w:val="14"/>
                <w:color w:val="auto"/>
              </w:rPr>
              <w:t>3,650,652</w:t>
            </w:r>
          </w:p>
        </w:tc>
        <w:tc>
          <w:tcPr>
            <w:tcW w:w="1120" w:type="dxa"/>
            <w:vAlign w:val="bottom"/>
            <w:shd w:val="clear" w:color="auto" w:fill="C6D9F1"/>
          </w:tcPr>
          <w:p>
            <w:pPr>
              <w:jc w:val="right"/>
              <w:spacing w:after="0" w:line="157" w:lineRule="exact"/>
              <w:rPr>
                <w:sz w:val="20"/>
                <w:szCs w:val="20"/>
                <w:color w:val="auto"/>
              </w:rPr>
            </w:pPr>
            <w:r>
              <w:rPr>
                <w:rFonts w:ascii="Arial" w:cs="Arial" w:eastAsia="Arial" w:hAnsi="Arial"/>
                <w:sz w:val="14"/>
                <w:szCs w:val="14"/>
                <w:color w:val="auto"/>
              </w:rPr>
              <w:t>4,212,188</w:t>
            </w:r>
          </w:p>
        </w:tc>
        <w:tc>
          <w:tcPr>
            <w:tcW w:w="120" w:type="dxa"/>
            <w:vAlign w:val="bottom"/>
            <w:shd w:val="clear" w:color="auto" w:fill="C6D9F1"/>
          </w:tcPr>
          <w:p>
            <w:pPr>
              <w:spacing w:after="0"/>
              <w:rPr>
                <w:sz w:val="13"/>
                <w:szCs w:val="13"/>
                <w:color w:val="auto"/>
              </w:rPr>
            </w:pPr>
          </w:p>
        </w:tc>
        <w:tc>
          <w:tcPr>
            <w:tcW w:w="1240" w:type="dxa"/>
            <w:vAlign w:val="bottom"/>
            <w:gridSpan w:val="2"/>
            <w:shd w:val="clear" w:color="auto" w:fill="C6D9F1"/>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360" w:type="dxa"/>
            <w:vAlign w:val="bottom"/>
            <w:shd w:val="clear" w:color="auto" w:fill="C6D9F1"/>
          </w:tcPr>
          <w:p>
            <w:pPr>
              <w:jc w:val="right"/>
              <w:ind w:right="8"/>
              <w:spacing w:after="0" w:line="157" w:lineRule="exact"/>
              <w:rPr>
                <w:sz w:val="20"/>
                <w:szCs w:val="20"/>
                <w:color w:val="auto"/>
              </w:rPr>
            </w:pPr>
            <w:r>
              <w:rPr>
                <w:rFonts w:ascii="Arial" w:cs="Arial" w:eastAsia="Arial" w:hAnsi="Arial"/>
                <w:sz w:val="14"/>
                <w:szCs w:val="14"/>
                <w:color w:val="auto"/>
              </w:rPr>
              <w:t>4,212,188</w:t>
            </w:r>
          </w:p>
        </w:tc>
        <w:tc>
          <w:tcPr>
            <w:tcW w:w="0" w:type="dxa"/>
            <w:vAlign w:val="bottom"/>
          </w:tcPr>
          <w:p>
            <w:pPr>
              <w:spacing w:after="0"/>
              <w:rPr>
                <w:sz w:val="1"/>
                <w:szCs w:val="1"/>
                <w:color w:val="auto"/>
              </w:rPr>
            </w:pPr>
          </w:p>
        </w:tc>
      </w:tr>
      <w:tr>
        <w:trPr>
          <w:trHeight w:val="167"/>
        </w:trPr>
        <w:tc>
          <w:tcPr>
            <w:tcW w:w="2300" w:type="dxa"/>
            <w:vAlign w:val="bottom"/>
            <w:gridSpan w:val="2"/>
          </w:tcPr>
          <w:p>
            <w:pPr>
              <w:spacing w:after="0"/>
              <w:rPr>
                <w:sz w:val="20"/>
                <w:szCs w:val="20"/>
                <w:color w:val="auto"/>
              </w:rPr>
            </w:pPr>
            <w:r>
              <w:rPr>
                <w:rFonts w:ascii="Arial" w:cs="Arial" w:eastAsia="Arial" w:hAnsi="Arial"/>
                <w:sz w:val="14"/>
                <w:szCs w:val="14"/>
                <w:color w:val="auto"/>
              </w:rPr>
              <w:t>Performance restricted stock</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gridSpan w:val="2"/>
          </w:tcPr>
          <w:p>
            <w:pPr>
              <w:ind w:left="160"/>
              <w:spacing w:after="0"/>
              <w:rPr>
                <w:sz w:val="20"/>
                <w:szCs w:val="20"/>
                <w:color w:val="auto"/>
              </w:rPr>
            </w:pPr>
            <w:r>
              <w:rPr>
                <w:rFonts w:ascii="Arial" w:cs="Arial" w:eastAsia="Arial" w:hAnsi="Arial"/>
                <w:sz w:val="14"/>
                <w:szCs w:val="14"/>
                <w:color w:val="auto"/>
              </w:rPr>
              <w:t>units (unvested and</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gridSpan w:val="2"/>
          </w:tcPr>
          <w:p>
            <w:pPr>
              <w:ind w:left="160"/>
              <w:spacing w:after="0"/>
              <w:rPr>
                <w:sz w:val="20"/>
                <w:szCs w:val="20"/>
                <w:color w:val="auto"/>
              </w:rPr>
            </w:pPr>
            <w:r>
              <w:rPr>
                <w:rFonts w:ascii="Arial" w:cs="Arial" w:eastAsia="Arial" w:hAnsi="Arial"/>
                <w:sz w:val="14"/>
                <w:szCs w:val="14"/>
                <w:color w:val="auto"/>
              </w:rPr>
              <w:t>accelerated Stock Price</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restart"/>
          </w:tcPr>
          <w:p>
            <w:pPr>
              <w:jc w:val="right"/>
              <w:ind w:right="12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2"/>
                <w:szCs w:val="12"/>
                <w:color w:val="auto"/>
              </w:rPr>
              <w:t>(2)</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300" w:type="dxa"/>
            <w:vAlign w:val="bottom"/>
            <w:gridSpan w:val="2"/>
          </w:tcPr>
          <w:p>
            <w:pPr>
              <w:ind w:left="160"/>
              <w:spacing w:after="0"/>
              <w:rPr>
                <w:sz w:val="20"/>
                <w:szCs w:val="20"/>
                <w:color w:val="auto"/>
              </w:rPr>
            </w:pPr>
            <w:r>
              <w:rPr>
                <w:rFonts w:ascii="Arial" w:cs="Arial" w:eastAsia="Arial" w:hAnsi="Arial"/>
                <w:sz w:val="14"/>
                <w:szCs w:val="14"/>
                <w:color w:val="auto"/>
              </w:rPr>
              <w:t>Performance Award)</w:t>
            </w:r>
          </w:p>
        </w:tc>
        <w:tc>
          <w:tcPr>
            <w:tcW w:w="820" w:type="dxa"/>
            <w:vAlign w:val="bottom"/>
          </w:tcPr>
          <w:p>
            <w:pPr>
              <w:jc w:val="right"/>
              <w:spacing w:after="0"/>
              <w:rPr>
                <w:sz w:val="20"/>
                <w:szCs w:val="20"/>
                <w:color w:val="auto"/>
              </w:rPr>
            </w:pPr>
            <w:r>
              <w:rPr>
                <w:rFonts w:ascii="Arial" w:cs="Arial" w:eastAsia="Arial" w:hAnsi="Arial"/>
                <w:sz w:val="14"/>
                <w:szCs w:val="14"/>
                <w:color w:val="auto"/>
              </w:rPr>
              <w:t>2,992,608</w:t>
            </w:r>
          </w:p>
        </w:tc>
        <w:tc>
          <w:tcPr>
            <w:tcW w:w="12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2,992,608</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4,515,240</w:t>
            </w:r>
          </w:p>
        </w:tc>
        <w:tc>
          <w:tcPr>
            <w:tcW w:w="10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4,898,269</w:t>
            </w:r>
          </w:p>
        </w:tc>
        <w:tc>
          <w:tcPr>
            <w:tcW w:w="120" w:type="dxa"/>
            <w:vAlign w:val="bottom"/>
          </w:tcPr>
          <w:p>
            <w:pPr>
              <w:spacing w:after="0"/>
              <w:rPr>
                <w:sz w:val="17"/>
                <w:szCs w:val="17"/>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4,898,269</w:t>
            </w: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4,898,269</w:t>
            </w:r>
          </w:p>
        </w:tc>
        <w:tc>
          <w:tcPr>
            <w:tcW w:w="0" w:type="dxa"/>
            <w:vAlign w:val="bottom"/>
          </w:tcPr>
          <w:p>
            <w:pPr>
              <w:spacing w:after="0"/>
              <w:rPr>
                <w:sz w:val="1"/>
                <w:szCs w:val="1"/>
                <w:color w:val="auto"/>
              </w:rPr>
            </w:pPr>
          </w:p>
        </w:tc>
      </w:tr>
    </w:tbl>
    <w:p>
      <w:pPr>
        <w:spacing w:after="0" w:line="199" w:lineRule="exact"/>
        <w:rPr>
          <w:sz w:val="20"/>
          <w:szCs w:val="20"/>
          <w:color w:val="auto"/>
        </w:rPr>
      </w:pPr>
    </w:p>
    <w:p>
      <w:pPr>
        <w:jc w:val="both"/>
        <w:ind w:left="660" w:hanging="328"/>
        <w:spacing w:after="0" w:line="241" w:lineRule="auto"/>
        <w:tabs>
          <w:tab w:leader="none" w:pos="660" w:val="left"/>
        </w:tabs>
        <w:numPr>
          <w:ilvl w:val="0"/>
          <w:numId w:val="68"/>
        </w:numPr>
        <w:rPr>
          <w:rFonts w:ascii="Arial" w:cs="Arial" w:eastAsia="Arial" w:hAnsi="Arial"/>
          <w:sz w:val="14"/>
          <w:szCs w:val="14"/>
          <w:color w:val="auto"/>
        </w:rPr>
      </w:pPr>
      <w:r>
        <w:rPr>
          <w:rFonts w:ascii="Arial" w:cs="Arial" w:eastAsia="Arial" w:hAnsi="Arial"/>
          <w:sz w:val="14"/>
          <w:szCs w:val="14"/>
          <w:color w:val="auto"/>
        </w:rPr>
        <w:t>As described above, upon his termination for good reason or without cause, Mr. Kapoor is treated as having continued his employment for two additional years for purposes of his annual equity awards. The information in this table was calculated assuming target performance over the additional two year-period, however, the actual payment would depend upon the Company’s actual performance following Mr. Kapoor’s termination.</w:t>
      </w:r>
    </w:p>
    <w:p>
      <w:pPr>
        <w:spacing w:after="0" w:line="1" w:lineRule="exact"/>
        <w:rPr>
          <w:rFonts w:ascii="Arial" w:cs="Arial" w:eastAsia="Arial" w:hAnsi="Arial"/>
          <w:sz w:val="14"/>
          <w:szCs w:val="14"/>
          <w:color w:val="auto"/>
        </w:rPr>
      </w:pPr>
    </w:p>
    <w:p>
      <w:pPr>
        <w:ind w:left="660" w:right="20" w:hanging="328"/>
        <w:spacing w:after="0" w:line="258" w:lineRule="auto"/>
        <w:tabs>
          <w:tab w:leader="none" w:pos="660" w:val="left"/>
        </w:tabs>
        <w:numPr>
          <w:ilvl w:val="0"/>
          <w:numId w:val="68"/>
        </w:numPr>
        <w:rPr>
          <w:rFonts w:ascii="Arial" w:cs="Arial" w:eastAsia="Arial" w:hAnsi="Arial"/>
          <w:sz w:val="14"/>
          <w:szCs w:val="14"/>
          <w:color w:val="auto"/>
        </w:rPr>
      </w:pPr>
      <w:r>
        <w:rPr>
          <w:rFonts w:ascii="Arial" w:cs="Arial" w:eastAsia="Arial" w:hAnsi="Arial"/>
          <w:sz w:val="14"/>
          <w:szCs w:val="14"/>
          <w:color w:val="auto"/>
        </w:rPr>
        <w:t>Mr. Kapoor’s Stock Price Performance Award becomes immediately vested upon a change in control if the Compensation Committee has not made a provision for the substitution, assumption, exchange or other continuation of the award in connection with the change in control.</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Vishal Chhibbar</w:t>
      </w:r>
    </w:p>
    <w:p>
      <w:pPr>
        <w:spacing w:after="0" w:line="216" w:lineRule="exact"/>
        <w:rPr>
          <w:sz w:val="20"/>
          <w:szCs w:val="20"/>
          <w:color w:val="auto"/>
        </w:rPr>
      </w:pPr>
    </w:p>
    <w:p>
      <w:pPr>
        <w:ind w:right="100" w:firstLine="648"/>
        <w:spacing w:after="0" w:line="239" w:lineRule="auto"/>
        <w:rPr>
          <w:sz w:val="20"/>
          <w:szCs w:val="20"/>
          <w:color w:val="auto"/>
        </w:rPr>
      </w:pPr>
      <w:r>
        <w:rPr>
          <w:rFonts w:ascii="Arial" w:cs="Arial" w:eastAsia="Arial" w:hAnsi="Arial"/>
          <w:sz w:val="18"/>
          <w:szCs w:val="18"/>
          <w:color w:val="auto"/>
        </w:rPr>
        <w:t>Either Mr. Chhibbar or we may terminate Mr. Chhibbar’s employment at any time (though Mr. Chhibbar must give us three months’ advance notice upon a termination without good reason). If Mr. Chhibbar’s employment with the Company is terminated by the Company without “cause” or by Mr. Chhibbar for “good reason,” as summarized below, Mr. Chhibbar will receive a cash severance payment equal to one times his total annual fixed compensation then in effect, paid in installments over a 12-month period.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3" w:right="239" w:bottom="1440" w:gutter="0" w:footer="0" w:header="0"/>
        </w:sectPr>
      </w:pPr>
    </w:p>
    <w:bookmarkStart w:id="65" w:name="page66"/>
    <w:bookmarkEnd w:id="65"/>
    <w:p>
      <w:pPr>
        <w:ind w:right="160" w:firstLine="648"/>
        <w:spacing w:after="0" w:line="246" w:lineRule="auto"/>
        <w:rPr>
          <w:sz w:val="20"/>
          <w:szCs w:val="20"/>
          <w:color w:val="auto"/>
        </w:rPr>
      </w:pPr>
      <w:r>
        <w:rPr>
          <w:rFonts w:ascii="Arial" w:cs="Arial" w:eastAsia="Arial" w:hAnsi="Arial"/>
          <w:sz w:val="18"/>
          <w:szCs w:val="18"/>
          <w:color w:val="auto"/>
        </w:rPr>
        <w:t>On a “change in control” (as defined in the 2006 Plan or 2015 Plan, as applicable), Mr. Chhibbar’s outstanding equity awards will vest as described below:</w:t>
      </w:r>
    </w:p>
    <w:p>
      <w:pPr>
        <w:spacing w:after="0" w:line="165" w:lineRule="exact"/>
        <w:rPr>
          <w:sz w:val="20"/>
          <w:szCs w:val="20"/>
          <w:color w:val="auto"/>
        </w:rPr>
      </w:pPr>
    </w:p>
    <w:p>
      <w:pPr>
        <w:ind w:left="1300" w:hanging="320"/>
        <w:spacing w:after="0" w:line="245" w:lineRule="auto"/>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Time-Vested RSUs</w:t>
      </w:r>
      <w:r>
        <w:rPr>
          <w:rFonts w:ascii="Arial" w:cs="Arial" w:eastAsia="Arial" w:hAnsi="Arial"/>
          <w:sz w:val="18"/>
          <w:szCs w:val="18"/>
          <w:color w:val="auto"/>
        </w:rPr>
        <w:t>: If a change in control occurs prior to the end of the performance period, Mr. Chhibbar’s Time-Vested RSUs</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advanced by one year. In addition, all of Mr. Chhibbar’s outstanding Time-Vested RSUs will become fully vested if, following or in specific contemplation of a change in control, he is terminated without cause or, following a change in control, he voluntarily terminates his employment for good reason.</w:t>
      </w:r>
    </w:p>
    <w:p>
      <w:pPr>
        <w:spacing w:after="0" w:line="167" w:lineRule="exact"/>
        <w:rPr>
          <w:rFonts w:ascii="Arial" w:cs="Arial" w:eastAsia="Arial" w:hAnsi="Arial"/>
          <w:sz w:val="18"/>
          <w:szCs w:val="18"/>
          <w:color w:val="auto"/>
        </w:rPr>
      </w:pPr>
    </w:p>
    <w:p>
      <w:pPr>
        <w:ind w:left="1300" w:right="20" w:hanging="320"/>
        <w:spacing w:after="0" w:line="242" w:lineRule="auto"/>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Revenue-Linked PRSUs</w:t>
      </w:r>
      <w:r>
        <w:rPr>
          <w:rFonts w:ascii="Arial" w:cs="Arial" w:eastAsia="Arial" w:hAnsi="Arial"/>
          <w:sz w:val="18"/>
          <w:szCs w:val="18"/>
          <w:color w:val="auto"/>
        </w:rPr>
        <w:t>: If a change in control occurs prior to the end of the performance period, 100% of Mr. Chhibbar’s</w:t>
      </w:r>
      <w:r>
        <w:rPr>
          <w:rFonts w:ascii="Arial" w:cs="Arial" w:eastAsia="Arial" w:hAnsi="Arial"/>
          <w:sz w:val="18"/>
          <w:szCs w:val="18"/>
          <w:i w:val="1"/>
          <w:iCs w:val="1"/>
          <w:color w:val="auto"/>
        </w:rPr>
        <w:t xml:space="preserve"> </w:t>
      </w:r>
      <w:r>
        <w:rPr>
          <w:rFonts w:ascii="Arial" w:cs="Arial" w:eastAsia="Arial" w:hAnsi="Arial"/>
          <w:sz w:val="18"/>
          <w:szCs w:val="18"/>
          <w:color w:val="auto"/>
        </w:rPr>
        <w:t>Revenue-Linked PRSUs will be deemed earned, will be subject to a new three year installment vesting schedule and will be advanced by one year under such schedule. In addition, all of Mr. Chhibbar’s outstanding Revenue-Linked PRSUs will become fully vested if, following or in specific contemplation of a change in control, he is terminated without cause or, following a change in control, he voluntarily terminates his employment for good reason.</w:t>
      </w:r>
    </w:p>
    <w:p>
      <w:pPr>
        <w:spacing w:after="0" w:line="171" w:lineRule="exact"/>
        <w:rPr>
          <w:rFonts w:ascii="Arial" w:cs="Arial" w:eastAsia="Arial" w:hAnsi="Arial"/>
          <w:sz w:val="18"/>
          <w:szCs w:val="18"/>
          <w:color w:val="auto"/>
        </w:rPr>
      </w:pPr>
    </w:p>
    <w:p>
      <w:pPr>
        <w:ind w:left="1300" w:hanging="320"/>
        <w:spacing w:after="0" w:line="239" w:lineRule="auto"/>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Relative TSR-Linked PRSUs</w:t>
      </w:r>
      <w:r>
        <w:rPr>
          <w:rFonts w:ascii="Arial" w:cs="Arial" w:eastAsia="Arial" w:hAnsi="Arial"/>
          <w:sz w:val="18"/>
          <w:szCs w:val="18"/>
          <w:color w:val="auto"/>
        </w:rPr>
        <w:t>: If a change in control occurs on or prior to the first anniversary of the grant date, 100% of Mr.</w:t>
      </w:r>
      <w:r>
        <w:rPr>
          <w:rFonts w:ascii="Arial" w:cs="Arial" w:eastAsia="Arial" w:hAnsi="Arial"/>
          <w:sz w:val="18"/>
          <w:szCs w:val="18"/>
          <w:i w:val="1"/>
          <w:iCs w:val="1"/>
          <w:color w:val="auto"/>
        </w:rPr>
        <w:t xml:space="preserve"> </w:t>
      </w:r>
      <w:r>
        <w:rPr>
          <w:rFonts w:ascii="Arial" w:cs="Arial" w:eastAsia="Arial" w:hAnsi="Arial"/>
          <w:sz w:val="18"/>
          <w:szCs w:val="18"/>
          <w:color w:val="auto"/>
        </w:rPr>
        <w:t>Chhibbar’s Relative TSR-Linked PRSUs will be deemed earned. If a change in control occurs after the first anniversary of the grant date, the performance period will be deemed to end on the date of the change in control and the Compensation Committee shall determine the number of earned Relative TSR-Linked PRSUs based on the TSR of the Company and the peer group as of such date. In either scenario, the Relative TSR-Linked PRSUs that are deemed earned will be subject to a new three year installment vesting schedule and will be advanced by one year under such schedule. In addition, all of Mr. Chhibbar’s outstanding, earned TSR-Linked PRSUs will become fully vested if, following or in specific contemplation of a change in control, he is terminated without cause or, following a change in control, he voluntarily terminates his employment for good reason.</w:t>
      </w:r>
    </w:p>
    <w:p>
      <w:pPr>
        <w:spacing w:after="0" w:line="189" w:lineRule="exact"/>
        <w:rPr>
          <w:sz w:val="20"/>
          <w:szCs w:val="20"/>
          <w:color w:val="auto"/>
        </w:rPr>
      </w:pPr>
    </w:p>
    <w:p>
      <w:pPr>
        <w:ind w:right="180" w:firstLine="648"/>
        <w:spacing w:after="0"/>
        <w:rPr>
          <w:sz w:val="20"/>
          <w:szCs w:val="20"/>
          <w:color w:val="auto"/>
        </w:rPr>
      </w:pPr>
      <w:r>
        <w:rPr>
          <w:rFonts w:ascii="Arial" w:cs="Arial" w:eastAsia="Arial" w:hAnsi="Arial"/>
          <w:sz w:val="18"/>
          <w:szCs w:val="18"/>
          <w:color w:val="auto"/>
        </w:rPr>
        <w:t>Mr. Chhibbar’s severance payments and termination-related equity acceleration are subject to his execution of a release of claims against us. Mr. Chhibbar is subject to confidentiality restrictions at all times, as well as noncompetition, nondisparagement and nonsolicitation restrictions during his employment and for one year thereafter.</w:t>
      </w:r>
    </w:p>
    <w:p>
      <w:pPr>
        <w:spacing w:after="0" w:line="189" w:lineRule="exact"/>
        <w:rPr>
          <w:sz w:val="20"/>
          <w:szCs w:val="20"/>
          <w:color w:val="auto"/>
        </w:rPr>
      </w:pPr>
    </w:p>
    <w:p>
      <w:pPr>
        <w:ind w:right="140" w:firstLine="648"/>
        <w:spacing w:after="0" w:line="246" w:lineRule="auto"/>
        <w:rPr>
          <w:sz w:val="20"/>
          <w:szCs w:val="20"/>
          <w:color w:val="auto"/>
        </w:rPr>
      </w:pPr>
      <w:r>
        <w:rPr>
          <w:rFonts w:ascii="Arial" w:cs="Arial" w:eastAsia="Arial" w:hAnsi="Arial"/>
          <w:sz w:val="18"/>
          <w:szCs w:val="18"/>
          <w:color w:val="auto"/>
        </w:rPr>
        <w:t>The definitions of “cause” and “good reason” described below apply to Messrs. Chhibbar, Bagai, Miglani and Schweppe unless stated otherwise.</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“Cause” will occur when:</w:t>
      </w:r>
    </w:p>
    <w:p>
      <w:pPr>
        <w:spacing w:after="0" w:line="198" w:lineRule="exact"/>
        <w:rPr>
          <w:sz w:val="20"/>
          <w:szCs w:val="20"/>
          <w:color w:val="auto"/>
        </w:rPr>
      </w:pPr>
    </w:p>
    <w:p>
      <w:pPr>
        <w:ind w:left="580" w:right="360" w:firstLine="319"/>
        <w:spacing w:after="0" w:line="262" w:lineRule="auto"/>
        <w:tabs>
          <w:tab w:leader="none" w:pos="1199"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there is a final nonappealable conviction of, or pleading of no contest to, (1) a crime of moral turpitude which causes serious economic injury or serious injury to our reputation or (2) a felony;</w:t>
      </w:r>
    </w:p>
    <w:p>
      <w:pPr>
        <w:spacing w:after="0" w:line="169" w:lineRule="exact"/>
        <w:rPr>
          <w:rFonts w:ascii="Arial" w:cs="Arial" w:eastAsia="Arial" w:hAnsi="Arial"/>
          <w:sz w:val="18"/>
          <w:szCs w:val="18"/>
          <w:color w:val="auto"/>
        </w:rPr>
      </w:pPr>
    </w:p>
    <w:p>
      <w:pPr>
        <w:ind w:left="580" w:right="80" w:firstLine="319"/>
        <w:spacing w:after="0" w:line="262" w:lineRule="auto"/>
        <w:tabs>
          <w:tab w:leader="none" w:pos="1199"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executive engages in fraud, embezzlement, gross negligence, self-dealing, dishonesty or other gross and willful misconduct which causes serious and demonstrable injury to us;</w:t>
      </w:r>
    </w:p>
    <w:p>
      <w:pPr>
        <w:spacing w:after="0" w:line="169" w:lineRule="exact"/>
        <w:rPr>
          <w:rFonts w:ascii="Arial" w:cs="Arial" w:eastAsia="Arial" w:hAnsi="Arial"/>
          <w:sz w:val="18"/>
          <w:szCs w:val="18"/>
          <w:color w:val="auto"/>
        </w:rPr>
      </w:pPr>
    </w:p>
    <w:p>
      <w:pPr>
        <w:ind w:left="1200" w:hanging="301"/>
        <w:spacing w:after="0"/>
        <w:tabs>
          <w:tab w:leader="none" w:pos="12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executive materially violates any of our material policies;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66" w:name="page67"/>
    <w:bookmarkEnd w:id="66"/>
    <w:p>
      <w:pPr>
        <w:ind w:left="580" w:firstLine="319"/>
        <w:spacing w:after="0" w:line="241" w:lineRule="auto"/>
        <w:tabs>
          <w:tab w:leader="none" w:pos="1199"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executive willfully and continually fails to substantially perform his duties (other than for reason of physical or mental incapacity) which continues beyond 15 days after we notify him in writing of his need to substantially improve his performance; provided that a failure to achieve performance objectives will not by itself constitute cause and no act or failure to act shall be considered “willful” unless done or failed to be done by the executive in bad faith and without a reasonable belief that his actions or omission was in our best interest;</w:t>
      </w:r>
    </w:p>
    <w:p>
      <w:pPr>
        <w:spacing w:after="0" w:line="189" w:lineRule="exact"/>
        <w:rPr>
          <w:rFonts w:ascii="Arial" w:cs="Arial" w:eastAsia="Arial" w:hAnsi="Arial"/>
          <w:sz w:val="18"/>
          <w:szCs w:val="18"/>
          <w:color w:val="auto"/>
        </w:rPr>
      </w:pPr>
    </w:p>
    <w:p>
      <w:pPr>
        <w:ind w:left="1200" w:hanging="301"/>
        <w:spacing w:after="0"/>
        <w:tabs>
          <w:tab w:leader="none" w:pos="12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executive fails to reasonably cooperate in a governmental investigation involving us;</w:t>
      </w:r>
    </w:p>
    <w:p>
      <w:pPr>
        <w:spacing w:after="0" w:line="211" w:lineRule="exact"/>
        <w:rPr>
          <w:rFonts w:ascii="Arial" w:cs="Arial" w:eastAsia="Arial" w:hAnsi="Arial"/>
          <w:sz w:val="18"/>
          <w:szCs w:val="18"/>
          <w:color w:val="auto"/>
        </w:rPr>
      </w:pPr>
    </w:p>
    <w:p>
      <w:pPr>
        <w:ind w:left="580" w:right="400" w:firstLine="319"/>
        <w:spacing w:after="0" w:line="262" w:lineRule="auto"/>
        <w:tabs>
          <w:tab w:leader="none" w:pos="1199"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executive materially, knowingly and intentionally fails to comply with applicable laws with respect to the execution of the Company’s business operations (subject to a presumption of good faith if the executive is following advice of counsel);</w:t>
      </w:r>
    </w:p>
    <w:p>
      <w:pPr>
        <w:spacing w:after="0" w:line="169" w:lineRule="exact"/>
        <w:rPr>
          <w:rFonts w:ascii="Arial" w:cs="Arial" w:eastAsia="Arial" w:hAnsi="Arial"/>
          <w:sz w:val="18"/>
          <w:szCs w:val="18"/>
          <w:color w:val="auto"/>
        </w:rPr>
      </w:pPr>
    </w:p>
    <w:p>
      <w:pPr>
        <w:ind w:left="580" w:right="100" w:firstLine="319"/>
        <w:spacing w:after="0" w:line="262" w:lineRule="auto"/>
        <w:tabs>
          <w:tab w:leader="none" w:pos="1199"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executive fails to follow his supervisor’s (or, for Messrs. Chhibbar and Bagai, our board of directors’) lawful instructions and does not remedy the failure for 15 days after we give him written notice; or</w:t>
      </w:r>
    </w:p>
    <w:p>
      <w:pPr>
        <w:spacing w:after="0" w:line="169" w:lineRule="exact"/>
        <w:rPr>
          <w:rFonts w:ascii="Arial" w:cs="Arial" w:eastAsia="Arial" w:hAnsi="Arial"/>
          <w:sz w:val="18"/>
          <w:szCs w:val="18"/>
          <w:color w:val="auto"/>
        </w:rPr>
      </w:pPr>
    </w:p>
    <w:p>
      <w:pPr>
        <w:ind w:left="1200" w:hanging="301"/>
        <w:spacing w:after="0"/>
        <w:tabs>
          <w:tab w:leader="none" w:pos="12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executive’s use of alcohol or drugs materially interferes with the performance of his duties.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“Good reason” means, without the executive’s prior written consent:</w:t>
      </w:r>
    </w:p>
    <w:p>
      <w:pPr>
        <w:spacing w:after="0" w:line="198" w:lineRule="exact"/>
        <w:rPr>
          <w:sz w:val="20"/>
          <w:szCs w:val="20"/>
          <w:color w:val="auto"/>
        </w:rPr>
      </w:pPr>
    </w:p>
    <w:p>
      <w:pPr>
        <w:ind w:left="580" w:right="120" w:firstLine="319"/>
        <w:spacing w:after="0" w:line="262" w:lineRule="auto"/>
        <w:tabs>
          <w:tab w:leader="none" w:pos="1199"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executive’s duties or responsibilities are substantially reduced, or he is required to report to anyone other than our board of directors, or our CEO;</w:t>
      </w:r>
    </w:p>
    <w:p>
      <w:pPr>
        <w:spacing w:after="0" w:line="169" w:lineRule="exact"/>
        <w:rPr>
          <w:rFonts w:ascii="Arial" w:cs="Arial" w:eastAsia="Arial" w:hAnsi="Arial"/>
          <w:sz w:val="18"/>
          <w:szCs w:val="18"/>
          <w:color w:val="auto"/>
        </w:rPr>
      </w:pPr>
    </w:p>
    <w:p>
      <w:pPr>
        <w:jc w:val="both"/>
        <w:ind w:left="580" w:right="80" w:firstLine="319"/>
        <w:spacing w:after="0" w:line="248" w:lineRule="auto"/>
        <w:tabs>
          <w:tab w:leader="none" w:pos="1199"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executive’s title as our officer is adversely changed; however, if following a change in control (as defined in the 2015 Plan), his new title and authority are similar to his old title and authority, then any change in the executive’s title will not constitute a significant reduction in his duties and authorities;</w:t>
      </w:r>
    </w:p>
    <w:p>
      <w:pPr>
        <w:spacing w:after="0" w:line="182" w:lineRule="exact"/>
        <w:rPr>
          <w:rFonts w:ascii="Arial" w:cs="Arial" w:eastAsia="Arial" w:hAnsi="Arial"/>
          <w:sz w:val="18"/>
          <w:szCs w:val="18"/>
          <w:color w:val="auto"/>
        </w:rPr>
      </w:pPr>
    </w:p>
    <w:p>
      <w:pPr>
        <w:ind w:left="580" w:right="320" w:firstLine="319"/>
        <w:spacing w:after="0" w:line="262" w:lineRule="auto"/>
        <w:tabs>
          <w:tab w:leader="none" w:pos="1199" w:val="left"/>
        </w:tabs>
        <w:numPr>
          <w:ilvl w:val="0"/>
          <w:numId w:val="72"/>
        </w:numPr>
        <w:rPr>
          <w:rFonts w:ascii="Arial" w:cs="Arial" w:eastAsia="Arial" w:hAnsi="Arial"/>
          <w:sz w:val="18"/>
          <w:szCs w:val="18"/>
          <w:color w:val="auto"/>
        </w:rPr>
      </w:pPr>
      <w:r>
        <w:rPr>
          <w:rFonts w:ascii="Arial" w:cs="Arial" w:eastAsia="Arial" w:hAnsi="Arial"/>
          <w:sz w:val="18"/>
          <w:szCs w:val="18"/>
          <w:color w:val="auto"/>
        </w:rPr>
        <w:t>for Messrs. Chhibbar and Bagai only, the executive’s base salary or annual cash bonus opportunity is reduced, other than in connection with a proportionate reduction impacting all members of our executive committee;</w:t>
      </w:r>
    </w:p>
    <w:p>
      <w:pPr>
        <w:spacing w:after="0" w:line="169" w:lineRule="exact"/>
        <w:rPr>
          <w:rFonts w:ascii="Arial" w:cs="Arial" w:eastAsia="Arial" w:hAnsi="Arial"/>
          <w:sz w:val="18"/>
          <w:szCs w:val="18"/>
          <w:color w:val="auto"/>
        </w:rPr>
      </w:pPr>
    </w:p>
    <w:p>
      <w:pPr>
        <w:ind w:left="580" w:right="40" w:firstLine="319"/>
        <w:spacing w:after="0" w:line="262" w:lineRule="auto"/>
        <w:tabs>
          <w:tab w:leader="none" w:pos="1199" w:val="left"/>
        </w:tabs>
        <w:numPr>
          <w:ilvl w:val="0"/>
          <w:numId w:val="72"/>
        </w:numPr>
        <w:rPr>
          <w:rFonts w:ascii="Arial" w:cs="Arial" w:eastAsia="Arial" w:hAnsi="Arial"/>
          <w:sz w:val="18"/>
          <w:szCs w:val="18"/>
          <w:color w:val="auto"/>
        </w:rPr>
      </w:pPr>
      <w:r>
        <w:rPr>
          <w:rFonts w:ascii="Arial" w:cs="Arial" w:eastAsia="Arial" w:hAnsi="Arial"/>
          <w:sz w:val="18"/>
          <w:szCs w:val="18"/>
          <w:color w:val="auto"/>
        </w:rPr>
        <w:t>for Messrs. Miglani and Schweppe only, there is a change in the office or location where the executive is based of more than 50 miles and such new office or location is more than 50 miles from the executive’s primary residence; or</w:t>
      </w:r>
    </w:p>
    <w:p>
      <w:pPr>
        <w:spacing w:after="0" w:line="169" w:lineRule="exact"/>
        <w:rPr>
          <w:rFonts w:ascii="Arial" w:cs="Arial" w:eastAsia="Arial" w:hAnsi="Arial"/>
          <w:sz w:val="18"/>
          <w:szCs w:val="18"/>
          <w:color w:val="auto"/>
        </w:rPr>
      </w:pPr>
    </w:p>
    <w:p>
      <w:pPr>
        <w:ind w:left="1200" w:hanging="301"/>
        <w:spacing w:after="0"/>
        <w:tabs>
          <w:tab w:leader="none" w:pos="12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we breach any material term of the executive’s employment agreement or severance agreement.</w:t>
      </w:r>
    </w:p>
    <w:p>
      <w:pPr>
        <w:spacing w:after="0" w:line="212" w:lineRule="exact"/>
        <w:rPr>
          <w:sz w:val="20"/>
          <w:szCs w:val="20"/>
          <w:color w:val="auto"/>
        </w:rPr>
      </w:pPr>
    </w:p>
    <w:p>
      <w:pPr>
        <w:ind w:right="180" w:firstLine="648"/>
        <w:spacing w:after="0"/>
        <w:rPr>
          <w:sz w:val="20"/>
          <w:szCs w:val="20"/>
          <w:color w:val="auto"/>
        </w:rPr>
      </w:pPr>
      <w:r>
        <w:rPr>
          <w:rFonts w:ascii="Arial" w:cs="Arial" w:eastAsia="Arial" w:hAnsi="Arial"/>
          <w:sz w:val="18"/>
          <w:szCs w:val="18"/>
          <w:color w:val="auto"/>
        </w:rPr>
        <w:t>If the executive plans to terminate his employment for good reason, he must notify us within 30 days following the date the executive first becomes aware of the circumstances giving rise to good reason and must allow us 30 days to remedy the problem (15 days for Mr. Chhibbar).</w:t>
      </w:r>
    </w:p>
    <w:p>
      <w:pPr>
        <w:spacing w:after="0" w:line="189" w:lineRule="exact"/>
        <w:rPr>
          <w:sz w:val="20"/>
          <w:szCs w:val="20"/>
          <w:color w:val="auto"/>
        </w:rPr>
      </w:pPr>
    </w:p>
    <w:p>
      <w:pPr>
        <w:ind w:right="180" w:firstLine="648"/>
        <w:spacing w:after="0" w:line="246" w:lineRule="auto"/>
        <w:rPr>
          <w:sz w:val="20"/>
          <w:szCs w:val="20"/>
          <w:color w:val="auto"/>
        </w:rPr>
      </w:pPr>
      <w:r>
        <w:rPr>
          <w:rFonts w:ascii="Arial" w:cs="Arial" w:eastAsia="Arial" w:hAnsi="Arial"/>
          <w:sz w:val="18"/>
          <w:szCs w:val="18"/>
          <w:color w:val="auto"/>
        </w:rPr>
        <w:t>In quantifying potential payments for purposes of this disclosure, we have quantified our equity-based payments by using the closing price of our stock on December 31, 2015, which was $44.93.</w:t>
      </w:r>
    </w:p>
    <w:p>
      <w:pPr>
        <w:spacing w:after="0" w:line="4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81" w:right="299" w:bottom="1440" w:gutter="0" w:footer="0" w:header="0"/>
        </w:sectPr>
      </w:pPr>
    </w:p>
    <w:bookmarkStart w:id="67" w:name="page68"/>
    <w:bookmarkEnd w:id="67"/>
    <w:p>
      <w:pPr>
        <w:ind w:left="340"/>
        <w:spacing w:after="0"/>
        <w:rPr>
          <w:sz w:val="20"/>
          <w:szCs w:val="20"/>
          <w:color w:val="auto"/>
        </w:rPr>
      </w:pPr>
      <w:r>
        <w:rPr>
          <w:rFonts w:ascii="Arial" w:cs="Arial" w:eastAsia="Arial" w:hAnsi="Arial"/>
          <w:sz w:val="18"/>
          <w:szCs w:val="18"/>
          <w:i w:val="1"/>
          <w:iCs w:val="1"/>
          <w:color w:val="auto"/>
        </w:rPr>
        <w:t>Indicative Payouts of Vishal Chhibbar</w:t>
      </w:r>
    </w:p>
    <w:p>
      <w:pPr>
        <w:spacing w:after="0" w:line="216" w:lineRule="exact"/>
        <w:rPr>
          <w:sz w:val="20"/>
          <w:szCs w:val="20"/>
          <w:color w:val="auto"/>
        </w:rPr>
      </w:pPr>
    </w:p>
    <w:p>
      <w:pPr>
        <w:ind w:right="180" w:firstLine="648"/>
        <w:spacing w:after="0" w:line="246" w:lineRule="auto"/>
        <w:rPr>
          <w:sz w:val="20"/>
          <w:szCs w:val="20"/>
          <w:color w:val="auto"/>
        </w:rPr>
      </w:pPr>
      <w:r>
        <w:rPr>
          <w:rFonts w:ascii="Arial" w:cs="Arial" w:eastAsia="Arial" w:hAnsi="Arial"/>
          <w:sz w:val="18"/>
          <w:szCs w:val="18"/>
          <w:color w:val="auto"/>
        </w:rPr>
        <w:t>The following table summarizes the amounts payable to Mr. Chhibbar upon a change in control or termination of his employment with us on December 31, 2015: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8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9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4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04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9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2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w w:val="99"/>
              </w:rPr>
              <w:t>Termination</w:t>
            </w:r>
          </w:p>
        </w:tc>
        <w:tc>
          <w:tcPr>
            <w:tcW w:w="12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w w:val="99"/>
              </w:rPr>
              <w:t>Termination</w:t>
            </w:r>
          </w:p>
        </w:tc>
        <w:tc>
          <w:tcPr>
            <w:tcW w:w="136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w w:val="99"/>
              </w:rPr>
              <w:t>Termination</w:t>
            </w:r>
          </w:p>
        </w:tc>
      </w:tr>
      <w:tr>
        <w:trPr>
          <w:trHeight w:val="162"/>
        </w:trPr>
        <w:tc>
          <w:tcPr>
            <w:tcW w:w="218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8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9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4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1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w w:val="99"/>
              </w:rPr>
              <w:t>Termination</w:t>
            </w:r>
          </w:p>
        </w:tc>
        <w:tc>
          <w:tcPr>
            <w:tcW w:w="9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2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w w:val="99"/>
              </w:rPr>
              <w:t>Without</w:t>
            </w:r>
          </w:p>
        </w:tc>
        <w:tc>
          <w:tcPr>
            <w:tcW w:w="12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for Good</w:t>
            </w:r>
          </w:p>
        </w:tc>
        <w:tc>
          <w:tcPr>
            <w:tcW w:w="136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Without Cause in</w:t>
            </w:r>
          </w:p>
        </w:tc>
      </w:tr>
      <w:tr>
        <w:trPr>
          <w:trHeight w:val="162"/>
        </w:trPr>
        <w:tc>
          <w:tcPr>
            <w:tcW w:w="218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8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9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1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Expiration</w:t>
            </w:r>
          </w:p>
        </w:tc>
        <w:tc>
          <w:tcPr>
            <w:tcW w:w="11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for Good</w:t>
            </w:r>
          </w:p>
        </w:tc>
        <w:tc>
          <w:tcPr>
            <w:tcW w:w="9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2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Cause</w:t>
            </w:r>
          </w:p>
        </w:tc>
        <w:tc>
          <w:tcPr>
            <w:tcW w:w="12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Reason</w:t>
            </w:r>
          </w:p>
        </w:tc>
        <w:tc>
          <w:tcPr>
            <w:tcW w:w="136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Specific</w:t>
            </w:r>
          </w:p>
        </w:tc>
      </w:tr>
      <w:tr>
        <w:trPr>
          <w:trHeight w:val="162"/>
        </w:trPr>
        <w:tc>
          <w:tcPr>
            <w:tcW w:w="218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8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9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1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of the</w:t>
            </w:r>
          </w:p>
        </w:tc>
        <w:tc>
          <w:tcPr>
            <w:tcW w:w="11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Reason or</w:t>
            </w:r>
          </w:p>
        </w:tc>
        <w:tc>
          <w:tcPr>
            <w:tcW w:w="9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2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Following</w:t>
            </w:r>
          </w:p>
        </w:tc>
        <w:tc>
          <w:tcPr>
            <w:tcW w:w="12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Following</w:t>
            </w:r>
          </w:p>
        </w:tc>
        <w:tc>
          <w:tcPr>
            <w:tcW w:w="136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Contemplation</w:t>
            </w:r>
          </w:p>
        </w:tc>
      </w:tr>
      <w:tr>
        <w:trPr>
          <w:trHeight w:val="162"/>
        </w:trPr>
        <w:tc>
          <w:tcPr>
            <w:tcW w:w="218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8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9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1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Employment</w:t>
            </w:r>
          </w:p>
        </w:tc>
        <w:tc>
          <w:tcPr>
            <w:tcW w:w="11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Without</w:t>
            </w:r>
          </w:p>
        </w:tc>
        <w:tc>
          <w:tcPr>
            <w:tcW w:w="102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Change in</w:t>
            </w:r>
          </w:p>
        </w:tc>
        <w:tc>
          <w:tcPr>
            <w:tcW w:w="12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Change in</w:t>
            </w:r>
          </w:p>
        </w:tc>
        <w:tc>
          <w:tcPr>
            <w:tcW w:w="12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Change in</w:t>
            </w:r>
          </w:p>
        </w:tc>
        <w:tc>
          <w:tcPr>
            <w:tcW w:w="136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of Change in</w:t>
            </w:r>
          </w:p>
        </w:tc>
      </w:tr>
      <w:tr>
        <w:trPr>
          <w:trHeight w:val="162"/>
        </w:trPr>
        <w:tc>
          <w:tcPr>
            <w:tcW w:w="2300" w:type="dxa"/>
            <w:vAlign w:val="bottom"/>
            <w:gridSpan w:val="2"/>
            <w:shd w:val="clear" w:color="auto" w:fill="5591C7"/>
          </w:tcPr>
          <w:p>
            <w:pPr>
              <w:ind w:left="560"/>
              <w:spacing w:after="0"/>
              <w:rPr>
                <w:sz w:val="20"/>
                <w:szCs w:val="20"/>
                <w:color w:val="auto"/>
              </w:rPr>
            </w:pPr>
            <w:r>
              <w:rPr>
                <w:rFonts w:ascii="Arial" w:cs="Arial" w:eastAsia="Arial" w:hAnsi="Arial"/>
                <w:sz w:val="14"/>
                <w:szCs w:val="14"/>
                <w:b w:val="1"/>
                <w:bCs w:val="1"/>
                <w:color w:val="auto"/>
              </w:rPr>
              <w:t>Payments upon</w:t>
            </w:r>
          </w:p>
        </w:tc>
        <w:tc>
          <w:tcPr>
            <w:tcW w:w="940" w:type="dxa"/>
            <w:vAlign w:val="bottom"/>
            <w:gridSpan w:val="2"/>
            <w:shd w:val="clear" w:color="auto" w:fill="5591C7"/>
          </w:tcPr>
          <w:p>
            <w:pPr>
              <w:ind w:left="200"/>
              <w:spacing w:after="0"/>
              <w:rPr>
                <w:sz w:val="20"/>
                <w:szCs w:val="20"/>
                <w:color w:val="auto"/>
              </w:rPr>
            </w:pPr>
            <w:r>
              <w:rPr>
                <w:rFonts w:ascii="Arial" w:cs="Arial" w:eastAsia="Arial" w:hAnsi="Arial"/>
                <w:sz w:val="14"/>
                <w:szCs w:val="14"/>
                <w:b w:val="1"/>
                <w:bCs w:val="1"/>
                <w:color w:val="auto"/>
              </w:rPr>
              <w:t>Death</w:t>
            </w:r>
          </w:p>
        </w:tc>
        <w:tc>
          <w:tcPr>
            <w:tcW w:w="1040" w:type="dxa"/>
            <w:vAlign w:val="bottom"/>
            <w:gridSpan w:val="2"/>
            <w:shd w:val="clear" w:color="auto" w:fill="5591C7"/>
          </w:tcPr>
          <w:p>
            <w:pPr>
              <w:ind w:left="140"/>
              <w:spacing w:after="0"/>
              <w:rPr>
                <w:sz w:val="20"/>
                <w:szCs w:val="20"/>
                <w:color w:val="auto"/>
              </w:rPr>
            </w:pPr>
            <w:r>
              <w:rPr>
                <w:rFonts w:ascii="Arial" w:cs="Arial" w:eastAsia="Arial" w:hAnsi="Arial"/>
                <w:sz w:val="14"/>
                <w:szCs w:val="14"/>
                <w:b w:val="1"/>
                <w:bCs w:val="1"/>
                <w:color w:val="auto"/>
              </w:rPr>
              <w:t>Disability</w:t>
            </w:r>
          </w:p>
        </w:tc>
        <w:tc>
          <w:tcPr>
            <w:tcW w:w="11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w w:val="99"/>
              </w:rPr>
              <w:t>Terms</w:t>
            </w:r>
          </w:p>
        </w:tc>
        <w:tc>
          <w:tcPr>
            <w:tcW w:w="11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Cause</w:t>
            </w:r>
          </w:p>
        </w:tc>
        <w:tc>
          <w:tcPr>
            <w:tcW w:w="102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Control</w:t>
            </w:r>
          </w:p>
        </w:tc>
        <w:tc>
          <w:tcPr>
            <w:tcW w:w="12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Control</w:t>
            </w:r>
          </w:p>
        </w:tc>
        <w:tc>
          <w:tcPr>
            <w:tcW w:w="12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Control</w:t>
            </w:r>
          </w:p>
        </w:tc>
        <w:tc>
          <w:tcPr>
            <w:tcW w:w="136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Control</w:t>
            </w:r>
          </w:p>
        </w:tc>
      </w:tr>
      <w:tr>
        <w:trPr>
          <w:trHeight w:val="175"/>
        </w:trPr>
        <w:tc>
          <w:tcPr>
            <w:tcW w:w="2180" w:type="dxa"/>
            <w:vAlign w:val="bottom"/>
            <w:tcBorders>
              <w:bottom w:val="single" w:sz="8" w:color="auto"/>
            </w:tcBorders>
            <w:shd w:val="clear" w:color="auto" w:fill="5591C7"/>
          </w:tcPr>
          <w:p>
            <w:pPr>
              <w:ind w:left="680"/>
              <w:spacing w:after="0"/>
              <w:rPr>
                <w:sz w:val="20"/>
                <w:szCs w:val="20"/>
                <w:color w:val="auto"/>
              </w:rPr>
            </w:pPr>
            <w:r>
              <w:rPr>
                <w:rFonts w:ascii="Arial" w:cs="Arial" w:eastAsia="Arial" w:hAnsi="Arial"/>
                <w:sz w:val="14"/>
                <w:szCs w:val="14"/>
                <w:b w:val="1"/>
                <w:bCs w:val="1"/>
                <w:color w:val="auto"/>
              </w:rPr>
              <w:t>Termination</w:t>
            </w:r>
          </w:p>
        </w:tc>
        <w:tc>
          <w:tcPr>
            <w:tcW w:w="120" w:type="dxa"/>
            <w:vAlign w:val="bottom"/>
            <w:tcBorders>
              <w:bottom w:val="single" w:sz="8" w:color="C6D9F1"/>
            </w:tcBorders>
            <w:shd w:val="clear" w:color="auto" w:fill="5591C7"/>
          </w:tcPr>
          <w:p>
            <w:pPr>
              <w:spacing w:after="0"/>
              <w:rPr>
                <w:sz w:val="15"/>
                <w:szCs w:val="15"/>
                <w:color w:val="auto"/>
              </w:rPr>
            </w:pPr>
          </w:p>
        </w:tc>
        <w:tc>
          <w:tcPr>
            <w:tcW w:w="820" w:type="dxa"/>
            <w:vAlign w:val="bottom"/>
            <w:tcBorders>
              <w:bottom w:val="single" w:sz="8" w:color="auto"/>
            </w:tcBorders>
            <w:shd w:val="clear" w:color="auto" w:fill="5591C7"/>
          </w:tcPr>
          <w:p>
            <w:pPr>
              <w:jc w:val="right"/>
              <w:ind w:right="24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6D9F1"/>
            </w:tcBorders>
            <w:shd w:val="clear" w:color="auto" w:fill="5591C7"/>
          </w:tcPr>
          <w:p>
            <w:pPr>
              <w:spacing w:after="0"/>
              <w:rPr>
                <w:sz w:val="15"/>
                <w:szCs w:val="15"/>
                <w:color w:val="auto"/>
              </w:rPr>
            </w:pPr>
          </w:p>
        </w:tc>
        <w:tc>
          <w:tcPr>
            <w:tcW w:w="920" w:type="dxa"/>
            <w:vAlign w:val="bottom"/>
            <w:tcBorders>
              <w:bottom w:val="single" w:sz="8" w:color="auto"/>
            </w:tcBorders>
            <w:shd w:val="clear" w:color="auto" w:fill="5591C7"/>
          </w:tcPr>
          <w:p>
            <w:pPr>
              <w:jc w:val="right"/>
              <w:ind w:right="30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6D9F1"/>
            </w:tcBorders>
            <w:shd w:val="clear" w:color="auto" w:fill="5591C7"/>
          </w:tcPr>
          <w:p>
            <w:pPr>
              <w:spacing w:after="0"/>
              <w:rPr>
                <w:sz w:val="15"/>
                <w:szCs w:val="15"/>
                <w:color w:val="auto"/>
              </w:rPr>
            </w:pPr>
          </w:p>
        </w:tc>
        <w:tc>
          <w:tcPr>
            <w:tcW w:w="104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6D9F1"/>
            </w:tcBorders>
            <w:shd w:val="clear" w:color="auto" w:fill="5591C7"/>
          </w:tcPr>
          <w:p>
            <w:pPr>
              <w:spacing w:after="0"/>
              <w:rPr>
                <w:sz w:val="15"/>
                <w:szCs w:val="15"/>
                <w:color w:val="auto"/>
              </w:rPr>
            </w:pPr>
          </w:p>
        </w:tc>
        <w:tc>
          <w:tcPr>
            <w:tcW w:w="104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6D9F1"/>
            </w:tcBorders>
            <w:shd w:val="clear" w:color="auto" w:fill="5591C7"/>
          </w:tcPr>
          <w:p>
            <w:pPr>
              <w:spacing w:after="0"/>
              <w:rPr>
                <w:sz w:val="15"/>
                <w:szCs w:val="15"/>
                <w:color w:val="auto"/>
              </w:rPr>
            </w:pPr>
          </w:p>
        </w:tc>
        <w:tc>
          <w:tcPr>
            <w:tcW w:w="90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6D9F1"/>
            </w:tcBorders>
            <w:shd w:val="clear" w:color="auto" w:fill="5591C7"/>
          </w:tcPr>
          <w:p>
            <w:pPr>
              <w:spacing w:after="0"/>
              <w:rPr>
                <w:sz w:val="15"/>
                <w:szCs w:val="15"/>
                <w:color w:val="auto"/>
              </w:rPr>
            </w:pPr>
          </w:p>
        </w:tc>
        <w:tc>
          <w:tcPr>
            <w:tcW w:w="112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Borders>
              <w:bottom w:val="single" w:sz="8" w:color="C6D9F1"/>
            </w:tcBorders>
            <w:shd w:val="clear" w:color="auto" w:fill="5591C7"/>
          </w:tcPr>
          <w:p>
            <w:pPr>
              <w:spacing w:after="0"/>
              <w:rPr>
                <w:sz w:val="15"/>
                <w:szCs w:val="15"/>
                <w:color w:val="auto"/>
              </w:rPr>
            </w:pPr>
          </w:p>
        </w:tc>
        <w:tc>
          <w:tcPr>
            <w:tcW w:w="112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Borders>
              <w:bottom w:val="single" w:sz="8" w:color="C6D9F1"/>
            </w:tcBorders>
            <w:shd w:val="clear" w:color="auto" w:fill="5591C7"/>
          </w:tcPr>
          <w:p>
            <w:pPr>
              <w:spacing w:after="0"/>
              <w:rPr>
                <w:sz w:val="15"/>
                <w:szCs w:val="15"/>
                <w:color w:val="auto"/>
              </w:rPr>
            </w:pPr>
          </w:p>
        </w:tc>
        <w:tc>
          <w:tcPr>
            <w:tcW w:w="136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w w:val="93"/>
              </w:rPr>
              <w:t>($)</w:t>
            </w:r>
          </w:p>
        </w:tc>
      </w:tr>
      <w:tr>
        <w:trPr>
          <w:trHeight w:val="196"/>
        </w:trPr>
        <w:tc>
          <w:tcPr>
            <w:tcW w:w="2300" w:type="dxa"/>
            <w:vAlign w:val="bottom"/>
            <w:gridSpan w:val="2"/>
            <w:shd w:val="clear" w:color="auto" w:fill="C6D9F1"/>
          </w:tcPr>
          <w:p>
            <w:pPr>
              <w:spacing w:after="0"/>
              <w:rPr>
                <w:sz w:val="20"/>
                <w:szCs w:val="20"/>
                <w:color w:val="auto"/>
              </w:rPr>
            </w:pPr>
            <w:r>
              <w:rPr>
                <w:rFonts w:ascii="Arial" w:cs="Arial" w:eastAsia="Arial" w:hAnsi="Arial"/>
                <w:sz w:val="14"/>
                <w:szCs w:val="14"/>
                <w:color w:val="auto"/>
              </w:rPr>
              <w:t>Base salary payout</w:t>
            </w:r>
          </w:p>
        </w:tc>
        <w:tc>
          <w:tcPr>
            <w:tcW w:w="940" w:type="dxa"/>
            <w:vAlign w:val="bottom"/>
            <w:gridSpan w:val="2"/>
            <w:shd w:val="clear" w:color="auto" w:fill="C6D9F1"/>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6D9F1"/>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6D9F1"/>
          </w:tcPr>
          <w:p>
            <w:pPr>
              <w:ind w:left="90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6D9F1"/>
          </w:tcPr>
          <w:p>
            <w:pPr>
              <w:jc w:val="right"/>
              <w:spacing w:after="0"/>
              <w:rPr>
                <w:sz w:val="20"/>
                <w:szCs w:val="20"/>
                <w:color w:val="auto"/>
              </w:rPr>
            </w:pPr>
            <w:r>
              <w:rPr>
                <w:rFonts w:ascii="Arial" w:cs="Arial" w:eastAsia="Arial" w:hAnsi="Arial"/>
                <w:sz w:val="14"/>
                <w:szCs w:val="14"/>
                <w:color w:val="auto"/>
              </w:rPr>
              <w:t>294,785</w:t>
            </w:r>
          </w:p>
        </w:tc>
        <w:tc>
          <w:tcPr>
            <w:tcW w:w="100" w:type="dxa"/>
            <w:vAlign w:val="bottom"/>
            <w:shd w:val="clear" w:color="auto" w:fill="C6D9F1"/>
          </w:tcPr>
          <w:p>
            <w:pPr>
              <w:spacing w:after="0"/>
              <w:rPr>
                <w:sz w:val="17"/>
                <w:szCs w:val="17"/>
                <w:color w:val="auto"/>
              </w:rPr>
            </w:pPr>
          </w:p>
        </w:tc>
        <w:tc>
          <w:tcPr>
            <w:tcW w:w="1020" w:type="dxa"/>
            <w:vAlign w:val="bottom"/>
            <w:gridSpan w:val="2"/>
            <w:shd w:val="clear" w:color="auto" w:fill="C6D9F1"/>
          </w:tcPr>
          <w:p>
            <w:pPr>
              <w:jc w:val="right"/>
              <w:ind w:right="12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6D9F1"/>
          </w:tcPr>
          <w:p>
            <w:pPr>
              <w:jc w:val="right"/>
              <w:spacing w:after="0"/>
              <w:rPr>
                <w:sz w:val="20"/>
                <w:szCs w:val="20"/>
                <w:color w:val="auto"/>
              </w:rPr>
            </w:pPr>
            <w:r>
              <w:rPr>
                <w:rFonts w:ascii="Arial" w:cs="Arial" w:eastAsia="Arial" w:hAnsi="Arial"/>
                <w:sz w:val="14"/>
                <w:szCs w:val="14"/>
                <w:color w:val="auto"/>
              </w:rPr>
              <w:t>294,785</w:t>
            </w:r>
          </w:p>
        </w:tc>
        <w:tc>
          <w:tcPr>
            <w:tcW w:w="120" w:type="dxa"/>
            <w:vAlign w:val="bottom"/>
            <w:shd w:val="clear" w:color="auto" w:fill="C6D9F1"/>
          </w:tcPr>
          <w:p>
            <w:pPr>
              <w:spacing w:after="0"/>
              <w:rPr>
                <w:sz w:val="17"/>
                <w:szCs w:val="17"/>
                <w:color w:val="auto"/>
              </w:rPr>
            </w:pPr>
          </w:p>
        </w:tc>
        <w:tc>
          <w:tcPr>
            <w:tcW w:w="1240" w:type="dxa"/>
            <w:vAlign w:val="bottom"/>
            <w:gridSpan w:val="2"/>
            <w:shd w:val="clear" w:color="auto" w:fill="C6D9F1"/>
          </w:tcPr>
          <w:p>
            <w:pPr>
              <w:jc w:val="right"/>
              <w:ind w:right="120"/>
              <w:spacing w:after="0"/>
              <w:rPr>
                <w:sz w:val="20"/>
                <w:szCs w:val="20"/>
                <w:color w:val="auto"/>
              </w:rPr>
            </w:pPr>
            <w:r>
              <w:rPr>
                <w:rFonts w:ascii="Arial" w:cs="Arial" w:eastAsia="Arial" w:hAnsi="Arial"/>
                <w:sz w:val="14"/>
                <w:szCs w:val="14"/>
                <w:color w:val="auto"/>
              </w:rPr>
              <w:t>294,785</w:t>
            </w:r>
          </w:p>
        </w:tc>
        <w:tc>
          <w:tcPr>
            <w:tcW w:w="1360" w:type="dxa"/>
            <w:vAlign w:val="bottom"/>
            <w:shd w:val="clear" w:color="auto" w:fill="C6D9F1"/>
          </w:tcPr>
          <w:p>
            <w:pPr>
              <w:jc w:val="right"/>
              <w:ind w:right="8"/>
              <w:spacing w:after="0"/>
              <w:rPr>
                <w:sz w:val="20"/>
                <w:szCs w:val="20"/>
                <w:color w:val="auto"/>
              </w:rPr>
            </w:pPr>
            <w:r>
              <w:rPr>
                <w:rFonts w:ascii="Arial" w:cs="Arial" w:eastAsia="Arial" w:hAnsi="Arial"/>
                <w:sz w:val="14"/>
                <w:szCs w:val="14"/>
                <w:color w:val="auto"/>
              </w:rPr>
              <w:t>294,785</w:t>
            </w:r>
          </w:p>
        </w:tc>
      </w:tr>
      <w:tr>
        <w:trPr>
          <w:trHeight w:val="216"/>
        </w:trPr>
        <w:tc>
          <w:tcPr>
            <w:tcW w:w="2300" w:type="dxa"/>
            <w:vAlign w:val="bottom"/>
            <w:gridSpan w:val="2"/>
          </w:tcPr>
          <w:p>
            <w:pPr>
              <w:spacing w:after="0"/>
              <w:rPr>
                <w:sz w:val="20"/>
                <w:szCs w:val="20"/>
                <w:color w:val="auto"/>
              </w:rPr>
            </w:pPr>
            <w:r>
              <w:rPr>
                <w:rFonts w:ascii="Arial" w:cs="Arial" w:eastAsia="Arial" w:hAnsi="Arial"/>
                <w:sz w:val="14"/>
                <w:szCs w:val="14"/>
                <w:color w:val="auto"/>
              </w:rPr>
              <w:t>Bonus payout</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16"/>
        </w:trPr>
        <w:tc>
          <w:tcPr>
            <w:tcW w:w="2300" w:type="dxa"/>
            <w:vAlign w:val="bottom"/>
            <w:gridSpan w:val="2"/>
            <w:shd w:val="clear" w:color="auto" w:fill="C6D9F1"/>
          </w:tcPr>
          <w:p>
            <w:pPr>
              <w:spacing w:after="0"/>
              <w:rPr>
                <w:sz w:val="20"/>
                <w:szCs w:val="20"/>
                <w:color w:val="auto"/>
              </w:rPr>
            </w:pPr>
            <w:r>
              <w:rPr>
                <w:rFonts w:ascii="Arial" w:cs="Arial" w:eastAsia="Arial" w:hAnsi="Arial"/>
                <w:sz w:val="14"/>
                <w:szCs w:val="14"/>
                <w:color w:val="auto"/>
              </w:rPr>
              <w:t>Life insurance</w:t>
            </w:r>
          </w:p>
        </w:tc>
        <w:tc>
          <w:tcPr>
            <w:tcW w:w="940" w:type="dxa"/>
            <w:vAlign w:val="bottom"/>
            <w:gridSpan w:val="2"/>
            <w:shd w:val="clear" w:color="auto" w:fill="C6D9F1"/>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6D9F1"/>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6D9F1"/>
          </w:tcPr>
          <w:p>
            <w:pPr>
              <w:ind w:left="90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6D9F1"/>
          </w:tcPr>
          <w:p>
            <w:pPr>
              <w:jc w:val="right"/>
              <w:ind w:right="10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6D9F1"/>
          </w:tcPr>
          <w:p>
            <w:pPr>
              <w:jc w:val="right"/>
              <w:ind w:right="12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6D9F1"/>
          </w:tcPr>
          <w:p>
            <w:pPr>
              <w:jc w:val="right"/>
              <w:ind w:right="12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6D9F1"/>
          </w:tcPr>
          <w:p>
            <w:pPr>
              <w:jc w:val="right"/>
              <w:ind w:right="12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6D9F1"/>
          </w:tcPr>
          <w:p>
            <w:pPr>
              <w:jc w:val="right"/>
              <w:ind w:right="8"/>
              <w:spacing w:after="0"/>
              <w:rPr>
                <w:sz w:val="20"/>
                <w:szCs w:val="20"/>
                <w:color w:val="auto"/>
              </w:rPr>
            </w:pPr>
            <w:r>
              <w:rPr>
                <w:rFonts w:ascii="Arial" w:cs="Arial" w:eastAsia="Arial" w:hAnsi="Arial"/>
                <w:sz w:val="14"/>
                <w:szCs w:val="14"/>
                <w:color w:val="auto"/>
              </w:rPr>
              <w:t>—</w:t>
            </w:r>
          </w:p>
        </w:tc>
      </w:tr>
      <w:tr>
        <w:trPr>
          <w:trHeight w:val="216"/>
        </w:trPr>
        <w:tc>
          <w:tcPr>
            <w:tcW w:w="2300" w:type="dxa"/>
            <w:vAlign w:val="bottom"/>
            <w:gridSpan w:val="2"/>
          </w:tcPr>
          <w:p>
            <w:pPr>
              <w:spacing w:after="0"/>
              <w:rPr>
                <w:sz w:val="20"/>
                <w:szCs w:val="20"/>
                <w:color w:val="auto"/>
              </w:rPr>
            </w:pPr>
            <w:r>
              <w:rPr>
                <w:rFonts w:ascii="Arial" w:cs="Arial" w:eastAsia="Arial" w:hAnsi="Arial"/>
                <w:sz w:val="14"/>
                <w:szCs w:val="14"/>
                <w:color w:val="auto"/>
              </w:rPr>
              <w:t>Health insurance</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167"/>
        </w:trPr>
        <w:tc>
          <w:tcPr>
            <w:tcW w:w="2300" w:type="dxa"/>
            <w:vAlign w:val="bottom"/>
            <w:gridSpan w:val="2"/>
            <w:shd w:val="clear" w:color="auto" w:fill="C6D9F1"/>
          </w:tcPr>
          <w:p>
            <w:pPr>
              <w:spacing w:after="0"/>
              <w:rPr>
                <w:sz w:val="20"/>
                <w:szCs w:val="20"/>
                <w:color w:val="auto"/>
              </w:rPr>
            </w:pPr>
            <w:r>
              <w:rPr>
                <w:rFonts w:ascii="Arial" w:cs="Arial" w:eastAsia="Arial" w:hAnsi="Arial"/>
                <w:sz w:val="14"/>
                <w:szCs w:val="14"/>
                <w:color w:val="auto"/>
              </w:rPr>
              <w:t>Stock options (unvested and</w:t>
            </w:r>
          </w:p>
        </w:tc>
        <w:tc>
          <w:tcPr>
            <w:tcW w:w="820" w:type="dxa"/>
            <w:vAlign w:val="bottom"/>
            <w:shd w:val="clear" w:color="auto" w:fill="C6D9F1"/>
          </w:tcPr>
          <w:p>
            <w:pPr>
              <w:spacing w:after="0"/>
              <w:rPr>
                <w:sz w:val="14"/>
                <w:szCs w:val="14"/>
                <w:color w:val="auto"/>
              </w:rPr>
            </w:pPr>
          </w:p>
        </w:tc>
        <w:tc>
          <w:tcPr>
            <w:tcW w:w="120" w:type="dxa"/>
            <w:vAlign w:val="bottom"/>
            <w:shd w:val="clear" w:color="auto" w:fill="C6D9F1"/>
          </w:tcPr>
          <w:p>
            <w:pPr>
              <w:spacing w:after="0"/>
              <w:rPr>
                <w:sz w:val="14"/>
                <w:szCs w:val="14"/>
                <w:color w:val="auto"/>
              </w:rPr>
            </w:pPr>
          </w:p>
        </w:tc>
        <w:tc>
          <w:tcPr>
            <w:tcW w:w="920" w:type="dxa"/>
            <w:vAlign w:val="bottom"/>
            <w:shd w:val="clear" w:color="auto" w:fill="C6D9F1"/>
          </w:tcPr>
          <w:p>
            <w:pPr>
              <w:spacing w:after="0"/>
              <w:rPr>
                <w:sz w:val="14"/>
                <w:szCs w:val="14"/>
                <w:color w:val="auto"/>
              </w:rPr>
            </w:pPr>
          </w:p>
        </w:tc>
        <w:tc>
          <w:tcPr>
            <w:tcW w:w="120" w:type="dxa"/>
            <w:vAlign w:val="bottom"/>
            <w:shd w:val="clear" w:color="auto" w:fill="C6D9F1"/>
          </w:tcPr>
          <w:p>
            <w:pPr>
              <w:spacing w:after="0"/>
              <w:rPr>
                <w:sz w:val="14"/>
                <w:szCs w:val="14"/>
                <w:color w:val="auto"/>
              </w:rPr>
            </w:pPr>
          </w:p>
        </w:tc>
        <w:tc>
          <w:tcPr>
            <w:tcW w:w="1040" w:type="dxa"/>
            <w:vAlign w:val="bottom"/>
            <w:shd w:val="clear" w:color="auto" w:fill="C6D9F1"/>
          </w:tcPr>
          <w:p>
            <w:pPr>
              <w:spacing w:after="0"/>
              <w:rPr>
                <w:sz w:val="14"/>
                <w:szCs w:val="14"/>
                <w:color w:val="auto"/>
              </w:rPr>
            </w:pPr>
          </w:p>
        </w:tc>
        <w:tc>
          <w:tcPr>
            <w:tcW w:w="100" w:type="dxa"/>
            <w:vAlign w:val="bottom"/>
            <w:shd w:val="clear" w:color="auto" w:fill="C6D9F1"/>
          </w:tcPr>
          <w:p>
            <w:pPr>
              <w:spacing w:after="0"/>
              <w:rPr>
                <w:sz w:val="14"/>
                <w:szCs w:val="14"/>
                <w:color w:val="auto"/>
              </w:rPr>
            </w:pPr>
          </w:p>
        </w:tc>
        <w:tc>
          <w:tcPr>
            <w:tcW w:w="1040" w:type="dxa"/>
            <w:vAlign w:val="bottom"/>
            <w:shd w:val="clear" w:color="auto" w:fill="C6D9F1"/>
          </w:tcPr>
          <w:p>
            <w:pPr>
              <w:spacing w:after="0"/>
              <w:rPr>
                <w:sz w:val="14"/>
                <w:szCs w:val="14"/>
                <w:color w:val="auto"/>
              </w:rPr>
            </w:pPr>
          </w:p>
        </w:tc>
        <w:tc>
          <w:tcPr>
            <w:tcW w:w="100" w:type="dxa"/>
            <w:vAlign w:val="bottom"/>
            <w:shd w:val="clear" w:color="auto" w:fill="C6D9F1"/>
          </w:tcPr>
          <w:p>
            <w:pPr>
              <w:spacing w:after="0"/>
              <w:rPr>
                <w:sz w:val="14"/>
                <w:szCs w:val="14"/>
                <w:color w:val="auto"/>
              </w:rPr>
            </w:pPr>
          </w:p>
        </w:tc>
        <w:tc>
          <w:tcPr>
            <w:tcW w:w="900" w:type="dxa"/>
            <w:vAlign w:val="bottom"/>
            <w:shd w:val="clear" w:color="auto" w:fill="C6D9F1"/>
          </w:tcPr>
          <w:p>
            <w:pPr>
              <w:spacing w:after="0"/>
              <w:rPr>
                <w:sz w:val="14"/>
                <w:szCs w:val="14"/>
                <w:color w:val="auto"/>
              </w:rPr>
            </w:pPr>
          </w:p>
        </w:tc>
        <w:tc>
          <w:tcPr>
            <w:tcW w:w="120" w:type="dxa"/>
            <w:vAlign w:val="bottom"/>
            <w:shd w:val="clear" w:color="auto" w:fill="C6D9F1"/>
          </w:tcPr>
          <w:p>
            <w:pPr>
              <w:spacing w:after="0"/>
              <w:rPr>
                <w:sz w:val="14"/>
                <w:szCs w:val="14"/>
                <w:color w:val="auto"/>
              </w:rPr>
            </w:pPr>
          </w:p>
        </w:tc>
        <w:tc>
          <w:tcPr>
            <w:tcW w:w="1120" w:type="dxa"/>
            <w:vAlign w:val="bottom"/>
            <w:shd w:val="clear" w:color="auto" w:fill="C6D9F1"/>
          </w:tcPr>
          <w:p>
            <w:pPr>
              <w:spacing w:after="0"/>
              <w:rPr>
                <w:sz w:val="14"/>
                <w:szCs w:val="14"/>
                <w:color w:val="auto"/>
              </w:rPr>
            </w:pPr>
          </w:p>
        </w:tc>
        <w:tc>
          <w:tcPr>
            <w:tcW w:w="120" w:type="dxa"/>
            <w:vAlign w:val="bottom"/>
            <w:shd w:val="clear" w:color="auto" w:fill="C6D9F1"/>
          </w:tcPr>
          <w:p>
            <w:pPr>
              <w:spacing w:after="0"/>
              <w:rPr>
                <w:sz w:val="14"/>
                <w:szCs w:val="14"/>
                <w:color w:val="auto"/>
              </w:rPr>
            </w:pPr>
          </w:p>
        </w:tc>
        <w:tc>
          <w:tcPr>
            <w:tcW w:w="1120" w:type="dxa"/>
            <w:vAlign w:val="bottom"/>
            <w:shd w:val="clear" w:color="auto" w:fill="C6D9F1"/>
          </w:tcPr>
          <w:p>
            <w:pPr>
              <w:spacing w:after="0"/>
              <w:rPr>
                <w:sz w:val="14"/>
                <w:szCs w:val="14"/>
                <w:color w:val="auto"/>
              </w:rPr>
            </w:pPr>
          </w:p>
        </w:tc>
        <w:tc>
          <w:tcPr>
            <w:tcW w:w="120" w:type="dxa"/>
            <w:vAlign w:val="bottom"/>
            <w:shd w:val="clear" w:color="auto" w:fill="C6D9F1"/>
          </w:tcPr>
          <w:p>
            <w:pPr>
              <w:spacing w:after="0"/>
              <w:rPr>
                <w:sz w:val="14"/>
                <w:szCs w:val="14"/>
                <w:color w:val="auto"/>
              </w:rPr>
            </w:pPr>
          </w:p>
        </w:tc>
        <w:tc>
          <w:tcPr>
            <w:tcW w:w="1360" w:type="dxa"/>
            <w:vAlign w:val="bottom"/>
            <w:shd w:val="clear" w:color="auto" w:fill="C6D9F1"/>
          </w:tcPr>
          <w:p>
            <w:pPr>
              <w:spacing w:after="0"/>
              <w:rPr>
                <w:sz w:val="14"/>
                <w:szCs w:val="14"/>
                <w:color w:val="auto"/>
              </w:rPr>
            </w:pPr>
          </w:p>
        </w:tc>
      </w:tr>
      <w:tr>
        <w:trPr>
          <w:trHeight w:val="157"/>
        </w:trPr>
        <w:tc>
          <w:tcPr>
            <w:tcW w:w="2300" w:type="dxa"/>
            <w:vAlign w:val="bottom"/>
            <w:gridSpan w:val="2"/>
            <w:shd w:val="clear" w:color="auto" w:fill="C6D9F1"/>
          </w:tcPr>
          <w:p>
            <w:pPr>
              <w:ind w:left="160"/>
              <w:spacing w:after="0" w:line="157" w:lineRule="exact"/>
              <w:rPr>
                <w:sz w:val="20"/>
                <w:szCs w:val="20"/>
                <w:color w:val="auto"/>
              </w:rPr>
            </w:pPr>
            <w:r>
              <w:rPr>
                <w:rFonts w:ascii="Arial" w:cs="Arial" w:eastAsia="Arial" w:hAnsi="Arial"/>
                <w:sz w:val="14"/>
                <w:szCs w:val="14"/>
                <w:color w:val="auto"/>
              </w:rPr>
              <w:t>accelerated)</w:t>
            </w:r>
          </w:p>
        </w:tc>
        <w:tc>
          <w:tcPr>
            <w:tcW w:w="940" w:type="dxa"/>
            <w:vAlign w:val="bottom"/>
            <w:gridSpan w:val="2"/>
            <w:shd w:val="clear" w:color="auto" w:fill="C6D9F1"/>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6D9F1"/>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6D9F1"/>
          </w:tcPr>
          <w:p>
            <w:pPr>
              <w:ind w:left="900"/>
              <w:spacing w:after="0" w:line="157"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6D9F1"/>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6D9F1"/>
          </w:tcPr>
          <w:p>
            <w:pPr>
              <w:jc w:val="right"/>
              <w:ind w:right="120"/>
              <w:spacing w:after="0" w:line="157" w:lineRule="exact"/>
              <w:rPr>
                <w:sz w:val="20"/>
                <w:szCs w:val="20"/>
                <w:color w:val="auto"/>
              </w:rPr>
            </w:pPr>
            <w:r>
              <w:rPr>
                <w:rFonts w:ascii="Arial" w:cs="Arial" w:eastAsia="Arial" w:hAnsi="Arial"/>
                <w:sz w:val="14"/>
                <w:szCs w:val="14"/>
                <w:color w:val="auto"/>
              </w:rPr>
              <w:t>89,107</w:t>
            </w:r>
          </w:p>
        </w:tc>
        <w:tc>
          <w:tcPr>
            <w:tcW w:w="1240" w:type="dxa"/>
            <w:vAlign w:val="bottom"/>
            <w:gridSpan w:val="2"/>
            <w:shd w:val="clear" w:color="auto" w:fill="C6D9F1"/>
          </w:tcPr>
          <w:p>
            <w:pPr>
              <w:jc w:val="right"/>
              <w:ind w:right="120"/>
              <w:spacing w:after="0" w:line="157" w:lineRule="exact"/>
              <w:rPr>
                <w:sz w:val="20"/>
                <w:szCs w:val="20"/>
                <w:color w:val="auto"/>
              </w:rPr>
            </w:pPr>
            <w:r>
              <w:rPr>
                <w:rFonts w:ascii="Arial" w:cs="Arial" w:eastAsia="Arial" w:hAnsi="Arial"/>
                <w:sz w:val="14"/>
                <w:szCs w:val="14"/>
                <w:color w:val="auto"/>
              </w:rPr>
              <w:t>89,107</w:t>
            </w:r>
          </w:p>
        </w:tc>
        <w:tc>
          <w:tcPr>
            <w:tcW w:w="1240" w:type="dxa"/>
            <w:vAlign w:val="bottom"/>
            <w:gridSpan w:val="2"/>
            <w:shd w:val="clear" w:color="auto" w:fill="C6D9F1"/>
          </w:tcPr>
          <w:p>
            <w:pPr>
              <w:jc w:val="right"/>
              <w:ind w:right="120"/>
              <w:spacing w:after="0" w:line="157" w:lineRule="exact"/>
              <w:rPr>
                <w:sz w:val="20"/>
                <w:szCs w:val="20"/>
                <w:color w:val="auto"/>
              </w:rPr>
            </w:pPr>
            <w:r>
              <w:rPr>
                <w:rFonts w:ascii="Arial" w:cs="Arial" w:eastAsia="Arial" w:hAnsi="Arial"/>
                <w:sz w:val="14"/>
                <w:szCs w:val="14"/>
                <w:color w:val="auto"/>
              </w:rPr>
              <w:t>89,107</w:t>
            </w:r>
          </w:p>
        </w:tc>
        <w:tc>
          <w:tcPr>
            <w:tcW w:w="1360" w:type="dxa"/>
            <w:vAlign w:val="bottom"/>
            <w:shd w:val="clear" w:color="auto" w:fill="C6D9F1"/>
          </w:tcPr>
          <w:p>
            <w:pPr>
              <w:jc w:val="right"/>
              <w:ind w:right="8"/>
              <w:spacing w:after="0" w:line="157" w:lineRule="exact"/>
              <w:rPr>
                <w:sz w:val="20"/>
                <w:szCs w:val="20"/>
                <w:color w:val="auto"/>
              </w:rPr>
            </w:pPr>
            <w:r>
              <w:rPr>
                <w:rFonts w:ascii="Arial" w:cs="Arial" w:eastAsia="Arial" w:hAnsi="Arial"/>
                <w:sz w:val="14"/>
                <w:szCs w:val="14"/>
                <w:color w:val="auto"/>
              </w:rPr>
              <w:t>89,107</w:t>
            </w:r>
          </w:p>
        </w:tc>
      </w:tr>
      <w:tr>
        <w:trPr>
          <w:trHeight w:val="167"/>
        </w:trPr>
        <w:tc>
          <w:tcPr>
            <w:tcW w:w="2300" w:type="dxa"/>
            <w:vAlign w:val="bottom"/>
            <w:gridSpan w:val="2"/>
          </w:tcPr>
          <w:p>
            <w:pPr>
              <w:spacing w:after="0"/>
              <w:rPr>
                <w:sz w:val="20"/>
                <w:szCs w:val="20"/>
                <w:color w:val="auto"/>
              </w:rPr>
            </w:pPr>
            <w:r>
              <w:rPr>
                <w:rFonts w:ascii="Arial" w:cs="Arial" w:eastAsia="Arial" w:hAnsi="Arial"/>
                <w:sz w:val="14"/>
                <w:szCs w:val="14"/>
                <w:color w:val="auto"/>
              </w:rPr>
              <w:t>Restricted stock units (unvested</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57"/>
        </w:trPr>
        <w:tc>
          <w:tcPr>
            <w:tcW w:w="2300" w:type="dxa"/>
            <w:vAlign w:val="bottom"/>
            <w:gridSpan w:val="2"/>
          </w:tcPr>
          <w:p>
            <w:pPr>
              <w:ind w:left="160"/>
              <w:spacing w:after="0" w:line="157" w:lineRule="exact"/>
              <w:rPr>
                <w:sz w:val="20"/>
                <w:szCs w:val="20"/>
                <w:color w:val="auto"/>
              </w:rPr>
            </w:pPr>
            <w:r>
              <w:rPr>
                <w:rFonts w:ascii="Arial" w:cs="Arial" w:eastAsia="Arial" w:hAnsi="Arial"/>
                <w:sz w:val="14"/>
                <w:szCs w:val="14"/>
                <w:color w:val="auto"/>
              </w:rPr>
              <w:t>and accelerated)</w:t>
            </w:r>
          </w:p>
        </w:tc>
        <w:tc>
          <w:tcPr>
            <w:tcW w:w="94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140" w:type="dxa"/>
            <w:vAlign w:val="bottom"/>
            <w:gridSpan w:val="2"/>
          </w:tcPr>
          <w:p>
            <w:pPr>
              <w:ind w:left="900"/>
              <w:spacing w:after="0" w:line="157"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364,921</w:t>
            </w:r>
          </w:p>
        </w:tc>
        <w:tc>
          <w:tcPr>
            <w:tcW w:w="1120" w:type="dxa"/>
            <w:vAlign w:val="bottom"/>
          </w:tcPr>
          <w:p>
            <w:pPr>
              <w:jc w:val="right"/>
              <w:spacing w:after="0" w:line="157" w:lineRule="exact"/>
              <w:rPr>
                <w:sz w:val="20"/>
                <w:szCs w:val="20"/>
                <w:color w:val="auto"/>
              </w:rPr>
            </w:pPr>
            <w:r>
              <w:rPr>
                <w:rFonts w:ascii="Arial" w:cs="Arial" w:eastAsia="Arial" w:hAnsi="Arial"/>
                <w:sz w:val="14"/>
                <w:szCs w:val="14"/>
                <w:color w:val="auto"/>
              </w:rPr>
              <w:t>1,120,914</w:t>
            </w:r>
          </w:p>
        </w:tc>
        <w:tc>
          <w:tcPr>
            <w:tcW w:w="120" w:type="dxa"/>
            <w:vAlign w:val="bottom"/>
          </w:tcPr>
          <w:p>
            <w:pPr>
              <w:spacing w:after="0"/>
              <w:rPr>
                <w:sz w:val="13"/>
                <w:szCs w:val="13"/>
                <w:color w:val="auto"/>
              </w:rPr>
            </w:pPr>
          </w:p>
        </w:tc>
        <w:tc>
          <w:tcPr>
            <w:tcW w:w="124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1,120,914</w:t>
            </w:r>
          </w:p>
        </w:tc>
        <w:tc>
          <w:tcPr>
            <w:tcW w:w="1360" w:type="dxa"/>
            <w:vAlign w:val="bottom"/>
          </w:tcPr>
          <w:p>
            <w:pPr>
              <w:jc w:val="right"/>
              <w:ind w:right="8"/>
              <w:spacing w:after="0" w:line="157" w:lineRule="exact"/>
              <w:rPr>
                <w:sz w:val="20"/>
                <w:szCs w:val="20"/>
                <w:color w:val="auto"/>
              </w:rPr>
            </w:pPr>
            <w:r>
              <w:rPr>
                <w:rFonts w:ascii="Arial" w:cs="Arial" w:eastAsia="Arial" w:hAnsi="Arial"/>
                <w:sz w:val="14"/>
                <w:szCs w:val="14"/>
                <w:color w:val="auto"/>
              </w:rPr>
              <w:t>1,120,914</w:t>
            </w:r>
          </w:p>
        </w:tc>
      </w:tr>
      <w:tr>
        <w:trPr>
          <w:trHeight w:val="167"/>
        </w:trPr>
        <w:tc>
          <w:tcPr>
            <w:tcW w:w="2300" w:type="dxa"/>
            <w:vAlign w:val="bottom"/>
            <w:gridSpan w:val="2"/>
            <w:shd w:val="clear" w:color="auto" w:fill="C6D9F1"/>
          </w:tcPr>
          <w:p>
            <w:pPr>
              <w:spacing w:after="0"/>
              <w:rPr>
                <w:sz w:val="20"/>
                <w:szCs w:val="20"/>
                <w:color w:val="auto"/>
              </w:rPr>
            </w:pPr>
            <w:r>
              <w:rPr>
                <w:rFonts w:ascii="Arial" w:cs="Arial" w:eastAsia="Arial" w:hAnsi="Arial"/>
                <w:sz w:val="14"/>
                <w:szCs w:val="14"/>
                <w:color w:val="auto"/>
              </w:rPr>
              <w:t>Performance restricted stock</w:t>
            </w:r>
          </w:p>
        </w:tc>
        <w:tc>
          <w:tcPr>
            <w:tcW w:w="820" w:type="dxa"/>
            <w:vAlign w:val="bottom"/>
            <w:shd w:val="clear" w:color="auto" w:fill="C6D9F1"/>
          </w:tcPr>
          <w:p>
            <w:pPr>
              <w:spacing w:after="0"/>
              <w:rPr>
                <w:sz w:val="14"/>
                <w:szCs w:val="14"/>
                <w:color w:val="auto"/>
              </w:rPr>
            </w:pPr>
          </w:p>
        </w:tc>
        <w:tc>
          <w:tcPr>
            <w:tcW w:w="120" w:type="dxa"/>
            <w:vAlign w:val="bottom"/>
            <w:shd w:val="clear" w:color="auto" w:fill="C6D9F1"/>
          </w:tcPr>
          <w:p>
            <w:pPr>
              <w:spacing w:after="0"/>
              <w:rPr>
                <w:sz w:val="14"/>
                <w:szCs w:val="14"/>
                <w:color w:val="auto"/>
              </w:rPr>
            </w:pPr>
          </w:p>
        </w:tc>
        <w:tc>
          <w:tcPr>
            <w:tcW w:w="920" w:type="dxa"/>
            <w:vAlign w:val="bottom"/>
            <w:shd w:val="clear" w:color="auto" w:fill="C6D9F1"/>
          </w:tcPr>
          <w:p>
            <w:pPr>
              <w:spacing w:after="0"/>
              <w:rPr>
                <w:sz w:val="14"/>
                <w:szCs w:val="14"/>
                <w:color w:val="auto"/>
              </w:rPr>
            </w:pPr>
          </w:p>
        </w:tc>
        <w:tc>
          <w:tcPr>
            <w:tcW w:w="120" w:type="dxa"/>
            <w:vAlign w:val="bottom"/>
            <w:shd w:val="clear" w:color="auto" w:fill="C6D9F1"/>
          </w:tcPr>
          <w:p>
            <w:pPr>
              <w:spacing w:after="0"/>
              <w:rPr>
                <w:sz w:val="14"/>
                <w:szCs w:val="14"/>
                <w:color w:val="auto"/>
              </w:rPr>
            </w:pPr>
          </w:p>
        </w:tc>
        <w:tc>
          <w:tcPr>
            <w:tcW w:w="1040" w:type="dxa"/>
            <w:vAlign w:val="bottom"/>
            <w:shd w:val="clear" w:color="auto" w:fill="C6D9F1"/>
          </w:tcPr>
          <w:p>
            <w:pPr>
              <w:spacing w:after="0"/>
              <w:rPr>
                <w:sz w:val="14"/>
                <w:szCs w:val="14"/>
                <w:color w:val="auto"/>
              </w:rPr>
            </w:pPr>
          </w:p>
        </w:tc>
        <w:tc>
          <w:tcPr>
            <w:tcW w:w="100" w:type="dxa"/>
            <w:vAlign w:val="bottom"/>
            <w:shd w:val="clear" w:color="auto" w:fill="C6D9F1"/>
          </w:tcPr>
          <w:p>
            <w:pPr>
              <w:spacing w:after="0"/>
              <w:rPr>
                <w:sz w:val="14"/>
                <w:szCs w:val="14"/>
                <w:color w:val="auto"/>
              </w:rPr>
            </w:pPr>
          </w:p>
        </w:tc>
        <w:tc>
          <w:tcPr>
            <w:tcW w:w="1040" w:type="dxa"/>
            <w:vAlign w:val="bottom"/>
            <w:shd w:val="clear" w:color="auto" w:fill="C6D9F1"/>
          </w:tcPr>
          <w:p>
            <w:pPr>
              <w:spacing w:after="0"/>
              <w:rPr>
                <w:sz w:val="14"/>
                <w:szCs w:val="14"/>
                <w:color w:val="auto"/>
              </w:rPr>
            </w:pPr>
          </w:p>
        </w:tc>
        <w:tc>
          <w:tcPr>
            <w:tcW w:w="100" w:type="dxa"/>
            <w:vAlign w:val="bottom"/>
            <w:shd w:val="clear" w:color="auto" w:fill="C6D9F1"/>
          </w:tcPr>
          <w:p>
            <w:pPr>
              <w:spacing w:after="0"/>
              <w:rPr>
                <w:sz w:val="14"/>
                <w:szCs w:val="14"/>
                <w:color w:val="auto"/>
              </w:rPr>
            </w:pPr>
          </w:p>
        </w:tc>
        <w:tc>
          <w:tcPr>
            <w:tcW w:w="900" w:type="dxa"/>
            <w:vAlign w:val="bottom"/>
            <w:shd w:val="clear" w:color="auto" w:fill="C6D9F1"/>
          </w:tcPr>
          <w:p>
            <w:pPr>
              <w:spacing w:after="0"/>
              <w:rPr>
                <w:sz w:val="14"/>
                <w:szCs w:val="14"/>
                <w:color w:val="auto"/>
              </w:rPr>
            </w:pPr>
          </w:p>
        </w:tc>
        <w:tc>
          <w:tcPr>
            <w:tcW w:w="120" w:type="dxa"/>
            <w:vAlign w:val="bottom"/>
            <w:shd w:val="clear" w:color="auto" w:fill="C6D9F1"/>
          </w:tcPr>
          <w:p>
            <w:pPr>
              <w:spacing w:after="0"/>
              <w:rPr>
                <w:sz w:val="14"/>
                <w:szCs w:val="14"/>
                <w:color w:val="auto"/>
              </w:rPr>
            </w:pPr>
          </w:p>
        </w:tc>
        <w:tc>
          <w:tcPr>
            <w:tcW w:w="1120" w:type="dxa"/>
            <w:vAlign w:val="bottom"/>
            <w:shd w:val="clear" w:color="auto" w:fill="C6D9F1"/>
          </w:tcPr>
          <w:p>
            <w:pPr>
              <w:spacing w:after="0"/>
              <w:rPr>
                <w:sz w:val="14"/>
                <w:szCs w:val="14"/>
                <w:color w:val="auto"/>
              </w:rPr>
            </w:pPr>
          </w:p>
        </w:tc>
        <w:tc>
          <w:tcPr>
            <w:tcW w:w="120" w:type="dxa"/>
            <w:vAlign w:val="bottom"/>
            <w:shd w:val="clear" w:color="auto" w:fill="C6D9F1"/>
          </w:tcPr>
          <w:p>
            <w:pPr>
              <w:spacing w:after="0"/>
              <w:rPr>
                <w:sz w:val="14"/>
                <w:szCs w:val="14"/>
                <w:color w:val="auto"/>
              </w:rPr>
            </w:pPr>
          </w:p>
        </w:tc>
        <w:tc>
          <w:tcPr>
            <w:tcW w:w="1120" w:type="dxa"/>
            <w:vAlign w:val="bottom"/>
            <w:shd w:val="clear" w:color="auto" w:fill="C6D9F1"/>
          </w:tcPr>
          <w:p>
            <w:pPr>
              <w:spacing w:after="0"/>
              <w:rPr>
                <w:sz w:val="14"/>
                <w:szCs w:val="14"/>
                <w:color w:val="auto"/>
              </w:rPr>
            </w:pPr>
          </w:p>
        </w:tc>
        <w:tc>
          <w:tcPr>
            <w:tcW w:w="120" w:type="dxa"/>
            <w:vAlign w:val="bottom"/>
            <w:shd w:val="clear" w:color="auto" w:fill="C6D9F1"/>
          </w:tcPr>
          <w:p>
            <w:pPr>
              <w:spacing w:after="0"/>
              <w:rPr>
                <w:sz w:val="14"/>
                <w:szCs w:val="14"/>
                <w:color w:val="auto"/>
              </w:rPr>
            </w:pPr>
          </w:p>
        </w:tc>
        <w:tc>
          <w:tcPr>
            <w:tcW w:w="1360" w:type="dxa"/>
            <w:vAlign w:val="bottom"/>
            <w:shd w:val="clear" w:color="auto" w:fill="C6D9F1"/>
          </w:tcPr>
          <w:p>
            <w:pPr>
              <w:spacing w:after="0"/>
              <w:rPr>
                <w:sz w:val="14"/>
                <w:szCs w:val="14"/>
                <w:color w:val="auto"/>
              </w:rPr>
            </w:pPr>
          </w:p>
        </w:tc>
      </w:tr>
      <w:tr>
        <w:trPr>
          <w:trHeight w:val="162"/>
        </w:trPr>
        <w:tc>
          <w:tcPr>
            <w:tcW w:w="2300" w:type="dxa"/>
            <w:vAlign w:val="bottom"/>
            <w:gridSpan w:val="2"/>
            <w:shd w:val="clear" w:color="auto" w:fill="C6D9F1"/>
          </w:tcPr>
          <w:p>
            <w:pPr>
              <w:ind w:left="160"/>
              <w:spacing w:after="0"/>
              <w:rPr>
                <w:sz w:val="20"/>
                <w:szCs w:val="20"/>
                <w:color w:val="auto"/>
              </w:rPr>
            </w:pPr>
            <w:r>
              <w:rPr>
                <w:rFonts w:ascii="Arial" w:cs="Arial" w:eastAsia="Arial" w:hAnsi="Arial"/>
                <w:sz w:val="14"/>
                <w:szCs w:val="14"/>
                <w:color w:val="auto"/>
              </w:rPr>
              <w:t>units (unvested and</w:t>
            </w:r>
          </w:p>
        </w:tc>
        <w:tc>
          <w:tcPr>
            <w:tcW w:w="820" w:type="dxa"/>
            <w:vAlign w:val="bottom"/>
            <w:shd w:val="clear" w:color="auto" w:fill="C6D9F1"/>
          </w:tcPr>
          <w:p>
            <w:pPr>
              <w:spacing w:after="0"/>
              <w:rPr>
                <w:sz w:val="14"/>
                <w:szCs w:val="14"/>
                <w:color w:val="auto"/>
              </w:rPr>
            </w:pPr>
          </w:p>
        </w:tc>
        <w:tc>
          <w:tcPr>
            <w:tcW w:w="120" w:type="dxa"/>
            <w:vAlign w:val="bottom"/>
            <w:shd w:val="clear" w:color="auto" w:fill="C6D9F1"/>
          </w:tcPr>
          <w:p>
            <w:pPr>
              <w:spacing w:after="0"/>
              <w:rPr>
                <w:sz w:val="14"/>
                <w:szCs w:val="14"/>
                <w:color w:val="auto"/>
              </w:rPr>
            </w:pPr>
          </w:p>
        </w:tc>
        <w:tc>
          <w:tcPr>
            <w:tcW w:w="920" w:type="dxa"/>
            <w:vAlign w:val="bottom"/>
            <w:shd w:val="clear" w:color="auto" w:fill="C6D9F1"/>
          </w:tcPr>
          <w:p>
            <w:pPr>
              <w:spacing w:after="0"/>
              <w:rPr>
                <w:sz w:val="14"/>
                <w:szCs w:val="14"/>
                <w:color w:val="auto"/>
              </w:rPr>
            </w:pPr>
          </w:p>
        </w:tc>
        <w:tc>
          <w:tcPr>
            <w:tcW w:w="120" w:type="dxa"/>
            <w:vAlign w:val="bottom"/>
            <w:shd w:val="clear" w:color="auto" w:fill="C6D9F1"/>
          </w:tcPr>
          <w:p>
            <w:pPr>
              <w:spacing w:after="0"/>
              <w:rPr>
                <w:sz w:val="14"/>
                <w:szCs w:val="14"/>
                <w:color w:val="auto"/>
              </w:rPr>
            </w:pPr>
          </w:p>
        </w:tc>
        <w:tc>
          <w:tcPr>
            <w:tcW w:w="1040" w:type="dxa"/>
            <w:vAlign w:val="bottom"/>
            <w:shd w:val="clear" w:color="auto" w:fill="C6D9F1"/>
          </w:tcPr>
          <w:p>
            <w:pPr>
              <w:spacing w:after="0"/>
              <w:rPr>
                <w:sz w:val="14"/>
                <w:szCs w:val="14"/>
                <w:color w:val="auto"/>
              </w:rPr>
            </w:pPr>
          </w:p>
        </w:tc>
        <w:tc>
          <w:tcPr>
            <w:tcW w:w="100" w:type="dxa"/>
            <w:vAlign w:val="bottom"/>
            <w:shd w:val="clear" w:color="auto" w:fill="C6D9F1"/>
          </w:tcPr>
          <w:p>
            <w:pPr>
              <w:spacing w:after="0"/>
              <w:rPr>
                <w:sz w:val="14"/>
                <w:szCs w:val="14"/>
                <w:color w:val="auto"/>
              </w:rPr>
            </w:pPr>
          </w:p>
        </w:tc>
        <w:tc>
          <w:tcPr>
            <w:tcW w:w="1040" w:type="dxa"/>
            <w:vAlign w:val="bottom"/>
            <w:shd w:val="clear" w:color="auto" w:fill="C6D9F1"/>
          </w:tcPr>
          <w:p>
            <w:pPr>
              <w:spacing w:after="0"/>
              <w:rPr>
                <w:sz w:val="14"/>
                <w:szCs w:val="14"/>
                <w:color w:val="auto"/>
              </w:rPr>
            </w:pPr>
          </w:p>
        </w:tc>
        <w:tc>
          <w:tcPr>
            <w:tcW w:w="100" w:type="dxa"/>
            <w:vAlign w:val="bottom"/>
            <w:shd w:val="clear" w:color="auto" w:fill="C6D9F1"/>
          </w:tcPr>
          <w:p>
            <w:pPr>
              <w:spacing w:after="0"/>
              <w:rPr>
                <w:sz w:val="14"/>
                <w:szCs w:val="14"/>
                <w:color w:val="auto"/>
              </w:rPr>
            </w:pPr>
          </w:p>
        </w:tc>
        <w:tc>
          <w:tcPr>
            <w:tcW w:w="900" w:type="dxa"/>
            <w:vAlign w:val="bottom"/>
            <w:shd w:val="clear" w:color="auto" w:fill="C6D9F1"/>
          </w:tcPr>
          <w:p>
            <w:pPr>
              <w:spacing w:after="0"/>
              <w:rPr>
                <w:sz w:val="14"/>
                <w:szCs w:val="14"/>
                <w:color w:val="auto"/>
              </w:rPr>
            </w:pPr>
          </w:p>
        </w:tc>
        <w:tc>
          <w:tcPr>
            <w:tcW w:w="120" w:type="dxa"/>
            <w:vAlign w:val="bottom"/>
            <w:shd w:val="clear" w:color="auto" w:fill="C6D9F1"/>
          </w:tcPr>
          <w:p>
            <w:pPr>
              <w:spacing w:after="0"/>
              <w:rPr>
                <w:sz w:val="14"/>
                <w:szCs w:val="14"/>
                <w:color w:val="auto"/>
              </w:rPr>
            </w:pPr>
          </w:p>
        </w:tc>
        <w:tc>
          <w:tcPr>
            <w:tcW w:w="1120" w:type="dxa"/>
            <w:vAlign w:val="bottom"/>
            <w:shd w:val="clear" w:color="auto" w:fill="C6D9F1"/>
          </w:tcPr>
          <w:p>
            <w:pPr>
              <w:spacing w:after="0"/>
              <w:rPr>
                <w:sz w:val="14"/>
                <w:szCs w:val="14"/>
                <w:color w:val="auto"/>
              </w:rPr>
            </w:pPr>
          </w:p>
        </w:tc>
        <w:tc>
          <w:tcPr>
            <w:tcW w:w="120" w:type="dxa"/>
            <w:vAlign w:val="bottom"/>
            <w:shd w:val="clear" w:color="auto" w:fill="C6D9F1"/>
          </w:tcPr>
          <w:p>
            <w:pPr>
              <w:spacing w:after="0"/>
              <w:rPr>
                <w:sz w:val="14"/>
                <w:szCs w:val="14"/>
                <w:color w:val="auto"/>
              </w:rPr>
            </w:pPr>
          </w:p>
        </w:tc>
        <w:tc>
          <w:tcPr>
            <w:tcW w:w="1120" w:type="dxa"/>
            <w:vAlign w:val="bottom"/>
            <w:shd w:val="clear" w:color="auto" w:fill="C6D9F1"/>
          </w:tcPr>
          <w:p>
            <w:pPr>
              <w:spacing w:after="0"/>
              <w:rPr>
                <w:sz w:val="14"/>
                <w:szCs w:val="14"/>
                <w:color w:val="auto"/>
              </w:rPr>
            </w:pPr>
          </w:p>
        </w:tc>
        <w:tc>
          <w:tcPr>
            <w:tcW w:w="120" w:type="dxa"/>
            <w:vAlign w:val="bottom"/>
            <w:shd w:val="clear" w:color="auto" w:fill="C6D9F1"/>
          </w:tcPr>
          <w:p>
            <w:pPr>
              <w:spacing w:after="0"/>
              <w:rPr>
                <w:sz w:val="14"/>
                <w:szCs w:val="14"/>
                <w:color w:val="auto"/>
              </w:rPr>
            </w:pPr>
          </w:p>
        </w:tc>
        <w:tc>
          <w:tcPr>
            <w:tcW w:w="1360" w:type="dxa"/>
            <w:vAlign w:val="bottom"/>
            <w:shd w:val="clear" w:color="auto" w:fill="C6D9F1"/>
          </w:tcPr>
          <w:p>
            <w:pPr>
              <w:spacing w:after="0"/>
              <w:rPr>
                <w:sz w:val="14"/>
                <w:szCs w:val="14"/>
                <w:color w:val="auto"/>
              </w:rPr>
            </w:pPr>
          </w:p>
        </w:tc>
      </w:tr>
      <w:tr>
        <w:trPr>
          <w:trHeight w:val="157"/>
        </w:trPr>
        <w:tc>
          <w:tcPr>
            <w:tcW w:w="2300" w:type="dxa"/>
            <w:vAlign w:val="bottom"/>
            <w:gridSpan w:val="2"/>
            <w:shd w:val="clear" w:color="auto" w:fill="C6D9F1"/>
          </w:tcPr>
          <w:p>
            <w:pPr>
              <w:ind w:left="160"/>
              <w:spacing w:after="0" w:line="157" w:lineRule="exact"/>
              <w:rPr>
                <w:sz w:val="20"/>
                <w:szCs w:val="20"/>
                <w:color w:val="auto"/>
              </w:rPr>
            </w:pPr>
            <w:r>
              <w:rPr>
                <w:rFonts w:ascii="Arial" w:cs="Arial" w:eastAsia="Arial" w:hAnsi="Arial"/>
                <w:sz w:val="14"/>
                <w:szCs w:val="14"/>
                <w:color w:val="auto"/>
              </w:rPr>
              <w:t>accelerated)</w:t>
            </w:r>
          </w:p>
        </w:tc>
        <w:tc>
          <w:tcPr>
            <w:tcW w:w="940" w:type="dxa"/>
            <w:vAlign w:val="bottom"/>
            <w:gridSpan w:val="2"/>
            <w:shd w:val="clear" w:color="auto" w:fill="C6D9F1"/>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6D9F1"/>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6D9F1"/>
          </w:tcPr>
          <w:p>
            <w:pPr>
              <w:ind w:left="900"/>
              <w:spacing w:after="0" w:line="157"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6D9F1"/>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6D9F1"/>
          </w:tcPr>
          <w:p>
            <w:pPr>
              <w:jc w:val="right"/>
              <w:ind w:right="120"/>
              <w:spacing w:after="0" w:line="157" w:lineRule="exact"/>
              <w:rPr>
                <w:sz w:val="20"/>
                <w:szCs w:val="20"/>
                <w:color w:val="auto"/>
              </w:rPr>
            </w:pPr>
            <w:r>
              <w:rPr>
                <w:rFonts w:ascii="Arial" w:cs="Arial" w:eastAsia="Arial" w:hAnsi="Arial"/>
                <w:sz w:val="14"/>
                <w:szCs w:val="14"/>
                <w:color w:val="auto"/>
              </w:rPr>
              <w:t>696,415</w:t>
            </w:r>
          </w:p>
        </w:tc>
        <w:tc>
          <w:tcPr>
            <w:tcW w:w="1120" w:type="dxa"/>
            <w:vAlign w:val="bottom"/>
            <w:shd w:val="clear" w:color="auto" w:fill="C6D9F1"/>
          </w:tcPr>
          <w:p>
            <w:pPr>
              <w:jc w:val="right"/>
              <w:spacing w:after="0" w:line="157" w:lineRule="exact"/>
              <w:rPr>
                <w:sz w:val="20"/>
                <w:szCs w:val="20"/>
                <w:color w:val="auto"/>
              </w:rPr>
            </w:pPr>
            <w:r>
              <w:rPr>
                <w:rFonts w:ascii="Arial" w:cs="Arial" w:eastAsia="Arial" w:hAnsi="Arial"/>
                <w:sz w:val="14"/>
                <w:szCs w:val="14"/>
                <w:color w:val="auto"/>
              </w:rPr>
              <w:t>808,740</w:t>
            </w:r>
          </w:p>
        </w:tc>
        <w:tc>
          <w:tcPr>
            <w:tcW w:w="120" w:type="dxa"/>
            <w:vAlign w:val="bottom"/>
            <w:shd w:val="clear" w:color="auto" w:fill="C6D9F1"/>
          </w:tcPr>
          <w:p>
            <w:pPr>
              <w:spacing w:after="0"/>
              <w:rPr>
                <w:sz w:val="13"/>
                <w:szCs w:val="13"/>
                <w:color w:val="auto"/>
              </w:rPr>
            </w:pPr>
          </w:p>
        </w:tc>
        <w:tc>
          <w:tcPr>
            <w:tcW w:w="1240" w:type="dxa"/>
            <w:vAlign w:val="bottom"/>
            <w:gridSpan w:val="2"/>
            <w:shd w:val="clear" w:color="auto" w:fill="C6D9F1"/>
          </w:tcPr>
          <w:p>
            <w:pPr>
              <w:jc w:val="right"/>
              <w:ind w:right="120"/>
              <w:spacing w:after="0" w:line="157" w:lineRule="exact"/>
              <w:rPr>
                <w:sz w:val="20"/>
                <w:szCs w:val="20"/>
                <w:color w:val="auto"/>
              </w:rPr>
            </w:pPr>
            <w:r>
              <w:rPr>
                <w:rFonts w:ascii="Arial" w:cs="Arial" w:eastAsia="Arial" w:hAnsi="Arial"/>
                <w:sz w:val="14"/>
                <w:szCs w:val="14"/>
                <w:color w:val="auto"/>
              </w:rPr>
              <w:t>808,740</w:t>
            </w:r>
          </w:p>
        </w:tc>
        <w:tc>
          <w:tcPr>
            <w:tcW w:w="1360" w:type="dxa"/>
            <w:vAlign w:val="bottom"/>
            <w:shd w:val="clear" w:color="auto" w:fill="C6D9F1"/>
          </w:tcPr>
          <w:p>
            <w:pPr>
              <w:jc w:val="right"/>
              <w:ind w:right="8"/>
              <w:spacing w:after="0" w:line="157" w:lineRule="exact"/>
              <w:rPr>
                <w:sz w:val="20"/>
                <w:szCs w:val="20"/>
                <w:color w:val="auto"/>
              </w:rPr>
            </w:pPr>
            <w:r>
              <w:rPr>
                <w:rFonts w:ascii="Arial" w:cs="Arial" w:eastAsia="Arial" w:hAnsi="Arial"/>
                <w:sz w:val="14"/>
                <w:szCs w:val="14"/>
                <w:color w:val="auto"/>
              </w:rPr>
              <w:t>808,740</w:t>
            </w:r>
          </w:p>
        </w:tc>
      </w:tr>
      <w:tr>
        <w:trPr>
          <w:trHeight w:val="334"/>
        </w:trPr>
        <w:tc>
          <w:tcPr>
            <w:tcW w:w="2300" w:type="dxa"/>
            <w:vAlign w:val="bottom"/>
            <w:gridSpan w:val="2"/>
          </w:tcPr>
          <w:p>
            <w:pPr>
              <w:spacing w:after="0"/>
              <w:rPr>
                <w:sz w:val="20"/>
                <w:szCs w:val="20"/>
                <w:color w:val="auto"/>
              </w:rPr>
            </w:pPr>
            <w:r>
              <w:rPr>
                <w:rFonts w:ascii="Arial" w:cs="Arial" w:eastAsia="Arial" w:hAnsi="Arial"/>
                <w:sz w:val="14"/>
                <w:szCs w:val="14"/>
                <w:color w:val="auto"/>
              </w:rPr>
              <w:t>Government-required payouts</w:t>
            </w:r>
            <w:r>
              <w:rPr>
                <w:rFonts w:ascii="Arial" w:cs="Arial" w:eastAsia="Arial" w:hAnsi="Arial"/>
                <w:sz w:val="23"/>
                <w:szCs w:val="23"/>
                <w:color w:val="auto"/>
                <w:vertAlign w:val="superscript"/>
              </w:rPr>
              <w:t>(1)</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44,643</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44,643</w:t>
            </w:r>
          </w:p>
        </w:tc>
        <w:tc>
          <w:tcPr>
            <w:tcW w:w="114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44,643</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44,643</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44,643</w:t>
            </w: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44,643</w:t>
            </w:r>
          </w:p>
        </w:tc>
      </w:tr>
    </w:tbl>
    <w:p>
      <w:pPr>
        <w:spacing w:after="0" w:line="130" w:lineRule="exact"/>
        <w:rPr>
          <w:sz w:val="20"/>
          <w:szCs w:val="20"/>
          <w:color w:val="auto"/>
        </w:rPr>
      </w:pPr>
    </w:p>
    <w:p>
      <w:pPr>
        <w:ind w:left="660" w:hanging="328"/>
        <w:spacing w:after="0"/>
        <w:tabs>
          <w:tab w:leader="none" w:pos="660" w:val="left"/>
        </w:tabs>
        <w:numPr>
          <w:ilvl w:val="0"/>
          <w:numId w:val="73"/>
        </w:numPr>
        <w:rPr>
          <w:rFonts w:ascii="Arial" w:cs="Arial" w:eastAsia="Arial" w:hAnsi="Arial"/>
          <w:sz w:val="14"/>
          <w:szCs w:val="14"/>
          <w:color w:val="auto"/>
        </w:rPr>
      </w:pPr>
      <w:r>
        <w:rPr>
          <w:rFonts w:ascii="Arial" w:cs="Arial" w:eastAsia="Arial" w:hAnsi="Arial"/>
          <w:sz w:val="14"/>
          <w:szCs w:val="14"/>
          <w:color w:val="auto"/>
        </w:rPr>
        <w:t>Represents distributions under the Gratuity Plan, which is due to Mr. Chhibbar because he has earned over five years of credited service.</w:t>
      </w:r>
    </w:p>
    <w:p>
      <w:pPr>
        <w:spacing w:after="0" w:line="158" w:lineRule="exact"/>
        <w:rPr>
          <w:sz w:val="20"/>
          <w:szCs w:val="20"/>
          <w:color w:val="auto"/>
        </w:rPr>
      </w:pPr>
    </w:p>
    <w:p>
      <w:pPr>
        <w:ind w:right="260" w:firstLine="648"/>
        <w:spacing w:after="0" w:line="246" w:lineRule="auto"/>
        <w:rPr>
          <w:sz w:val="20"/>
          <w:szCs w:val="20"/>
          <w:color w:val="auto"/>
        </w:rPr>
      </w:pPr>
      <w:r>
        <w:rPr>
          <w:rFonts w:ascii="Arial" w:cs="Arial" w:eastAsia="Arial" w:hAnsi="Arial"/>
          <w:sz w:val="18"/>
          <w:szCs w:val="18"/>
          <w:color w:val="auto"/>
        </w:rPr>
        <w:t>Please refer to page 40 of the Compensation Discussion and Analysis for a summary of the material terms of Mr. Chhibbar’s revised employment agreement effective January 1, 2016.</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Pavan Bagai</w:t>
      </w:r>
    </w:p>
    <w:p>
      <w:pPr>
        <w:spacing w:after="0" w:line="216" w:lineRule="exact"/>
        <w:rPr>
          <w:sz w:val="20"/>
          <w:szCs w:val="20"/>
          <w:color w:val="auto"/>
        </w:rPr>
      </w:pPr>
    </w:p>
    <w:p>
      <w:pPr>
        <w:ind w:right="80" w:firstLine="648"/>
        <w:spacing w:after="0" w:line="238" w:lineRule="auto"/>
        <w:rPr>
          <w:sz w:val="20"/>
          <w:szCs w:val="20"/>
          <w:color w:val="auto"/>
        </w:rPr>
      </w:pPr>
      <w:r>
        <w:rPr>
          <w:rFonts w:ascii="Arial" w:cs="Arial" w:eastAsia="Arial" w:hAnsi="Arial"/>
          <w:sz w:val="18"/>
          <w:szCs w:val="18"/>
          <w:color w:val="auto"/>
        </w:rPr>
        <w:t>Either Mr. Bagai or we may terminate Mr. Bagai’s employment at any time with one month’s notice (or pay one month’s salary in lieu of notice). If Mr. Bagai is terminated by us without “cause” (other than due to disability) at any time following a change in control or in specific contemplation of a change in control, or if Mr. Bagai resigns for “good reason” following a “change in control” (as defined in the 2015 Plan), Mr. Bagai will receive a cash severance payment equal to twelve months’ of his then-current annual fixed compensation, payable in twelve equal monthly installments.</w:t>
      </w:r>
    </w:p>
    <w:p>
      <w:pPr>
        <w:spacing w:after="0" w:line="189" w:lineRule="exact"/>
        <w:rPr>
          <w:sz w:val="20"/>
          <w:szCs w:val="20"/>
          <w:color w:val="auto"/>
        </w:rPr>
      </w:pPr>
    </w:p>
    <w:p>
      <w:pPr>
        <w:ind w:right="220" w:firstLine="648"/>
        <w:spacing w:after="0" w:line="246" w:lineRule="auto"/>
        <w:rPr>
          <w:sz w:val="20"/>
          <w:szCs w:val="20"/>
          <w:color w:val="auto"/>
        </w:rPr>
      </w:pPr>
      <w:r>
        <w:rPr>
          <w:rFonts w:ascii="Arial" w:cs="Arial" w:eastAsia="Arial" w:hAnsi="Arial"/>
          <w:sz w:val="18"/>
          <w:szCs w:val="18"/>
          <w:color w:val="auto"/>
        </w:rPr>
        <w:t>On a “change in control” (as defined in the 2006 Plan or 2015 Plan, as applicable), Mr. Bagai’s outstanding equity awards will vest as described below:</w:t>
      </w:r>
    </w:p>
    <w:p>
      <w:pPr>
        <w:spacing w:after="0" w:line="165" w:lineRule="exact"/>
        <w:rPr>
          <w:sz w:val="20"/>
          <w:szCs w:val="20"/>
          <w:color w:val="auto"/>
        </w:rPr>
      </w:pPr>
    </w:p>
    <w:p>
      <w:pPr>
        <w:ind w:left="1300" w:right="300" w:hanging="320"/>
        <w:spacing w:after="0" w:line="267" w:lineRule="auto"/>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Time-Vested RSUs</w:t>
      </w:r>
      <w:r>
        <w:rPr>
          <w:rFonts w:ascii="Arial" w:cs="Arial" w:eastAsia="Arial" w:hAnsi="Arial"/>
          <w:sz w:val="18"/>
          <w:szCs w:val="18"/>
          <w:color w:val="auto"/>
        </w:rPr>
        <w:t>: If a change in control occurs prior to the end of the performance period, Mr. Bagai’s Time-Vested RSUs</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advanced by one year. In addition, all of Mr. Bagai’s outstanding Time-Vested RSUs will become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3" w:right="239" w:bottom="1440" w:gutter="0" w:footer="0" w:header="0"/>
        </w:sectPr>
      </w:pPr>
    </w:p>
    <w:bookmarkStart w:id="68" w:name="page69"/>
    <w:bookmarkEnd w:id="68"/>
    <w:p>
      <w:pPr>
        <w:ind w:left="1300" w:right="440"/>
        <w:spacing w:after="0" w:line="246" w:lineRule="auto"/>
        <w:rPr>
          <w:sz w:val="20"/>
          <w:szCs w:val="20"/>
          <w:color w:val="auto"/>
        </w:rPr>
      </w:pPr>
      <w:r>
        <w:rPr>
          <w:rFonts w:ascii="Arial" w:cs="Arial" w:eastAsia="Arial" w:hAnsi="Arial"/>
          <w:sz w:val="18"/>
          <w:szCs w:val="18"/>
          <w:color w:val="auto"/>
        </w:rPr>
        <w:t>fully vested if, following or in specific contemplation of a change in control, he is terminated without cause or, following a change in control, he voluntarily terminates his employment for good reason.</w:t>
      </w:r>
    </w:p>
    <w:p>
      <w:pPr>
        <w:spacing w:after="0" w:line="165" w:lineRule="exact"/>
        <w:rPr>
          <w:sz w:val="20"/>
          <w:szCs w:val="20"/>
          <w:color w:val="auto"/>
        </w:rPr>
      </w:pPr>
    </w:p>
    <w:p>
      <w:pPr>
        <w:ind w:left="1300" w:right="140" w:hanging="320"/>
        <w:spacing w:after="0" w:line="242" w:lineRule="auto"/>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Revenue-Linked PRSUs</w:t>
      </w:r>
      <w:r>
        <w:rPr>
          <w:rFonts w:ascii="Arial" w:cs="Arial" w:eastAsia="Arial" w:hAnsi="Arial"/>
          <w:sz w:val="18"/>
          <w:szCs w:val="18"/>
          <w:color w:val="auto"/>
        </w:rPr>
        <w:t>: If a change in control occurs prior to the end of the performance period, 100% of Mr. Bagai’s</w:t>
      </w:r>
      <w:r>
        <w:rPr>
          <w:rFonts w:ascii="Arial" w:cs="Arial" w:eastAsia="Arial" w:hAnsi="Arial"/>
          <w:sz w:val="18"/>
          <w:szCs w:val="18"/>
          <w:i w:val="1"/>
          <w:iCs w:val="1"/>
          <w:color w:val="auto"/>
        </w:rPr>
        <w:t xml:space="preserve"> </w:t>
      </w:r>
      <w:r>
        <w:rPr>
          <w:rFonts w:ascii="Arial" w:cs="Arial" w:eastAsia="Arial" w:hAnsi="Arial"/>
          <w:sz w:val="18"/>
          <w:szCs w:val="18"/>
          <w:color w:val="auto"/>
        </w:rPr>
        <w:t>Revenue-Linked PRSUs will be deemed earned, will be subject to a new three year installment vesting schedule and will be advanced by one year under such schedule. In addition, all of Mr. Bagai’s outstanding Revenue-Linked PRSUs will become fully vested if, following or in specific contemplation of a change in control, he is terminated without cause or, following a change in control, he voluntarily terminates his employment for good reason.</w:t>
      </w:r>
    </w:p>
    <w:p>
      <w:pPr>
        <w:spacing w:after="0" w:line="171" w:lineRule="exact"/>
        <w:rPr>
          <w:rFonts w:ascii="Arial" w:cs="Arial" w:eastAsia="Arial" w:hAnsi="Arial"/>
          <w:sz w:val="18"/>
          <w:szCs w:val="18"/>
          <w:color w:val="auto"/>
        </w:rPr>
      </w:pPr>
    </w:p>
    <w:p>
      <w:pPr>
        <w:ind w:left="1300" w:hanging="320"/>
        <w:spacing w:after="0" w:line="239" w:lineRule="auto"/>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Relative TSR-Linked PRSUs</w:t>
      </w:r>
      <w:r>
        <w:rPr>
          <w:rFonts w:ascii="Arial" w:cs="Arial" w:eastAsia="Arial" w:hAnsi="Arial"/>
          <w:sz w:val="18"/>
          <w:szCs w:val="18"/>
          <w:color w:val="auto"/>
        </w:rPr>
        <w:t>: If a change in control occurs on or prior to the first anniversary of the grant date, 100% of Mr.</w:t>
      </w:r>
      <w:r>
        <w:rPr>
          <w:rFonts w:ascii="Arial" w:cs="Arial" w:eastAsia="Arial" w:hAnsi="Arial"/>
          <w:sz w:val="18"/>
          <w:szCs w:val="18"/>
          <w:i w:val="1"/>
          <w:iCs w:val="1"/>
          <w:color w:val="auto"/>
        </w:rPr>
        <w:t xml:space="preserve"> </w:t>
      </w:r>
      <w:r>
        <w:rPr>
          <w:rFonts w:ascii="Arial" w:cs="Arial" w:eastAsia="Arial" w:hAnsi="Arial"/>
          <w:sz w:val="18"/>
          <w:szCs w:val="18"/>
          <w:color w:val="auto"/>
        </w:rPr>
        <w:t>Bagai’s Relative TSR-Linked PRSUs will be deemed earned. If a change in control occurs after the first anniversary of the grant date, the performance period will be deemed to end on the date of the change in control and the Compensation Committee shall determine the number of earned Relative TSR-Linked PRSUs based on the TSR of the Company and the peer group as of such date. In either scenario, the Relative TSR-Linked PRSUs that are deemed earned will be subject to a new three year installment vesting schedule and will be advanced by one year under such schedule. In addition, all of Mr. Bagai’s outstanding, earned TSR-Linked PRSUs will become fully vested if, following or in specific contemplation of a change in control, he is terminated without cause or, following a change in control, he voluntarily terminates his employment for good reason.</w:t>
      </w:r>
    </w:p>
    <w:p>
      <w:pPr>
        <w:spacing w:after="0" w:line="189" w:lineRule="exact"/>
        <w:rPr>
          <w:sz w:val="20"/>
          <w:szCs w:val="20"/>
          <w:color w:val="auto"/>
        </w:rPr>
      </w:pPr>
    </w:p>
    <w:p>
      <w:pPr>
        <w:jc w:val="both"/>
        <w:ind w:right="160" w:firstLine="648"/>
        <w:spacing w:after="0"/>
        <w:rPr>
          <w:sz w:val="20"/>
          <w:szCs w:val="20"/>
          <w:color w:val="auto"/>
        </w:rPr>
      </w:pPr>
      <w:r>
        <w:rPr>
          <w:rFonts w:ascii="Arial" w:cs="Arial" w:eastAsia="Arial" w:hAnsi="Arial"/>
          <w:sz w:val="18"/>
          <w:szCs w:val="18"/>
          <w:color w:val="auto"/>
        </w:rPr>
        <w:t>Mr. Bagai’s severance payments and termination-related equity acceleration are subject to his execution of a waiver and release of claims against us. Mr. Bagai is subject to confidentiality restrictions at all times, as well as noncompetition and nonsolicitation restrictions for two years following termination of his employment.</w:t>
      </w:r>
    </w:p>
    <w:p>
      <w:pPr>
        <w:spacing w:after="0" w:line="189" w:lineRule="exact"/>
        <w:rPr>
          <w:sz w:val="20"/>
          <w:szCs w:val="20"/>
          <w:color w:val="auto"/>
        </w:rPr>
      </w:pPr>
    </w:p>
    <w:p>
      <w:pPr>
        <w:ind w:right="80" w:firstLine="648"/>
        <w:spacing w:after="0" w:line="246" w:lineRule="auto"/>
        <w:rPr>
          <w:sz w:val="20"/>
          <w:szCs w:val="20"/>
          <w:color w:val="auto"/>
        </w:rPr>
      </w:pPr>
      <w:r>
        <w:rPr>
          <w:rFonts w:ascii="Arial" w:cs="Arial" w:eastAsia="Arial" w:hAnsi="Arial"/>
          <w:sz w:val="18"/>
          <w:szCs w:val="18"/>
          <w:color w:val="auto"/>
        </w:rPr>
        <w:t>In quantifying potential payments for purposes of this disclosure, we have quantified our equity-based payments by using the closing price of our stock on December 31, 2015, which was $44.93.</w:t>
      </w:r>
    </w:p>
    <w:p>
      <w:pPr>
        <w:spacing w:after="0" w:line="40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882" w:right="399" w:bottom="1440" w:gutter="0" w:footer="0" w:header="0"/>
        </w:sectPr>
      </w:pPr>
    </w:p>
    <w:bookmarkStart w:id="69" w:name="page70"/>
    <w:bookmarkEnd w:id="69"/>
    <w:p>
      <w:pPr>
        <w:ind w:left="340"/>
        <w:spacing w:after="0"/>
        <w:rPr>
          <w:sz w:val="20"/>
          <w:szCs w:val="20"/>
          <w:color w:val="auto"/>
        </w:rPr>
      </w:pPr>
      <w:r>
        <w:rPr>
          <w:rFonts w:ascii="Arial" w:cs="Arial" w:eastAsia="Arial" w:hAnsi="Arial"/>
          <w:sz w:val="18"/>
          <w:szCs w:val="18"/>
          <w:i w:val="1"/>
          <w:iCs w:val="1"/>
          <w:color w:val="auto"/>
        </w:rPr>
        <w:t>Indicative Payouts for Pavan Bagai</w:t>
      </w:r>
    </w:p>
    <w:p>
      <w:pPr>
        <w:spacing w:after="0" w:line="216" w:lineRule="exact"/>
        <w:rPr>
          <w:sz w:val="20"/>
          <w:szCs w:val="20"/>
          <w:color w:val="auto"/>
        </w:rPr>
      </w:pPr>
    </w:p>
    <w:p>
      <w:pPr>
        <w:ind w:right="220" w:firstLine="648"/>
        <w:spacing w:after="0" w:line="246" w:lineRule="auto"/>
        <w:rPr>
          <w:sz w:val="20"/>
          <w:szCs w:val="20"/>
          <w:color w:val="auto"/>
        </w:rPr>
      </w:pPr>
      <w:r>
        <w:rPr>
          <w:rFonts w:ascii="Arial" w:cs="Arial" w:eastAsia="Arial" w:hAnsi="Arial"/>
          <w:sz w:val="18"/>
          <w:szCs w:val="18"/>
          <w:color w:val="auto"/>
        </w:rPr>
        <w:t>The following table summarizes the amounts payable to Mr. Bagai upon a change in control or termination of his employment with us on December 31, 2015: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58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7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14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16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9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2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Termination</w:t>
            </w:r>
          </w:p>
        </w:tc>
        <w:tc>
          <w:tcPr>
            <w:tcW w:w="13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w w:val="99"/>
              </w:rPr>
              <w:t>Termination</w:t>
            </w: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Termination</w:t>
            </w:r>
          </w:p>
        </w:tc>
      </w:tr>
      <w:tr>
        <w:trPr>
          <w:trHeight w:val="162"/>
        </w:trPr>
        <w:tc>
          <w:tcPr>
            <w:tcW w:w="23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58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7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14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2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w w:val="99"/>
              </w:rPr>
              <w:t>Termination</w:t>
            </w:r>
          </w:p>
        </w:tc>
        <w:tc>
          <w:tcPr>
            <w:tcW w:w="9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2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Without</w:t>
            </w:r>
          </w:p>
        </w:tc>
        <w:tc>
          <w:tcPr>
            <w:tcW w:w="13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for Good</w:t>
            </w: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Without Cause</w:t>
            </w:r>
          </w:p>
        </w:tc>
      </w:tr>
      <w:tr>
        <w:trPr>
          <w:trHeight w:val="162"/>
        </w:trPr>
        <w:tc>
          <w:tcPr>
            <w:tcW w:w="23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58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7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26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Expiration</w:t>
            </w:r>
          </w:p>
        </w:tc>
        <w:tc>
          <w:tcPr>
            <w:tcW w:w="12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for Good</w:t>
            </w:r>
          </w:p>
        </w:tc>
        <w:tc>
          <w:tcPr>
            <w:tcW w:w="9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2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Cause</w:t>
            </w:r>
          </w:p>
        </w:tc>
        <w:tc>
          <w:tcPr>
            <w:tcW w:w="13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Reason</w:t>
            </w:r>
          </w:p>
        </w:tc>
        <w:tc>
          <w:tcPr>
            <w:tcW w:w="1360" w:type="dxa"/>
            <w:vAlign w:val="bottom"/>
            <w:gridSpan w:val="2"/>
            <w:shd w:val="clear" w:color="auto" w:fill="5591C7"/>
          </w:tcPr>
          <w:p>
            <w:pPr>
              <w:jc w:val="center"/>
              <w:ind w:right="80"/>
              <w:spacing w:after="0"/>
              <w:rPr>
                <w:sz w:val="20"/>
                <w:szCs w:val="20"/>
                <w:color w:val="auto"/>
              </w:rPr>
            </w:pPr>
            <w:r>
              <w:rPr>
                <w:rFonts w:ascii="Arial" w:cs="Arial" w:eastAsia="Arial" w:hAnsi="Arial"/>
                <w:sz w:val="14"/>
                <w:szCs w:val="14"/>
                <w:b w:val="1"/>
                <w:bCs w:val="1"/>
                <w:color w:val="auto"/>
              </w:rPr>
              <w:t>in Specific</w:t>
            </w:r>
          </w:p>
        </w:tc>
      </w:tr>
      <w:tr>
        <w:trPr>
          <w:trHeight w:val="162"/>
        </w:trPr>
        <w:tc>
          <w:tcPr>
            <w:tcW w:w="23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58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7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26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w w:val="99"/>
              </w:rPr>
              <w:t>of the</w:t>
            </w:r>
          </w:p>
        </w:tc>
        <w:tc>
          <w:tcPr>
            <w:tcW w:w="12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Reason or</w:t>
            </w:r>
          </w:p>
        </w:tc>
        <w:tc>
          <w:tcPr>
            <w:tcW w:w="102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Change</w:t>
            </w:r>
          </w:p>
        </w:tc>
        <w:tc>
          <w:tcPr>
            <w:tcW w:w="12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Following</w:t>
            </w:r>
          </w:p>
        </w:tc>
        <w:tc>
          <w:tcPr>
            <w:tcW w:w="13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Following</w:t>
            </w: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Contemplation</w:t>
            </w:r>
          </w:p>
        </w:tc>
      </w:tr>
      <w:tr>
        <w:trPr>
          <w:trHeight w:val="162"/>
        </w:trPr>
        <w:tc>
          <w:tcPr>
            <w:tcW w:w="23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58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7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26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Employment</w:t>
            </w:r>
          </w:p>
        </w:tc>
        <w:tc>
          <w:tcPr>
            <w:tcW w:w="12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w w:val="99"/>
              </w:rPr>
              <w:t>Without</w:t>
            </w:r>
          </w:p>
        </w:tc>
        <w:tc>
          <w:tcPr>
            <w:tcW w:w="102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w w:val="96"/>
              </w:rPr>
              <w:t>in</w:t>
            </w:r>
          </w:p>
        </w:tc>
        <w:tc>
          <w:tcPr>
            <w:tcW w:w="12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Change in</w:t>
            </w:r>
          </w:p>
        </w:tc>
        <w:tc>
          <w:tcPr>
            <w:tcW w:w="13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Change in</w:t>
            </w: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of Change in</w:t>
            </w:r>
          </w:p>
        </w:tc>
      </w:tr>
      <w:tr>
        <w:trPr>
          <w:trHeight w:val="162"/>
        </w:trPr>
        <w:tc>
          <w:tcPr>
            <w:tcW w:w="2420" w:type="dxa"/>
            <w:vAlign w:val="bottom"/>
            <w:gridSpan w:val="2"/>
            <w:shd w:val="clear" w:color="auto" w:fill="5591C7"/>
          </w:tcPr>
          <w:p>
            <w:pPr>
              <w:ind w:left="620"/>
              <w:spacing w:after="0"/>
              <w:rPr>
                <w:sz w:val="20"/>
                <w:szCs w:val="20"/>
                <w:color w:val="auto"/>
              </w:rPr>
            </w:pPr>
            <w:r>
              <w:rPr>
                <w:rFonts w:ascii="Arial" w:cs="Arial" w:eastAsia="Arial" w:hAnsi="Arial"/>
                <w:sz w:val="14"/>
                <w:szCs w:val="14"/>
                <w:b w:val="1"/>
                <w:bCs w:val="1"/>
                <w:color w:val="auto"/>
              </w:rPr>
              <w:t>Payments upon</w:t>
            </w:r>
          </w:p>
        </w:tc>
        <w:tc>
          <w:tcPr>
            <w:tcW w:w="70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Death</w:t>
            </w:r>
          </w:p>
        </w:tc>
        <w:tc>
          <w:tcPr>
            <w:tcW w:w="820" w:type="dxa"/>
            <w:vAlign w:val="bottom"/>
            <w:gridSpan w:val="2"/>
            <w:shd w:val="clear" w:color="auto" w:fill="5591C7"/>
          </w:tcPr>
          <w:p>
            <w:pPr>
              <w:ind w:left="40"/>
              <w:spacing w:after="0"/>
              <w:rPr>
                <w:sz w:val="20"/>
                <w:szCs w:val="20"/>
                <w:color w:val="auto"/>
              </w:rPr>
            </w:pPr>
            <w:r>
              <w:rPr>
                <w:rFonts w:ascii="Arial" w:cs="Arial" w:eastAsia="Arial" w:hAnsi="Arial"/>
                <w:sz w:val="14"/>
                <w:szCs w:val="14"/>
                <w:b w:val="1"/>
                <w:bCs w:val="1"/>
                <w:color w:val="auto"/>
              </w:rPr>
              <w:t>Disability</w:t>
            </w:r>
          </w:p>
        </w:tc>
        <w:tc>
          <w:tcPr>
            <w:tcW w:w="126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w w:val="99"/>
              </w:rPr>
              <w:t>Terms</w:t>
            </w:r>
          </w:p>
        </w:tc>
        <w:tc>
          <w:tcPr>
            <w:tcW w:w="12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Cause</w:t>
            </w:r>
          </w:p>
        </w:tc>
        <w:tc>
          <w:tcPr>
            <w:tcW w:w="102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Control</w:t>
            </w:r>
          </w:p>
        </w:tc>
        <w:tc>
          <w:tcPr>
            <w:tcW w:w="12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Control</w:t>
            </w:r>
          </w:p>
        </w:tc>
        <w:tc>
          <w:tcPr>
            <w:tcW w:w="13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Control</w:t>
            </w: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Control</w:t>
            </w:r>
          </w:p>
        </w:tc>
      </w:tr>
      <w:tr>
        <w:trPr>
          <w:trHeight w:val="175"/>
        </w:trPr>
        <w:tc>
          <w:tcPr>
            <w:tcW w:w="2300" w:type="dxa"/>
            <w:vAlign w:val="bottom"/>
            <w:tcBorders>
              <w:bottom w:val="single" w:sz="8" w:color="auto"/>
            </w:tcBorders>
            <w:shd w:val="clear" w:color="auto" w:fill="5591C7"/>
          </w:tcPr>
          <w:p>
            <w:pPr>
              <w:ind w:left="740"/>
              <w:spacing w:after="0"/>
              <w:rPr>
                <w:sz w:val="20"/>
                <w:szCs w:val="20"/>
                <w:color w:val="auto"/>
              </w:rPr>
            </w:pPr>
            <w:r>
              <w:rPr>
                <w:rFonts w:ascii="Arial" w:cs="Arial" w:eastAsia="Arial" w:hAnsi="Arial"/>
                <w:sz w:val="14"/>
                <w:szCs w:val="14"/>
                <w:b w:val="1"/>
                <w:bCs w:val="1"/>
                <w:color w:val="auto"/>
              </w:rPr>
              <w:t>Termination</w:t>
            </w:r>
          </w:p>
        </w:tc>
        <w:tc>
          <w:tcPr>
            <w:tcW w:w="120" w:type="dxa"/>
            <w:vAlign w:val="bottom"/>
            <w:tcBorders>
              <w:bottom w:val="single" w:sz="8" w:color="B8CDE8"/>
            </w:tcBorders>
            <w:shd w:val="clear" w:color="auto" w:fill="5591C7"/>
          </w:tcPr>
          <w:p>
            <w:pPr>
              <w:spacing w:after="0"/>
              <w:rPr>
                <w:sz w:val="15"/>
                <w:szCs w:val="15"/>
                <w:color w:val="auto"/>
              </w:rPr>
            </w:pPr>
          </w:p>
        </w:tc>
        <w:tc>
          <w:tcPr>
            <w:tcW w:w="580" w:type="dxa"/>
            <w:vAlign w:val="bottom"/>
            <w:tcBorders>
              <w:bottom w:val="single" w:sz="8" w:color="auto"/>
            </w:tcBorders>
            <w:shd w:val="clear" w:color="auto" w:fill="5591C7"/>
          </w:tcPr>
          <w:p>
            <w:pPr>
              <w:jc w:val="right"/>
              <w:ind w:right="12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B8CDE8"/>
            </w:tcBorders>
            <w:shd w:val="clear" w:color="auto" w:fill="5591C7"/>
          </w:tcPr>
          <w:p>
            <w:pPr>
              <w:spacing w:after="0"/>
              <w:rPr>
                <w:sz w:val="15"/>
                <w:szCs w:val="15"/>
                <w:color w:val="auto"/>
              </w:rPr>
            </w:pPr>
          </w:p>
        </w:tc>
        <w:tc>
          <w:tcPr>
            <w:tcW w:w="700" w:type="dxa"/>
            <w:vAlign w:val="bottom"/>
            <w:tcBorders>
              <w:bottom w:val="single" w:sz="8" w:color="auto"/>
            </w:tcBorders>
            <w:shd w:val="clear" w:color="auto" w:fill="5591C7"/>
          </w:tcPr>
          <w:p>
            <w:pPr>
              <w:jc w:val="right"/>
              <w:ind w:right="18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B8CDE8"/>
            </w:tcBorders>
            <w:shd w:val="clear" w:color="auto" w:fill="5591C7"/>
          </w:tcPr>
          <w:p>
            <w:pPr>
              <w:spacing w:after="0"/>
              <w:rPr>
                <w:sz w:val="15"/>
                <w:szCs w:val="15"/>
                <w:color w:val="auto"/>
              </w:rPr>
            </w:pPr>
          </w:p>
        </w:tc>
        <w:tc>
          <w:tcPr>
            <w:tcW w:w="114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B8CDE8"/>
            </w:tcBorders>
            <w:shd w:val="clear" w:color="auto" w:fill="5591C7"/>
          </w:tcPr>
          <w:p>
            <w:pPr>
              <w:spacing w:after="0"/>
              <w:rPr>
                <w:sz w:val="15"/>
                <w:szCs w:val="15"/>
                <w:color w:val="auto"/>
              </w:rPr>
            </w:pPr>
          </w:p>
        </w:tc>
        <w:tc>
          <w:tcPr>
            <w:tcW w:w="116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B8CDE8"/>
            </w:tcBorders>
            <w:shd w:val="clear" w:color="auto" w:fill="5591C7"/>
          </w:tcPr>
          <w:p>
            <w:pPr>
              <w:spacing w:after="0"/>
              <w:rPr>
                <w:sz w:val="15"/>
                <w:szCs w:val="15"/>
                <w:color w:val="auto"/>
              </w:rPr>
            </w:pPr>
          </w:p>
        </w:tc>
        <w:tc>
          <w:tcPr>
            <w:tcW w:w="90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B8CDE8"/>
            </w:tcBorders>
            <w:shd w:val="clear" w:color="auto" w:fill="5591C7"/>
          </w:tcPr>
          <w:p>
            <w:pPr>
              <w:spacing w:after="0"/>
              <w:rPr>
                <w:sz w:val="15"/>
                <w:szCs w:val="15"/>
                <w:color w:val="auto"/>
              </w:rPr>
            </w:pPr>
          </w:p>
        </w:tc>
        <w:tc>
          <w:tcPr>
            <w:tcW w:w="114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B8CDE8"/>
            </w:tcBorders>
            <w:shd w:val="clear" w:color="auto" w:fill="5591C7"/>
          </w:tcPr>
          <w:p>
            <w:pPr>
              <w:spacing w:after="0"/>
              <w:rPr>
                <w:sz w:val="15"/>
                <w:szCs w:val="15"/>
                <w:color w:val="auto"/>
              </w:rPr>
            </w:pPr>
          </w:p>
        </w:tc>
        <w:tc>
          <w:tcPr>
            <w:tcW w:w="124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B8CDE8"/>
            </w:tcBorders>
            <w:shd w:val="clear" w:color="auto" w:fill="5591C7"/>
          </w:tcPr>
          <w:p>
            <w:pPr>
              <w:spacing w:after="0"/>
              <w:rPr>
                <w:sz w:val="15"/>
                <w:szCs w:val="15"/>
                <w:color w:val="auto"/>
              </w:rPr>
            </w:pPr>
          </w:p>
        </w:tc>
        <w:tc>
          <w:tcPr>
            <w:tcW w:w="126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B8CDE8"/>
            </w:tcBorders>
            <w:shd w:val="clear" w:color="auto" w:fill="5591C7"/>
          </w:tcPr>
          <w:p>
            <w:pPr>
              <w:spacing w:after="0"/>
              <w:rPr>
                <w:sz w:val="15"/>
                <w:szCs w:val="15"/>
                <w:color w:val="auto"/>
              </w:rPr>
            </w:pPr>
          </w:p>
        </w:tc>
      </w:tr>
      <w:tr>
        <w:trPr>
          <w:trHeight w:val="156"/>
        </w:trPr>
        <w:tc>
          <w:tcPr>
            <w:tcW w:w="2420" w:type="dxa"/>
            <w:vAlign w:val="bottom"/>
            <w:gridSpan w:val="2"/>
            <w:shd w:val="clear" w:color="auto" w:fill="B8CDE8"/>
          </w:tcPr>
          <w:p>
            <w:pPr>
              <w:spacing w:after="0" w:line="155" w:lineRule="exact"/>
              <w:rPr>
                <w:sz w:val="20"/>
                <w:szCs w:val="20"/>
                <w:color w:val="auto"/>
              </w:rPr>
            </w:pPr>
            <w:r>
              <w:rPr>
                <w:rFonts w:ascii="Arial" w:cs="Arial" w:eastAsia="Arial" w:hAnsi="Arial"/>
                <w:sz w:val="14"/>
                <w:szCs w:val="14"/>
                <w:color w:val="auto"/>
              </w:rPr>
              <w:t>Base salary payout</w:t>
            </w:r>
          </w:p>
        </w:tc>
        <w:tc>
          <w:tcPr>
            <w:tcW w:w="700" w:type="dxa"/>
            <w:vAlign w:val="bottom"/>
            <w:gridSpan w:val="2"/>
            <w:shd w:val="clear" w:color="auto" w:fill="B8CDE8"/>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B8CDE8"/>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B8CDE8"/>
          </w:tcPr>
          <w:p>
            <w:pPr>
              <w:ind w:left="1000"/>
              <w:spacing w:after="0" w:line="155"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B8CDE8"/>
          </w:tcPr>
          <w:p>
            <w:pPr>
              <w:jc w:val="right"/>
              <w:ind w:right="100"/>
              <w:spacing w:after="0" w:line="155" w:lineRule="exact"/>
              <w:rPr>
                <w:sz w:val="20"/>
                <w:szCs w:val="20"/>
                <w:color w:val="auto"/>
              </w:rPr>
            </w:pPr>
            <w:r>
              <w:rPr>
                <w:rFonts w:ascii="Arial" w:cs="Arial" w:eastAsia="Arial" w:hAnsi="Arial"/>
                <w:sz w:val="14"/>
                <w:szCs w:val="14"/>
                <w:color w:val="auto"/>
              </w:rPr>
              <w:t>321,995</w:t>
            </w:r>
          </w:p>
        </w:tc>
        <w:tc>
          <w:tcPr>
            <w:tcW w:w="1020" w:type="dxa"/>
            <w:vAlign w:val="bottom"/>
            <w:gridSpan w:val="2"/>
            <w:shd w:val="clear" w:color="auto" w:fill="B8CDE8"/>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B8CDE8"/>
          </w:tcPr>
          <w:p>
            <w:pPr>
              <w:jc w:val="right"/>
              <w:ind w:right="100"/>
              <w:spacing w:after="0" w:line="155" w:lineRule="exact"/>
              <w:rPr>
                <w:sz w:val="20"/>
                <w:szCs w:val="20"/>
                <w:color w:val="auto"/>
              </w:rPr>
            </w:pPr>
            <w:r>
              <w:rPr>
                <w:rFonts w:ascii="Arial" w:cs="Arial" w:eastAsia="Arial" w:hAnsi="Arial"/>
                <w:sz w:val="14"/>
                <w:szCs w:val="14"/>
                <w:color w:val="auto"/>
              </w:rPr>
              <w:t>321,995</w:t>
            </w:r>
          </w:p>
        </w:tc>
        <w:tc>
          <w:tcPr>
            <w:tcW w:w="1340" w:type="dxa"/>
            <w:vAlign w:val="bottom"/>
            <w:gridSpan w:val="2"/>
            <w:shd w:val="clear" w:color="auto" w:fill="B8CDE8"/>
          </w:tcPr>
          <w:p>
            <w:pPr>
              <w:jc w:val="right"/>
              <w:ind w:right="100"/>
              <w:spacing w:after="0" w:line="155" w:lineRule="exact"/>
              <w:rPr>
                <w:sz w:val="20"/>
                <w:szCs w:val="20"/>
                <w:color w:val="auto"/>
              </w:rPr>
            </w:pPr>
            <w:r>
              <w:rPr>
                <w:rFonts w:ascii="Arial" w:cs="Arial" w:eastAsia="Arial" w:hAnsi="Arial"/>
                <w:sz w:val="14"/>
                <w:szCs w:val="14"/>
                <w:color w:val="auto"/>
              </w:rPr>
              <w:t>321,995</w:t>
            </w:r>
          </w:p>
        </w:tc>
        <w:tc>
          <w:tcPr>
            <w:tcW w:w="1360" w:type="dxa"/>
            <w:vAlign w:val="bottom"/>
            <w:gridSpan w:val="2"/>
            <w:shd w:val="clear" w:color="auto" w:fill="B8CDE8"/>
          </w:tcPr>
          <w:p>
            <w:pPr>
              <w:jc w:val="right"/>
              <w:ind w:right="100"/>
              <w:spacing w:after="0" w:line="155" w:lineRule="exact"/>
              <w:rPr>
                <w:sz w:val="20"/>
                <w:szCs w:val="20"/>
                <w:color w:val="auto"/>
              </w:rPr>
            </w:pPr>
            <w:r>
              <w:rPr>
                <w:rFonts w:ascii="Arial" w:cs="Arial" w:eastAsia="Arial" w:hAnsi="Arial"/>
                <w:sz w:val="14"/>
                <w:szCs w:val="14"/>
                <w:color w:val="auto"/>
              </w:rPr>
              <w:t>321,995</w:t>
            </w:r>
          </w:p>
        </w:tc>
      </w:tr>
      <w:tr>
        <w:trPr>
          <w:trHeight w:val="162"/>
        </w:trPr>
        <w:tc>
          <w:tcPr>
            <w:tcW w:w="2420" w:type="dxa"/>
            <w:vAlign w:val="bottom"/>
            <w:gridSpan w:val="2"/>
          </w:tcPr>
          <w:p>
            <w:pPr>
              <w:spacing w:after="0"/>
              <w:rPr>
                <w:sz w:val="20"/>
                <w:szCs w:val="20"/>
                <w:color w:val="auto"/>
              </w:rPr>
            </w:pPr>
            <w:r>
              <w:rPr>
                <w:rFonts w:ascii="Arial" w:cs="Arial" w:eastAsia="Arial" w:hAnsi="Arial"/>
                <w:sz w:val="14"/>
                <w:szCs w:val="14"/>
                <w:color w:val="auto"/>
              </w:rPr>
              <w:t>Bonus payout</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6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2420" w:type="dxa"/>
            <w:vAlign w:val="bottom"/>
            <w:gridSpan w:val="2"/>
            <w:shd w:val="clear" w:color="auto" w:fill="B8CDE8"/>
          </w:tcPr>
          <w:p>
            <w:pPr>
              <w:spacing w:after="0"/>
              <w:rPr>
                <w:sz w:val="20"/>
                <w:szCs w:val="20"/>
                <w:color w:val="auto"/>
              </w:rPr>
            </w:pPr>
            <w:r>
              <w:rPr>
                <w:rFonts w:ascii="Arial" w:cs="Arial" w:eastAsia="Arial" w:hAnsi="Arial"/>
                <w:sz w:val="14"/>
                <w:szCs w:val="14"/>
                <w:color w:val="auto"/>
              </w:rPr>
              <w:t>Life insurance coverage</w:t>
            </w:r>
          </w:p>
        </w:tc>
        <w:tc>
          <w:tcPr>
            <w:tcW w:w="700" w:type="dxa"/>
            <w:vAlign w:val="bottom"/>
            <w:gridSpan w:val="2"/>
            <w:shd w:val="clear" w:color="auto" w:fill="B8CDE8"/>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B8CDE8"/>
          </w:tcPr>
          <w:p>
            <w:pPr>
              <w:jc w:val="right"/>
              <w:ind w:right="12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B8CDE8"/>
          </w:tcPr>
          <w:p>
            <w:pPr>
              <w:ind w:left="100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B8CDE8"/>
          </w:tcPr>
          <w:p>
            <w:pPr>
              <w:jc w:val="right"/>
              <w:ind w:right="12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w:t>
            </w:r>
          </w:p>
        </w:tc>
      </w:tr>
      <w:tr>
        <w:trPr>
          <w:trHeight w:val="162"/>
        </w:trPr>
        <w:tc>
          <w:tcPr>
            <w:tcW w:w="2420" w:type="dxa"/>
            <w:vAlign w:val="bottom"/>
            <w:gridSpan w:val="2"/>
          </w:tcPr>
          <w:p>
            <w:pPr>
              <w:spacing w:after="0"/>
              <w:rPr>
                <w:sz w:val="20"/>
                <w:szCs w:val="20"/>
                <w:color w:val="auto"/>
              </w:rPr>
            </w:pPr>
            <w:r>
              <w:rPr>
                <w:rFonts w:ascii="Arial" w:cs="Arial" w:eastAsia="Arial" w:hAnsi="Arial"/>
                <w:sz w:val="14"/>
                <w:szCs w:val="14"/>
                <w:color w:val="auto"/>
              </w:rPr>
              <w:t>Health insurance</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6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7"/>
        </w:trPr>
        <w:tc>
          <w:tcPr>
            <w:tcW w:w="2420" w:type="dxa"/>
            <w:vAlign w:val="bottom"/>
            <w:gridSpan w:val="2"/>
            <w:shd w:val="clear" w:color="auto" w:fill="B8CDE8"/>
          </w:tcPr>
          <w:p>
            <w:pPr>
              <w:spacing w:after="0"/>
              <w:rPr>
                <w:sz w:val="20"/>
                <w:szCs w:val="20"/>
                <w:color w:val="auto"/>
              </w:rPr>
            </w:pPr>
            <w:r>
              <w:rPr>
                <w:rFonts w:ascii="Arial" w:cs="Arial" w:eastAsia="Arial" w:hAnsi="Arial"/>
                <w:sz w:val="14"/>
                <w:szCs w:val="14"/>
                <w:color w:val="auto"/>
              </w:rPr>
              <w:t>Stock options (unvested and</w:t>
            </w:r>
          </w:p>
        </w:tc>
        <w:tc>
          <w:tcPr>
            <w:tcW w:w="58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70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114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1160" w:type="dxa"/>
            <w:vAlign w:val="bottom"/>
            <w:shd w:val="clear" w:color="auto" w:fill="B8CDE8"/>
          </w:tcPr>
          <w:p>
            <w:pPr>
              <w:spacing w:after="0"/>
              <w:rPr>
                <w:sz w:val="14"/>
                <w:szCs w:val="14"/>
                <w:color w:val="auto"/>
              </w:rPr>
            </w:pPr>
          </w:p>
        </w:tc>
        <w:tc>
          <w:tcPr>
            <w:tcW w:w="100" w:type="dxa"/>
            <w:vAlign w:val="bottom"/>
            <w:shd w:val="clear" w:color="auto" w:fill="B8CDE8"/>
          </w:tcPr>
          <w:p>
            <w:pPr>
              <w:spacing w:after="0"/>
              <w:rPr>
                <w:sz w:val="14"/>
                <w:szCs w:val="14"/>
                <w:color w:val="auto"/>
              </w:rPr>
            </w:pPr>
          </w:p>
        </w:tc>
        <w:tc>
          <w:tcPr>
            <w:tcW w:w="90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1140" w:type="dxa"/>
            <w:vAlign w:val="bottom"/>
            <w:shd w:val="clear" w:color="auto" w:fill="B8CDE8"/>
          </w:tcPr>
          <w:p>
            <w:pPr>
              <w:spacing w:after="0"/>
              <w:rPr>
                <w:sz w:val="14"/>
                <w:szCs w:val="14"/>
                <w:color w:val="auto"/>
              </w:rPr>
            </w:pPr>
          </w:p>
        </w:tc>
        <w:tc>
          <w:tcPr>
            <w:tcW w:w="100" w:type="dxa"/>
            <w:vAlign w:val="bottom"/>
            <w:shd w:val="clear" w:color="auto" w:fill="B8CDE8"/>
          </w:tcPr>
          <w:p>
            <w:pPr>
              <w:spacing w:after="0"/>
              <w:rPr>
                <w:sz w:val="14"/>
                <w:szCs w:val="14"/>
                <w:color w:val="auto"/>
              </w:rPr>
            </w:pPr>
          </w:p>
        </w:tc>
        <w:tc>
          <w:tcPr>
            <w:tcW w:w="1240" w:type="dxa"/>
            <w:vAlign w:val="bottom"/>
            <w:shd w:val="clear" w:color="auto" w:fill="B8CDE8"/>
          </w:tcPr>
          <w:p>
            <w:pPr>
              <w:spacing w:after="0"/>
              <w:rPr>
                <w:sz w:val="14"/>
                <w:szCs w:val="14"/>
                <w:color w:val="auto"/>
              </w:rPr>
            </w:pPr>
          </w:p>
        </w:tc>
        <w:tc>
          <w:tcPr>
            <w:tcW w:w="100" w:type="dxa"/>
            <w:vAlign w:val="bottom"/>
            <w:shd w:val="clear" w:color="auto" w:fill="B8CDE8"/>
          </w:tcPr>
          <w:p>
            <w:pPr>
              <w:spacing w:after="0"/>
              <w:rPr>
                <w:sz w:val="14"/>
                <w:szCs w:val="14"/>
                <w:color w:val="auto"/>
              </w:rPr>
            </w:pPr>
          </w:p>
        </w:tc>
        <w:tc>
          <w:tcPr>
            <w:tcW w:w="1260" w:type="dxa"/>
            <w:vAlign w:val="bottom"/>
            <w:shd w:val="clear" w:color="auto" w:fill="B8CDE8"/>
          </w:tcPr>
          <w:p>
            <w:pPr>
              <w:spacing w:after="0"/>
              <w:rPr>
                <w:sz w:val="14"/>
                <w:szCs w:val="14"/>
                <w:color w:val="auto"/>
              </w:rPr>
            </w:pPr>
          </w:p>
        </w:tc>
        <w:tc>
          <w:tcPr>
            <w:tcW w:w="100" w:type="dxa"/>
            <w:vAlign w:val="bottom"/>
            <w:shd w:val="clear" w:color="auto" w:fill="B8CDE8"/>
          </w:tcPr>
          <w:p>
            <w:pPr>
              <w:spacing w:after="0"/>
              <w:rPr>
                <w:sz w:val="14"/>
                <w:szCs w:val="14"/>
                <w:color w:val="auto"/>
              </w:rPr>
            </w:pPr>
          </w:p>
        </w:tc>
      </w:tr>
      <w:tr>
        <w:trPr>
          <w:trHeight w:val="157"/>
        </w:trPr>
        <w:tc>
          <w:tcPr>
            <w:tcW w:w="2420" w:type="dxa"/>
            <w:vAlign w:val="bottom"/>
            <w:gridSpan w:val="2"/>
            <w:shd w:val="clear" w:color="auto" w:fill="B8CDE8"/>
          </w:tcPr>
          <w:p>
            <w:pPr>
              <w:ind w:left="160"/>
              <w:spacing w:after="0" w:line="157" w:lineRule="exact"/>
              <w:rPr>
                <w:sz w:val="20"/>
                <w:szCs w:val="20"/>
                <w:color w:val="auto"/>
              </w:rPr>
            </w:pPr>
            <w:r>
              <w:rPr>
                <w:rFonts w:ascii="Arial" w:cs="Arial" w:eastAsia="Arial" w:hAnsi="Arial"/>
                <w:sz w:val="14"/>
                <w:szCs w:val="14"/>
                <w:color w:val="auto"/>
              </w:rPr>
              <w:t>accelerated)</w:t>
            </w:r>
          </w:p>
        </w:tc>
        <w:tc>
          <w:tcPr>
            <w:tcW w:w="700" w:type="dxa"/>
            <w:vAlign w:val="bottom"/>
            <w:gridSpan w:val="2"/>
            <w:shd w:val="clear" w:color="auto" w:fill="B8CDE8"/>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B8CDE8"/>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B8CDE8"/>
          </w:tcPr>
          <w:p>
            <w:pPr>
              <w:ind w:left="1000"/>
              <w:spacing w:after="0" w:line="157"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B8CDE8"/>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B8CDE8"/>
          </w:tcPr>
          <w:p>
            <w:pPr>
              <w:jc w:val="right"/>
              <w:ind w:right="120"/>
              <w:spacing w:after="0" w:line="157" w:lineRule="exact"/>
              <w:rPr>
                <w:sz w:val="20"/>
                <w:szCs w:val="20"/>
                <w:color w:val="auto"/>
              </w:rPr>
            </w:pPr>
            <w:r>
              <w:rPr>
                <w:rFonts w:ascii="Arial" w:cs="Arial" w:eastAsia="Arial" w:hAnsi="Arial"/>
                <w:sz w:val="14"/>
                <w:szCs w:val="14"/>
                <w:color w:val="auto"/>
              </w:rPr>
              <w:t>262,080</w:t>
            </w:r>
          </w:p>
        </w:tc>
        <w:tc>
          <w:tcPr>
            <w:tcW w:w="1240" w:type="dxa"/>
            <w:vAlign w:val="bottom"/>
            <w:gridSpan w:val="2"/>
            <w:shd w:val="clear" w:color="auto" w:fill="B8CDE8"/>
          </w:tcPr>
          <w:p>
            <w:pPr>
              <w:jc w:val="right"/>
              <w:ind w:right="100"/>
              <w:spacing w:after="0" w:line="157" w:lineRule="exact"/>
              <w:rPr>
                <w:sz w:val="20"/>
                <w:szCs w:val="20"/>
                <w:color w:val="auto"/>
              </w:rPr>
            </w:pPr>
            <w:r>
              <w:rPr>
                <w:rFonts w:ascii="Arial" w:cs="Arial" w:eastAsia="Arial" w:hAnsi="Arial"/>
                <w:sz w:val="14"/>
                <w:szCs w:val="14"/>
                <w:color w:val="auto"/>
              </w:rPr>
              <w:t>262,080</w:t>
            </w:r>
          </w:p>
        </w:tc>
        <w:tc>
          <w:tcPr>
            <w:tcW w:w="1340" w:type="dxa"/>
            <w:vAlign w:val="bottom"/>
            <w:gridSpan w:val="2"/>
            <w:shd w:val="clear" w:color="auto" w:fill="B8CDE8"/>
          </w:tcPr>
          <w:p>
            <w:pPr>
              <w:jc w:val="right"/>
              <w:ind w:right="100"/>
              <w:spacing w:after="0" w:line="157" w:lineRule="exact"/>
              <w:rPr>
                <w:sz w:val="20"/>
                <w:szCs w:val="20"/>
                <w:color w:val="auto"/>
              </w:rPr>
            </w:pPr>
            <w:r>
              <w:rPr>
                <w:rFonts w:ascii="Arial" w:cs="Arial" w:eastAsia="Arial" w:hAnsi="Arial"/>
                <w:sz w:val="14"/>
                <w:szCs w:val="14"/>
                <w:color w:val="auto"/>
              </w:rPr>
              <w:t>262,080</w:t>
            </w:r>
          </w:p>
        </w:tc>
        <w:tc>
          <w:tcPr>
            <w:tcW w:w="1360" w:type="dxa"/>
            <w:vAlign w:val="bottom"/>
            <w:gridSpan w:val="2"/>
            <w:shd w:val="clear" w:color="auto" w:fill="B8CDE8"/>
          </w:tcPr>
          <w:p>
            <w:pPr>
              <w:jc w:val="right"/>
              <w:ind w:right="100"/>
              <w:spacing w:after="0" w:line="157" w:lineRule="exact"/>
              <w:rPr>
                <w:sz w:val="20"/>
                <w:szCs w:val="20"/>
                <w:color w:val="auto"/>
              </w:rPr>
            </w:pPr>
            <w:r>
              <w:rPr>
                <w:rFonts w:ascii="Arial" w:cs="Arial" w:eastAsia="Arial" w:hAnsi="Arial"/>
                <w:sz w:val="14"/>
                <w:szCs w:val="14"/>
                <w:color w:val="auto"/>
              </w:rPr>
              <w:t>262,080</w:t>
            </w:r>
          </w:p>
        </w:tc>
      </w:tr>
      <w:tr>
        <w:trPr>
          <w:trHeight w:val="167"/>
        </w:trPr>
        <w:tc>
          <w:tcPr>
            <w:tcW w:w="2420" w:type="dxa"/>
            <w:vAlign w:val="bottom"/>
            <w:gridSpan w:val="2"/>
          </w:tcPr>
          <w:p>
            <w:pPr>
              <w:spacing w:after="0"/>
              <w:rPr>
                <w:sz w:val="20"/>
                <w:szCs w:val="20"/>
                <w:color w:val="auto"/>
              </w:rPr>
            </w:pPr>
            <w:r>
              <w:rPr>
                <w:rFonts w:ascii="Arial" w:cs="Arial" w:eastAsia="Arial" w:hAnsi="Arial"/>
                <w:sz w:val="14"/>
                <w:szCs w:val="14"/>
                <w:color w:val="auto"/>
              </w:rPr>
              <w:t>Restricted stock units (unvested</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2420" w:type="dxa"/>
            <w:vAlign w:val="bottom"/>
            <w:gridSpan w:val="2"/>
          </w:tcPr>
          <w:p>
            <w:pPr>
              <w:ind w:left="160"/>
              <w:spacing w:after="0" w:line="157" w:lineRule="exact"/>
              <w:rPr>
                <w:sz w:val="20"/>
                <w:szCs w:val="20"/>
                <w:color w:val="auto"/>
              </w:rPr>
            </w:pPr>
            <w:r>
              <w:rPr>
                <w:rFonts w:ascii="Arial" w:cs="Arial" w:eastAsia="Arial" w:hAnsi="Arial"/>
                <w:sz w:val="14"/>
                <w:szCs w:val="14"/>
                <w:color w:val="auto"/>
              </w:rPr>
              <w:t>and accelerated)</w:t>
            </w:r>
          </w:p>
        </w:tc>
        <w:tc>
          <w:tcPr>
            <w:tcW w:w="70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260" w:type="dxa"/>
            <w:vAlign w:val="bottom"/>
            <w:gridSpan w:val="2"/>
          </w:tcPr>
          <w:p>
            <w:pPr>
              <w:ind w:left="1000"/>
              <w:spacing w:after="0" w:line="157"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741,884</w:t>
            </w:r>
          </w:p>
        </w:tc>
        <w:tc>
          <w:tcPr>
            <w:tcW w:w="1140" w:type="dxa"/>
            <w:vAlign w:val="bottom"/>
          </w:tcPr>
          <w:p>
            <w:pPr>
              <w:jc w:val="right"/>
              <w:spacing w:after="0" w:line="157" w:lineRule="exact"/>
              <w:rPr>
                <w:sz w:val="20"/>
                <w:szCs w:val="20"/>
                <w:color w:val="auto"/>
              </w:rPr>
            </w:pPr>
            <w:r>
              <w:rPr>
                <w:rFonts w:ascii="Arial" w:cs="Arial" w:eastAsia="Arial" w:hAnsi="Arial"/>
                <w:sz w:val="14"/>
                <w:szCs w:val="14"/>
                <w:color w:val="auto"/>
              </w:rPr>
              <w:t>2,049,437</w:t>
            </w:r>
          </w:p>
        </w:tc>
        <w:tc>
          <w:tcPr>
            <w:tcW w:w="100" w:type="dxa"/>
            <w:vAlign w:val="bottom"/>
          </w:tcPr>
          <w:p>
            <w:pPr>
              <w:spacing w:after="0"/>
              <w:rPr>
                <w:sz w:val="13"/>
                <w:szCs w:val="13"/>
                <w:color w:val="auto"/>
              </w:rPr>
            </w:pPr>
          </w:p>
        </w:tc>
        <w:tc>
          <w:tcPr>
            <w:tcW w:w="134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2,049,437</w:t>
            </w:r>
          </w:p>
        </w:tc>
        <w:tc>
          <w:tcPr>
            <w:tcW w:w="136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2,049,437</w:t>
            </w:r>
          </w:p>
        </w:tc>
      </w:tr>
      <w:tr>
        <w:trPr>
          <w:trHeight w:val="167"/>
        </w:trPr>
        <w:tc>
          <w:tcPr>
            <w:tcW w:w="2420" w:type="dxa"/>
            <w:vAlign w:val="bottom"/>
            <w:gridSpan w:val="2"/>
            <w:shd w:val="clear" w:color="auto" w:fill="B8CDE8"/>
          </w:tcPr>
          <w:p>
            <w:pPr>
              <w:spacing w:after="0"/>
              <w:rPr>
                <w:sz w:val="20"/>
                <w:szCs w:val="20"/>
                <w:color w:val="auto"/>
              </w:rPr>
            </w:pPr>
            <w:r>
              <w:rPr>
                <w:rFonts w:ascii="Arial" w:cs="Arial" w:eastAsia="Arial" w:hAnsi="Arial"/>
                <w:sz w:val="14"/>
                <w:szCs w:val="14"/>
                <w:color w:val="auto"/>
              </w:rPr>
              <w:t>Performance restricted stock units</w:t>
            </w:r>
          </w:p>
        </w:tc>
        <w:tc>
          <w:tcPr>
            <w:tcW w:w="58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70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114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1160" w:type="dxa"/>
            <w:vAlign w:val="bottom"/>
            <w:shd w:val="clear" w:color="auto" w:fill="B8CDE8"/>
          </w:tcPr>
          <w:p>
            <w:pPr>
              <w:spacing w:after="0"/>
              <w:rPr>
                <w:sz w:val="14"/>
                <w:szCs w:val="14"/>
                <w:color w:val="auto"/>
              </w:rPr>
            </w:pPr>
          </w:p>
        </w:tc>
        <w:tc>
          <w:tcPr>
            <w:tcW w:w="100" w:type="dxa"/>
            <w:vAlign w:val="bottom"/>
            <w:shd w:val="clear" w:color="auto" w:fill="B8CDE8"/>
          </w:tcPr>
          <w:p>
            <w:pPr>
              <w:spacing w:after="0"/>
              <w:rPr>
                <w:sz w:val="14"/>
                <w:szCs w:val="14"/>
                <w:color w:val="auto"/>
              </w:rPr>
            </w:pPr>
          </w:p>
        </w:tc>
        <w:tc>
          <w:tcPr>
            <w:tcW w:w="900" w:type="dxa"/>
            <w:vAlign w:val="bottom"/>
            <w:shd w:val="clear" w:color="auto" w:fill="B8CDE8"/>
          </w:tcPr>
          <w:p>
            <w:pPr>
              <w:spacing w:after="0"/>
              <w:rPr>
                <w:sz w:val="14"/>
                <w:szCs w:val="14"/>
                <w:color w:val="auto"/>
              </w:rPr>
            </w:pPr>
          </w:p>
        </w:tc>
        <w:tc>
          <w:tcPr>
            <w:tcW w:w="120" w:type="dxa"/>
            <w:vAlign w:val="bottom"/>
            <w:shd w:val="clear" w:color="auto" w:fill="B8CDE8"/>
          </w:tcPr>
          <w:p>
            <w:pPr>
              <w:spacing w:after="0"/>
              <w:rPr>
                <w:sz w:val="14"/>
                <w:szCs w:val="14"/>
                <w:color w:val="auto"/>
              </w:rPr>
            </w:pPr>
          </w:p>
        </w:tc>
        <w:tc>
          <w:tcPr>
            <w:tcW w:w="1140" w:type="dxa"/>
            <w:vAlign w:val="bottom"/>
            <w:shd w:val="clear" w:color="auto" w:fill="B8CDE8"/>
          </w:tcPr>
          <w:p>
            <w:pPr>
              <w:spacing w:after="0"/>
              <w:rPr>
                <w:sz w:val="14"/>
                <w:szCs w:val="14"/>
                <w:color w:val="auto"/>
              </w:rPr>
            </w:pPr>
          </w:p>
        </w:tc>
        <w:tc>
          <w:tcPr>
            <w:tcW w:w="100" w:type="dxa"/>
            <w:vAlign w:val="bottom"/>
            <w:shd w:val="clear" w:color="auto" w:fill="B8CDE8"/>
          </w:tcPr>
          <w:p>
            <w:pPr>
              <w:spacing w:after="0"/>
              <w:rPr>
                <w:sz w:val="14"/>
                <w:szCs w:val="14"/>
                <w:color w:val="auto"/>
              </w:rPr>
            </w:pPr>
          </w:p>
        </w:tc>
        <w:tc>
          <w:tcPr>
            <w:tcW w:w="1240" w:type="dxa"/>
            <w:vAlign w:val="bottom"/>
            <w:shd w:val="clear" w:color="auto" w:fill="B8CDE8"/>
          </w:tcPr>
          <w:p>
            <w:pPr>
              <w:spacing w:after="0"/>
              <w:rPr>
                <w:sz w:val="14"/>
                <w:szCs w:val="14"/>
                <w:color w:val="auto"/>
              </w:rPr>
            </w:pPr>
          </w:p>
        </w:tc>
        <w:tc>
          <w:tcPr>
            <w:tcW w:w="100" w:type="dxa"/>
            <w:vAlign w:val="bottom"/>
            <w:shd w:val="clear" w:color="auto" w:fill="B8CDE8"/>
          </w:tcPr>
          <w:p>
            <w:pPr>
              <w:spacing w:after="0"/>
              <w:rPr>
                <w:sz w:val="14"/>
                <w:szCs w:val="14"/>
                <w:color w:val="auto"/>
              </w:rPr>
            </w:pPr>
          </w:p>
        </w:tc>
        <w:tc>
          <w:tcPr>
            <w:tcW w:w="1260" w:type="dxa"/>
            <w:vAlign w:val="bottom"/>
            <w:shd w:val="clear" w:color="auto" w:fill="B8CDE8"/>
          </w:tcPr>
          <w:p>
            <w:pPr>
              <w:spacing w:after="0"/>
              <w:rPr>
                <w:sz w:val="14"/>
                <w:szCs w:val="14"/>
                <w:color w:val="auto"/>
              </w:rPr>
            </w:pPr>
          </w:p>
        </w:tc>
        <w:tc>
          <w:tcPr>
            <w:tcW w:w="100" w:type="dxa"/>
            <w:vAlign w:val="bottom"/>
            <w:shd w:val="clear" w:color="auto" w:fill="B8CDE8"/>
          </w:tcPr>
          <w:p>
            <w:pPr>
              <w:spacing w:after="0"/>
              <w:rPr>
                <w:sz w:val="14"/>
                <w:szCs w:val="14"/>
                <w:color w:val="auto"/>
              </w:rPr>
            </w:pPr>
          </w:p>
        </w:tc>
      </w:tr>
      <w:tr>
        <w:trPr>
          <w:trHeight w:val="157"/>
        </w:trPr>
        <w:tc>
          <w:tcPr>
            <w:tcW w:w="2420" w:type="dxa"/>
            <w:vAlign w:val="bottom"/>
            <w:gridSpan w:val="2"/>
            <w:shd w:val="clear" w:color="auto" w:fill="B8CDE8"/>
          </w:tcPr>
          <w:p>
            <w:pPr>
              <w:ind w:left="160"/>
              <w:spacing w:after="0" w:line="157" w:lineRule="exact"/>
              <w:rPr>
                <w:sz w:val="20"/>
                <w:szCs w:val="20"/>
                <w:color w:val="auto"/>
              </w:rPr>
            </w:pPr>
            <w:r>
              <w:rPr>
                <w:rFonts w:ascii="Arial" w:cs="Arial" w:eastAsia="Arial" w:hAnsi="Arial"/>
                <w:sz w:val="14"/>
                <w:szCs w:val="14"/>
                <w:color w:val="auto"/>
              </w:rPr>
              <w:t>(unvested and accelerated)</w:t>
            </w:r>
          </w:p>
        </w:tc>
        <w:tc>
          <w:tcPr>
            <w:tcW w:w="700" w:type="dxa"/>
            <w:vAlign w:val="bottom"/>
            <w:gridSpan w:val="2"/>
            <w:shd w:val="clear" w:color="auto" w:fill="B8CDE8"/>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B8CDE8"/>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B8CDE8"/>
          </w:tcPr>
          <w:p>
            <w:pPr>
              <w:ind w:left="1000"/>
              <w:spacing w:after="0" w:line="157"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B8CDE8"/>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B8CDE8"/>
          </w:tcPr>
          <w:p>
            <w:pPr>
              <w:jc w:val="right"/>
              <w:ind w:right="120"/>
              <w:spacing w:after="0" w:line="157" w:lineRule="exact"/>
              <w:rPr>
                <w:sz w:val="20"/>
                <w:szCs w:val="20"/>
                <w:color w:val="auto"/>
              </w:rPr>
            </w:pPr>
            <w:r>
              <w:rPr>
                <w:rFonts w:ascii="Arial" w:cs="Arial" w:eastAsia="Arial" w:hAnsi="Arial"/>
                <w:sz w:val="14"/>
                <w:szCs w:val="14"/>
                <w:color w:val="auto"/>
              </w:rPr>
              <w:t>1,149,444</w:t>
            </w:r>
          </w:p>
        </w:tc>
        <w:tc>
          <w:tcPr>
            <w:tcW w:w="1140" w:type="dxa"/>
            <w:vAlign w:val="bottom"/>
            <w:shd w:val="clear" w:color="auto" w:fill="B8CDE8"/>
          </w:tcPr>
          <w:p>
            <w:pPr>
              <w:jc w:val="right"/>
              <w:spacing w:after="0" w:line="157" w:lineRule="exact"/>
              <w:rPr>
                <w:sz w:val="20"/>
                <w:szCs w:val="20"/>
                <w:color w:val="auto"/>
              </w:rPr>
            </w:pPr>
            <w:r>
              <w:rPr>
                <w:rFonts w:ascii="Arial" w:cs="Arial" w:eastAsia="Arial" w:hAnsi="Arial"/>
                <w:sz w:val="14"/>
                <w:szCs w:val="14"/>
                <w:color w:val="auto"/>
              </w:rPr>
              <w:t>1,336,668</w:t>
            </w:r>
          </w:p>
        </w:tc>
        <w:tc>
          <w:tcPr>
            <w:tcW w:w="100" w:type="dxa"/>
            <w:vAlign w:val="bottom"/>
            <w:shd w:val="clear" w:color="auto" w:fill="B8CDE8"/>
          </w:tcPr>
          <w:p>
            <w:pPr>
              <w:spacing w:after="0"/>
              <w:rPr>
                <w:sz w:val="13"/>
                <w:szCs w:val="13"/>
                <w:color w:val="auto"/>
              </w:rPr>
            </w:pPr>
          </w:p>
        </w:tc>
        <w:tc>
          <w:tcPr>
            <w:tcW w:w="1340" w:type="dxa"/>
            <w:vAlign w:val="bottom"/>
            <w:gridSpan w:val="2"/>
            <w:shd w:val="clear" w:color="auto" w:fill="B8CDE8"/>
          </w:tcPr>
          <w:p>
            <w:pPr>
              <w:jc w:val="right"/>
              <w:ind w:right="100"/>
              <w:spacing w:after="0" w:line="157" w:lineRule="exact"/>
              <w:rPr>
                <w:sz w:val="20"/>
                <w:szCs w:val="20"/>
                <w:color w:val="auto"/>
              </w:rPr>
            </w:pPr>
            <w:r>
              <w:rPr>
                <w:rFonts w:ascii="Arial" w:cs="Arial" w:eastAsia="Arial" w:hAnsi="Arial"/>
                <w:sz w:val="14"/>
                <w:szCs w:val="14"/>
                <w:color w:val="auto"/>
              </w:rPr>
              <w:t>1,336,668</w:t>
            </w:r>
          </w:p>
        </w:tc>
        <w:tc>
          <w:tcPr>
            <w:tcW w:w="1360" w:type="dxa"/>
            <w:vAlign w:val="bottom"/>
            <w:gridSpan w:val="2"/>
            <w:shd w:val="clear" w:color="auto" w:fill="B8CDE8"/>
          </w:tcPr>
          <w:p>
            <w:pPr>
              <w:jc w:val="right"/>
              <w:ind w:right="100"/>
              <w:spacing w:after="0" w:line="157" w:lineRule="exact"/>
              <w:rPr>
                <w:sz w:val="20"/>
                <w:szCs w:val="20"/>
                <w:color w:val="auto"/>
              </w:rPr>
            </w:pPr>
            <w:r>
              <w:rPr>
                <w:rFonts w:ascii="Arial" w:cs="Arial" w:eastAsia="Arial" w:hAnsi="Arial"/>
                <w:sz w:val="14"/>
                <w:szCs w:val="14"/>
                <w:color w:val="auto"/>
              </w:rPr>
              <w:t>1,336,668</w:t>
            </w:r>
          </w:p>
        </w:tc>
      </w:tr>
      <w:tr>
        <w:trPr>
          <w:trHeight w:val="307"/>
        </w:trPr>
        <w:tc>
          <w:tcPr>
            <w:tcW w:w="2420" w:type="dxa"/>
            <w:vAlign w:val="bottom"/>
            <w:gridSpan w:val="2"/>
          </w:tcPr>
          <w:p>
            <w:pPr>
              <w:spacing w:after="0"/>
              <w:rPr>
                <w:sz w:val="20"/>
                <w:szCs w:val="20"/>
                <w:color w:val="auto"/>
              </w:rPr>
            </w:pPr>
            <w:r>
              <w:rPr>
                <w:rFonts w:ascii="Arial" w:cs="Arial" w:eastAsia="Arial" w:hAnsi="Arial"/>
                <w:sz w:val="14"/>
                <w:szCs w:val="14"/>
                <w:color w:val="auto"/>
              </w:rPr>
              <w:t>Government-required payouts</w:t>
            </w:r>
            <w:r>
              <w:rPr>
                <w:rFonts w:ascii="Arial" w:cs="Arial" w:eastAsia="Arial" w:hAnsi="Arial"/>
                <w:sz w:val="23"/>
                <w:szCs w:val="23"/>
                <w:color w:val="auto"/>
                <w:vertAlign w:val="superscript"/>
              </w:rPr>
              <w:t>(1)</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70,437</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70,437</w:t>
            </w:r>
          </w:p>
        </w:tc>
        <w:tc>
          <w:tcPr>
            <w:tcW w:w="126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70,437</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70,437</w:t>
            </w: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70,437</w:t>
            </w: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70,437</w:t>
            </w:r>
          </w:p>
        </w:tc>
      </w:tr>
    </w:tbl>
    <w:p>
      <w:pPr>
        <w:spacing w:after="0" w:line="89" w:lineRule="exact"/>
        <w:rPr>
          <w:sz w:val="20"/>
          <w:szCs w:val="20"/>
          <w:color w:val="auto"/>
        </w:rPr>
      </w:pPr>
    </w:p>
    <w:p>
      <w:pPr>
        <w:ind w:left="660" w:hanging="328"/>
        <w:spacing w:after="0"/>
        <w:tabs>
          <w:tab w:leader="none" w:pos="660" w:val="left"/>
        </w:tabs>
        <w:numPr>
          <w:ilvl w:val="0"/>
          <w:numId w:val="76"/>
        </w:numPr>
        <w:rPr>
          <w:rFonts w:ascii="Arial" w:cs="Arial" w:eastAsia="Arial" w:hAnsi="Arial"/>
          <w:sz w:val="14"/>
          <w:szCs w:val="14"/>
          <w:color w:val="auto"/>
        </w:rPr>
      </w:pPr>
      <w:r>
        <w:rPr>
          <w:rFonts w:ascii="Arial" w:cs="Arial" w:eastAsia="Arial" w:hAnsi="Arial"/>
          <w:sz w:val="14"/>
          <w:szCs w:val="14"/>
          <w:color w:val="auto"/>
        </w:rPr>
        <w:t>Represents distributions under the Gratuity Plan, which is due to Mr. Bagai because he has earned over five years of credited service.</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Nalin Miglani</w:t>
      </w:r>
    </w:p>
    <w:p>
      <w:pPr>
        <w:spacing w:after="0" w:line="216"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Either Mr. Miglani or we may terminate Mr. Miglani’s employment at any time (though we must give Mr. Miglani 30 days’ notice if the termination is without “cause” and Mr. Miglani must give us 90 days’ advance notice upon any resignation). If Mr. Miglani’s employment with the Company is terminated by the Company without “cause” (other than due to death or disability) or by Mr. Miglani for “good reason” (both “cause” and “good reason” as defined above), Mr. Miglani will receive a cash severance payment equal to 12 months base salary, with 25% payable as a lump sum payment and the remaining 75% payable in accordance with the Company’s regular payroll practices.</w:t>
      </w:r>
    </w:p>
    <w:p>
      <w:pPr>
        <w:spacing w:after="0" w:line="189" w:lineRule="exact"/>
        <w:rPr>
          <w:sz w:val="20"/>
          <w:szCs w:val="20"/>
          <w:color w:val="auto"/>
        </w:rPr>
      </w:pPr>
    </w:p>
    <w:p>
      <w:pPr>
        <w:ind w:right="100" w:firstLine="648"/>
        <w:spacing w:after="0" w:line="246" w:lineRule="auto"/>
        <w:rPr>
          <w:sz w:val="20"/>
          <w:szCs w:val="20"/>
          <w:color w:val="auto"/>
        </w:rPr>
      </w:pPr>
      <w:r>
        <w:rPr>
          <w:rFonts w:ascii="Arial" w:cs="Arial" w:eastAsia="Arial" w:hAnsi="Arial"/>
          <w:sz w:val="18"/>
          <w:szCs w:val="18"/>
          <w:color w:val="auto"/>
        </w:rPr>
        <w:t>On a “change in control” (as defined in the 2006 Plan or 2015 Plan, as applicable), Mr. Miglani’s outstanding equity awards will vest as described below:</w:t>
      </w:r>
    </w:p>
    <w:p>
      <w:pPr>
        <w:spacing w:after="0" w:line="165" w:lineRule="exact"/>
        <w:rPr>
          <w:sz w:val="20"/>
          <w:szCs w:val="20"/>
          <w:color w:val="auto"/>
        </w:rPr>
      </w:pPr>
    </w:p>
    <w:p>
      <w:pPr>
        <w:ind w:left="1300" w:right="20" w:hanging="320"/>
        <w:spacing w:after="0" w:line="245" w:lineRule="auto"/>
        <w:tabs>
          <w:tab w:leader="none" w:pos="130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Time-Vested RSUs</w:t>
      </w:r>
      <w:r>
        <w:rPr>
          <w:rFonts w:ascii="Arial" w:cs="Arial" w:eastAsia="Arial" w:hAnsi="Arial"/>
          <w:sz w:val="18"/>
          <w:szCs w:val="18"/>
          <w:color w:val="auto"/>
        </w:rPr>
        <w:t>: If a change in control occurs prior to the end of the performance period, Mr. Miglani’s Time-Vested RSUs</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advanced by one year. In addition, all of Mr. Miglani’s outstanding Time-Vested RSUs will become fully vested if, following or in specific contemplation of a change in control, he is terminated without cause or, following a change in control, he voluntarily terminates his employment for good reason.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3" w:right="239" w:bottom="1440" w:gutter="0" w:footer="0" w:header="0"/>
        </w:sectPr>
      </w:pPr>
    </w:p>
    <w:bookmarkStart w:id="70" w:name="page71"/>
    <w:bookmarkEnd w:id="70"/>
    <w:p>
      <w:pPr>
        <w:ind w:left="1300" w:right="200" w:hanging="320"/>
        <w:spacing w:after="0" w:line="242" w:lineRule="auto"/>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Revenue-Linked PRSUs</w:t>
      </w:r>
      <w:r>
        <w:rPr>
          <w:rFonts w:ascii="Arial" w:cs="Arial" w:eastAsia="Arial" w:hAnsi="Arial"/>
          <w:sz w:val="18"/>
          <w:szCs w:val="18"/>
          <w:color w:val="auto"/>
        </w:rPr>
        <w:t>: If a change in control occurs prior to the end of the performance period, 100% of Mr. Miglani’s</w:t>
      </w:r>
      <w:r>
        <w:rPr>
          <w:rFonts w:ascii="Arial" w:cs="Arial" w:eastAsia="Arial" w:hAnsi="Arial"/>
          <w:sz w:val="18"/>
          <w:szCs w:val="18"/>
          <w:i w:val="1"/>
          <w:iCs w:val="1"/>
          <w:color w:val="auto"/>
        </w:rPr>
        <w:t xml:space="preserve"> </w:t>
      </w:r>
      <w:r>
        <w:rPr>
          <w:rFonts w:ascii="Arial" w:cs="Arial" w:eastAsia="Arial" w:hAnsi="Arial"/>
          <w:sz w:val="18"/>
          <w:szCs w:val="18"/>
          <w:color w:val="auto"/>
        </w:rPr>
        <w:t>Revenue-Linked PRSUs will be deemed earned, will be subject to a new three year installment vesting schedule and will be advanced by one year under such schedule. In addition, all of Mr. Miglani’s outstanding Revenue-Linked PRSUs will become fully vested if, following or in specific contemplation of a change in control, he is terminated without cause or, following a change in control, he voluntarily terminates his employment for good reason.</w:t>
      </w:r>
    </w:p>
    <w:p>
      <w:pPr>
        <w:spacing w:after="0" w:line="171" w:lineRule="exact"/>
        <w:rPr>
          <w:rFonts w:ascii="Arial" w:cs="Arial" w:eastAsia="Arial" w:hAnsi="Arial"/>
          <w:sz w:val="18"/>
          <w:szCs w:val="18"/>
          <w:color w:val="auto"/>
        </w:rPr>
      </w:pPr>
    </w:p>
    <w:p>
      <w:pPr>
        <w:ind w:left="1300" w:right="20" w:hanging="320"/>
        <w:spacing w:after="0" w:line="239" w:lineRule="auto"/>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Relative TSR-Linked PRSUs</w:t>
      </w:r>
      <w:r>
        <w:rPr>
          <w:rFonts w:ascii="Arial" w:cs="Arial" w:eastAsia="Arial" w:hAnsi="Arial"/>
          <w:sz w:val="18"/>
          <w:szCs w:val="18"/>
          <w:color w:val="auto"/>
        </w:rPr>
        <w:t>: If a change in control occurs on or prior to the first anniversary of the grant date, 100% of Mr.</w:t>
      </w:r>
      <w:r>
        <w:rPr>
          <w:rFonts w:ascii="Arial" w:cs="Arial" w:eastAsia="Arial" w:hAnsi="Arial"/>
          <w:sz w:val="18"/>
          <w:szCs w:val="18"/>
          <w:i w:val="1"/>
          <w:iCs w:val="1"/>
          <w:color w:val="auto"/>
        </w:rPr>
        <w:t xml:space="preserve"> </w:t>
      </w:r>
      <w:r>
        <w:rPr>
          <w:rFonts w:ascii="Arial" w:cs="Arial" w:eastAsia="Arial" w:hAnsi="Arial"/>
          <w:sz w:val="18"/>
          <w:szCs w:val="18"/>
          <w:color w:val="auto"/>
        </w:rPr>
        <w:t>Miglani’s Relative TSR-Linked PRSUs will be deemed earned. If a change in control occurs after the first anniversary of the grant date, the performance period will be deemed to end on the date of the change in control and the Compensation Committee shall determine the number of earned Relative TSR-Linked PRSUs based on the TSR of the Company and the peer group as of such date. In either scenario, the Relative TSR-Linked PRSUs that are deemed earned will be subject to a new three year installment vesting schedule and will be advanced by one year under such schedule. In addition, all of Mr. Miglani’s outstanding, earned Revenue-Linked PRSUs will become fully vested if, following or in specific contemplation of a change in control, he is terminated without cause or, following a change in control, he voluntarily terminates his employment for good reason.</w:t>
      </w:r>
    </w:p>
    <w:p>
      <w:pPr>
        <w:spacing w:after="0" w:line="18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Mr. Miglani’s severance payments and termination-related equity acceleration are subject to his execution of a release of claims against us. Mr. Miglani is subject to confidentiality restrictions at all times, as well as noncompetition, nondisparagement and nonsolicitation restrictions during his employment and for one year thereafter.</w:t>
      </w:r>
    </w:p>
    <w:p>
      <w:pPr>
        <w:spacing w:after="0" w:line="189" w:lineRule="exact"/>
        <w:rPr>
          <w:sz w:val="20"/>
          <w:szCs w:val="20"/>
          <w:color w:val="auto"/>
        </w:rPr>
      </w:pPr>
    </w:p>
    <w:p>
      <w:pPr>
        <w:ind w:right="240" w:firstLine="648"/>
        <w:spacing w:after="0" w:line="246" w:lineRule="auto"/>
        <w:rPr>
          <w:sz w:val="20"/>
          <w:szCs w:val="20"/>
          <w:color w:val="auto"/>
        </w:rPr>
      </w:pPr>
      <w:r>
        <w:rPr>
          <w:rFonts w:ascii="Arial" w:cs="Arial" w:eastAsia="Arial" w:hAnsi="Arial"/>
          <w:sz w:val="18"/>
          <w:szCs w:val="18"/>
          <w:color w:val="auto"/>
        </w:rPr>
        <w:t>In quantifying potential payments for purposes of this disclosure, we have quantified our equity-based payments by using the closing price of our stock on December 31, 2015, which was $44.93.</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Indicative Payouts for Nalin Miglani</w:t>
      </w:r>
    </w:p>
    <w:p>
      <w:pPr>
        <w:spacing w:after="0" w:line="216" w:lineRule="exact"/>
        <w:rPr>
          <w:sz w:val="20"/>
          <w:szCs w:val="20"/>
          <w:color w:val="auto"/>
        </w:rPr>
      </w:pPr>
    </w:p>
    <w:p>
      <w:pPr>
        <w:ind w:right="80" w:firstLine="648"/>
        <w:spacing w:after="0" w:line="246" w:lineRule="auto"/>
        <w:rPr>
          <w:sz w:val="20"/>
          <w:szCs w:val="20"/>
          <w:color w:val="auto"/>
        </w:rPr>
      </w:pPr>
      <w:r>
        <w:rPr>
          <w:rFonts w:ascii="Arial" w:cs="Arial" w:eastAsia="Arial" w:hAnsi="Arial"/>
          <w:sz w:val="18"/>
          <w:szCs w:val="18"/>
          <w:color w:val="auto"/>
        </w:rPr>
        <w:t>The following table summarizes the amounts payable to Mr. Miglani upon a change in control or termination of her employment with us on December 31, 2015:</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58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8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00" w:type="dxa"/>
            <w:vAlign w:val="bottom"/>
            <w:shd w:val="clear" w:color="auto" w:fill="5591C7"/>
          </w:tcPr>
          <w:p>
            <w:pPr>
              <w:spacing w:after="0"/>
              <w:rPr>
                <w:sz w:val="14"/>
                <w:szCs w:val="14"/>
                <w:color w:val="auto"/>
              </w:rPr>
            </w:pPr>
          </w:p>
        </w:tc>
        <w:tc>
          <w:tcPr>
            <w:tcW w:w="14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9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9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Termination</w:t>
            </w:r>
          </w:p>
        </w:tc>
        <w:tc>
          <w:tcPr>
            <w:tcW w:w="13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w w:val="99"/>
              </w:rPr>
              <w:t>Termination</w:t>
            </w: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Termination</w:t>
            </w:r>
          </w:p>
        </w:tc>
      </w:tr>
      <w:tr>
        <w:trPr>
          <w:trHeight w:val="162"/>
        </w:trPr>
        <w:tc>
          <w:tcPr>
            <w:tcW w:w="23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58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8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00" w:type="dxa"/>
            <w:vAlign w:val="bottom"/>
            <w:shd w:val="clear" w:color="auto" w:fill="5591C7"/>
          </w:tcPr>
          <w:p>
            <w:pPr>
              <w:spacing w:after="0"/>
              <w:rPr>
                <w:sz w:val="14"/>
                <w:szCs w:val="14"/>
                <w:color w:val="auto"/>
              </w:rPr>
            </w:pPr>
          </w:p>
        </w:tc>
        <w:tc>
          <w:tcPr>
            <w:tcW w:w="14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9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9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Without</w:t>
            </w:r>
          </w:p>
        </w:tc>
        <w:tc>
          <w:tcPr>
            <w:tcW w:w="13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for Good</w:t>
            </w: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Without Cause</w:t>
            </w:r>
          </w:p>
        </w:tc>
      </w:tr>
      <w:tr>
        <w:trPr>
          <w:trHeight w:val="162"/>
        </w:trPr>
        <w:tc>
          <w:tcPr>
            <w:tcW w:w="23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58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8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00" w:type="dxa"/>
            <w:vAlign w:val="bottom"/>
            <w:shd w:val="clear" w:color="auto" w:fill="5591C7"/>
          </w:tcPr>
          <w:p>
            <w:pPr>
              <w:jc w:val="center"/>
              <w:ind w:left="68"/>
              <w:spacing w:after="0"/>
              <w:rPr>
                <w:sz w:val="20"/>
                <w:szCs w:val="20"/>
                <w:color w:val="auto"/>
              </w:rPr>
            </w:pPr>
            <w:r>
              <w:rPr>
                <w:rFonts w:ascii="Arial" w:cs="Arial" w:eastAsia="Arial" w:hAnsi="Arial"/>
                <w:sz w:val="14"/>
                <w:szCs w:val="14"/>
                <w:b w:val="1"/>
                <w:bCs w:val="1"/>
                <w:color w:val="auto"/>
              </w:rPr>
              <w:t>Expiration</w:t>
            </w:r>
          </w:p>
        </w:tc>
        <w:tc>
          <w:tcPr>
            <w:tcW w:w="14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9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9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w w:val="99"/>
              </w:rPr>
              <w:t>Cause</w:t>
            </w:r>
          </w:p>
        </w:tc>
        <w:tc>
          <w:tcPr>
            <w:tcW w:w="13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Reason</w:t>
            </w:r>
          </w:p>
        </w:tc>
        <w:tc>
          <w:tcPr>
            <w:tcW w:w="1360" w:type="dxa"/>
            <w:vAlign w:val="bottom"/>
            <w:gridSpan w:val="2"/>
            <w:shd w:val="clear" w:color="auto" w:fill="5591C7"/>
          </w:tcPr>
          <w:p>
            <w:pPr>
              <w:jc w:val="center"/>
              <w:ind w:right="80"/>
              <w:spacing w:after="0"/>
              <w:rPr>
                <w:sz w:val="20"/>
                <w:szCs w:val="20"/>
                <w:color w:val="auto"/>
              </w:rPr>
            </w:pPr>
            <w:r>
              <w:rPr>
                <w:rFonts w:ascii="Arial" w:cs="Arial" w:eastAsia="Arial" w:hAnsi="Arial"/>
                <w:sz w:val="14"/>
                <w:szCs w:val="14"/>
                <w:b w:val="1"/>
                <w:bCs w:val="1"/>
                <w:color w:val="auto"/>
              </w:rPr>
              <w:t>in Specific</w:t>
            </w:r>
          </w:p>
        </w:tc>
      </w:tr>
      <w:tr>
        <w:trPr>
          <w:trHeight w:val="162"/>
        </w:trPr>
        <w:tc>
          <w:tcPr>
            <w:tcW w:w="23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58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8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00" w:type="dxa"/>
            <w:vAlign w:val="bottom"/>
            <w:shd w:val="clear" w:color="auto" w:fill="5591C7"/>
          </w:tcPr>
          <w:p>
            <w:pPr>
              <w:jc w:val="center"/>
              <w:ind w:left="68"/>
              <w:spacing w:after="0"/>
              <w:rPr>
                <w:sz w:val="20"/>
                <w:szCs w:val="20"/>
                <w:color w:val="auto"/>
              </w:rPr>
            </w:pPr>
            <w:r>
              <w:rPr>
                <w:rFonts w:ascii="Arial" w:cs="Arial" w:eastAsia="Arial" w:hAnsi="Arial"/>
                <w:sz w:val="14"/>
                <w:szCs w:val="14"/>
                <w:b w:val="1"/>
                <w:bCs w:val="1"/>
                <w:color w:val="auto"/>
                <w:w w:val="99"/>
              </w:rPr>
              <w:t>of the</w:t>
            </w:r>
          </w:p>
        </w:tc>
        <w:tc>
          <w:tcPr>
            <w:tcW w:w="14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Termination</w:t>
            </w:r>
          </w:p>
        </w:tc>
        <w:tc>
          <w:tcPr>
            <w:tcW w:w="100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Change</w:t>
            </w: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Following</w:t>
            </w:r>
          </w:p>
        </w:tc>
        <w:tc>
          <w:tcPr>
            <w:tcW w:w="13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Following</w:t>
            </w: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Contemplation</w:t>
            </w:r>
          </w:p>
        </w:tc>
      </w:tr>
      <w:tr>
        <w:trPr>
          <w:trHeight w:val="162"/>
        </w:trPr>
        <w:tc>
          <w:tcPr>
            <w:tcW w:w="23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58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8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00" w:type="dxa"/>
            <w:vAlign w:val="bottom"/>
            <w:shd w:val="clear" w:color="auto" w:fill="5591C7"/>
          </w:tcPr>
          <w:p>
            <w:pPr>
              <w:jc w:val="center"/>
              <w:ind w:left="68"/>
              <w:spacing w:after="0"/>
              <w:rPr>
                <w:sz w:val="20"/>
                <w:szCs w:val="20"/>
                <w:color w:val="auto"/>
              </w:rPr>
            </w:pPr>
            <w:r>
              <w:rPr>
                <w:rFonts w:ascii="Arial" w:cs="Arial" w:eastAsia="Arial" w:hAnsi="Arial"/>
                <w:sz w:val="14"/>
                <w:szCs w:val="14"/>
                <w:b w:val="1"/>
                <w:bCs w:val="1"/>
                <w:color w:val="auto"/>
              </w:rPr>
              <w:t>Employment</w:t>
            </w:r>
          </w:p>
        </w:tc>
        <w:tc>
          <w:tcPr>
            <w:tcW w:w="14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Without</w:t>
            </w:r>
          </w:p>
        </w:tc>
        <w:tc>
          <w:tcPr>
            <w:tcW w:w="100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in</w:t>
            </w: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Change in</w:t>
            </w:r>
          </w:p>
        </w:tc>
        <w:tc>
          <w:tcPr>
            <w:tcW w:w="13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Change in</w:t>
            </w: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of Change in</w:t>
            </w:r>
          </w:p>
        </w:tc>
      </w:tr>
      <w:tr>
        <w:trPr>
          <w:trHeight w:val="162"/>
        </w:trPr>
        <w:tc>
          <w:tcPr>
            <w:tcW w:w="2300" w:type="dxa"/>
            <w:vAlign w:val="bottom"/>
            <w:shd w:val="clear" w:color="auto" w:fill="5591C7"/>
          </w:tcPr>
          <w:p>
            <w:pPr>
              <w:ind w:left="620"/>
              <w:spacing w:after="0"/>
              <w:rPr>
                <w:sz w:val="20"/>
                <w:szCs w:val="20"/>
                <w:color w:val="auto"/>
              </w:rPr>
            </w:pPr>
            <w:r>
              <w:rPr>
                <w:rFonts w:ascii="Arial" w:cs="Arial" w:eastAsia="Arial" w:hAnsi="Arial"/>
                <w:sz w:val="14"/>
                <w:szCs w:val="14"/>
                <w:b w:val="1"/>
                <w:bCs w:val="1"/>
                <w:color w:val="auto"/>
              </w:rPr>
              <w:t>Payments upon</w:t>
            </w:r>
          </w:p>
        </w:tc>
        <w:tc>
          <w:tcPr>
            <w:tcW w:w="120" w:type="dxa"/>
            <w:vAlign w:val="bottom"/>
            <w:shd w:val="clear" w:color="auto" w:fill="5591C7"/>
          </w:tcPr>
          <w:p>
            <w:pPr>
              <w:spacing w:after="0"/>
              <w:rPr>
                <w:sz w:val="14"/>
                <w:szCs w:val="14"/>
                <w:color w:val="auto"/>
              </w:rPr>
            </w:pPr>
          </w:p>
        </w:tc>
        <w:tc>
          <w:tcPr>
            <w:tcW w:w="580" w:type="dxa"/>
            <w:vAlign w:val="bottom"/>
            <w:shd w:val="clear" w:color="auto" w:fill="5591C7"/>
          </w:tcPr>
          <w:p>
            <w:pPr>
              <w:ind w:left="100"/>
              <w:spacing w:after="0"/>
              <w:rPr>
                <w:sz w:val="20"/>
                <w:szCs w:val="20"/>
                <w:color w:val="auto"/>
              </w:rPr>
            </w:pPr>
            <w:r>
              <w:rPr>
                <w:rFonts w:ascii="Arial" w:cs="Arial" w:eastAsia="Arial" w:hAnsi="Arial"/>
                <w:sz w:val="14"/>
                <w:szCs w:val="14"/>
                <w:b w:val="1"/>
                <w:bCs w:val="1"/>
                <w:color w:val="auto"/>
              </w:rPr>
              <w:t>Death</w:t>
            </w:r>
          </w:p>
        </w:tc>
        <w:tc>
          <w:tcPr>
            <w:tcW w:w="120" w:type="dxa"/>
            <w:vAlign w:val="bottom"/>
            <w:shd w:val="clear" w:color="auto" w:fill="5591C7"/>
          </w:tcPr>
          <w:p>
            <w:pPr>
              <w:spacing w:after="0"/>
              <w:rPr>
                <w:sz w:val="14"/>
                <w:szCs w:val="14"/>
                <w:color w:val="auto"/>
              </w:rPr>
            </w:pPr>
          </w:p>
        </w:tc>
        <w:tc>
          <w:tcPr>
            <w:tcW w:w="940" w:type="dxa"/>
            <w:vAlign w:val="bottom"/>
            <w:gridSpan w:val="2"/>
            <w:shd w:val="clear" w:color="auto" w:fill="5591C7"/>
          </w:tcPr>
          <w:p>
            <w:pPr>
              <w:ind w:left="100"/>
              <w:spacing w:after="0"/>
              <w:rPr>
                <w:sz w:val="20"/>
                <w:szCs w:val="20"/>
                <w:color w:val="auto"/>
              </w:rPr>
            </w:pPr>
            <w:r>
              <w:rPr>
                <w:rFonts w:ascii="Arial" w:cs="Arial" w:eastAsia="Arial" w:hAnsi="Arial"/>
                <w:sz w:val="14"/>
                <w:szCs w:val="14"/>
                <w:b w:val="1"/>
                <w:bCs w:val="1"/>
                <w:color w:val="auto"/>
              </w:rPr>
              <w:t>Disability</w:t>
            </w:r>
          </w:p>
        </w:tc>
        <w:tc>
          <w:tcPr>
            <w:tcW w:w="1000" w:type="dxa"/>
            <w:vAlign w:val="bottom"/>
            <w:shd w:val="clear" w:color="auto" w:fill="5591C7"/>
          </w:tcPr>
          <w:p>
            <w:pPr>
              <w:jc w:val="center"/>
              <w:ind w:left="68"/>
              <w:spacing w:after="0"/>
              <w:rPr>
                <w:sz w:val="20"/>
                <w:szCs w:val="20"/>
                <w:color w:val="auto"/>
              </w:rPr>
            </w:pPr>
            <w:r>
              <w:rPr>
                <w:rFonts w:ascii="Arial" w:cs="Arial" w:eastAsia="Arial" w:hAnsi="Arial"/>
                <w:sz w:val="14"/>
                <w:szCs w:val="14"/>
                <w:b w:val="1"/>
                <w:bCs w:val="1"/>
                <w:color w:val="auto"/>
                <w:w w:val="99"/>
              </w:rPr>
              <w:t>Terms</w:t>
            </w:r>
          </w:p>
        </w:tc>
        <w:tc>
          <w:tcPr>
            <w:tcW w:w="14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w w:val="99"/>
              </w:rPr>
              <w:t>Cause</w:t>
            </w:r>
          </w:p>
        </w:tc>
        <w:tc>
          <w:tcPr>
            <w:tcW w:w="100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Control</w:t>
            </w: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Control</w:t>
            </w:r>
          </w:p>
        </w:tc>
        <w:tc>
          <w:tcPr>
            <w:tcW w:w="13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Control</w:t>
            </w: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Control</w:t>
            </w:r>
          </w:p>
        </w:tc>
      </w:tr>
      <w:tr>
        <w:trPr>
          <w:trHeight w:val="182"/>
        </w:trPr>
        <w:tc>
          <w:tcPr>
            <w:tcW w:w="2300" w:type="dxa"/>
            <w:vAlign w:val="bottom"/>
            <w:tcBorders>
              <w:bottom w:val="single" w:sz="8" w:color="auto"/>
            </w:tcBorders>
            <w:shd w:val="clear" w:color="auto" w:fill="5591C7"/>
          </w:tcPr>
          <w:p>
            <w:pPr>
              <w:ind w:left="740"/>
              <w:spacing w:after="0"/>
              <w:rPr>
                <w:sz w:val="20"/>
                <w:szCs w:val="20"/>
                <w:color w:val="auto"/>
              </w:rPr>
            </w:pPr>
            <w:r>
              <w:rPr>
                <w:rFonts w:ascii="Arial" w:cs="Arial" w:eastAsia="Arial" w:hAnsi="Arial"/>
                <w:sz w:val="14"/>
                <w:szCs w:val="14"/>
                <w:b w:val="1"/>
                <w:bCs w:val="1"/>
                <w:color w:val="auto"/>
              </w:rPr>
              <w:t>Termination</w:t>
            </w:r>
          </w:p>
        </w:tc>
        <w:tc>
          <w:tcPr>
            <w:tcW w:w="120" w:type="dxa"/>
            <w:vAlign w:val="bottom"/>
            <w:tcBorders>
              <w:bottom w:val="single" w:sz="8" w:color="5591C7"/>
            </w:tcBorders>
            <w:shd w:val="clear" w:color="auto" w:fill="5591C7"/>
          </w:tcPr>
          <w:p>
            <w:pPr>
              <w:spacing w:after="0"/>
              <w:rPr>
                <w:sz w:val="15"/>
                <w:szCs w:val="15"/>
                <w:color w:val="auto"/>
              </w:rPr>
            </w:pPr>
          </w:p>
        </w:tc>
        <w:tc>
          <w:tcPr>
            <w:tcW w:w="580" w:type="dxa"/>
            <w:vAlign w:val="bottom"/>
            <w:tcBorders>
              <w:bottom w:val="single" w:sz="8" w:color="auto"/>
            </w:tcBorders>
            <w:shd w:val="clear" w:color="auto" w:fill="5591C7"/>
          </w:tcPr>
          <w:p>
            <w:pPr>
              <w:ind w:left="20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5591C7"/>
            </w:tcBorders>
            <w:shd w:val="clear" w:color="auto" w:fill="5591C7"/>
          </w:tcPr>
          <w:p>
            <w:pPr>
              <w:spacing w:after="0"/>
              <w:rPr>
                <w:sz w:val="15"/>
                <w:szCs w:val="15"/>
                <w:color w:val="auto"/>
              </w:rPr>
            </w:pPr>
          </w:p>
        </w:tc>
        <w:tc>
          <w:tcPr>
            <w:tcW w:w="820" w:type="dxa"/>
            <w:vAlign w:val="bottom"/>
            <w:tcBorders>
              <w:bottom w:val="single" w:sz="8" w:color="auto"/>
            </w:tcBorders>
            <w:shd w:val="clear" w:color="auto" w:fill="5591C7"/>
          </w:tcPr>
          <w:p>
            <w:pPr>
              <w:ind w:left="32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5591C7"/>
            </w:tcBorders>
            <w:shd w:val="clear" w:color="auto" w:fill="5591C7"/>
          </w:tcPr>
          <w:p>
            <w:pPr>
              <w:spacing w:after="0"/>
              <w:rPr>
                <w:sz w:val="15"/>
                <w:szCs w:val="15"/>
                <w:color w:val="auto"/>
              </w:rPr>
            </w:pPr>
          </w:p>
        </w:tc>
        <w:tc>
          <w:tcPr>
            <w:tcW w:w="1000" w:type="dxa"/>
            <w:vAlign w:val="bottom"/>
            <w:tcBorders>
              <w:bottom w:val="single" w:sz="8" w:color="auto"/>
            </w:tcBorders>
            <w:shd w:val="clear" w:color="auto" w:fill="5591C7"/>
          </w:tcPr>
          <w:p>
            <w:pPr>
              <w:jc w:val="center"/>
              <w:ind w:left="68"/>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auto"/>
            </w:tcBorders>
            <w:shd w:val="clear" w:color="auto" w:fill="5591C7"/>
          </w:tcPr>
          <w:p>
            <w:pPr>
              <w:spacing w:after="0"/>
              <w:rPr>
                <w:sz w:val="15"/>
                <w:szCs w:val="15"/>
                <w:color w:val="auto"/>
              </w:rPr>
            </w:pPr>
          </w:p>
        </w:tc>
        <w:tc>
          <w:tcPr>
            <w:tcW w:w="120" w:type="dxa"/>
            <w:vAlign w:val="bottom"/>
            <w:tcBorders>
              <w:bottom w:val="single" w:sz="8" w:color="5591C7"/>
            </w:tcBorders>
            <w:shd w:val="clear" w:color="auto" w:fill="5591C7"/>
          </w:tcPr>
          <w:p>
            <w:pPr>
              <w:spacing w:after="0"/>
              <w:rPr>
                <w:sz w:val="15"/>
                <w:szCs w:val="15"/>
                <w:color w:val="auto"/>
              </w:rPr>
            </w:pPr>
          </w:p>
        </w:tc>
        <w:tc>
          <w:tcPr>
            <w:tcW w:w="92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5591C7"/>
            </w:tcBorders>
            <w:shd w:val="clear" w:color="auto" w:fill="5591C7"/>
          </w:tcPr>
          <w:p>
            <w:pPr>
              <w:spacing w:after="0"/>
              <w:rPr>
                <w:sz w:val="15"/>
                <w:szCs w:val="15"/>
                <w:color w:val="auto"/>
              </w:rPr>
            </w:pPr>
          </w:p>
        </w:tc>
        <w:tc>
          <w:tcPr>
            <w:tcW w:w="90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5591C7"/>
            </w:tcBorders>
            <w:shd w:val="clear" w:color="auto" w:fill="5591C7"/>
          </w:tcPr>
          <w:p>
            <w:pPr>
              <w:spacing w:after="0"/>
              <w:rPr>
                <w:sz w:val="15"/>
                <w:szCs w:val="15"/>
                <w:color w:val="auto"/>
              </w:rPr>
            </w:pPr>
          </w:p>
        </w:tc>
        <w:tc>
          <w:tcPr>
            <w:tcW w:w="126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5591C7"/>
            </w:tcBorders>
            <w:shd w:val="clear" w:color="auto" w:fill="5591C7"/>
          </w:tcPr>
          <w:p>
            <w:pPr>
              <w:spacing w:after="0"/>
              <w:rPr>
                <w:sz w:val="15"/>
                <w:szCs w:val="15"/>
                <w:color w:val="auto"/>
              </w:rPr>
            </w:pPr>
          </w:p>
        </w:tc>
        <w:tc>
          <w:tcPr>
            <w:tcW w:w="124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5591C7"/>
            </w:tcBorders>
            <w:shd w:val="clear" w:color="auto" w:fill="5591C7"/>
          </w:tcPr>
          <w:p>
            <w:pPr>
              <w:spacing w:after="0"/>
              <w:rPr>
                <w:sz w:val="15"/>
                <w:szCs w:val="15"/>
                <w:color w:val="auto"/>
              </w:rPr>
            </w:pPr>
          </w:p>
        </w:tc>
        <w:tc>
          <w:tcPr>
            <w:tcW w:w="126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5591C7"/>
            </w:tcBorders>
            <w:shd w:val="clear" w:color="auto" w:fill="5591C7"/>
          </w:tcPr>
          <w:p>
            <w:pPr>
              <w:spacing w:after="0"/>
              <w:rPr>
                <w:sz w:val="15"/>
                <w:szCs w:val="15"/>
                <w:color w:val="auto"/>
              </w:rPr>
            </w:pPr>
          </w:p>
        </w:tc>
      </w:tr>
      <w:tr>
        <w:trPr>
          <w:trHeight w:val="189"/>
        </w:trPr>
        <w:tc>
          <w:tcPr>
            <w:tcW w:w="2300" w:type="dxa"/>
            <w:vAlign w:val="bottom"/>
            <w:shd w:val="clear" w:color="auto" w:fill="B8CDE8"/>
          </w:tcPr>
          <w:p>
            <w:pPr>
              <w:spacing w:after="0"/>
              <w:rPr>
                <w:sz w:val="20"/>
                <w:szCs w:val="20"/>
                <w:color w:val="auto"/>
              </w:rPr>
            </w:pPr>
            <w:r>
              <w:rPr>
                <w:rFonts w:ascii="Arial" w:cs="Arial" w:eastAsia="Arial" w:hAnsi="Arial"/>
                <w:sz w:val="14"/>
                <w:szCs w:val="14"/>
                <w:color w:val="auto"/>
              </w:rPr>
              <w:t>Base salary payout</w:t>
            </w:r>
          </w:p>
        </w:tc>
        <w:tc>
          <w:tcPr>
            <w:tcW w:w="120" w:type="dxa"/>
            <w:vAlign w:val="bottom"/>
            <w:shd w:val="clear" w:color="auto" w:fill="B8CDE8"/>
          </w:tcPr>
          <w:p>
            <w:pPr>
              <w:spacing w:after="0"/>
              <w:rPr>
                <w:sz w:val="16"/>
                <w:szCs w:val="16"/>
                <w:color w:val="auto"/>
              </w:rPr>
            </w:pPr>
          </w:p>
        </w:tc>
        <w:tc>
          <w:tcPr>
            <w:tcW w:w="580" w:type="dxa"/>
            <w:vAlign w:val="bottom"/>
            <w:shd w:val="clear" w:color="auto" w:fill="B8CDE8"/>
          </w:tcPr>
          <w:p>
            <w:pPr>
              <w:ind w:left="440"/>
              <w:spacing w:after="0"/>
              <w:rPr>
                <w:sz w:val="20"/>
                <w:szCs w:val="20"/>
                <w:color w:val="auto"/>
              </w:rPr>
            </w:pPr>
            <w:r>
              <w:rPr>
                <w:rFonts w:ascii="Arial" w:cs="Arial" w:eastAsia="Arial" w:hAnsi="Arial"/>
                <w:sz w:val="14"/>
                <w:szCs w:val="14"/>
                <w:color w:val="auto"/>
                <w:w w:val="85"/>
              </w:rPr>
              <w:t>—</w:t>
            </w:r>
          </w:p>
        </w:tc>
        <w:tc>
          <w:tcPr>
            <w:tcW w:w="120" w:type="dxa"/>
            <w:vAlign w:val="bottom"/>
            <w:shd w:val="clear" w:color="auto" w:fill="B8CDE8"/>
          </w:tcPr>
          <w:p>
            <w:pPr>
              <w:spacing w:after="0"/>
              <w:rPr>
                <w:sz w:val="16"/>
                <w:szCs w:val="16"/>
                <w:color w:val="auto"/>
              </w:rPr>
            </w:pPr>
          </w:p>
        </w:tc>
        <w:tc>
          <w:tcPr>
            <w:tcW w:w="940" w:type="dxa"/>
            <w:vAlign w:val="bottom"/>
            <w:gridSpan w:val="2"/>
            <w:shd w:val="clear" w:color="auto" w:fill="B8CDE8"/>
          </w:tcPr>
          <w:p>
            <w:pPr>
              <w:ind w:left="6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B8CDE8"/>
          </w:tcPr>
          <w:p>
            <w:pPr>
              <w:spacing w:after="0"/>
              <w:rPr>
                <w:sz w:val="16"/>
                <w:szCs w:val="16"/>
                <w:color w:val="auto"/>
              </w:rPr>
            </w:pPr>
          </w:p>
        </w:tc>
        <w:tc>
          <w:tcPr>
            <w:tcW w:w="260" w:type="dxa"/>
            <w:vAlign w:val="bottom"/>
            <w:gridSpan w:val="2"/>
            <w:shd w:val="clear" w:color="auto" w:fill="B8CDE8"/>
          </w:tcPr>
          <w:p>
            <w:pPr>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B8CDE8"/>
          </w:tcPr>
          <w:p>
            <w:pPr>
              <w:jc w:val="right"/>
              <w:ind w:right="120"/>
              <w:spacing w:after="0"/>
              <w:rPr>
                <w:sz w:val="20"/>
                <w:szCs w:val="20"/>
                <w:color w:val="auto"/>
              </w:rPr>
            </w:pPr>
            <w:r>
              <w:rPr>
                <w:rFonts w:ascii="Arial" w:cs="Arial" w:eastAsia="Arial" w:hAnsi="Arial"/>
                <w:sz w:val="14"/>
                <w:szCs w:val="14"/>
                <w:color w:val="auto"/>
              </w:rPr>
              <w:t>400,000</w:t>
            </w:r>
          </w:p>
        </w:tc>
        <w:tc>
          <w:tcPr>
            <w:tcW w:w="1000" w:type="dxa"/>
            <w:vAlign w:val="bottom"/>
            <w:gridSpan w:val="2"/>
            <w:shd w:val="clear" w:color="auto" w:fill="B8CDE8"/>
          </w:tcPr>
          <w:p>
            <w:pPr>
              <w:ind w:left="76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400,000</w:t>
            </w:r>
          </w:p>
        </w:tc>
        <w:tc>
          <w:tcPr>
            <w:tcW w:w="134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400,000</w:t>
            </w:r>
          </w:p>
        </w:tc>
        <w:tc>
          <w:tcPr>
            <w:tcW w:w="1360" w:type="dxa"/>
            <w:vAlign w:val="bottom"/>
            <w:gridSpan w:val="2"/>
            <w:shd w:val="clear" w:color="auto" w:fill="B8CDE8"/>
          </w:tcPr>
          <w:p>
            <w:pPr>
              <w:ind w:left="1100"/>
              <w:spacing w:after="0"/>
              <w:rPr>
                <w:sz w:val="20"/>
                <w:szCs w:val="20"/>
                <w:color w:val="auto"/>
              </w:rPr>
            </w:pPr>
            <w:r>
              <w:rPr>
                <w:rFonts w:ascii="Arial" w:cs="Arial" w:eastAsia="Arial" w:hAnsi="Arial"/>
                <w:sz w:val="14"/>
                <w:szCs w:val="14"/>
                <w:color w:val="auto"/>
              </w:rPr>
              <w:t>—</w:t>
            </w:r>
          </w:p>
        </w:tc>
      </w:tr>
      <w:tr>
        <w:trPr>
          <w:trHeight w:val="189"/>
        </w:trPr>
        <w:tc>
          <w:tcPr>
            <w:tcW w:w="2300" w:type="dxa"/>
            <w:vAlign w:val="bottom"/>
          </w:tcPr>
          <w:p>
            <w:pPr>
              <w:spacing w:after="0"/>
              <w:rPr>
                <w:sz w:val="20"/>
                <w:szCs w:val="20"/>
                <w:color w:val="auto"/>
              </w:rPr>
            </w:pPr>
            <w:r>
              <w:rPr>
                <w:rFonts w:ascii="Arial" w:cs="Arial" w:eastAsia="Arial" w:hAnsi="Arial"/>
                <w:sz w:val="14"/>
                <w:szCs w:val="14"/>
                <w:color w:val="auto"/>
              </w:rPr>
              <w:t>Bonus payout</w:t>
            </w:r>
          </w:p>
        </w:tc>
        <w:tc>
          <w:tcPr>
            <w:tcW w:w="120" w:type="dxa"/>
            <w:vAlign w:val="bottom"/>
          </w:tcPr>
          <w:p>
            <w:pPr>
              <w:spacing w:after="0"/>
              <w:rPr>
                <w:sz w:val="16"/>
                <w:szCs w:val="16"/>
                <w:color w:val="auto"/>
              </w:rPr>
            </w:pPr>
          </w:p>
        </w:tc>
        <w:tc>
          <w:tcPr>
            <w:tcW w:w="580" w:type="dxa"/>
            <w:vAlign w:val="bottom"/>
          </w:tcPr>
          <w:p>
            <w:pPr>
              <w:ind w:left="44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6"/>
                <w:szCs w:val="16"/>
                <w:color w:val="auto"/>
              </w:rPr>
            </w:pPr>
          </w:p>
        </w:tc>
        <w:tc>
          <w:tcPr>
            <w:tcW w:w="94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6"/>
                <w:szCs w:val="16"/>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360" w:type="dxa"/>
            <w:vAlign w:val="bottom"/>
            <w:gridSpan w:val="2"/>
          </w:tcPr>
          <w:p>
            <w:pPr>
              <w:ind w:left="1100"/>
              <w:spacing w:after="0"/>
              <w:rPr>
                <w:sz w:val="20"/>
                <w:szCs w:val="20"/>
                <w:color w:val="auto"/>
              </w:rPr>
            </w:pPr>
            <w:r>
              <w:rPr>
                <w:rFonts w:ascii="Arial" w:cs="Arial" w:eastAsia="Arial" w:hAnsi="Arial"/>
                <w:sz w:val="14"/>
                <w:szCs w:val="14"/>
                <w:color w:val="auto"/>
              </w:rPr>
              <w:t>—</w:t>
            </w:r>
          </w:p>
        </w:tc>
      </w:tr>
      <w:tr>
        <w:trPr>
          <w:trHeight w:val="189"/>
        </w:trPr>
        <w:tc>
          <w:tcPr>
            <w:tcW w:w="2300" w:type="dxa"/>
            <w:vAlign w:val="bottom"/>
            <w:shd w:val="clear" w:color="auto" w:fill="B8CDE8"/>
          </w:tcPr>
          <w:p>
            <w:pPr>
              <w:spacing w:after="0"/>
              <w:rPr>
                <w:sz w:val="20"/>
                <w:szCs w:val="20"/>
                <w:color w:val="auto"/>
              </w:rPr>
            </w:pPr>
            <w:r>
              <w:rPr>
                <w:rFonts w:ascii="Arial" w:cs="Arial" w:eastAsia="Arial" w:hAnsi="Arial"/>
                <w:sz w:val="14"/>
                <w:szCs w:val="14"/>
                <w:color w:val="auto"/>
              </w:rPr>
              <w:t>Life insurance coverage</w:t>
            </w:r>
          </w:p>
        </w:tc>
        <w:tc>
          <w:tcPr>
            <w:tcW w:w="120" w:type="dxa"/>
            <w:vAlign w:val="bottom"/>
            <w:shd w:val="clear" w:color="auto" w:fill="B8CDE8"/>
          </w:tcPr>
          <w:p>
            <w:pPr>
              <w:spacing w:after="0"/>
              <w:rPr>
                <w:sz w:val="16"/>
                <w:szCs w:val="16"/>
                <w:color w:val="auto"/>
              </w:rPr>
            </w:pPr>
          </w:p>
        </w:tc>
        <w:tc>
          <w:tcPr>
            <w:tcW w:w="580" w:type="dxa"/>
            <w:vAlign w:val="bottom"/>
            <w:shd w:val="clear" w:color="auto" w:fill="B8CDE8"/>
          </w:tcPr>
          <w:p>
            <w:pPr>
              <w:ind w:left="440"/>
              <w:spacing w:after="0"/>
              <w:rPr>
                <w:sz w:val="20"/>
                <w:szCs w:val="20"/>
                <w:color w:val="auto"/>
              </w:rPr>
            </w:pPr>
            <w:r>
              <w:rPr>
                <w:rFonts w:ascii="Arial" w:cs="Arial" w:eastAsia="Arial" w:hAnsi="Arial"/>
                <w:sz w:val="14"/>
                <w:szCs w:val="14"/>
                <w:color w:val="auto"/>
                <w:w w:val="85"/>
              </w:rPr>
              <w:t>—</w:t>
            </w:r>
          </w:p>
        </w:tc>
        <w:tc>
          <w:tcPr>
            <w:tcW w:w="120" w:type="dxa"/>
            <w:vAlign w:val="bottom"/>
            <w:shd w:val="clear" w:color="auto" w:fill="B8CDE8"/>
          </w:tcPr>
          <w:p>
            <w:pPr>
              <w:spacing w:after="0"/>
              <w:rPr>
                <w:sz w:val="16"/>
                <w:szCs w:val="16"/>
                <w:color w:val="auto"/>
              </w:rPr>
            </w:pPr>
          </w:p>
        </w:tc>
        <w:tc>
          <w:tcPr>
            <w:tcW w:w="940" w:type="dxa"/>
            <w:vAlign w:val="bottom"/>
            <w:gridSpan w:val="2"/>
            <w:shd w:val="clear" w:color="auto" w:fill="B8CDE8"/>
          </w:tcPr>
          <w:p>
            <w:pPr>
              <w:ind w:left="6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B8CDE8"/>
          </w:tcPr>
          <w:p>
            <w:pPr>
              <w:spacing w:after="0"/>
              <w:rPr>
                <w:sz w:val="16"/>
                <w:szCs w:val="16"/>
                <w:color w:val="auto"/>
              </w:rPr>
            </w:pPr>
          </w:p>
        </w:tc>
        <w:tc>
          <w:tcPr>
            <w:tcW w:w="260" w:type="dxa"/>
            <w:vAlign w:val="bottom"/>
            <w:gridSpan w:val="2"/>
            <w:shd w:val="clear" w:color="auto" w:fill="B8CDE8"/>
          </w:tcPr>
          <w:p>
            <w:pPr>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B8CDE8"/>
          </w:tcPr>
          <w:p>
            <w:pPr>
              <w:jc w:val="right"/>
              <w:ind w:right="1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B8CDE8"/>
          </w:tcPr>
          <w:p>
            <w:pPr>
              <w:ind w:left="76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B8CDE8"/>
          </w:tcPr>
          <w:p>
            <w:pPr>
              <w:ind w:left="1100"/>
              <w:spacing w:after="0"/>
              <w:rPr>
                <w:sz w:val="20"/>
                <w:szCs w:val="20"/>
                <w:color w:val="auto"/>
              </w:rPr>
            </w:pPr>
            <w:r>
              <w:rPr>
                <w:rFonts w:ascii="Arial" w:cs="Arial" w:eastAsia="Arial" w:hAnsi="Arial"/>
                <w:sz w:val="14"/>
                <w:szCs w:val="14"/>
                <w:color w:val="auto"/>
              </w:rPr>
              <w:t>—</w:t>
            </w:r>
          </w:p>
        </w:tc>
      </w:tr>
      <w:tr>
        <w:trPr>
          <w:trHeight w:val="189"/>
        </w:trPr>
        <w:tc>
          <w:tcPr>
            <w:tcW w:w="2300" w:type="dxa"/>
            <w:vAlign w:val="bottom"/>
          </w:tcPr>
          <w:p>
            <w:pPr>
              <w:spacing w:after="0"/>
              <w:rPr>
                <w:sz w:val="20"/>
                <w:szCs w:val="20"/>
                <w:color w:val="auto"/>
              </w:rPr>
            </w:pPr>
            <w:r>
              <w:rPr>
                <w:rFonts w:ascii="Arial" w:cs="Arial" w:eastAsia="Arial" w:hAnsi="Arial"/>
                <w:sz w:val="14"/>
                <w:szCs w:val="14"/>
                <w:color w:val="auto"/>
              </w:rPr>
              <w:t>Health insurance</w:t>
            </w:r>
          </w:p>
        </w:tc>
        <w:tc>
          <w:tcPr>
            <w:tcW w:w="120" w:type="dxa"/>
            <w:vAlign w:val="bottom"/>
          </w:tcPr>
          <w:p>
            <w:pPr>
              <w:spacing w:after="0"/>
              <w:rPr>
                <w:sz w:val="16"/>
                <w:szCs w:val="16"/>
                <w:color w:val="auto"/>
              </w:rPr>
            </w:pPr>
          </w:p>
        </w:tc>
        <w:tc>
          <w:tcPr>
            <w:tcW w:w="580" w:type="dxa"/>
            <w:vAlign w:val="bottom"/>
          </w:tcPr>
          <w:p>
            <w:pPr>
              <w:ind w:left="44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6"/>
                <w:szCs w:val="16"/>
                <w:color w:val="auto"/>
              </w:rPr>
            </w:pPr>
          </w:p>
        </w:tc>
        <w:tc>
          <w:tcPr>
            <w:tcW w:w="94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6"/>
                <w:szCs w:val="16"/>
                <w:color w:val="auto"/>
              </w:rPr>
            </w:pPr>
          </w:p>
        </w:tc>
        <w:tc>
          <w:tcPr>
            <w:tcW w:w="260" w:type="dxa"/>
            <w:vAlign w:val="bottom"/>
            <w:gridSpan w:val="2"/>
          </w:tcPr>
          <w:p>
            <w:pPr>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360" w:type="dxa"/>
            <w:vAlign w:val="bottom"/>
            <w:gridSpan w:val="2"/>
          </w:tcPr>
          <w:p>
            <w:pPr>
              <w:ind w:left="1100"/>
              <w:spacing w:after="0"/>
              <w:rPr>
                <w:sz w:val="20"/>
                <w:szCs w:val="20"/>
                <w:color w:val="auto"/>
              </w:rPr>
            </w:pPr>
            <w:r>
              <w:rPr>
                <w:rFonts w:ascii="Arial" w:cs="Arial" w:eastAsia="Arial" w:hAnsi="Arial"/>
                <w:sz w:val="14"/>
                <w:szCs w:val="14"/>
                <w:color w:val="auto"/>
              </w:rPr>
              <w:t>—</w:t>
            </w:r>
          </w:p>
        </w:tc>
      </w:tr>
      <w:tr>
        <w:trPr>
          <w:trHeight w:val="180"/>
        </w:trPr>
        <w:tc>
          <w:tcPr>
            <w:tcW w:w="2300" w:type="dxa"/>
            <w:vAlign w:val="bottom"/>
            <w:shd w:val="clear" w:color="auto" w:fill="B8CDE8"/>
          </w:tcPr>
          <w:p>
            <w:pPr>
              <w:spacing w:after="0"/>
              <w:rPr>
                <w:sz w:val="20"/>
                <w:szCs w:val="20"/>
                <w:color w:val="auto"/>
              </w:rPr>
            </w:pPr>
            <w:r>
              <w:rPr>
                <w:rFonts w:ascii="Arial" w:cs="Arial" w:eastAsia="Arial" w:hAnsi="Arial"/>
                <w:sz w:val="14"/>
                <w:szCs w:val="14"/>
                <w:color w:val="auto"/>
              </w:rPr>
              <w:t>Stock options (unvested and</w:t>
            </w:r>
          </w:p>
        </w:tc>
        <w:tc>
          <w:tcPr>
            <w:tcW w:w="120" w:type="dxa"/>
            <w:vAlign w:val="bottom"/>
            <w:shd w:val="clear" w:color="auto" w:fill="B8CDE8"/>
          </w:tcPr>
          <w:p>
            <w:pPr>
              <w:spacing w:after="0"/>
              <w:rPr>
                <w:sz w:val="15"/>
                <w:szCs w:val="15"/>
                <w:color w:val="auto"/>
              </w:rPr>
            </w:pPr>
          </w:p>
        </w:tc>
        <w:tc>
          <w:tcPr>
            <w:tcW w:w="580" w:type="dxa"/>
            <w:vAlign w:val="bottom"/>
            <w:shd w:val="clear" w:color="auto" w:fill="B8CDE8"/>
          </w:tcPr>
          <w:p>
            <w:pPr>
              <w:spacing w:after="0"/>
              <w:rPr>
                <w:sz w:val="15"/>
                <w:szCs w:val="15"/>
                <w:color w:val="auto"/>
              </w:rPr>
            </w:pPr>
          </w:p>
        </w:tc>
        <w:tc>
          <w:tcPr>
            <w:tcW w:w="120" w:type="dxa"/>
            <w:vAlign w:val="bottom"/>
            <w:shd w:val="clear" w:color="auto" w:fill="B8CDE8"/>
          </w:tcPr>
          <w:p>
            <w:pPr>
              <w:spacing w:after="0"/>
              <w:rPr>
                <w:sz w:val="15"/>
                <w:szCs w:val="15"/>
                <w:color w:val="auto"/>
              </w:rPr>
            </w:pPr>
          </w:p>
        </w:tc>
        <w:tc>
          <w:tcPr>
            <w:tcW w:w="820" w:type="dxa"/>
            <w:vAlign w:val="bottom"/>
            <w:shd w:val="clear" w:color="auto" w:fill="B8CDE8"/>
          </w:tcPr>
          <w:p>
            <w:pPr>
              <w:spacing w:after="0"/>
              <w:rPr>
                <w:sz w:val="15"/>
                <w:szCs w:val="15"/>
                <w:color w:val="auto"/>
              </w:rPr>
            </w:pPr>
          </w:p>
        </w:tc>
        <w:tc>
          <w:tcPr>
            <w:tcW w:w="120" w:type="dxa"/>
            <w:vAlign w:val="bottom"/>
            <w:shd w:val="clear" w:color="auto" w:fill="B8CDE8"/>
          </w:tcPr>
          <w:p>
            <w:pPr>
              <w:spacing w:after="0"/>
              <w:rPr>
                <w:sz w:val="15"/>
                <w:szCs w:val="15"/>
                <w:color w:val="auto"/>
              </w:rPr>
            </w:pPr>
          </w:p>
        </w:tc>
        <w:tc>
          <w:tcPr>
            <w:tcW w:w="1000" w:type="dxa"/>
            <w:vAlign w:val="bottom"/>
            <w:shd w:val="clear" w:color="auto" w:fill="B8CDE8"/>
          </w:tcPr>
          <w:p>
            <w:pPr>
              <w:spacing w:after="0"/>
              <w:rPr>
                <w:sz w:val="15"/>
                <w:szCs w:val="15"/>
                <w:color w:val="auto"/>
              </w:rPr>
            </w:pPr>
          </w:p>
        </w:tc>
        <w:tc>
          <w:tcPr>
            <w:tcW w:w="140" w:type="dxa"/>
            <w:vAlign w:val="bottom"/>
            <w:shd w:val="clear" w:color="auto" w:fill="B8CDE8"/>
          </w:tcPr>
          <w:p>
            <w:pPr>
              <w:spacing w:after="0"/>
              <w:rPr>
                <w:sz w:val="15"/>
                <w:szCs w:val="15"/>
                <w:color w:val="auto"/>
              </w:rPr>
            </w:pPr>
          </w:p>
        </w:tc>
        <w:tc>
          <w:tcPr>
            <w:tcW w:w="120" w:type="dxa"/>
            <w:vAlign w:val="bottom"/>
            <w:shd w:val="clear" w:color="auto" w:fill="B8CDE8"/>
          </w:tcPr>
          <w:p>
            <w:pPr>
              <w:spacing w:after="0"/>
              <w:rPr>
                <w:sz w:val="15"/>
                <w:szCs w:val="15"/>
                <w:color w:val="auto"/>
              </w:rPr>
            </w:pPr>
          </w:p>
        </w:tc>
        <w:tc>
          <w:tcPr>
            <w:tcW w:w="920" w:type="dxa"/>
            <w:vAlign w:val="bottom"/>
            <w:shd w:val="clear" w:color="auto" w:fill="B8CDE8"/>
          </w:tcPr>
          <w:p>
            <w:pPr>
              <w:spacing w:after="0"/>
              <w:rPr>
                <w:sz w:val="15"/>
                <w:szCs w:val="15"/>
                <w:color w:val="auto"/>
              </w:rPr>
            </w:pPr>
          </w:p>
        </w:tc>
        <w:tc>
          <w:tcPr>
            <w:tcW w:w="120" w:type="dxa"/>
            <w:vAlign w:val="bottom"/>
            <w:shd w:val="clear" w:color="auto" w:fill="B8CDE8"/>
          </w:tcPr>
          <w:p>
            <w:pPr>
              <w:spacing w:after="0"/>
              <w:rPr>
                <w:sz w:val="15"/>
                <w:szCs w:val="15"/>
                <w:color w:val="auto"/>
              </w:rPr>
            </w:pPr>
          </w:p>
        </w:tc>
        <w:tc>
          <w:tcPr>
            <w:tcW w:w="900" w:type="dxa"/>
            <w:vAlign w:val="bottom"/>
            <w:shd w:val="clear" w:color="auto" w:fill="B8CDE8"/>
          </w:tcPr>
          <w:p>
            <w:pPr>
              <w:spacing w:after="0"/>
              <w:rPr>
                <w:sz w:val="15"/>
                <w:szCs w:val="15"/>
                <w:color w:val="auto"/>
              </w:rPr>
            </w:pPr>
          </w:p>
        </w:tc>
        <w:tc>
          <w:tcPr>
            <w:tcW w:w="100" w:type="dxa"/>
            <w:vAlign w:val="bottom"/>
            <w:shd w:val="clear" w:color="auto" w:fill="B8CDE8"/>
          </w:tcPr>
          <w:p>
            <w:pPr>
              <w:spacing w:after="0"/>
              <w:rPr>
                <w:sz w:val="15"/>
                <w:szCs w:val="15"/>
                <w:color w:val="auto"/>
              </w:rPr>
            </w:pPr>
          </w:p>
        </w:tc>
        <w:tc>
          <w:tcPr>
            <w:tcW w:w="1260" w:type="dxa"/>
            <w:vAlign w:val="bottom"/>
            <w:shd w:val="clear" w:color="auto" w:fill="B8CDE8"/>
          </w:tcPr>
          <w:p>
            <w:pPr>
              <w:spacing w:after="0"/>
              <w:rPr>
                <w:sz w:val="15"/>
                <w:szCs w:val="15"/>
                <w:color w:val="auto"/>
              </w:rPr>
            </w:pPr>
          </w:p>
        </w:tc>
        <w:tc>
          <w:tcPr>
            <w:tcW w:w="100" w:type="dxa"/>
            <w:vAlign w:val="bottom"/>
            <w:shd w:val="clear" w:color="auto" w:fill="B8CDE8"/>
          </w:tcPr>
          <w:p>
            <w:pPr>
              <w:spacing w:after="0"/>
              <w:rPr>
                <w:sz w:val="15"/>
                <w:szCs w:val="15"/>
                <w:color w:val="auto"/>
              </w:rPr>
            </w:pPr>
          </w:p>
        </w:tc>
        <w:tc>
          <w:tcPr>
            <w:tcW w:w="1240" w:type="dxa"/>
            <w:vAlign w:val="bottom"/>
            <w:shd w:val="clear" w:color="auto" w:fill="B8CDE8"/>
          </w:tcPr>
          <w:p>
            <w:pPr>
              <w:spacing w:after="0"/>
              <w:rPr>
                <w:sz w:val="15"/>
                <w:szCs w:val="15"/>
                <w:color w:val="auto"/>
              </w:rPr>
            </w:pPr>
          </w:p>
        </w:tc>
        <w:tc>
          <w:tcPr>
            <w:tcW w:w="100" w:type="dxa"/>
            <w:vAlign w:val="bottom"/>
            <w:shd w:val="clear" w:color="auto" w:fill="B8CDE8"/>
          </w:tcPr>
          <w:p>
            <w:pPr>
              <w:spacing w:after="0"/>
              <w:rPr>
                <w:sz w:val="15"/>
                <w:szCs w:val="15"/>
                <w:color w:val="auto"/>
              </w:rPr>
            </w:pPr>
          </w:p>
        </w:tc>
        <w:tc>
          <w:tcPr>
            <w:tcW w:w="1260" w:type="dxa"/>
            <w:vAlign w:val="bottom"/>
            <w:shd w:val="clear" w:color="auto" w:fill="B8CDE8"/>
          </w:tcPr>
          <w:p>
            <w:pPr>
              <w:spacing w:after="0"/>
              <w:rPr>
                <w:sz w:val="15"/>
                <w:szCs w:val="15"/>
                <w:color w:val="auto"/>
              </w:rPr>
            </w:pPr>
          </w:p>
        </w:tc>
        <w:tc>
          <w:tcPr>
            <w:tcW w:w="100" w:type="dxa"/>
            <w:vAlign w:val="bottom"/>
            <w:shd w:val="clear" w:color="auto" w:fill="B8CDE8"/>
          </w:tcPr>
          <w:p>
            <w:pPr>
              <w:spacing w:after="0"/>
              <w:rPr>
                <w:sz w:val="15"/>
                <w:szCs w:val="15"/>
                <w:color w:val="auto"/>
              </w:rPr>
            </w:pPr>
          </w:p>
        </w:tc>
      </w:tr>
      <w:tr>
        <w:trPr>
          <w:trHeight w:val="171"/>
        </w:trPr>
        <w:tc>
          <w:tcPr>
            <w:tcW w:w="2300" w:type="dxa"/>
            <w:vAlign w:val="bottom"/>
            <w:shd w:val="clear" w:color="auto" w:fill="B8CDE8"/>
          </w:tcPr>
          <w:p>
            <w:pPr>
              <w:ind w:left="160"/>
              <w:spacing w:after="0"/>
              <w:rPr>
                <w:sz w:val="20"/>
                <w:szCs w:val="20"/>
                <w:color w:val="auto"/>
              </w:rPr>
            </w:pPr>
            <w:r>
              <w:rPr>
                <w:rFonts w:ascii="Arial" w:cs="Arial" w:eastAsia="Arial" w:hAnsi="Arial"/>
                <w:sz w:val="14"/>
                <w:szCs w:val="14"/>
                <w:color w:val="auto"/>
              </w:rPr>
              <w:t>accelerated)</w:t>
            </w:r>
          </w:p>
        </w:tc>
        <w:tc>
          <w:tcPr>
            <w:tcW w:w="120" w:type="dxa"/>
            <w:vAlign w:val="bottom"/>
            <w:shd w:val="clear" w:color="auto" w:fill="B8CDE8"/>
          </w:tcPr>
          <w:p>
            <w:pPr>
              <w:spacing w:after="0"/>
              <w:rPr>
                <w:sz w:val="14"/>
                <w:szCs w:val="14"/>
                <w:color w:val="auto"/>
              </w:rPr>
            </w:pPr>
          </w:p>
        </w:tc>
        <w:tc>
          <w:tcPr>
            <w:tcW w:w="580" w:type="dxa"/>
            <w:vAlign w:val="bottom"/>
            <w:shd w:val="clear" w:color="auto" w:fill="B8CDE8"/>
          </w:tcPr>
          <w:p>
            <w:pPr>
              <w:ind w:left="440"/>
              <w:spacing w:after="0"/>
              <w:rPr>
                <w:sz w:val="20"/>
                <w:szCs w:val="20"/>
                <w:color w:val="auto"/>
              </w:rPr>
            </w:pPr>
            <w:r>
              <w:rPr>
                <w:rFonts w:ascii="Arial" w:cs="Arial" w:eastAsia="Arial" w:hAnsi="Arial"/>
                <w:sz w:val="14"/>
                <w:szCs w:val="14"/>
                <w:color w:val="auto"/>
                <w:w w:val="85"/>
              </w:rPr>
              <w:t>—</w:t>
            </w:r>
          </w:p>
        </w:tc>
        <w:tc>
          <w:tcPr>
            <w:tcW w:w="120" w:type="dxa"/>
            <w:vAlign w:val="bottom"/>
            <w:shd w:val="clear" w:color="auto" w:fill="B8CDE8"/>
          </w:tcPr>
          <w:p>
            <w:pPr>
              <w:spacing w:after="0"/>
              <w:rPr>
                <w:sz w:val="14"/>
                <w:szCs w:val="14"/>
                <w:color w:val="auto"/>
              </w:rPr>
            </w:pPr>
          </w:p>
        </w:tc>
        <w:tc>
          <w:tcPr>
            <w:tcW w:w="940" w:type="dxa"/>
            <w:vAlign w:val="bottom"/>
            <w:gridSpan w:val="2"/>
            <w:shd w:val="clear" w:color="auto" w:fill="B8CDE8"/>
          </w:tcPr>
          <w:p>
            <w:pPr>
              <w:ind w:left="6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B8CDE8"/>
          </w:tcPr>
          <w:p>
            <w:pPr>
              <w:spacing w:after="0"/>
              <w:rPr>
                <w:sz w:val="14"/>
                <w:szCs w:val="14"/>
                <w:color w:val="auto"/>
              </w:rPr>
            </w:pPr>
          </w:p>
        </w:tc>
        <w:tc>
          <w:tcPr>
            <w:tcW w:w="260" w:type="dxa"/>
            <w:vAlign w:val="bottom"/>
            <w:gridSpan w:val="2"/>
            <w:shd w:val="clear" w:color="auto" w:fill="B8CDE8"/>
          </w:tcPr>
          <w:p>
            <w:pPr>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B8CDE8"/>
          </w:tcPr>
          <w:p>
            <w:pPr>
              <w:jc w:val="right"/>
              <w:ind w:right="1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B8CDE8"/>
          </w:tcPr>
          <w:p>
            <w:pPr>
              <w:ind w:left="76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B8CDE8"/>
          </w:tcPr>
          <w:p>
            <w:pPr>
              <w:ind w:left="1100"/>
              <w:spacing w:after="0"/>
              <w:rPr>
                <w:sz w:val="20"/>
                <w:szCs w:val="20"/>
                <w:color w:val="auto"/>
              </w:rPr>
            </w:pPr>
            <w:r>
              <w:rPr>
                <w:rFonts w:ascii="Arial" w:cs="Arial" w:eastAsia="Arial" w:hAnsi="Arial"/>
                <w:sz w:val="14"/>
                <w:szCs w:val="14"/>
                <w:color w:val="auto"/>
              </w:rPr>
              <w:t>—</w:t>
            </w: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3" w:right="2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62"/>
        </w:trPr>
        <w:tc>
          <w:tcPr>
            <w:tcW w:w="23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58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8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4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9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Termination</w:t>
            </w:r>
          </w:p>
        </w:tc>
        <w:tc>
          <w:tcPr>
            <w:tcW w:w="13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w w:val="99"/>
              </w:rPr>
              <w:t>Termination</w:t>
            </w: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Termination</w:t>
            </w:r>
          </w:p>
        </w:tc>
      </w:tr>
      <w:tr>
        <w:trPr>
          <w:trHeight w:val="162"/>
        </w:trPr>
        <w:tc>
          <w:tcPr>
            <w:tcW w:w="23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58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8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4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9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Without</w:t>
            </w:r>
          </w:p>
        </w:tc>
        <w:tc>
          <w:tcPr>
            <w:tcW w:w="13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for Good</w:t>
            </w: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Without Cause</w:t>
            </w:r>
          </w:p>
        </w:tc>
      </w:tr>
      <w:tr>
        <w:trPr>
          <w:trHeight w:val="162"/>
        </w:trPr>
        <w:tc>
          <w:tcPr>
            <w:tcW w:w="23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58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8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16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Expiration</w:t>
            </w:r>
          </w:p>
        </w:tc>
        <w:tc>
          <w:tcPr>
            <w:tcW w:w="10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9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w w:val="99"/>
              </w:rPr>
              <w:t>Cause</w:t>
            </w:r>
          </w:p>
        </w:tc>
        <w:tc>
          <w:tcPr>
            <w:tcW w:w="13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Reason</w:t>
            </w:r>
          </w:p>
        </w:tc>
        <w:tc>
          <w:tcPr>
            <w:tcW w:w="1360" w:type="dxa"/>
            <w:vAlign w:val="bottom"/>
            <w:gridSpan w:val="2"/>
            <w:shd w:val="clear" w:color="auto" w:fill="5591C7"/>
          </w:tcPr>
          <w:p>
            <w:pPr>
              <w:jc w:val="center"/>
              <w:ind w:right="80"/>
              <w:spacing w:after="0"/>
              <w:rPr>
                <w:sz w:val="20"/>
                <w:szCs w:val="20"/>
                <w:color w:val="auto"/>
              </w:rPr>
            </w:pPr>
            <w:r>
              <w:rPr>
                <w:rFonts w:ascii="Arial" w:cs="Arial" w:eastAsia="Arial" w:hAnsi="Arial"/>
                <w:sz w:val="14"/>
                <w:szCs w:val="14"/>
                <w:b w:val="1"/>
                <w:bCs w:val="1"/>
                <w:color w:val="auto"/>
              </w:rPr>
              <w:t>in Specific</w:t>
            </w:r>
          </w:p>
        </w:tc>
      </w:tr>
      <w:tr>
        <w:trPr>
          <w:trHeight w:val="162"/>
        </w:trPr>
        <w:tc>
          <w:tcPr>
            <w:tcW w:w="23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58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8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16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of the</w:t>
            </w:r>
          </w:p>
        </w:tc>
        <w:tc>
          <w:tcPr>
            <w:tcW w:w="11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Termination</w:t>
            </w:r>
          </w:p>
        </w:tc>
        <w:tc>
          <w:tcPr>
            <w:tcW w:w="100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Change</w:t>
            </w: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Following</w:t>
            </w:r>
          </w:p>
        </w:tc>
        <w:tc>
          <w:tcPr>
            <w:tcW w:w="13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Following</w:t>
            </w: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Contemplation</w:t>
            </w:r>
          </w:p>
        </w:tc>
      </w:tr>
      <w:tr>
        <w:trPr>
          <w:trHeight w:val="162"/>
        </w:trPr>
        <w:tc>
          <w:tcPr>
            <w:tcW w:w="23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58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8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16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Employment</w:t>
            </w:r>
          </w:p>
        </w:tc>
        <w:tc>
          <w:tcPr>
            <w:tcW w:w="11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Without</w:t>
            </w:r>
          </w:p>
        </w:tc>
        <w:tc>
          <w:tcPr>
            <w:tcW w:w="100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in</w:t>
            </w: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Change in</w:t>
            </w:r>
          </w:p>
        </w:tc>
        <w:tc>
          <w:tcPr>
            <w:tcW w:w="13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Change in</w:t>
            </w: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of Change in</w:t>
            </w:r>
          </w:p>
        </w:tc>
      </w:tr>
      <w:tr>
        <w:trPr>
          <w:trHeight w:val="162"/>
        </w:trPr>
        <w:tc>
          <w:tcPr>
            <w:tcW w:w="2300" w:type="dxa"/>
            <w:vAlign w:val="bottom"/>
            <w:shd w:val="clear" w:color="auto" w:fill="5591C7"/>
          </w:tcPr>
          <w:p>
            <w:pPr>
              <w:ind w:left="620"/>
              <w:spacing w:after="0"/>
              <w:rPr>
                <w:sz w:val="20"/>
                <w:szCs w:val="20"/>
                <w:color w:val="auto"/>
              </w:rPr>
            </w:pPr>
            <w:r>
              <w:rPr>
                <w:rFonts w:ascii="Arial" w:cs="Arial" w:eastAsia="Arial" w:hAnsi="Arial"/>
                <w:sz w:val="14"/>
                <w:szCs w:val="14"/>
                <w:b w:val="1"/>
                <w:bCs w:val="1"/>
                <w:color w:val="auto"/>
              </w:rPr>
              <w:t>Payments upon</w:t>
            </w:r>
          </w:p>
        </w:tc>
        <w:tc>
          <w:tcPr>
            <w:tcW w:w="120" w:type="dxa"/>
            <w:vAlign w:val="bottom"/>
            <w:shd w:val="clear" w:color="auto" w:fill="5591C7"/>
          </w:tcPr>
          <w:p>
            <w:pPr>
              <w:spacing w:after="0"/>
              <w:rPr>
                <w:sz w:val="14"/>
                <w:szCs w:val="14"/>
                <w:color w:val="auto"/>
              </w:rPr>
            </w:pPr>
          </w:p>
        </w:tc>
        <w:tc>
          <w:tcPr>
            <w:tcW w:w="58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Death</w:t>
            </w:r>
          </w:p>
        </w:tc>
        <w:tc>
          <w:tcPr>
            <w:tcW w:w="120" w:type="dxa"/>
            <w:vAlign w:val="bottom"/>
            <w:shd w:val="clear" w:color="auto" w:fill="5591C7"/>
          </w:tcPr>
          <w:p>
            <w:pPr>
              <w:spacing w:after="0"/>
              <w:rPr>
                <w:sz w:val="14"/>
                <w:szCs w:val="14"/>
                <w:color w:val="auto"/>
              </w:rPr>
            </w:pPr>
          </w:p>
        </w:tc>
        <w:tc>
          <w:tcPr>
            <w:tcW w:w="9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Disability</w:t>
            </w:r>
          </w:p>
        </w:tc>
        <w:tc>
          <w:tcPr>
            <w:tcW w:w="116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Terms</w:t>
            </w:r>
          </w:p>
        </w:tc>
        <w:tc>
          <w:tcPr>
            <w:tcW w:w="11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Cause</w:t>
            </w:r>
          </w:p>
        </w:tc>
        <w:tc>
          <w:tcPr>
            <w:tcW w:w="100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Control</w:t>
            </w: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Control</w:t>
            </w:r>
          </w:p>
        </w:tc>
        <w:tc>
          <w:tcPr>
            <w:tcW w:w="13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Control</w:t>
            </w: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Control</w:t>
            </w:r>
          </w:p>
        </w:tc>
      </w:tr>
      <w:tr>
        <w:trPr>
          <w:trHeight w:val="182"/>
        </w:trPr>
        <w:tc>
          <w:tcPr>
            <w:tcW w:w="2300" w:type="dxa"/>
            <w:vAlign w:val="bottom"/>
            <w:shd w:val="clear" w:color="auto" w:fill="5591C7"/>
          </w:tcPr>
          <w:p>
            <w:pPr>
              <w:ind w:left="740"/>
              <w:spacing w:after="0"/>
              <w:rPr>
                <w:sz w:val="20"/>
                <w:szCs w:val="20"/>
                <w:color w:val="auto"/>
              </w:rPr>
            </w:pPr>
            <w:r>
              <w:rPr>
                <w:rFonts w:ascii="Arial" w:cs="Arial" w:eastAsia="Arial" w:hAnsi="Arial"/>
                <w:sz w:val="14"/>
                <w:szCs w:val="14"/>
                <w:b w:val="1"/>
                <w:bCs w:val="1"/>
                <w:color w:val="auto"/>
              </w:rPr>
              <w:t>Termination</w:t>
            </w:r>
          </w:p>
        </w:tc>
        <w:tc>
          <w:tcPr>
            <w:tcW w:w="700" w:type="dxa"/>
            <w:vAlign w:val="bottom"/>
            <w:gridSpan w:val="2"/>
            <w:shd w:val="clear" w:color="auto" w:fill="5591C7"/>
          </w:tcPr>
          <w:p>
            <w:pPr>
              <w:jc w:val="right"/>
              <w:ind w:right="128"/>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shd w:val="clear" w:color="auto" w:fill="5591C7"/>
          </w:tcPr>
          <w:p>
            <w:pPr>
              <w:jc w:val="right"/>
              <w:ind w:right="24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5591C7"/>
          </w:tcPr>
          <w:p>
            <w:pPr>
              <w:spacing w:after="0"/>
              <w:rPr>
                <w:sz w:val="15"/>
                <w:szCs w:val="15"/>
                <w:color w:val="auto"/>
              </w:rPr>
            </w:pPr>
          </w:p>
        </w:tc>
        <w:tc>
          <w:tcPr>
            <w:tcW w:w="104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shd w:val="clear" w:color="auto" w:fill="5591C7"/>
          </w:tcPr>
          <w:p>
            <w:pPr>
              <w:spacing w:after="0"/>
              <w:rPr>
                <w:sz w:val="15"/>
                <w:szCs w:val="15"/>
                <w:color w:val="auto"/>
              </w:rPr>
            </w:pPr>
          </w:p>
        </w:tc>
        <w:tc>
          <w:tcPr>
            <w:tcW w:w="102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5591C7"/>
          </w:tcPr>
          <w:p>
            <w:pPr>
              <w:spacing w:after="0"/>
              <w:rPr>
                <w:sz w:val="15"/>
                <w:szCs w:val="15"/>
                <w:color w:val="auto"/>
              </w:rPr>
            </w:pPr>
          </w:p>
        </w:tc>
        <w:tc>
          <w:tcPr>
            <w:tcW w:w="90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5591C7"/>
          </w:tcPr>
          <w:p>
            <w:pPr>
              <w:spacing w:after="0"/>
              <w:rPr>
                <w:sz w:val="15"/>
                <w:szCs w:val="15"/>
                <w:color w:val="auto"/>
              </w:rPr>
            </w:pPr>
          </w:p>
        </w:tc>
        <w:tc>
          <w:tcPr>
            <w:tcW w:w="126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5591C7"/>
          </w:tcPr>
          <w:p>
            <w:pPr>
              <w:spacing w:after="0"/>
              <w:rPr>
                <w:sz w:val="15"/>
                <w:szCs w:val="15"/>
                <w:color w:val="auto"/>
              </w:rPr>
            </w:pPr>
          </w:p>
        </w:tc>
        <w:tc>
          <w:tcPr>
            <w:tcW w:w="124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shd w:val="clear" w:color="auto" w:fill="5591C7"/>
          </w:tcPr>
          <w:p>
            <w:pPr>
              <w:spacing w:after="0"/>
              <w:rPr>
                <w:sz w:val="15"/>
                <w:szCs w:val="15"/>
                <w:color w:val="auto"/>
              </w:rPr>
            </w:pPr>
          </w:p>
        </w:tc>
        <w:tc>
          <w:tcPr>
            <w:tcW w:w="1260" w:type="dxa"/>
            <w:vAlign w:val="bottom"/>
            <w:shd w:val="clear" w:color="auto" w:fill="5591C7"/>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5591C7"/>
          </w:tcPr>
          <w:p>
            <w:pPr>
              <w:spacing w:after="0"/>
              <w:rPr>
                <w:sz w:val="15"/>
                <w:szCs w:val="15"/>
                <w:color w:val="auto"/>
              </w:rPr>
            </w:pPr>
          </w:p>
        </w:tc>
      </w:tr>
      <w:tr>
        <w:trPr>
          <w:trHeight w:val="180"/>
        </w:trPr>
        <w:tc>
          <w:tcPr>
            <w:tcW w:w="23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Restricted stock units (unvested</w:t>
            </w:r>
          </w:p>
        </w:tc>
        <w:tc>
          <w:tcPr>
            <w:tcW w:w="120" w:type="dxa"/>
            <w:vAlign w:val="bottom"/>
            <w:tcBorders>
              <w:top w:val="single" w:sz="8" w:color="5591C7"/>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20" w:type="dxa"/>
            <w:vAlign w:val="bottom"/>
            <w:tcBorders>
              <w:top w:val="single" w:sz="8" w:color="5591C7"/>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20" w:type="dxa"/>
            <w:vAlign w:val="bottom"/>
            <w:tcBorders>
              <w:top w:val="single" w:sz="8" w:color="5591C7"/>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Borders>
              <w:top w:val="single" w:sz="8" w:color="5591C7"/>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Borders>
              <w:top w:val="single" w:sz="8" w:color="5591C7"/>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Borders>
              <w:top w:val="single" w:sz="8" w:color="5591C7"/>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00" w:type="dxa"/>
            <w:vAlign w:val="bottom"/>
            <w:tcBorders>
              <w:top w:val="single" w:sz="8" w:color="5591C7"/>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Borders>
              <w:top w:val="single" w:sz="8" w:color="5591C7"/>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00" w:type="dxa"/>
            <w:vAlign w:val="bottom"/>
            <w:tcBorders>
              <w:top w:val="single" w:sz="8" w:color="5591C7"/>
            </w:tcBorders>
          </w:tcPr>
          <w:p>
            <w:pPr>
              <w:spacing w:after="0"/>
              <w:rPr>
                <w:sz w:val="15"/>
                <w:szCs w:val="15"/>
                <w:color w:val="auto"/>
              </w:rPr>
            </w:pPr>
          </w:p>
        </w:tc>
      </w:tr>
      <w:tr>
        <w:trPr>
          <w:trHeight w:val="171"/>
        </w:trPr>
        <w:tc>
          <w:tcPr>
            <w:tcW w:w="2300" w:type="dxa"/>
            <w:vAlign w:val="bottom"/>
          </w:tcPr>
          <w:p>
            <w:pPr>
              <w:ind w:left="160"/>
              <w:spacing w:after="0"/>
              <w:rPr>
                <w:sz w:val="20"/>
                <w:szCs w:val="20"/>
                <w:color w:val="auto"/>
              </w:rPr>
            </w:pPr>
            <w:r>
              <w:rPr>
                <w:rFonts w:ascii="Arial" w:cs="Arial" w:eastAsia="Arial" w:hAnsi="Arial"/>
                <w:sz w:val="14"/>
                <w:szCs w:val="14"/>
                <w:color w:val="auto"/>
              </w:rPr>
              <w:t>and accelerated)</w:t>
            </w:r>
          </w:p>
        </w:tc>
        <w:tc>
          <w:tcPr>
            <w:tcW w:w="120" w:type="dxa"/>
            <w:vAlign w:val="bottom"/>
          </w:tcPr>
          <w:p>
            <w:pPr>
              <w:spacing w:after="0"/>
              <w:rPr>
                <w:sz w:val="14"/>
                <w:szCs w:val="14"/>
                <w:color w:val="auto"/>
              </w:rPr>
            </w:pPr>
          </w:p>
        </w:tc>
        <w:tc>
          <w:tcPr>
            <w:tcW w:w="580" w:type="dxa"/>
            <w:vAlign w:val="bottom"/>
          </w:tcPr>
          <w:p>
            <w:pPr>
              <w:ind w:left="44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4"/>
                <w:szCs w:val="14"/>
                <w:color w:val="auto"/>
              </w:rPr>
            </w:pPr>
          </w:p>
        </w:tc>
        <w:tc>
          <w:tcPr>
            <w:tcW w:w="94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16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114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206,678</w:t>
            </w:r>
          </w:p>
        </w:tc>
        <w:tc>
          <w:tcPr>
            <w:tcW w:w="1260" w:type="dxa"/>
            <w:vAlign w:val="bottom"/>
          </w:tcPr>
          <w:p>
            <w:pPr>
              <w:jc w:val="right"/>
              <w:spacing w:after="0"/>
              <w:rPr>
                <w:sz w:val="20"/>
                <w:szCs w:val="20"/>
                <w:color w:val="auto"/>
              </w:rPr>
            </w:pPr>
            <w:r>
              <w:rPr>
                <w:rFonts w:ascii="Arial" w:cs="Arial" w:eastAsia="Arial" w:hAnsi="Arial"/>
                <w:sz w:val="14"/>
                <w:szCs w:val="14"/>
                <w:color w:val="auto"/>
              </w:rPr>
              <w:t>1,078,320</w:t>
            </w:r>
          </w:p>
        </w:tc>
        <w:tc>
          <w:tcPr>
            <w:tcW w:w="100" w:type="dxa"/>
            <w:vAlign w:val="bottom"/>
          </w:tcPr>
          <w:p>
            <w:pPr>
              <w:spacing w:after="0"/>
              <w:rPr>
                <w:sz w:val="14"/>
                <w:szCs w:val="14"/>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1,078,320</w:t>
            </w: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1,078,320</w:t>
            </w:r>
          </w:p>
        </w:tc>
      </w:tr>
      <w:tr>
        <w:trPr>
          <w:trHeight w:val="180"/>
        </w:trPr>
        <w:tc>
          <w:tcPr>
            <w:tcW w:w="2300" w:type="dxa"/>
            <w:vAlign w:val="bottom"/>
            <w:shd w:val="clear" w:color="auto" w:fill="B8CDE8"/>
          </w:tcPr>
          <w:p>
            <w:pPr>
              <w:spacing w:after="0"/>
              <w:rPr>
                <w:sz w:val="20"/>
                <w:szCs w:val="20"/>
                <w:color w:val="auto"/>
              </w:rPr>
            </w:pPr>
            <w:r>
              <w:rPr>
                <w:rFonts w:ascii="Arial" w:cs="Arial" w:eastAsia="Arial" w:hAnsi="Arial"/>
                <w:sz w:val="14"/>
                <w:szCs w:val="14"/>
                <w:color w:val="auto"/>
              </w:rPr>
              <w:t>Performance restricted stock units</w:t>
            </w:r>
          </w:p>
        </w:tc>
        <w:tc>
          <w:tcPr>
            <w:tcW w:w="120" w:type="dxa"/>
            <w:vAlign w:val="bottom"/>
            <w:shd w:val="clear" w:color="auto" w:fill="B8CDE8"/>
          </w:tcPr>
          <w:p>
            <w:pPr>
              <w:spacing w:after="0"/>
              <w:rPr>
                <w:sz w:val="15"/>
                <w:szCs w:val="15"/>
                <w:color w:val="auto"/>
              </w:rPr>
            </w:pPr>
          </w:p>
        </w:tc>
        <w:tc>
          <w:tcPr>
            <w:tcW w:w="580" w:type="dxa"/>
            <w:vAlign w:val="bottom"/>
            <w:shd w:val="clear" w:color="auto" w:fill="B8CDE8"/>
          </w:tcPr>
          <w:p>
            <w:pPr>
              <w:spacing w:after="0"/>
              <w:rPr>
                <w:sz w:val="15"/>
                <w:szCs w:val="15"/>
                <w:color w:val="auto"/>
              </w:rPr>
            </w:pPr>
          </w:p>
        </w:tc>
        <w:tc>
          <w:tcPr>
            <w:tcW w:w="120" w:type="dxa"/>
            <w:vAlign w:val="bottom"/>
            <w:shd w:val="clear" w:color="auto" w:fill="B8CDE8"/>
          </w:tcPr>
          <w:p>
            <w:pPr>
              <w:spacing w:after="0"/>
              <w:rPr>
                <w:sz w:val="15"/>
                <w:szCs w:val="15"/>
                <w:color w:val="auto"/>
              </w:rPr>
            </w:pPr>
          </w:p>
        </w:tc>
        <w:tc>
          <w:tcPr>
            <w:tcW w:w="820" w:type="dxa"/>
            <w:vAlign w:val="bottom"/>
            <w:shd w:val="clear" w:color="auto" w:fill="B8CDE8"/>
          </w:tcPr>
          <w:p>
            <w:pPr>
              <w:spacing w:after="0"/>
              <w:rPr>
                <w:sz w:val="15"/>
                <w:szCs w:val="15"/>
                <w:color w:val="auto"/>
              </w:rPr>
            </w:pPr>
          </w:p>
        </w:tc>
        <w:tc>
          <w:tcPr>
            <w:tcW w:w="120" w:type="dxa"/>
            <w:vAlign w:val="bottom"/>
            <w:shd w:val="clear" w:color="auto" w:fill="B8CDE8"/>
          </w:tcPr>
          <w:p>
            <w:pPr>
              <w:spacing w:after="0"/>
              <w:rPr>
                <w:sz w:val="15"/>
                <w:szCs w:val="15"/>
                <w:color w:val="auto"/>
              </w:rPr>
            </w:pPr>
          </w:p>
        </w:tc>
        <w:tc>
          <w:tcPr>
            <w:tcW w:w="1040" w:type="dxa"/>
            <w:vAlign w:val="bottom"/>
            <w:shd w:val="clear" w:color="auto" w:fill="B8CDE8"/>
          </w:tcPr>
          <w:p>
            <w:pPr>
              <w:spacing w:after="0"/>
              <w:rPr>
                <w:sz w:val="15"/>
                <w:szCs w:val="15"/>
                <w:color w:val="auto"/>
              </w:rPr>
            </w:pPr>
          </w:p>
        </w:tc>
        <w:tc>
          <w:tcPr>
            <w:tcW w:w="120" w:type="dxa"/>
            <w:vAlign w:val="bottom"/>
            <w:shd w:val="clear" w:color="auto" w:fill="B8CDE8"/>
          </w:tcPr>
          <w:p>
            <w:pPr>
              <w:spacing w:after="0"/>
              <w:rPr>
                <w:sz w:val="15"/>
                <w:szCs w:val="15"/>
                <w:color w:val="auto"/>
              </w:rPr>
            </w:pPr>
          </w:p>
        </w:tc>
        <w:tc>
          <w:tcPr>
            <w:tcW w:w="1020" w:type="dxa"/>
            <w:vAlign w:val="bottom"/>
            <w:shd w:val="clear" w:color="auto" w:fill="B8CDE8"/>
          </w:tcPr>
          <w:p>
            <w:pPr>
              <w:spacing w:after="0"/>
              <w:rPr>
                <w:sz w:val="15"/>
                <w:szCs w:val="15"/>
                <w:color w:val="auto"/>
              </w:rPr>
            </w:pPr>
          </w:p>
        </w:tc>
        <w:tc>
          <w:tcPr>
            <w:tcW w:w="120" w:type="dxa"/>
            <w:vAlign w:val="bottom"/>
            <w:shd w:val="clear" w:color="auto" w:fill="B8CDE8"/>
          </w:tcPr>
          <w:p>
            <w:pPr>
              <w:spacing w:after="0"/>
              <w:rPr>
                <w:sz w:val="15"/>
                <w:szCs w:val="15"/>
                <w:color w:val="auto"/>
              </w:rPr>
            </w:pPr>
          </w:p>
        </w:tc>
        <w:tc>
          <w:tcPr>
            <w:tcW w:w="900" w:type="dxa"/>
            <w:vAlign w:val="bottom"/>
            <w:shd w:val="clear" w:color="auto" w:fill="B8CDE8"/>
          </w:tcPr>
          <w:p>
            <w:pPr>
              <w:spacing w:after="0"/>
              <w:rPr>
                <w:sz w:val="15"/>
                <w:szCs w:val="15"/>
                <w:color w:val="auto"/>
              </w:rPr>
            </w:pPr>
          </w:p>
        </w:tc>
        <w:tc>
          <w:tcPr>
            <w:tcW w:w="100" w:type="dxa"/>
            <w:vAlign w:val="bottom"/>
            <w:shd w:val="clear" w:color="auto" w:fill="B8CDE8"/>
          </w:tcPr>
          <w:p>
            <w:pPr>
              <w:spacing w:after="0"/>
              <w:rPr>
                <w:sz w:val="15"/>
                <w:szCs w:val="15"/>
                <w:color w:val="auto"/>
              </w:rPr>
            </w:pPr>
          </w:p>
        </w:tc>
        <w:tc>
          <w:tcPr>
            <w:tcW w:w="1260" w:type="dxa"/>
            <w:vAlign w:val="bottom"/>
            <w:shd w:val="clear" w:color="auto" w:fill="B8CDE8"/>
          </w:tcPr>
          <w:p>
            <w:pPr>
              <w:spacing w:after="0"/>
              <w:rPr>
                <w:sz w:val="15"/>
                <w:szCs w:val="15"/>
                <w:color w:val="auto"/>
              </w:rPr>
            </w:pPr>
          </w:p>
        </w:tc>
        <w:tc>
          <w:tcPr>
            <w:tcW w:w="100" w:type="dxa"/>
            <w:vAlign w:val="bottom"/>
            <w:shd w:val="clear" w:color="auto" w:fill="B8CDE8"/>
          </w:tcPr>
          <w:p>
            <w:pPr>
              <w:spacing w:after="0"/>
              <w:rPr>
                <w:sz w:val="15"/>
                <w:szCs w:val="15"/>
                <w:color w:val="auto"/>
              </w:rPr>
            </w:pPr>
          </w:p>
        </w:tc>
        <w:tc>
          <w:tcPr>
            <w:tcW w:w="1240" w:type="dxa"/>
            <w:vAlign w:val="bottom"/>
            <w:shd w:val="clear" w:color="auto" w:fill="B8CDE8"/>
          </w:tcPr>
          <w:p>
            <w:pPr>
              <w:spacing w:after="0"/>
              <w:rPr>
                <w:sz w:val="15"/>
                <w:szCs w:val="15"/>
                <w:color w:val="auto"/>
              </w:rPr>
            </w:pPr>
          </w:p>
        </w:tc>
        <w:tc>
          <w:tcPr>
            <w:tcW w:w="100" w:type="dxa"/>
            <w:vAlign w:val="bottom"/>
            <w:shd w:val="clear" w:color="auto" w:fill="B8CDE8"/>
          </w:tcPr>
          <w:p>
            <w:pPr>
              <w:spacing w:after="0"/>
              <w:rPr>
                <w:sz w:val="15"/>
                <w:szCs w:val="15"/>
                <w:color w:val="auto"/>
              </w:rPr>
            </w:pPr>
          </w:p>
        </w:tc>
        <w:tc>
          <w:tcPr>
            <w:tcW w:w="1260" w:type="dxa"/>
            <w:vAlign w:val="bottom"/>
            <w:shd w:val="clear" w:color="auto" w:fill="B8CDE8"/>
          </w:tcPr>
          <w:p>
            <w:pPr>
              <w:spacing w:after="0"/>
              <w:rPr>
                <w:sz w:val="15"/>
                <w:szCs w:val="15"/>
                <w:color w:val="auto"/>
              </w:rPr>
            </w:pPr>
          </w:p>
        </w:tc>
        <w:tc>
          <w:tcPr>
            <w:tcW w:w="100" w:type="dxa"/>
            <w:vAlign w:val="bottom"/>
            <w:shd w:val="clear" w:color="auto" w:fill="B8CDE8"/>
          </w:tcPr>
          <w:p>
            <w:pPr>
              <w:spacing w:after="0"/>
              <w:rPr>
                <w:sz w:val="15"/>
                <w:szCs w:val="15"/>
                <w:color w:val="auto"/>
              </w:rPr>
            </w:pPr>
          </w:p>
        </w:tc>
      </w:tr>
      <w:tr>
        <w:trPr>
          <w:trHeight w:val="171"/>
        </w:trPr>
        <w:tc>
          <w:tcPr>
            <w:tcW w:w="2300" w:type="dxa"/>
            <w:vAlign w:val="bottom"/>
            <w:shd w:val="clear" w:color="auto" w:fill="B8CDE8"/>
          </w:tcPr>
          <w:p>
            <w:pPr>
              <w:ind w:left="160"/>
              <w:spacing w:after="0"/>
              <w:rPr>
                <w:sz w:val="20"/>
                <w:szCs w:val="20"/>
                <w:color w:val="auto"/>
              </w:rPr>
            </w:pPr>
            <w:r>
              <w:rPr>
                <w:rFonts w:ascii="Arial" w:cs="Arial" w:eastAsia="Arial" w:hAnsi="Arial"/>
                <w:sz w:val="14"/>
                <w:szCs w:val="14"/>
                <w:color w:val="auto"/>
              </w:rPr>
              <w:t>(unvested and accelerated)</w:t>
            </w:r>
          </w:p>
        </w:tc>
        <w:tc>
          <w:tcPr>
            <w:tcW w:w="120" w:type="dxa"/>
            <w:vAlign w:val="bottom"/>
            <w:shd w:val="clear" w:color="auto" w:fill="B8CDE8"/>
          </w:tcPr>
          <w:p>
            <w:pPr>
              <w:spacing w:after="0"/>
              <w:rPr>
                <w:sz w:val="14"/>
                <w:szCs w:val="14"/>
                <w:color w:val="auto"/>
              </w:rPr>
            </w:pPr>
          </w:p>
        </w:tc>
        <w:tc>
          <w:tcPr>
            <w:tcW w:w="580" w:type="dxa"/>
            <w:vAlign w:val="bottom"/>
            <w:shd w:val="clear" w:color="auto" w:fill="B8CDE8"/>
          </w:tcPr>
          <w:p>
            <w:pPr>
              <w:ind w:left="440"/>
              <w:spacing w:after="0"/>
              <w:rPr>
                <w:sz w:val="20"/>
                <w:szCs w:val="20"/>
                <w:color w:val="auto"/>
              </w:rPr>
            </w:pPr>
            <w:r>
              <w:rPr>
                <w:rFonts w:ascii="Arial" w:cs="Arial" w:eastAsia="Arial" w:hAnsi="Arial"/>
                <w:sz w:val="14"/>
                <w:szCs w:val="14"/>
                <w:color w:val="auto"/>
                <w:w w:val="85"/>
              </w:rPr>
              <w:t>—</w:t>
            </w:r>
          </w:p>
        </w:tc>
        <w:tc>
          <w:tcPr>
            <w:tcW w:w="120" w:type="dxa"/>
            <w:vAlign w:val="bottom"/>
            <w:shd w:val="clear" w:color="auto" w:fill="B8CDE8"/>
          </w:tcPr>
          <w:p>
            <w:pPr>
              <w:spacing w:after="0"/>
              <w:rPr>
                <w:sz w:val="14"/>
                <w:szCs w:val="14"/>
                <w:color w:val="auto"/>
              </w:rPr>
            </w:pPr>
          </w:p>
        </w:tc>
        <w:tc>
          <w:tcPr>
            <w:tcW w:w="940" w:type="dxa"/>
            <w:vAlign w:val="bottom"/>
            <w:gridSpan w:val="2"/>
            <w:shd w:val="clear" w:color="auto" w:fill="B8CDE8"/>
          </w:tcPr>
          <w:p>
            <w:pPr>
              <w:ind w:left="68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B8CDE8"/>
          </w:tcPr>
          <w:p>
            <w:pPr>
              <w:ind w:left="90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B8CDE8"/>
          </w:tcPr>
          <w:p>
            <w:pPr>
              <w:ind w:left="88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179,720</w:t>
            </w:r>
          </w:p>
        </w:tc>
        <w:tc>
          <w:tcPr>
            <w:tcW w:w="136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269,580</w:t>
            </w:r>
          </w:p>
        </w:tc>
        <w:tc>
          <w:tcPr>
            <w:tcW w:w="134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269,580</w:t>
            </w:r>
          </w:p>
        </w:tc>
        <w:tc>
          <w:tcPr>
            <w:tcW w:w="136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269,580</w:t>
            </w:r>
          </w:p>
        </w:tc>
      </w:tr>
    </w:tbl>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Henry Schweppe</w:t>
      </w:r>
    </w:p>
    <w:p>
      <w:pPr>
        <w:spacing w:after="0" w:line="216"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following section describes Mr. Schweppe’s employment agreement in effect while he was employed. If Mr. Schweppe’s employment with the Company was terminated by the Company without “cause” (other than due to death or disability) or by Mr. Schweppe for “good reason” (both “cause” and “good reason” as defined above), Mr. Schweppe will receive a cash severance payment equal to 12 months base salary, payable in accordance with the Company’s regular payroll practices.</w:t>
      </w:r>
    </w:p>
    <w:p>
      <w:pPr>
        <w:spacing w:after="0" w:line="188" w:lineRule="exact"/>
        <w:rPr>
          <w:sz w:val="20"/>
          <w:szCs w:val="20"/>
          <w:color w:val="auto"/>
        </w:rPr>
      </w:pPr>
    </w:p>
    <w:p>
      <w:pPr>
        <w:ind w:right="240" w:firstLine="648"/>
        <w:spacing w:after="0" w:line="246" w:lineRule="auto"/>
        <w:rPr>
          <w:sz w:val="20"/>
          <w:szCs w:val="20"/>
          <w:color w:val="auto"/>
        </w:rPr>
      </w:pPr>
      <w:r>
        <w:rPr>
          <w:rFonts w:ascii="Arial" w:cs="Arial" w:eastAsia="Arial" w:hAnsi="Arial"/>
          <w:sz w:val="18"/>
          <w:szCs w:val="18"/>
          <w:color w:val="auto"/>
        </w:rPr>
        <w:t>On a “change in control” (as defined in the 2006 Plan or 2015 Plan, as applicable), Mr. Schweppe’s outstanding equity awards would have vested as described below:</w:t>
      </w:r>
    </w:p>
    <w:p>
      <w:pPr>
        <w:spacing w:after="0" w:line="165" w:lineRule="exact"/>
        <w:rPr>
          <w:sz w:val="20"/>
          <w:szCs w:val="20"/>
          <w:color w:val="auto"/>
        </w:rPr>
      </w:pPr>
    </w:p>
    <w:p>
      <w:pPr>
        <w:ind w:left="1300" w:right="60" w:hanging="320"/>
        <w:spacing w:after="0" w:line="245" w:lineRule="auto"/>
        <w:tabs>
          <w:tab w:leader="none" w:pos="1300"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Time-Vested RSUs</w:t>
      </w:r>
      <w:r>
        <w:rPr>
          <w:rFonts w:ascii="Arial" w:cs="Arial" w:eastAsia="Arial" w:hAnsi="Arial"/>
          <w:sz w:val="18"/>
          <w:szCs w:val="18"/>
          <w:color w:val="auto"/>
        </w:rPr>
        <w:t>: If a change in control occurs prior to the end of the performance period, Mr. Schweppe’s Time-Vested</w:t>
      </w:r>
      <w:r>
        <w:rPr>
          <w:rFonts w:ascii="Arial" w:cs="Arial" w:eastAsia="Arial" w:hAnsi="Arial"/>
          <w:sz w:val="18"/>
          <w:szCs w:val="18"/>
          <w:i w:val="1"/>
          <w:iCs w:val="1"/>
          <w:color w:val="auto"/>
        </w:rPr>
        <w:t xml:space="preserve"> </w:t>
      </w:r>
      <w:r>
        <w:rPr>
          <w:rFonts w:ascii="Arial" w:cs="Arial" w:eastAsia="Arial" w:hAnsi="Arial"/>
          <w:sz w:val="18"/>
          <w:szCs w:val="18"/>
          <w:color w:val="auto"/>
        </w:rPr>
        <w:t>RSUs will be advanced by one year. In addition, all of Mr. Schweppe’s outstanding Time-Vested RSUs will become fully vested if, following or in specific contemplation of a change in control, he is terminated without cause or, following a change in control, he voluntarily terminates his employment for good reason.</w:t>
      </w:r>
    </w:p>
    <w:p>
      <w:pPr>
        <w:spacing w:after="0" w:line="167" w:lineRule="exact"/>
        <w:rPr>
          <w:rFonts w:ascii="Arial" w:cs="Arial" w:eastAsia="Arial" w:hAnsi="Arial"/>
          <w:sz w:val="18"/>
          <w:szCs w:val="18"/>
          <w:color w:val="auto"/>
        </w:rPr>
      </w:pPr>
    </w:p>
    <w:p>
      <w:pPr>
        <w:ind w:left="1300" w:right="60" w:hanging="320"/>
        <w:spacing w:after="0" w:line="242" w:lineRule="auto"/>
        <w:tabs>
          <w:tab w:leader="none" w:pos="1300"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Revenue-Linked PRSUs</w:t>
      </w:r>
      <w:r>
        <w:rPr>
          <w:rFonts w:ascii="Arial" w:cs="Arial" w:eastAsia="Arial" w:hAnsi="Arial"/>
          <w:sz w:val="18"/>
          <w:szCs w:val="18"/>
          <w:color w:val="auto"/>
        </w:rPr>
        <w:t>: If a change in control occurs prior to the end of the performance period, 100% of Mr. Schweppe’s</w:t>
      </w:r>
      <w:r>
        <w:rPr>
          <w:rFonts w:ascii="Arial" w:cs="Arial" w:eastAsia="Arial" w:hAnsi="Arial"/>
          <w:sz w:val="18"/>
          <w:szCs w:val="18"/>
          <w:i w:val="1"/>
          <w:iCs w:val="1"/>
          <w:color w:val="auto"/>
        </w:rPr>
        <w:t xml:space="preserve"> </w:t>
      </w:r>
      <w:r>
        <w:rPr>
          <w:rFonts w:ascii="Arial" w:cs="Arial" w:eastAsia="Arial" w:hAnsi="Arial"/>
          <w:sz w:val="18"/>
          <w:szCs w:val="18"/>
          <w:color w:val="auto"/>
        </w:rPr>
        <w:t>Revenue-Linked PRSUs will be deemed earned, will be subject to a new three year installment vesting schedule and will be advanced by one year under such schedule. In addition, all of Mr. Schweppe’s outstanding Revenue-Linked PRSUs will become fully vested if, following or in specific contemplation of a change in control, he is terminated without cause or, following a change in control, he voluntarily terminates his employment for good reason.</w:t>
      </w:r>
    </w:p>
    <w:p>
      <w:pPr>
        <w:spacing w:after="0" w:line="171" w:lineRule="exact"/>
        <w:rPr>
          <w:rFonts w:ascii="Arial" w:cs="Arial" w:eastAsia="Arial" w:hAnsi="Arial"/>
          <w:sz w:val="18"/>
          <w:szCs w:val="18"/>
          <w:color w:val="auto"/>
        </w:rPr>
      </w:pPr>
    </w:p>
    <w:p>
      <w:pPr>
        <w:ind w:left="1300" w:right="60" w:hanging="320"/>
        <w:spacing w:after="0" w:line="241" w:lineRule="auto"/>
        <w:tabs>
          <w:tab w:leader="none" w:pos="1300"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Relative TSR-Linked PRSUs</w:t>
      </w:r>
      <w:r>
        <w:rPr>
          <w:rFonts w:ascii="Arial" w:cs="Arial" w:eastAsia="Arial" w:hAnsi="Arial"/>
          <w:sz w:val="18"/>
          <w:szCs w:val="18"/>
          <w:color w:val="auto"/>
        </w:rPr>
        <w:t>: If a change in control occurs on or prior to the first anniversary of the grant date, 100% of Mr.</w:t>
      </w:r>
      <w:r>
        <w:rPr>
          <w:rFonts w:ascii="Arial" w:cs="Arial" w:eastAsia="Arial" w:hAnsi="Arial"/>
          <w:sz w:val="18"/>
          <w:szCs w:val="18"/>
          <w:i w:val="1"/>
          <w:iCs w:val="1"/>
          <w:color w:val="auto"/>
        </w:rPr>
        <w:t xml:space="preserve"> </w:t>
      </w:r>
      <w:r>
        <w:rPr>
          <w:rFonts w:ascii="Arial" w:cs="Arial" w:eastAsia="Arial" w:hAnsi="Arial"/>
          <w:sz w:val="18"/>
          <w:szCs w:val="18"/>
          <w:color w:val="auto"/>
        </w:rPr>
        <w:t>Schweppe’s Relative TSR-Linked PRSUs will be deemed earned. If a change in control occurs after the first anniversary of the grant date, the performance period will be deemed to end on the date of the change in control and the Compensation Committee shall determine the number of earned Relative TSR-Linked PRSUs based on the TSR of the Company and the peer group as of such date. In either scenario, the Relative TSR-Linked PRSUs that are deemed earned will be subject to a new three year installment vesting schedule and will be advanced by one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72" w:name="page73"/>
    <w:bookmarkEnd w:id="72"/>
    <w:p>
      <w:pPr>
        <w:jc w:val="both"/>
        <w:ind w:left="1300" w:right="80"/>
        <w:spacing w:after="0"/>
        <w:rPr>
          <w:sz w:val="20"/>
          <w:szCs w:val="20"/>
          <w:color w:val="auto"/>
        </w:rPr>
      </w:pPr>
      <w:r>
        <w:rPr>
          <w:rFonts w:ascii="Arial" w:cs="Arial" w:eastAsia="Arial" w:hAnsi="Arial"/>
          <w:sz w:val="18"/>
          <w:szCs w:val="18"/>
          <w:color w:val="auto"/>
        </w:rPr>
        <w:t>year under such schedule. In addition, all of Mr. Schweppe’s outstanding, earned TSR-Linked PRSUs will become fully vested if, following or in specific contemplation of a change in control, he is terminated without cause or, following a change in control, he voluntarily terminates his employment for good reason.</w:t>
      </w:r>
    </w:p>
    <w:p>
      <w:pPr>
        <w:spacing w:after="0" w:line="189"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Mr. Schweppe’s severance payments and termination-related equity acceleration were subject to his execution of a release of claims against us. Mr. Schweppe is subject to confidentiality restrictions at all times, as well as noncompetition, nondisparagement and nonsolicitation restrictions during his employment and for one year thereafter.</w:t>
      </w:r>
    </w:p>
    <w:p>
      <w:pPr>
        <w:spacing w:after="0" w:line="189" w:lineRule="exact"/>
        <w:rPr>
          <w:sz w:val="20"/>
          <w:szCs w:val="20"/>
          <w:color w:val="auto"/>
        </w:rPr>
      </w:pPr>
    </w:p>
    <w:p>
      <w:pPr>
        <w:jc w:val="both"/>
        <w:ind w:right="240" w:firstLine="648"/>
        <w:spacing w:after="0" w:line="246" w:lineRule="auto"/>
        <w:rPr>
          <w:sz w:val="20"/>
          <w:szCs w:val="20"/>
          <w:color w:val="auto"/>
        </w:rPr>
      </w:pPr>
      <w:r>
        <w:rPr>
          <w:rFonts w:ascii="Arial" w:cs="Arial" w:eastAsia="Arial" w:hAnsi="Arial"/>
          <w:sz w:val="18"/>
          <w:szCs w:val="18"/>
          <w:color w:val="auto"/>
        </w:rPr>
        <w:t>In quantifying potential payments for purposes of this disclosure, we have quantified our equity-based payments by using the closing price of our stock on December 31, 2015, which was $44.93.</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Indicative Payouts for Henry Schweppe</w:t>
      </w:r>
    </w:p>
    <w:p>
      <w:pPr>
        <w:spacing w:after="0" w:line="216" w:lineRule="exact"/>
        <w:rPr>
          <w:sz w:val="20"/>
          <w:szCs w:val="20"/>
          <w:color w:val="auto"/>
        </w:rPr>
      </w:pPr>
    </w:p>
    <w:p>
      <w:pPr>
        <w:jc w:val="both"/>
        <w:ind w:right="240" w:firstLine="648"/>
        <w:spacing w:after="0" w:line="261" w:lineRule="auto"/>
        <w:rPr>
          <w:sz w:val="20"/>
          <w:szCs w:val="20"/>
          <w:color w:val="auto"/>
        </w:rPr>
      </w:pPr>
      <w:r>
        <w:rPr>
          <w:rFonts w:ascii="Arial" w:cs="Arial" w:eastAsia="Arial" w:hAnsi="Arial"/>
          <w:sz w:val="17"/>
          <w:szCs w:val="17"/>
          <w:color w:val="auto"/>
        </w:rPr>
        <w:t>Mr. Schweppe’s employment with the Company terminated as of March 18, 2016. However, pursuant to SEC rules we are disclosing certain additional information related to a hypothetical termination as of December 31, 2015. Accordingly, the following table summarizes the amounts payable to Mr. Schweppe upon a change in control or termination of his employment with us on December 31, 2015:</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58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8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4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9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Termination</w:t>
            </w:r>
          </w:p>
        </w:tc>
        <w:tc>
          <w:tcPr>
            <w:tcW w:w="13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w w:val="99"/>
              </w:rPr>
              <w:t>Termination</w:t>
            </w: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Termination</w:t>
            </w:r>
          </w:p>
        </w:tc>
      </w:tr>
      <w:tr>
        <w:trPr>
          <w:trHeight w:val="162"/>
        </w:trPr>
        <w:tc>
          <w:tcPr>
            <w:tcW w:w="23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58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8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04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140" w:type="dxa"/>
            <w:vAlign w:val="bottom"/>
            <w:gridSpan w:val="2"/>
            <w:shd w:val="clear" w:color="auto" w:fill="5591C7"/>
          </w:tcPr>
          <w:p>
            <w:pPr>
              <w:jc w:val="center"/>
              <w:ind w:right="160"/>
              <w:spacing w:after="0"/>
              <w:rPr>
                <w:sz w:val="20"/>
                <w:szCs w:val="20"/>
                <w:color w:val="auto"/>
              </w:rPr>
            </w:pPr>
            <w:r>
              <w:rPr>
                <w:rFonts w:ascii="Arial" w:cs="Arial" w:eastAsia="Arial" w:hAnsi="Arial"/>
                <w:sz w:val="14"/>
                <w:szCs w:val="14"/>
                <w:b w:val="1"/>
                <w:bCs w:val="1"/>
                <w:color w:val="auto"/>
              </w:rPr>
              <w:t>Termination</w:t>
            </w:r>
          </w:p>
        </w:tc>
        <w:tc>
          <w:tcPr>
            <w:tcW w:w="9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Without</w:t>
            </w:r>
          </w:p>
        </w:tc>
        <w:tc>
          <w:tcPr>
            <w:tcW w:w="13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for Good</w:t>
            </w: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Without Cause</w:t>
            </w:r>
          </w:p>
        </w:tc>
      </w:tr>
      <w:tr>
        <w:trPr>
          <w:trHeight w:val="162"/>
        </w:trPr>
        <w:tc>
          <w:tcPr>
            <w:tcW w:w="23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58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8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16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Expiration</w:t>
            </w:r>
          </w:p>
        </w:tc>
        <w:tc>
          <w:tcPr>
            <w:tcW w:w="11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for Good</w:t>
            </w:r>
          </w:p>
        </w:tc>
        <w:tc>
          <w:tcPr>
            <w:tcW w:w="900" w:type="dxa"/>
            <w:vAlign w:val="bottom"/>
            <w:shd w:val="clear" w:color="auto" w:fill="5591C7"/>
          </w:tcPr>
          <w:p>
            <w:pPr>
              <w:spacing w:after="0"/>
              <w:rPr>
                <w:sz w:val="14"/>
                <w:szCs w:val="14"/>
                <w:color w:val="auto"/>
              </w:rPr>
            </w:pPr>
          </w:p>
        </w:tc>
        <w:tc>
          <w:tcPr>
            <w:tcW w:w="100" w:type="dxa"/>
            <w:vAlign w:val="bottom"/>
            <w:shd w:val="clear" w:color="auto" w:fill="5591C7"/>
          </w:tcPr>
          <w:p>
            <w:pPr>
              <w:spacing w:after="0"/>
              <w:rPr>
                <w:sz w:val="14"/>
                <w:szCs w:val="14"/>
                <w:color w:val="auto"/>
              </w:rPr>
            </w:pP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w w:val="99"/>
              </w:rPr>
              <w:t>Cause</w:t>
            </w:r>
          </w:p>
        </w:tc>
        <w:tc>
          <w:tcPr>
            <w:tcW w:w="13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Reason</w:t>
            </w:r>
          </w:p>
        </w:tc>
        <w:tc>
          <w:tcPr>
            <w:tcW w:w="1360" w:type="dxa"/>
            <w:vAlign w:val="bottom"/>
            <w:gridSpan w:val="2"/>
            <w:shd w:val="clear" w:color="auto" w:fill="5591C7"/>
          </w:tcPr>
          <w:p>
            <w:pPr>
              <w:jc w:val="center"/>
              <w:ind w:right="80"/>
              <w:spacing w:after="0"/>
              <w:rPr>
                <w:sz w:val="20"/>
                <w:szCs w:val="20"/>
                <w:color w:val="auto"/>
              </w:rPr>
            </w:pPr>
            <w:r>
              <w:rPr>
                <w:rFonts w:ascii="Arial" w:cs="Arial" w:eastAsia="Arial" w:hAnsi="Arial"/>
                <w:sz w:val="14"/>
                <w:szCs w:val="14"/>
                <w:b w:val="1"/>
                <w:bCs w:val="1"/>
                <w:color w:val="auto"/>
              </w:rPr>
              <w:t>in Specific</w:t>
            </w:r>
          </w:p>
        </w:tc>
      </w:tr>
      <w:tr>
        <w:trPr>
          <w:trHeight w:val="162"/>
        </w:trPr>
        <w:tc>
          <w:tcPr>
            <w:tcW w:w="23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58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8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16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of the</w:t>
            </w:r>
          </w:p>
        </w:tc>
        <w:tc>
          <w:tcPr>
            <w:tcW w:w="11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Reason or</w:t>
            </w:r>
          </w:p>
        </w:tc>
        <w:tc>
          <w:tcPr>
            <w:tcW w:w="100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Change</w:t>
            </w: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Following</w:t>
            </w:r>
          </w:p>
        </w:tc>
        <w:tc>
          <w:tcPr>
            <w:tcW w:w="13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Following</w:t>
            </w: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Contemplation</w:t>
            </w:r>
          </w:p>
        </w:tc>
      </w:tr>
      <w:tr>
        <w:trPr>
          <w:trHeight w:val="162"/>
        </w:trPr>
        <w:tc>
          <w:tcPr>
            <w:tcW w:w="230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58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82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116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Employment</w:t>
            </w:r>
          </w:p>
        </w:tc>
        <w:tc>
          <w:tcPr>
            <w:tcW w:w="114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Without</w:t>
            </w:r>
          </w:p>
        </w:tc>
        <w:tc>
          <w:tcPr>
            <w:tcW w:w="100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in</w:t>
            </w: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Change in</w:t>
            </w:r>
          </w:p>
        </w:tc>
        <w:tc>
          <w:tcPr>
            <w:tcW w:w="13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Change in</w:t>
            </w: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of Change in</w:t>
            </w:r>
          </w:p>
        </w:tc>
      </w:tr>
      <w:tr>
        <w:trPr>
          <w:trHeight w:val="162"/>
        </w:trPr>
        <w:tc>
          <w:tcPr>
            <w:tcW w:w="2300" w:type="dxa"/>
            <w:vAlign w:val="bottom"/>
            <w:shd w:val="clear" w:color="auto" w:fill="5591C7"/>
          </w:tcPr>
          <w:p>
            <w:pPr>
              <w:ind w:left="620"/>
              <w:spacing w:after="0"/>
              <w:rPr>
                <w:sz w:val="20"/>
                <w:szCs w:val="20"/>
                <w:color w:val="auto"/>
              </w:rPr>
            </w:pPr>
            <w:r>
              <w:rPr>
                <w:rFonts w:ascii="Arial" w:cs="Arial" w:eastAsia="Arial" w:hAnsi="Arial"/>
                <w:sz w:val="14"/>
                <w:szCs w:val="14"/>
                <w:b w:val="1"/>
                <w:bCs w:val="1"/>
                <w:color w:val="auto"/>
              </w:rPr>
              <w:t>Payments upon</w:t>
            </w:r>
          </w:p>
        </w:tc>
        <w:tc>
          <w:tcPr>
            <w:tcW w:w="120" w:type="dxa"/>
            <w:vAlign w:val="bottom"/>
            <w:shd w:val="clear" w:color="auto" w:fill="5591C7"/>
          </w:tcPr>
          <w:p>
            <w:pPr>
              <w:spacing w:after="0"/>
              <w:rPr>
                <w:sz w:val="14"/>
                <w:szCs w:val="14"/>
                <w:color w:val="auto"/>
              </w:rPr>
            </w:pPr>
          </w:p>
        </w:tc>
        <w:tc>
          <w:tcPr>
            <w:tcW w:w="580" w:type="dxa"/>
            <w:vAlign w:val="bottom"/>
            <w:shd w:val="clear" w:color="auto" w:fill="5591C7"/>
          </w:tcPr>
          <w:p>
            <w:pPr>
              <w:ind w:left="100"/>
              <w:spacing w:after="0"/>
              <w:rPr>
                <w:sz w:val="20"/>
                <w:szCs w:val="20"/>
                <w:color w:val="auto"/>
              </w:rPr>
            </w:pPr>
            <w:r>
              <w:rPr>
                <w:rFonts w:ascii="Arial" w:cs="Arial" w:eastAsia="Arial" w:hAnsi="Arial"/>
                <w:sz w:val="14"/>
                <w:szCs w:val="14"/>
                <w:b w:val="1"/>
                <w:bCs w:val="1"/>
                <w:color w:val="auto"/>
              </w:rPr>
              <w:t>Death</w:t>
            </w:r>
          </w:p>
        </w:tc>
        <w:tc>
          <w:tcPr>
            <w:tcW w:w="120" w:type="dxa"/>
            <w:vAlign w:val="bottom"/>
            <w:shd w:val="clear" w:color="auto" w:fill="5591C7"/>
          </w:tcPr>
          <w:p>
            <w:pPr>
              <w:spacing w:after="0"/>
              <w:rPr>
                <w:sz w:val="14"/>
                <w:szCs w:val="14"/>
                <w:color w:val="auto"/>
              </w:rPr>
            </w:pPr>
          </w:p>
        </w:tc>
        <w:tc>
          <w:tcPr>
            <w:tcW w:w="940" w:type="dxa"/>
            <w:vAlign w:val="bottom"/>
            <w:gridSpan w:val="2"/>
            <w:shd w:val="clear" w:color="auto" w:fill="5591C7"/>
          </w:tcPr>
          <w:p>
            <w:pPr>
              <w:ind w:left="100"/>
              <w:spacing w:after="0"/>
              <w:rPr>
                <w:sz w:val="20"/>
                <w:szCs w:val="20"/>
                <w:color w:val="auto"/>
              </w:rPr>
            </w:pPr>
            <w:r>
              <w:rPr>
                <w:rFonts w:ascii="Arial" w:cs="Arial" w:eastAsia="Arial" w:hAnsi="Arial"/>
                <w:sz w:val="14"/>
                <w:szCs w:val="14"/>
                <w:b w:val="1"/>
                <w:bCs w:val="1"/>
                <w:color w:val="auto"/>
              </w:rPr>
              <w:t>Disability</w:t>
            </w:r>
          </w:p>
        </w:tc>
        <w:tc>
          <w:tcPr>
            <w:tcW w:w="116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Terms</w:t>
            </w:r>
          </w:p>
        </w:tc>
        <w:tc>
          <w:tcPr>
            <w:tcW w:w="11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Cause</w:t>
            </w:r>
          </w:p>
        </w:tc>
        <w:tc>
          <w:tcPr>
            <w:tcW w:w="100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Control</w:t>
            </w: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Control</w:t>
            </w:r>
          </w:p>
        </w:tc>
        <w:tc>
          <w:tcPr>
            <w:tcW w:w="134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Control</w:t>
            </w:r>
          </w:p>
        </w:tc>
        <w:tc>
          <w:tcPr>
            <w:tcW w:w="136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Control</w:t>
            </w:r>
          </w:p>
        </w:tc>
      </w:tr>
      <w:tr>
        <w:trPr>
          <w:trHeight w:val="182"/>
        </w:trPr>
        <w:tc>
          <w:tcPr>
            <w:tcW w:w="2300" w:type="dxa"/>
            <w:vAlign w:val="bottom"/>
            <w:tcBorders>
              <w:bottom w:val="single" w:sz="8" w:color="auto"/>
            </w:tcBorders>
            <w:shd w:val="clear" w:color="auto" w:fill="5591C7"/>
          </w:tcPr>
          <w:p>
            <w:pPr>
              <w:ind w:left="740"/>
              <w:spacing w:after="0"/>
              <w:rPr>
                <w:sz w:val="20"/>
                <w:szCs w:val="20"/>
                <w:color w:val="auto"/>
              </w:rPr>
            </w:pPr>
            <w:r>
              <w:rPr>
                <w:rFonts w:ascii="Arial" w:cs="Arial" w:eastAsia="Arial" w:hAnsi="Arial"/>
                <w:sz w:val="14"/>
                <w:szCs w:val="14"/>
                <w:b w:val="1"/>
                <w:bCs w:val="1"/>
                <w:color w:val="auto"/>
              </w:rPr>
              <w:t>Termination</w:t>
            </w:r>
          </w:p>
        </w:tc>
        <w:tc>
          <w:tcPr>
            <w:tcW w:w="120" w:type="dxa"/>
            <w:vAlign w:val="bottom"/>
            <w:tcBorders>
              <w:bottom w:val="single" w:sz="8" w:color="5591C7"/>
            </w:tcBorders>
            <w:shd w:val="clear" w:color="auto" w:fill="5591C7"/>
          </w:tcPr>
          <w:p>
            <w:pPr>
              <w:spacing w:after="0"/>
              <w:rPr>
                <w:sz w:val="15"/>
                <w:szCs w:val="15"/>
                <w:color w:val="auto"/>
              </w:rPr>
            </w:pPr>
          </w:p>
        </w:tc>
        <w:tc>
          <w:tcPr>
            <w:tcW w:w="580" w:type="dxa"/>
            <w:vAlign w:val="bottom"/>
            <w:tcBorders>
              <w:bottom w:val="single" w:sz="8" w:color="auto"/>
            </w:tcBorders>
            <w:shd w:val="clear" w:color="auto" w:fill="5591C7"/>
          </w:tcPr>
          <w:p>
            <w:pPr>
              <w:ind w:left="20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5591C7"/>
            </w:tcBorders>
            <w:shd w:val="clear" w:color="auto" w:fill="5591C7"/>
          </w:tcPr>
          <w:p>
            <w:pPr>
              <w:spacing w:after="0"/>
              <w:rPr>
                <w:sz w:val="15"/>
                <w:szCs w:val="15"/>
                <w:color w:val="auto"/>
              </w:rPr>
            </w:pPr>
          </w:p>
        </w:tc>
        <w:tc>
          <w:tcPr>
            <w:tcW w:w="820" w:type="dxa"/>
            <w:vAlign w:val="bottom"/>
            <w:tcBorders>
              <w:bottom w:val="single" w:sz="8" w:color="auto"/>
            </w:tcBorders>
            <w:shd w:val="clear" w:color="auto" w:fill="5591C7"/>
          </w:tcPr>
          <w:p>
            <w:pPr>
              <w:ind w:left="32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5591C7"/>
            </w:tcBorders>
            <w:shd w:val="clear" w:color="auto" w:fill="5591C7"/>
          </w:tcPr>
          <w:p>
            <w:pPr>
              <w:spacing w:after="0"/>
              <w:rPr>
                <w:sz w:val="15"/>
                <w:szCs w:val="15"/>
                <w:color w:val="auto"/>
              </w:rPr>
            </w:pPr>
          </w:p>
        </w:tc>
        <w:tc>
          <w:tcPr>
            <w:tcW w:w="104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Borders>
              <w:bottom w:val="single" w:sz="8" w:color="5591C7"/>
            </w:tcBorders>
            <w:shd w:val="clear" w:color="auto" w:fill="5591C7"/>
          </w:tcPr>
          <w:p>
            <w:pPr>
              <w:spacing w:after="0"/>
              <w:rPr>
                <w:sz w:val="15"/>
                <w:szCs w:val="15"/>
                <w:color w:val="auto"/>
              </w:rPr>
            </w:pPr>
          </w:p>
        </w:tc>
        <w:tc>
          <w:tcPr>
            <w:tcW w:w="102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5591C7"/>
            </w:tcBorders>
            <w:shd w:val="clear" w:color="auto" w:fill="5591C7"/>
          </w:tcPr>
          <w:p>
            <w:pPr>
              <w:spacing w:after="0"/>
              <w:rPr>
                <w:sz w:val="15"/>
                <w:szCs w:val="15"/>
                <w:color w:val="auto"/>
              </w:rPr>
            </w:pPr>
          </w:p>
        </w:tc>
        <w:tc>
          <w:tcPr>
            <w:tcW w:w="90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5591C7"/>
            </w:tcBorders>
            <w:shd w:val="clear" w:color="auto" w:fill="5591C7"/>
          </w:tcPr>
          <w:p>
            <w:pPr>
              <w:spacing w:after="0"/>
              <w:rPr>
                <w:sz w:val="15"/>
                <w:szCs w:val="15"/>
                <w:color w:val="auto"/>
              </w:rPr>
            </w:pPr>
          </w:p>
        </w:tc>
        <w:tc>
          <w:tcPr>
            <w:tcW w:w="126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5591C7"/>
            </w:tcBorders>
            <w:shd w:val="clear" w:color="auto" w:fill="5591C7"/>
          </w:tcPr>
          <w:p>
            <w:pPr>
              <w:spacing w:after="0"/>
              <w:rPr>
                <w:sz w:val="15"/>
                <w:szCs w:val="15"/>
                <w:color w:val="auto"/>
              </w:rPr>
            </w:pPr>
          </w:p>
        </w:tc>
        <w:tc>
          <w:tcPr>
            <w:tcW w:w="124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5591C7"/>
            </w:tcBorders>
            <w:shd w:val="clear" w:color="auto" w:fill="5591C7"/>
          </w:tcPr>
          <w:p>
            <w:pPr>
              <w:spacing w:after="0"/>
              <w:rPr>
                <w:sz w:val="15"/>
                <w:szCs w:val="15"/>
                <w:color w:val="auto"/>
              </w:rPr>
            </w:pPr>
          </w:p>
        </w:tc>
        <w:tc>
          <w:tcPr>
            <w:tcW w:w="126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5591C7"/>
            </w:tcBorders>
            <w:shd w:val="clear" w:color="auto" w:fill="5591C7"/>
          </w:tcPr>
          <w:p>
            <w:pPr>
              <w:spacing w:after="0"/>
              <w:rPr>
                <w:sz w:val="15"/>
                <w:szCs w:val="15"/>
                <w:color w:val="auto"/>
              </w:rPr>
            </w:pPr>
          </w:p>
        </w:tc>
      </w:tr>
      <w:tr>
        <w:trPr>
          <w:trHeight w:val="189"/>
        </w:trPr>
        <w:tc>
          <w:tcPr>
            <w:tcW w:w="2300" w:type="dxa"/>
            <w:vAlign w:val="bottom"/>
            <w:shd w:val="clear" w:color="auto" w:fill="B8CDE8"/>
          </w:tcPr>
          <w:p>
            <w:pPr>
              <w:spacing w:after="0"/>
              <w:rPr>
                <w:sz w:val="20"/>
                <w:szCs w:val="20"/>
                <w:color w:val="auto"/>
              </w:rPr>
            </w:pPr>
            <w:r>
              <w:rPr>
                <w:rFonts w:ascii="Arial" w:cs="Arial" w:eastAsia="Arial" w:hAnsi="Arial"/>
                <w:sz w:val="14"/>
                <w:szCs w:val="14"/>
                <w:color w:val="auto"/>
              </w:rPr>
              <w:t>Base salary payout</w:t>
            </w:r>
          </w:p>
        </w:tc>
        <w:tc>
          <w:tcPr>
            <w:tcW w:w="120" w:type="dxa"/>
            <w:vAlign w:val="bottom"/>
            <w:shd w:val="clear" w:color="auto" w:fill="B8CDE8"/>
          </w:tcPr>
          <w:p>
            <w:pPr>
              <w:spacing w:after="0"/>
              <w:rPr>
                <w:sz w:val="16"/>
                <w:szCs w:val="16"/>
                <w:color w:val="auto"/>
              </w:rPr>
            </w:pPr>
          </w:p>
        </w:tc>
        <w:tc>
          <w:tcPr>
            <w:tcW w:w="580" w:type="dxa"/>
            <w:vAlign w:val="bottom"/>
            <w:shd w:val="clear" w:color="auto" w:fill="B8CDE8"/>
          </w:tcPr>
          <w:p>
            <w:pPr>
              <w:ind w:left="440"/>
              <w:spacing w:after="0"/>
              <w:rPr>
                <w:sz w:val="20"/>
                <w:szCs w:val="20"/>
                <w:color w:val="auto"/>
              </w:rPr>
            </w:pPr>
            <w:r>
              <w:rPr>
                <w:rFonts w:ascii="Arial" w:cs="Arial" w:eastAsia="Arial" w:hAnsi="Arial"/>
                <w:sz w:val="14"/>
                <w:szCs w:val="14"/>
                <w:color w:val="auto"/>
                <w:w w:val="85"/>
              </w:rPr>
              <w:t>—</w:t>
            </w:r>
          </w:p>
        </w:tc>
        <w:tc>
          <w:tcPr>
            <w:tcW w:w="120" w:type="dxa"/>
            <w:vAlign w:val="bottom"/>
            <w:shd w:val="clear" w:color="auto" w:fill="B8CDE8"/>
          </w:tcPr>
          <w:p>
            <w:pPr>
              <w:spacing w:after="0"/>
              <w:rPr>
                <w:sz w:val="16"/>
                <w:szCs w:val="16"/>
                <w:color w:val="auto"/>
              </w:rPr>
            </w:pPr>
          </w:p>
        </w:tc>
        <w:tc>
          <w:tcPr>
            <w:tcW w:w="940" w:type="dxa"/>
            <w:vAlign w:val="bottom"/>
            <w:gridSpan w:val="2"/>
            <w:shd w:val="clear" w:color="auto" w:fill="B8CDE8"/>
          </w:tcPr>
          <w:p>
            <w:pPr>
              <w:ind w:left="68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B8CDE8"/>
          </w:tcPr>
          <w:p>
            <w:pPr>
              <w:ind w:left="90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B8CDE8"/>
          </w:tcPr>
          <w:p>
            <w:pPr>
              <w:jc w:val="right"/>
              <w:ind w:right="120"/>
              <w:spacing w:after="0"/>
              <w:rPr>
                <w:sz w:val="20"/>
                <w:szCs w:val="20"/>
                <w:color w:val="auto"/>
              </w:rPr>
            </w:pPr>
            <w:r>
              <w:rPr>
                <w:rFonts w:ascii="Arial" w:cs="Arial" w:eastAsia="Arial" w:hAnsi="Arial"/>
                <w:sz w:val="14"/>
                <w:szCs w:val="14"/>
                <w:color w:val="auto"/>
              </w:rPr>
              <w:t>450,000</w:t>
            </w:r>
          </w:p>
        </w:tc>
        <w:tc>
          <w:tcPr>
            <w:tcW w:w="100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450,000</w:t>
            </w:r>
          </w:p>
        </w:tc>
        <w:tc>
          <w:tcPr>
            <w:tcW w:w="134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450,000</w:t>
            </w:r>
          </w:p>
        </w:tc>
        <w:tc>
          <w:tcPr>
            <w:tcW w:w="136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w:t>
            </w:r>
          </w:p>
        </w:tc>
      </w:tr>
      <w:tr>
        <w:trPr>
          <w:trHeight w:val="189"/>
        </w:trPr>
        <w:tc>
          <w:tcPr>
            <w:tcW w:w="2300" w:type="dxa"/>
            <w:vAlign w:val="bottom"/>
          </w:tcPr>
          <w:p>
            <w:pPr>
              <w:spacing w:after="0"/>
              <w:rPr>
                <w:sz w:val="20"/>
                <w:szCs w:val="20"/>
                <w:color w:val="auto"/>
              </w:rPr>
            </w:pPr>
            <w:r>
              <w:rPr>
                <w:rFonts w:ascii="Arial" w:cs="Arial" w:eastAsia="Arial" w:hAnsi="Arial"/>
                <w:sz w:val="14"/>
                <w:szCs w:val="14"/>
                <w:color w:val="auto"/>
              </w:rPr>
              <w:t>Bonus payout</w:t>
            </w:r>
          </w:p>
        </w:tc>
        <w:tc>
          <w:tcPr>
            <w:tcW w:w="120" w:type="dxa"/>
            <w:vAlign w:val="bottom"/>
          </w:tcPr>
          <w:p>
            <w:pPr>
              <w:spacing w:after="0"/>
              <w:rPr>
                <w:sz w:val="16"/>
                <w:szCs w:val="16"/>
                <w:color w:val="auto"/>
              </w:rPr>
            </w:pPr>
          </w:p>
        </w:tc>
        <w:tc>
          <w:tcPr>
            <w:tcW w:w="580" w:type="dxa"/>
            <w:vAlign w:val="bottom"/>
          </w:tcPr>
          <w:p>
            <w:pPr>
              <w:ind w:left="44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6"/>
                <w:szCs w:val="16"/>
                <w:color w:val="auto"/>
              </w:rPr>
            </w:pPr>
          </w:p>
        </w:tc>
        <w:tc>
          <w:tcPr>
            <w:tcW w:w="94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16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89"/>
        </w:trPr>
        <w:tc>
          <w:tcPr>
            <w:tcW w:w="2300" w:type="dxa"/>
            <w:vAlign w:val="bottom"/>
            <w:shd w:val="clear" w:color="auto" w:fill="B8CDE8"/>
          </w:tcPr>
          <w:p>
            <w:pPr>
              <w:spacing w:after="0"/>
              <w:rPr>
                <w:sz w:val="20"/>
                <w:szCs w:val="20"/>
                <w:color w:val="auto"/>
              </w:rPr>
            </w:pPr>
            <w:r>
              <w:rPr>
                <w:rFonts w:ascii="Arial" w:cs="Arial" w:eastAsia="Arial" w:hAnsi="Arial"/>
                <w:sz w:val="14"/>
                <w:szCs w:val="14"/>
                <w:color w:val="auto"/>
              </w:rPr>
              <w:t>Life insurance coverage</w:t>
            </w:r>
          </w:p>
        </w:tc>
        <w:tc>
          <w:tcPr>
            <w:tcW w:w="120" w:type="dxa"/>
            <w:vAlign w:val="bottom"/>
            <w:shd w:val="clear" w:color="auto" w:fill="B8CDE8"/>
          </w:tcPr>
          <w:p>
            <w:pPr>
              <w:spacing w:after="0"/>
              <w:rPr>
                <w:sz w:val="16"/>
                <w:szCs w:val="16"/>
                <w:color w:val="auto"/>
              </w:rPr>
            </w:pPr>
          </w:p>
        </w:tc>
        <w:tc>
          <w:tcPr>
            <w:tcW w:w="580" w:type="dxa"/>
            <w:vAlign w:val="bottom"/>
            <w:shd w:val="clear" w:color="auto" w:fill="B8CDE8"/>
          </w:tcPr>
          <w:p>
            <w:pPr>
              <w:ind w:left="440"/>
              <w:spacing w:after="0"/>
              <w:rPr>
                <w:sz w:val="20"/>
                <w:szCs w:val="20"/>
                <w:color w:val="auto"/>
              </w:rPr>
            </w:pPr>
            <w:r>
              <w:rPr>
                <w:rFonts w:ascii="Arial" w:cs="Arial" w:eastAsia="Arial" w:hAnsi="Arial"/>
                <w:sz w:val="14"/>
                <w:szCs w:val="14"/>
                <w:color w:val="auto"/>
                <w:w w:val="85"/>
              </w:rPr>
              <w:t>—</w:t>
            </w:r>
          </w:p>
        </w:tc>
        <w:tc>
          <w:tcPr>
            <w:tcW w:w="120" w:type="dxa"/>
            <w:vAlign w:val="bottom"/>
            <w:shd w:val="clear" w:color="auto" w:fill="B8CDE8"/>
          </w:tcPr>
          <w:p>
            <w:pPr>
              <w:spacing w:after="0"/>
              <w:rPr>
                <w:sz w:val="16"/>
                <w:szCs w:val="16"/>
                <w:color w:val="auto"/>
              </w:rPr>
            </w:pPr>
          </w:p>
        </w:tc>
        <w:tc>
          <w:tcPr>
            <w:tcW w:w="940" w:type="dxa"/>
            <w:vAlign w:val="bottom"/>
            <w:gridSpan w:val="2"/>
            <w:shd w:val="clear" w:color="auto" w:fill="B8CDE8"/>
          </w:tcPr>
          <w:p>
            <w:pPr>
              <w:ind w:left="68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B8CDE8"/>
          </w:tcPr>
          <w:p>
            <w:pPr>
              <w:ind w:left="90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B8CDE8"/>
          </w:tcPr>
          <w:p>
            <w:pPr>
              <w:jc w:val="right"/>
              <w:ind w:right="1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w:t>
            </w:r>
          </w:p>
        </w:tc>
      </w:tr>
      <w:tr>
        <w:trPr>
          <w:trHeight w:val="189"/>
        </w:trPr>
        <w:tc>
          <w:tcPr>
            <w:tcW w:w="2300" w:type="dxa"/>
            <w:vAlign w:val="bottom"/>
          </w:tcPr>
          <w:p>
            <w:pPr>
              <w:spacing w:after="0"/>
              <w:rPr>
                <w:sz w:val="20"/>
                <w:szCs w:val="20"/>
                <w:color w:val="auto"/>
              </w:rPr>
            </w:pPr>
            <w:r>
              <w:rPr>
                <w:rFonts w:ascii="Arial" w:cs="Arial" w:eastAsia="Arial" w:hAnsi="Arial"/>
                <w:sz w:val="14"/>
                <w:szCs w:val="14"/>
                <w:color w:val="auto"/>
              </w:rPr>
              <w:t>Health insurance</w:t>
            </w:r>
          </w:p>
        </w:tc>
        <w:tc>
          <w:tcPr>
            <w:tcW w:w="120" w:type="dxa"/>
            <w:vAlign w:val="bottom"/>
          </w:tcPr>
          <w:p>
            <w:pPr>
              <w:spacing w:after="0"/>
              <w:rPr>
                <w:sz w:val="16"/>
                <w:szCs w:val="16"/>
                <w:color w:val="auto"/>
              </w:rPr>
            </w:pPr>
          </w:p>
        </w:tc>
        <w:tc>
          <w:tcPr>
            <w:tcW w:w="580" w:type="dxa"/>
            <w:vAlign w:val="bottom"/>
          </w:tcPr>
          <w:p>
            <w:pPr>
              <w:ind w:left="44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6"/>
                <w:szCs w:val="16"/>
                <w:color w:val="auto"/>
              </w:rPr>
            </w:pPr>
          </w:p>
        </w:tc>
        <w:tc>
          <w:tcPr>
            <w:tcW w:w="94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16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80"/>
        </w:trPr>
        <w:tc>
          <w:tcPr>
            <w:tcW w:w="2300" w:type="dxa"/>
            <w:vAlign w:val="bottom"/>
            <w:shd w:val="clear" w:color="auto" w:fill="B8CDE8"/>
          </w:tcPr>
          <w:p>
            <w:pPr>
              <w:spacing w:after="0"/>
              <w:rPr>
                <w:sz w:val="20"/>
                <w:szCs w:val="20"/>
                <w:color w:val="auto"/>
              </w:rPr>
            </w:pPr>
            <w:r>
              <w:rPr>
                <w:rFonts w:ascii="Arial" w:cs="Arial" w:eastAsia="Arial" w:hAnsi="Arial"/>
                <w:sz w:val="14"/>
                <w:szCs w:val="14"/>
                <w:color w:val="auto"/>
              </w:rPr>
              <w:t>Stock options (unvested and</w:t>
            </w:r>
          </w:p>
        </w:tc>
        <w:tc>
          <w:tcPr>
            <w:tcW w:w="120" w:type="dxa"/>
            <w:vAlign w:val="bottom"/>
            <w:shd w:val="clear" w:color="auto" w:fill="B8CDE8"/>
          </w:tcPr>
          <w:p>
            <w:pPr>
              <w:spacing w:after="0"/>
              <w:rPr>
                <w:sz w:val="15"/>
                <w:szCs w:val="15"/>
                <w:color w:val="auto"/>
              </w:rPr>
            </w:pPr>
          </w:p>
        </w:tc>
        <w:tc>
          <w:tcPr>
            <w:tcW w:w="580" w:type="dxa"/>
            <w:vAlign w:val="bottom"/>
            <w:shd w:val="clear" w:color="auto" w:fill="B8CDE8"/>
          </w:tcPr>
          <w:p>
            <w:pPr>
              <w:spacing w:after="0"/>
              <w:rPr>
                <w:sz w:val="15"/>
                <w:szCs w:val="15"/>
                <w:color w:val="auto"/>
              </w:rPr>
            </w:pPr>
          </w:p>
        </w:tc>
        <w:tc>
          <w:tcPr>
            <w:tcW w:w="120" w:type="dxa"/>
            <w:vAlign w:val="bottom"/>
            <w:shd w:val="clear" w:color="auto" w:fill="B8CDE8"/>
          </w:tcPr>
          <w:p>
            <w:pPr>
              <w:spacing w:after="0"/>
              <w:rPr>
                <w:sz w:val="15"/>
                <w:szCs w:val="15"/>
                <w:color w:val="auto"/>
              </w:rPr>
            </w:pPr>
          </w:p>
        </w:tc>
        <w:tc>
          <w:tcPr>
            <w:tcW w:w="820" w:type="dxa"/>
            <w:vAlign w:val="bottom"/>
            <w:shd w:val="clear" w:color="auto" w:fill="B8CDE8"/>
          </w:tcPr>
          <w:p>
            <w:pPr>
              <w:spacing w:after="0"/>
              <w:rPr>
                <w:sz w:val="15"/>
                <w:szCs w:val="15"/>
                <w:color w:val="auto"/>
              </w:rPr>
            </w:pPr>
          </w:p>
        </w:tc>
        <w:tc>
          <w:tcPr>
            <w:tcW w:w="120" w:type="dxa"/>
            <w:vAlign w:val="bottom"/>
            <w:shd w:val="clear" w:color="auto" w:fill="B8CDE8"/>
          </w:tcPr>
          <w:p>
            <w:pPr>
              <w:spacing w:after="0"/>
              <w:rPr>
                <w:sz w:val="15"/>
                <w:szCs w:val="15"/>
                <w:color w:val="auto"/>
              </w:rPr>
            </w:pPr>
          </w:p>
        </w:tc>
        <w:tc>
          <w:tcPr>
            <w:tcW w:w="1040" w:type="dxa"/>
            <w:vAlign w:val="bottom"/>
            <w:shd w:val="clear" w:color="auto" w:fill="B8CDE8"/>
          </w:tcPr>
          <w:p>
            <w:pPr>
              <w:spacing w:after="0"/>
              <w:rPr>
                <w:sz w:val="15"/>
                <w:szCs w:val="15"/>
                <w:color w:val="auto"/>
              </w:rPr>
            </w:pPr>
          </w:p>
        </w:tc>
        <w:tc>
          <w:tcPr>
            <w:tcW w:w="120" w:type="dxa"/>
            <w:vAlign w:val="bottom"/>
            <w:shd w:val="clear" w:color="auto" w:fill="B8CDE8"/>
          </w:tcPr>
          <w:p>
            <w:pPr>
              <w:spacing w:after="0"/>
              <w:rPr>
                <w:sz w:val="15"/>
                <w:szCs w:val="15"/>
                <w:color w:val="auto"/>
              </w:rPr>
            </w:pPr>
          </w:p>
        </w:tc>
        <w:tc>
          <w:tcPr>
            <w:tcW w:w="1020" w:type="dxa"/>
            <w:vAlign w:val="bottom"/>
            <w:shd w:val="clear" w:color="auto" w:fill="B8CDE8"/>
          </w:tcPr>
          <w:p>
            <w:pPr>
              <w:spacing w:after="0"/>
              <w:rPr>
                <w:sz w:val="15"/>
                <w:szCs w:val="15"/>
                <w:color w:val="auto"/>
              </w:rPr>
            </w:pPr>
          </w:p>
        </w:tc>
        <w:tc>
          <w:tcPr>
            <w:tcW w:w="120" w:type="dxa"/>
            <w:vAlign w:val="bottom"/>
            <w:shd w:val="clear" w:color="auto" w:fill="B8CDE8"/>
          </w:tcPr>
          <w:p>
            <w:pPr>
              <w:spacing w:after="0"/>
              <w:rPr>
                <w:sz w:val="15"/>
                <w:szCs w:val="15"/>
                <w:color w:val="auto"/>
              </w:rPr>
            </w:pPr>
          </w:p>
        </w:tc>
        <w:tc>
          <w:tcPr>
            <w:tcW w:w="900" w:type="dxa"/>
            <w:vAlign w:val="bottom"/>
            <w:shd w:val="clear" w:color="auto" w:fill="B8CDE8"/>
          </w:tcPr>
          <w:p>
            <w:pPr>
              <w:spacing w:after="0"/>
              <w:rPr>
                <w:sz w:val="15"/>
                <w:szCs w:val="15"/>
                <w:color w:val="auto"/>
              </w:rPr>
            </w:pPr>
          </w:p>
        </w:tc>
        <w:tc>
          <w:tcPr>
            <w:tcW w:w="100" w:type="dxa"/>
            <w:vAlign w:val="bottom"/>
            <w:shd w:val="clear" w:color="auto" w:fill="B8CDE8"/>
          </w:tcPr>
          <w:p>
            <w:pPr>
              <w:spacing w:after="0"/>
              <w:rPr>
                <w:sz w:val="15"/>
                <w:szCs w:val="15"/>
                <w:color w:val="auto"/>
              </w:rPr>
            </w:pPr>
          </w:p>
        </w:tc>
        <w:tc>
          <w:tcPr>
            <w:tcW w:w="1260" w:type="dxa"/>
            <w:vAlign w:val="bottom"/>
            <w:shd w:val="clear" w:color="auto" w:fill="B8CDE8"/>
          </w:tcPr>
          <w:p>
            <w:pPr>
              <w:spacing w:after="0"/>
              <w:rPr>
                <w:sz w:val="15"/>
                <w:szCs w:val="15"/>
                <w:color w:val="auto"/>
              </w:rPr>
            </w:pPr>
          </w:p>
        </w:tc>
        <w:tc>
          <w:tcPr>
            <w:tcW w:w="100" w:type="dxa"/>
            <w:vAlign w:val="bottom"/>
            <w:shd w:val="clear" w:color="auto" w:fill="B8CDE8"/>
          </w:tcPr>
          <w:p>
            <w:pPr>
              <w:spacing w:after="0"/>
              <w:rPr>
                <w:sz w:val="15"/>
                <w:szCs w:val="15"/>
                <w:color w:val="auto"/>
              </w:rPr>
            </w:pPr>
          </w:p>
        </w:tc>
        <w:tc>
          <w:tcPr>
            <w:tcW w:w="1240" w:type="dxa"/>
            <w:vAlign w:val="bottom"/>
            <w:shd w:val="clear" w:color="auto" w:fill="B8CDE8"/>
          </w:tcPr>
          <w:p>
            <w:pPr>
              <w:spacing w:after="0"/>
              <w:rPr>
                <w:sz w:val="15"/>
                <w:szCs w:val="15"/>
                <w:color w:val="auto"/>
              </w:rPr>
            </w:pPr>
          </w:p>
        </w:tc>
        <w:tc>
          <w:tcPr>
            <w:tcW w:w="100" w:type="dxa"/>
            <w:vAlign w:val="bottom"/>
            <w:shd w:val="clear" w:color="auto" w:fill="B8CDE8"/>
          </w:tcPr>
          <w:p>
            <w:pPr>
              <w:spacing w:after="0"/>
              <w:rPr>
                <w:sz w:val="15"/>
                <w:szCs w:val="15"/>
                <w:color w:val="auto"/>
              </w:rPr>
            </w:pPr>
          </w:p>
        </w:tc>
        <w:tc>
          <w:tcPr>
            <w:tcW w:w="1260" w:type="dxa"/>
            <w:vAlign w:val="bottom"/>
            <w:shd w:val="clear" w:color="auto" w:fill="B8CDE8"/>
          </w:tcPr>
          <w:p>
            <w:pPr>
              <w:spacing w:after="0"/>
              <w:rPr>
                <w:sz w:val="15"/>
                <w:szCs w:val="15"/>
                <w:color w:val="auto"/>
              </w:rPr>
            </w:pPr>
          </w:p>
        </w:tc>
        <w:tc>
          <w:tcPr>
            <w:tcW w:w="100" w:type="dxa"/>
            <w:vAlign w:val="bottom"/>
            <w:shd w:val="clear" w:color="auto" w:fill="B8CDE8"/>
          </w:tcPr>
          <w:p>
            <w:pPr>
              <w:spacing w:after="0"/>
              <w:rPr>
                <w:sz w:val="15"/>
                <w:szCs w:val="15"/>
                <w:color w:val="auto"/>
              </w:rPr>
            </w:pPr>
          </w:p>
        </w:tc>
      </w:tr>
      <w:tr>
        <w:trPr>
          <w:trHeight w:val="171"/>
        </w:trPr>
        <w:tc>
          <w:tcPr>
            <w:tcW w:w="2300" w:type="dxa"/>
            <w:vAlign w:val="bottom"/>
            <w:shd w:val="clear" w:color="auto" w:fill="B8CDE8"/>
          </w:tcPr>
          <w:p>
            <w:pPr>
              <w:ind w:left="160"/>
              <w:spacing w:after="0"/>
              <w:rPr>
                <w:sz w:val="20"/>
                <w:szCs w:val="20"/>
                <w:color w:val="auto"/>
              </w:rPr>
            </w:pPr>
            <w:r>
              <w:rPr>
                <w:rFonts w:ascii="Arial" w:cs="Arial" w:eastAsia="Arial" w:hAnsi="Arial"/>
                <w:sz w:val="14"/>
                <w:szCs w:val="14"/>
                <w:color w:val="auto"/>
              </w:rPr>
              <w:t>accelerated)</w:t>
            </w:r>
          </w:p>
        </w:tc>
        <w:tc>
          <w:tcPr>
            <w:tcW w:w="120" w:type="dxa"/>
            <w:vAlign w:val="bottom"/>
            <w:shd w:val="clear" w:color="auto" w:fill="B8CDE8"/>
          </w:tcPr>
          <w:p>
            <w:pPr>
              <w:spacing w:after="0"/>
              <w:rPr>
                <w:sz w:val="14"/>
                <w:szCs w:val="14"/>
                <w:color w:val="auto"/>
              </w:rPr>
            </w:pPr>
          </w:p>
        </w:tc>
        <w:tc>
          <w:tcPr>
            <w:tcW w:w="580" w:type="dxa"/>
            <w:vAlign w:val="bottom"/>
            <w:shd w:val="clear" w:color="auto" w:fill="B8CDE8"/>
          </w:tcPr>
          <w:p>
            <w:pPr>
              <w:ind w:left="440"/>
              <w:spacing w:after="0"/>
              <w:rPr>
                <w:sz w:val="20"/>
                <w:szCs w:val="20"/>
                <w:color w:val="auto"/>
              </w:rPr>
            </w:pPr>
            <w:r>
              <w:rPr>
                <w:rFonts w:ascii="Arial" w:cs="Arial" w:eastAsia="Arial" w:hAnsi="Arial"/>
                <w:sz w:val="14"/>
                <w:szCs w:val="14"/>
                <w:color w:val="auto"/>
                <w:w w:val="85"/>
              </w:rPr>
              <w:t>—</w:t>
            </w:r>
          </w:p>
        </w:tc>
        <w:tc>
          <w:tcPr>
            <w:tcW w:w="120" w:type="dxa"/>
            <w:vAlign w:val="bottom"/>
            <w:shd w:val="clear" w:color="auto" w:fill="B8CDE8"/>
          </w:tcPr>
          <w:p>
            <w:pPr>
              <w:spacing w:after="0"/>
              <w:rPr>
                <w:sz w:val="14"/>
                <w:szCs w:val="14"/>
                <w:color w:val="auto"/>
              </w:rPr>
            </w:pPr>
          </w:p>
        </w:tc>
        <w:tc>
          <w:tcPr>
            <w:tcW w:w="940" w:type="dxa"/>
            <w:vAlign w:val="bottom"/>
            <w:gridSpan w:val="2"/>
            <w:shd w:val="clear" w:color="auto" w:fill="B8CDE8"/>
          </w:tcPr>
          <w:p>
            <w:pPr>
              <w:ind w:left="68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B8CDE8"/>
          </w:tcPr>
          <w:p>
            <w:pPr>
              <w:ind w:left="90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B8CDE8"/>
          </w:tcPr>
          <w:p>
            <w:pPr>
              <w:jc w:val="right"/>
              <w:ind w:right="1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w:t>
            </w:r>
          </w:p>
        </w:tc>
      </w:tr>
      <w:tr>
        <w:trPr>
          <w:trHeight w:val="180"/>
        </w:trPr>
        <w:tc>
          <w:tcPr>
            <w:tcW w:w="2300" w:type="dxa"/>
            <w:vAlign w:val="bottom"/>
          </w:tcPr>
          <w:p>
            <w:pPr>
              <w:spacing w:after="0"/>
              <w:rPr>
                <w:sz w:val="20"/>
                <w:szCs w:val="20"/>
                <w:color w:val="auto"/>
              </w:rPr>
            </w:pPr>
            <w:r>
              <w:rPr>
                <w:rFonts w:ascii="Arial" w:cs="Arial" w:eastAsia="Arial" w:hAnsi="Arial"/>
                <w:sz w:val="14"/>
                <w:szCs w:val="14"/>
                <w:color w:val="auto"/>
              </w:rPr>
              <w:t>Restricted stock units (unvested</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1"/>
        </w:trPr>
        <w:tc>
          <w:tcPr>
            <w:tcW w:w="2300" w:type="dxa"/>
            <w:vAlign w:val="bottom"/>
          </w:tcPr>
          <w:p>
            <w:pPr>
              <w:ind w:left="160"/>
              <w:spacing w:after="0"/>
              <w:rPr>
                <w:sz w:val="20"/>
                <w:szCs w:val="20"/>
                <w:color w:val="auto"/>
              </w:rPr>
            </w:pPr>
            <w:r>
              <w:rPr>
                <w:rFonts w:ascii="Arial" w:cs="Arial" w:eastAsia="Arial" w:hAnsi="Arial"/>
                <w:sz w:val="14"/>
                <w:szCs w:val="14"/>
                <w:color w:val="auto"/>
              </w:rPr>
              <w:t>and accelerated)</w:t>
            </w:r>
          </w:p>
        </w:tc>
        <w:tc>
          <w:tcPr>
            <w:tcW w:w="120" w:type="dxa"/>
            <w:vAlign w:val="bottom"/>
          </w:tcPr>
          <w:p>
            <w:pPr>
              <w:spacing w:after="0"/>
              <w:rPr>
                <w:sz w:val="14"/>
                <w:szCs w:val="14"/>
                <w:color w:val="auto"/>
              </w:rPr>
            </w:pPr>
          </w:p>
        </w:tc>
        <w:tc>
          <w:tcPr>
            <w:tcW w:w="580" w:type="dxa"/>
            <w:vAlign w:val="bottom"/>
          </w:tcPr>
          <w:p>
            <w:pPr>
              <w:ind w:left="44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4"/>
                <w:szCs w:val="14"/>
                <w:color w:val="auto"/>
              </w:rPr>
            </w:pPr>
          </w:p>
        </w:tc>
        <w:tc>
          <w:tcPr>
            <w:tcW w:w="94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16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214,945</w:t>
            </w:r>
          </w:p>
        </w:tc>
        <w:tc>
          <w:tcPr>
            <w:tcW w:w="1260" w:type="dxa"/>
            <w:vAlign w:val="bottom"/>
          </w:tcPr>
          <w:p>
            <w:pPr>
              <w:jc w:val="right"/>
              <w:spacing w:after="0"/>
              <w:rPr>
                <w:sz w:val="20"/>
                <w:szCs w:val="20"/>
                <w:color w:val="auto"/>
              </w:rPr>
            </w:pPr>
            <w:r>
              <w:rPr>
                <w:rFonts w:ascii="Arial" w:cs="Arial" w:eastAsia="Arial" w:hAnsi="Arial"/>
                <w:sz w:val="14"/>
                <w:szCs w:val="14"/>
                <w:color w:val="auto"/>
              </w:rPr>
              <w:t>1,152,589</w:t>
            </w:r>
          </w:p>
        </w:tc>
        <w:tc>
          <w:tcPr>
            <w:tcW w:w="100" w:type="dxa"/>
            <w:vAlign w:val="bottom"/>
          </w:tcPr>
          <w:p>
            <w:pPr>
              <w:spacing w:after="0"/>
              <w:rPr>
                <w:sz w:val="14"/>
                <w:szCs w:val="14"/>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1,152,589</w:t>
            </w: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1,152,589</w:t>
            </w:r>
          </w:p>
        </w:tc>
      </w:tr>
      <w:tr>
        <w:trPr>
          <w:trHeight w:val="180"/>
        </w:trPr>
        <w:tc>
          <w:tcPr>
            <w:tcW w:w="2300" w:type="dxa"/>
            <w:vAlign w:val="bottom"/>
            <w:shd w:val="clear" w:color="auto" w:fill="B8CDE8"/>
          </w:tcPr>
          <w:p>
            <w:pPr>
              <w:spacing w:after="0"/>
              <w:rPr>
                <w:sz w:val="20"/>
                <w:szCs w:val="20"/>
                <w:color w:val="auto"/>
              </w:rPr>
            </w:pPr>
            <w:r>
              <w:rPr>
                <w:rFonts w:ascii="Arial" w:cs="Arial" w:eastAsia="Arial" w:hAnsi="Arial"/>
                <w:sz w:val="14"/>
                <w:szCs w:val="14"/>
                <w:color w:val="auto"/>
              </w:rPr>
              <w:t>Performance restricted stock units</w:t>
            </w:r>
          </w:p>
        </w:tc>
        <w:tc>
          <w:tcPr>
            <w:tcW w:w="120" w:type="dxa"/>
            <w:vAlign w:val="bottom"/>
            <w:shd w:val="clear" w:color="auto" w:fill="B8CDE8"/>
          </w:tcPr>
          <w:p>
            <w:pPr>
              <w:spacing w:after="0"/>
              <w:rPr>
                <w:sz w:val="15"/>
                <w:szCs w:val="15"/>
                <w:color w:val="auto"/>
              </w:rPr>
            </w:pPr>
          </w:p>
        </w:tc>
        <w:tc>
          <w:tcPr>
            <w:tcW w:w="580" w:type="dxa"/>
            <w:vAlign w:val="bottom"/>
            <w:shd w:val="clear" w:color="auto" w:fill="B8CDE8"/>
          </w:tcPr>
          <w:p>
            <w:pPr>
              <w:spacing w:after="0"/>
              <w:rPr>
                <w:sz w:val="15"/>
                <w:szCs w:val="15"/>
                <w:color w:val="auto"/>
              </w:rPr>
            </w:pPr>
          </w:p>
        </w:tc>
        <w:tc>
          <w:tcPr>
            <w:tcW w:w="120" w:type="dxa"/>
            <w:vAlign w:val="bottom"/>
            <w:shd w:val="clear" w:color="auto" w:fill="B8CDE8"/>
          </w:tcPr>
          <w:p>
            <w:pPr>
              <w:spacing w:after="0"/>
              <w:rPr>
                <w:sz w:val="15"/>
                <w:szCs w:val="15"/>
                <w:color w:val="auto"/>
              </w:rPr>
            </w:pPr>
          </w:p>
        </w:tc>
        <w:tc>
          <w:tcPr>
            <w:tcW w:w="820" w:type="dxa"/>
            <w:vAlign w:val="bottom"/>
            <w:shd w:val="clear" w:color="auto" w:fill="B8CDE8"/>
          </w:tcPr>
          <w:p>
            <w:pPr>
              <w:spacing w:after="0"/>
              <w:rPr>
                <w:sz w:val="15"/>
                <w:szCs w:val="15"/>
                <w:color w:val="auto"/>
              </w:rPr>
            </w:pPr>
          </w:p>
        </w:tc>
        <w:tc>
          <w:tcPr>
            <w:tcW w:w="120" w:type="dxa"/>
            <w:vAlign w:val="bottom"/>
            <w:shd w:val="clear" w:color="auto" w:fill="B8CDE8"/>
          </w:tcPr>
          <w:p>
            <w:pPr>
              <w:spacing w:after="0"/>
              <w:rPr>
                <w:sz w:val="15"/>
                <w:szCs w:val="15"/>
                <w:color w:val="auto"/>
              </w:rPr>
            </w:pPr>
          </w:p>
        </w:tc>
        <w:tc>
          <w:tcPr>
            <w:tcW w:w="1040" w:type="dxa"/>
            <w:vAlign w:val="bottom"/>
            <w:shd w:val="clear" w:color="auto" w:fill="B8CDE8"/>
          </w:tcPr>
          <w:p>
            <w:pPr>
              <w:spacing w:after="0"/>
              <w:rPr>
                <w:sz w:val="15"/>
                <w:szCs w:val="15"/>
                <w:color w:val="auto"/>
              </w:rPr>
            </w:pPr>
          </w:p>
        </w:tc>
        <w:tc>
          <w:tcPr>
            <w:tcW w:w="120" w:type="dxa"/>
            <w:vAlign w:val="bottom"/>
            <w:shd w:val="clear" w:color="auto" w:fill="B8CDE8"/>
          </w:tcPr>
          <w:p>
            <w:pPr>
              <w:spacing w:after="0"/>
              <w:rPr>
                <w:sz w:val="15"/>
                <w:szCs w:val="15"/>
                <w:color w:val="auto"/>
              </w:rPr>
            </w:pPr>
          </w:p>
        </w:tc>
        <w:tc>
          <w:tcPr>
            <w:tcW w:w="1020" w:type="dxa"/>
            <w:vAlign w:val="bottom"/>
            <w:shd w:val="clear" w:color="auto" w:fill="B8CDE8"/>
          </w:tcPr>
          <w:p>
            <w:pPr>
              <w:spacing w:after="0"/>
              <w:rPr>
                <w:sz w:val="15"/>
                <w:szCs w:val="15"/>
                <w:color w:val="auto"/>
              </w:rPr>
            </w:pPr>
          </w:p>
        </w:tc>
        <w:tc>
          <w:tcPr>
            <w:tcW w:w="120" w:type="dxa"/>
            <w:vAlign w:val="bottom"/>
            <w:shd w:val="clear" w:color="auto" w:fill="B8CDE8"/>
          </w:tcPr>
          <w:p>
            <w:pPr>
              <w:spacing w:after="0"/>
              <w:rPr>
                <w:sz w:val="15"/>
                <w:szCs w:val="15"/>
                <w:color w:val="auto"/>
              </w:rPr>
            </w:pPr>
          </w:p>
        </w:tc>
        <w:tc>
          <w:tcPr>
            <w:tcW w:w="900" w:type="dxa"/>
            <w:vAlign w:val="bottom"/>
            <w:shd w:val="clear" w:color="auto" w:fill="B8CDE8"/>
          </w:tcPr>
          <w:p>
            <w:pPr>
              <w:spacing w:after="0"/>
              <w:rPr>
                <w:sz w:val="15"/>
                <w:szCs w:val="15"/>
                <w:color w:val="auto"/>
              </w:rPr>
            </w:pPr>
          </w:p>
        </w:tc>
        <w:tc>
          <w:tcPr>
            <w:tcW w:w="100" w:type="dxa"/>
            <w:vAlign w:val="bottom"/>
            <w:shd w:val="clear" w:color="auto" w:fill="B8CDE8"/>
          </w:tcPr>
          <w:p>
            <w:pPr>
              <w:spacing w:after="0"/>
              <w:rPr>
                <w:sz w:val="15"/>
                <w:szCs w:val="15"/>
                <w:color w:val="auto"/>
              </w:rPr>
            </w:pPr>
          </w:p>
        </w:tc>
        <w:tc>
          <w:tcPr>
            <w:tcW w:w="1260" w:type="dxa"/>
            <w:vAlign w:val="bottom"/>
            <w:shd w:val="clear" w:color="auto" w:fill="B8CDE8"/>
          </w:tcPr>
          <w:p>
            <w:pPr>
              <w:spacing w:after="0"/>
              <w:rPr>
                <w:sz w:val="15"/>
                <w:szCs w:val="15"/>
                <w:color w:val="auto"/>
              </w:rPr>
            </w:pPr>
          </w:p>
        </w:tc>
        <w:tc>
          <w:tcPr>
            <w:tcW w:w="100" w:type="dxa"/>
            <w:vAlign w:val="bottom"/>
            <w:shd w:val="clear" w:color="auto" w:fill="B8CDE8"/>
          </w:tcPr>
          <w:p>
            <w:pPr>
              <w:spacing w:after="0"/>
              <w:rPr>
                <w:sz w:val="15"/>
                <w:szCs w:val="15"/>
                <w:color w:val="auto"/>
              </w:rPr>
            </w:pPr>
          </w:p>
        </w:tc>
        <w:tc>
          <w:tcPr>
            <w:tcW w:w="1240" w:type="dxa"/>
            <w:vAlign w:val="bottom"/>
            <w:shd w:val="clear" w:color="auto" w:fill="B8CDE8"/>
          </w:tcPr>
          <w:p>
            <w:pPr>
              <w:spacing w:after="0"/>
              <w:rPr>
                <w:sz w:val="15"/>
                <w:szCs w:val="15"/>
                <w:color w:val="auto"/>
              </w:rPr>
            </w:pPr>
          </w:p>
        </w:tc>
        <w:tc>
          <w:tcPr>
            <w:tcW w:w="100" w:type="dxa"/>
            <w:vAlign w:val="bottom"/>
            <w:shd w:val="clear" w:color="auto" w:fill="B8CDE8"/>
          </w:tcPr>
          <w:p>
            <w:pPr>
              <w:spacing w:after="0"/>
              <w:rPr>
                <w:sz w:val="15"/>
                <w:szCs w:val="15"/>
                <w:color w:val="auto"/>
              </w:rPr>
            </w:pPr>
          </w:p>
        </w:tc>
        <w:tc>
          <w:tcPr>
            <w:tcW w:w="1260" w:type="dxa"/>
            <w:vAlign w:val="bottom"/>
            <w:shd w:val="clear" w:color="auto" w:fill="B8CDE8"/>
          </w:tcPr>
          <w:p>
            <w:pPr>
              <w:spacing w:after="0"/>
              <w:rPr>
                <w:sz w:val="15"/>
                <w:szCs w:val="15"/>
                <w:color w:val="auto"/>
              </w:rPr>
            </w:pPr>
          </w:p>
        </w:tc>
        <w:tc>
          <w:tcPr>
            <w:tcW w:w="100" w:type="dxa"/>
            <w:vAlign w:val="bottom"/>
            <w:shd w:val="clear" w:color="auto" w:fill="B8CDE8"/>
          </w:tcPr>
          <w:p>
            <w:pPr>
              <w:spacing w:after="0"/>
              <w:rPr>
                <w:sz w:val="15"/>
                <w:szCs w:val="15"/>
                <w:color w:val="auto"/>
              </w:rPr>
            </w:pPr>
          </w:p>
        </w:tc>
      </w:tr>
      <w:tr>
        <w:trPr>
          <w:trHeight w:val="171"/>
        </w:trPr>
        <w:tc>
          <w:tcPr>
            <w:tcW w:w="2300" w:type="dxa"/>
            <w:vAlign w:val="bottom"/>
            <w:shd w:val="clear" w:color="auto" w:fill="B8CDE8"/>
          </w:tcPr>
          <w:p>
            <w:pPr>
              <w:ind w:left="160"/>
              <w:spacing w:after="0"/>
              <w:rPr>
                <w:sz w:val="20"/>
                <w:szCs w:val="20"/>
                <w:color w:val="auto"/>
              </w:rPr>
            </w:pPr>
            <w:r>
              <w:rPr>
                <w:rFonts w:ascii="Arial" w:cs="Arial" w:eastAsia="Arial" w:hAnsi="Arial"/>
                <w:sz w:val="14"/>
                <w:szCs w:val="14"/>
                <w:color w:val="auto"/>
              </w:rPr>
              <w:t>(unvested and accelerated)</w:t>
            </w:r>
          </w:p>
        </w:tc>
        <w:tc>
          <w:tcPr>
            <w:tcW w:w="120" w:type="dxa"/>
            <w:vAlign w:val="bottom"/>
            <w:shd w:val="clear" w:color="auto" w:fill="B8CDE8"/>
          </w:tcPr>
          <w:p>
            <w:pPr>
              <w:spacing w:after="0"/>
              <w:rPr>
                <w:sz w:val="14"/>
                <w:szCs w:val="14"/>
                <w:color w:val="auto"/>
              </w:rPr>
            </w:pPr>
          </w:p>
        </w:tc>
        <w:tc>
          <w:tcPr>
            <w:tcW w:w="580" w:type="dxa"/>
            <w:vAlign w:val="bottom"/>
            <w:shd w:val="clear" w:color="auto" w:fill="B8CDE8"/>
          </w:tcPr>
          <w:p>
            <w:pPr>
              <w:ind w:left="440"/>
              <w:spacing w:after="0"/>
              <w:rPr>
                <w:sz w:val="20"/>
                <w:szCs w:val="20"/>
                <w:color w:val="auto"/>
              </w:rPr>
            </w:pPr>
            <w:r>
              <w:rPr>
                <w:rFonts w:ascii="Arial" w:cs="Arial" w:eastAsia="Arial" w:hAnsi="Arial"/>
                <w:sz w:val="14"/>
                <w:szCs w:val="14"/>
                <w:color w:val="auto"/>
                <w:w w:val="85"/>
              </w:rPr>
              <w:t>—</w:t>
            </w:r>
          </w:p>
        </w:tc>
        <w:tc>
          <w:tcPr>
            <w:tcW w:w="120" w:type="dxa"/>
            <w:vAlign w:val="bottom"/>
            <w:shd w:val="clear" w:color="auto" w:fill="B8CDE8"/>
          </w:tcPr>
          <w:p>
            <w:pPr>
              <w:spacing w:after="0"/>
              <w:rPr>
                <w:sz w:val="14"/>
                <w:szCs w:val="14"/>
                <w:color w:val="auto"/>
              </w:rPr>
            </w:pPr>
          </w:p>
        </w:tc>
        <w:tc>
          <w:tcPr>
            <w:tcW w:w="940" w:type="dxa"/>
            <w:vAlign w:val="bottom"/>
            <w:gridSpan w:val="2"/>
            <w:shd w:val="clear" w:color="auto" w:fill="B8CDE8"/>
          </w:tcPr>
          <w:p>
            <w:pPr>
              <w:ind w:left="68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B8CDE8"/>
          </w:tcPr>
          <w:p>
            <w:pPr>
              <w:ind w:left="90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B8CDE8"/>
          </w:tcPr>
          <w:p>
            <w:pPr>
              <w:jc w:val="right"/>
              <w:ind w:right="1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224,650</w:t>
            </w:r>
          </w:p>
        </w:tc>
        <w:tc>
          <w:tcPr>
            <w:tcW w:w="136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336,975</w:t>
            </w:r>
          </w:p>
        </w:tc>
        <w:tc>
          <w:tcPr>
            <w:tcW w:w="134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336,975</w:t>
            </w:r>
          </w:p>
        </w:tc>
        <w:tc>
          <w:tcPr>
            <w:tcW w:w="136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336,975</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Director Compensation for Fiscal Year 2015</w:t>
      </w:r>
    </w:p>
    <w:p>
      <w:pPr>
        <w:spacing w:after="0" w:line="220" w:lineRule="exact"/>
        <w:rPr>
          <w:sz w:val="20"/>
          <w:szCs w:val="20"/>
          <w:color w:val="auto"/>
        </w:rPr>
      </w:pPr>
    </w:p>
    <w:p>
      <w:pPr>
        <w:ind w:right="60" w:firstLine="648"/>
        <w:spacing w:after="0" w:line="246" w:lineRule="auto"/>
        <w:rPr>
          <w:sz w:val="20"/>
          <w:szCs w:val="20"/>
          <w:color w:val="auto"/>
        </w:rPr>
      </w:pPr>
      <w:r>
        <w:rPr>
          <w:rFonts w:ascii="Arial" w:cs="Arial" w:eastAsia="Arial" w:hAnsi="Arial"/>
          <w:sz w:val="18"/>
          <w:szCs w:val="18"/>
          <w:color w:val="auto"/>
        </w:rPr>
        <w:t>The following table sets forth information for compensation earned in fiscal year 2015 by our non-executive directors who served during fiscal year 2015:</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740" w:type="dxa"/>
            <w:vAlign w:val="bottom"/>
            <w:shd w:val="clear" w:color="auto" w:fill="5591C7"/>
          </w:tcPr>
          <w:p>
            <w:pPr>
              <w:spacing w:after="0"/>
              <w:rPr>
                <w:sz w:val="15"/>
                <w:szCs w:val="15"/>
                <w:color w:val="auto"/>
              </w:rPr>
            </w:pPr>
          </w:p>
        </w:tc>
        <w:tc>
          <w:tcPr>
            <w:tcW w:w="140" w:type="dxa"/>
            <w:vAlign w:val="bottom"/>
            <w:shd w:val="clear" w:color="auto" w:fill="5591C7"/>
          </w:tcPr>
          <w:p>
            <w:pPr>
              <w:spacing w:after="0"/>
              <w:rPr>
                <w:sz w:val="15"/>
                <w:szCs w:val="15"/>
                <w:color w:val="auto"/>
              </w:rPr>
            </w:pPr>
          </w:p>
        </w:tc>
        <w:tc>
          <w:tcPr>
            <w:tcW w:w="172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Fees Earned or</w:t>
            </w:r>
          </w:p>
        </w:tc>
        <w:tc>
          <w:tcPr>
            <w:tcW w:w="172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Stock</w:t>
            </w:r>
          </w:p>
        </w:tc>
        <w:tc>
          <w:tcPr>
            <w:tcW w:w="170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Option</w:t>
            </w:r>
          </w:p>
        </w:tc>
        <w:tc>
          <w:tcPr>
            <w:tcW w:w="1700" w:type="dxa"/>
            <w:vAlign w:val="bottom"/>
            <w:gridSpan w:val="2"/>
            <w:shd w:val="clear" w:color="auto" w:fill="5591C7"/>
          </w:tcPr>
          <w:p>
            <w:pPr>
              <w:jc w:val="center"/>
              <w:ind w:right="160"/>
              <w:spacing w:after="0"/>
              <w:rPr>
                <w:sz w:val="20"/>
                <w:szCs w:val="20"/>
                <w:color w:val="auto"/>
              </w:rPr>
            </w:pPr>
            <w:r>
              <w:rPr>
                <w:rFonts w:ascii="Arial" w:cs="Arial" w:eastAsia="Arial" w:hAnsi="Arial"/>
                <w:sz w:val="14"/>
                <w:szCs w:val="14"/>
                <w:b w:val="1"/>
                <w:bCs w:val="1"/>
                <w:color w:val="auto"/>
              </w:rPr>
              <w:t>All Other</w:t>
            </w:r>
          </w:p>
        </w:tc>
        <w:tc>
          <w:tcPr>
            <w:tcW w:w="1600" w:type="dxa"/>
            <w:vAlign w:val="bottom"/>
            <w:shd w:val="clear" w:color="auto" w:fill="5591C7"/>
          </w:tcPr>
          <w:p>
            <w:pPr>
              <w:spacing w:after="0"/>
              <w:rPr>
                <w:sz w:val="15"/>
                <w:szCs w:val="15"/>
                <w:color w:val="auto"/>
              </w:rPr>
            </w:pPr>
          </w:p>
        </w:tc>
        <w:tc>
          <w:tcPr>
            <w:tcW w:w="100" w:type="dxa"/>
            <w:vAlign w:val="bottom"/>
            <w:shd w:val="clear" w:color="auto" w:fill="5591C7"/>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740" w:type="dxa"/>
            <w:vAlign w:val="bottom"/>
            <w:vMerge w:val="restart"/>
            <w:shd w:val="clear" w:color="auto" w:fill="5591C7"/>
          </w:tcPr>
          <w:p>
            <w:pPr>
              <w:ind w:left="1100"/>
              <w:spacing w:after="0"/>
              <w:rPr>
                <w:sz w:val="20"/>
                <w:szCs w:val="20"/>
                <w:color w:val="auto"/>
              </w:rPr>
            </w:pPr>
            <w:r>
              <w:rPr>
                <w:rFonts w:ascii="Arial" w:cs="Arial" w:eastAsia="Arial" w:hAnsi="Arial"/>
                <w:sz w:val="14"/>
                <w:szCs w:val="14"/>
                <w:b w:val="1"/>
                <w:bCs w:val="1"/>
                <w:color w:val="auto"/>
              </w:rPr>
              <w:t>Name</w:t>
            </w:r>
            <w:r>
              <w:rPr>
                <w:rFonts w:ascii="Arial" w:cs="Arial" w:eastAsia="Arial" w:hAnsi="Arial"/>
                <w:sz w:val="23"/>
                <w:szCs w:val="23"/>
                <w:b w:val="1"/>
                <w:bCs w:val="1"/>
                <w:color w:val="auto"/>
                <w:vertAlign w:val="superscript"/>
              </w:rPr>
              <w:t>(1)</w:t>
            </w:r>
          </w:p>
        </w:tc>
        <w:tc>
          <w:tcPr>
            <w:tcW w:w="140" w:type="dxa"/>
            <w:vAlign w:val="bottom"/>
            <w:shd w:val="clear" w:color="auto" w:fill="5591C7"/>
          </w:tcPr>
          <w:p>
            <w:pPr>
              <w:spacing w:after="0"/>
              <w:rPr>
                <w:sz w:val="14"/>
                <w:szCs w:val="14"/>
                <w:color w:val="auto"/>
              </w:rPr>
            </w:pPr>
          </w:p>
        </w:tc>
        <w:tc>
          <w:tcPr>
            <w:tcW w:w="1720" w:type="dxa"/>
            <w:vAlign w:val="bottom"/>
            <w:gridSpan w:val="2"/>
            <w:shd w:val="clear" w:color="auto" w:fill="5591C7"/>
          </w:tcPr>
          <w:p>
            <w:pPr>
              <w:jc w:val="center"/>
              <w:ind w:right="140"/>
              <w:spacing w:after="0"/>
              <w:rPr>
                <w:sz w:val="20"/>
                <w:szCs w:val="20"/>
                <w:color w:val="auto"/>
              </w:rPr>
            </w:pPr>
            <w:r>
              <w:rPr>
                <w:rFonts w:ascii="Arial" w:cs="Arial" w:eastAsia="Arial" w:hAnsi="Arial"/>
                <w:sz w:val="14"/>
                <w:szCs w:val="14"/>
                <w:b w:val="1"/>
                <w:bCs w:val="1"/>
                <w:color w:val="auto"/>
              </w:rPr>
              <w:t>Paid in Cash</w:t>
            </w:r>
          </w:p>
        </w:tc>
        <w:tc>
          <w:tcPr>
            <w:tcW w:w="1720" w:type="dxa"/>
            <w:vAlign w:val="bottom"/>
            <w:gridSpan w:val="2"/>
            <w:shd w:val="clear" w:color="auto" w:fill="5591C7"/>
          </w:tcPr>
          <w:p>
            <w:pPr>
              <w:jc w:val="center"/>
              <w:ind w:right="120"/>
              <w:spacing w:after="0"/>
              <w:rPr>
                <w:sz w:val="20"/>
                <w:szCs w:val="20"/>
                <w:color w:val="auto"/>
              </w:rPr>
            </w:pPr>
            <w:r>
              <w:rPr>
                <w:rFonts w:ascii="Arial" w:cs="Arial" w:eastAsia="Arial" w:hAnsi="Arial"/>
                <w:sz w:val="14"/>
                <w:szCs w:val="14"/>
                <w:b w:val="1"/>
                <w:bCs w:val="1"/>
                <w:color w:val="auto"/>
              </w:rPr>
              <w:t>Awards</w:t>
            </w:r>
          </w:p>
        </w:tc>
        <w:tc>
          <w:tcPr>
            <w:tcW w:w="170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Awards</w:t>
            </w:r>
          </w:p>
        </w:tc>
        <w:tc>
          <w:tcPr>
            <w:tcW w:w="1700" w:type="dxa"/>
            <w:vAlign w:val="bottom"/>
            <w:gridSpan w:val="2"/>
            <w:shd w:val="clear" w:color="auto" w:fill="5591C7"/>
          </w:tcPr>
          <w:p>
            <w:pPr>
              <w:jc w:val="center"/>
              <w:ind w:right="100"/>
              <w:spacing w:after="0"/>
              <w:rPr>
                <w:sz w:val="20"/>
                <w:szCs w:val="20"/>
                <w:color w:val="auto"/>
              </w:rPr>
            </w:pPr>
            <w:r>
              <w:rPr>
                <w:rFonts w:ascii="Arial" w:cs="Arial" w:eastAsia="Arial" w:hAnsi="Arial"/>
                <w:sz w:val="14"/>
                <w:szCs w:val="14"/>
                <w:b w:val="1"/>
                <w:bCs w:val="1"/>
                <w:color w:val="auto"/>
              </w:rPr>
              <w:t>Compensation</w:t>
            </w:r>
          </w:p>
        </w:tc>
        <w:tc>
          <w:tcPr>
            <w:tcW w:w="1700" w:type="dxa"/>
            <w:vAlign w:val="bottom"/>
            <w:gridSpan w:val="2"/>
            <w:shd w:val="clear" w:color="auto" w:fill="5591C7"/>
          </w:tcPr>
          <w:p>
            <w:pPr>
              <w:ind w:left="6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740" w:type="dxa"/>
            <w:vAlign w:val="bottom"/>
            <w:tcBorders>
              <w:bottom w:val="single" w:sz="8" w:color="auto"/>
            </w:tcBorders>
            <w:vMerge w:val="continue"/>
            <w:shd w:val="clear" w:color="auto" w:fill="5591C7"/>
          </w:tcPr>
          <w:p>
            <w:pPr>
              <w:spacing w:after="0"/>
              <w:rPr>
                <w:sz w:val="17"/>
                <w:szCs w:val="17"/>
                <w:color w:val="auto"/>
              </w:rPr>
            </w:pPr>
          </w:p>
        </w:tc>
        <w:tc>
          <w:tcPr>
            <w:tcW w:w="140" w:type="dxa"/>
            <w:vAlign w:val="bottom"/>
            <w:tcBorders>
              <w:bottom w:val="single" w:sz="8" w:color="5591C7"/>
            </w:tcBorders>
            <w:shd w:val="clear" w:color="auto" w:fill="5591C7"/>
          </w:tcPr>
          <w:p>
            <w:pPr>
              <w:spacing w:after="0"/>
              <w:rPr>
                <w:sz w:val="17"/>
                <w:szCs w:val="17"/>
                <w:color w:val="auto"/>
              </w:rPr>
            </w:pPr>
          </w:p>
        </w:tc>
        <w:tc>
          <w:tcPr>
            <w:tcW w:w="160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5591C7"/>
            </w:tcBorders>
            <w:shd w:val="clear" w:color="auto" w:fill="5591C7"/>
          </w:tcPr>
          <w:p>
            <w:pPr>
              <w:spacing w:after="0"/>
              <w:rPr>
                <w:sz w:val="17"/>
                <w:szCs w:val="17"/>
                <w:color w:val="auto"/>
              </w:rPr>
            </w:pPr>
          </w:p>
        </w:tc>
        <w:tc>
          <w:tcPr>
            <w:tcW w:w="1600" w:type="dxa"/>
            <w:vAlign w:val="bottom"/>
            <w:tcBorders>
              <w:bottom w:val="single" w:sz="8" w:color="auto"/>
            </w:tcBorders>
            <w:shd w:val="clear" w:color="auto" w:fill="5591C7"/>
          </w:tcPr>
          <w:p>
            <w:pPr>
              <w:jc w:val="center"/>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10"/>
                <w:szCs w:val="10"/>
                <w:b w:val="1"/>
                <w:bCs w:val="1"/>
                <w:color w:val="auto"/>
              </w:rPr>
              <w:t>(2)(3)</w:t>
            </w:r>
          </w:p>
        </w:tc>
        <w:tc>
          <w:tcPr>
            <w:tcW w:w="120" w:type="dxa"/>
            <w:vAlign w:val="bottom"/>
            <w:tcBorders>
              <w:bottom w:val="single" w:sz="8" w:color="5591C7"/>
            </w:tcBorders>
            <w:shd w:val="clear" w:color="auto" w:fill="5591C7"/>
          </w:tcPr>
          <w:p>
            <w:pPr>
              <w:spacing w:after="0"/>
              <w:rPr>
                <w:sz w:val="17"/>
                <w:szCs w:val="17"/>
                <w:color w:val="auto"/>
              </w:rPr>
            </w:pPr>
          </w:p>
        </w:tc>
        <w:tc>
          <w:tcPr>
            <w:tcW w:w="158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5591C7"/>
            </w:tcBorders>
            <w:shd w:val="clear" w:color="auto" w:fill="5591C7"/>
          </w:tcPr>
          <w:p>
            <w:pPr>
              <w:spacing w:after="0"/>
              <w:rPr>
                <w:sz w:val="17"/>
                <w:szCs w:val="17"/>
                <w:color w:val="auto"/>
              </w:rPr>
            </w:pPr>
          </w:p>
        </w:tc>
        <w:tc>
          <w:tcPr>
            <w:tcW w:w="1600" w:type="dxa"/>
            <w:vAlign w:val="bottom"/>
            <w:tcBorders>
              <w:bottom w:val="single" w:sz="8" w:color="auto"/>
            </w:tcBorders>
            <w:shd w:val="clear" w:color="auto" w:fill="5591C7"/>
          </w:tcPr>
          <w:p>
            <w:pPr>
              <w:jc w:val="center"/>
              <w:spacing w:after="0" w:line="189" w:lineRule="exact"/>
              <w:rPr>
                <w:sz w:val="20"/>
                <w:szCs w:val="20"/>
                <w:color w:val="auto"/>
              </w:rPr>
            </w:pPr>
            <w:r>
              <w:rPr>
                <w:rFonts w:ascii="Arial" w:cs="Arial" w:eastAsia="Arial" w:hAnsi="Arial"/>
                <w:sz w:val="13"/>
                <w:szCs w:val="13"/>
                <w:b w:val="1"/>
                <w:bCs w:val="1"/>
                <w:color w:val="auto"/>
                <w:w w:val="96"/>
              </w:rPr>
              <w:t>($)</w:t>
            </w:r>
            <w:r>
              <w:rPr>
                <w:rFonts w:ascii="Arial" w:cs="Arial" w:eastAsia="Arial" w:hAnsi="Arial"/>
                <w:sz w:val="21"/>
                <w:szCs w:val="21"/>
                <w:b w:val="1"/>
                <w:bCs w:val="1"/>
                <w:color w:val="auto"/>
                <w:w w:val="96"/>
                <w:vertAlign w:val="superscript"/>
              </w:rPr>
              <w:t>(5)</w:t>
            </w:r>
          </w:p>
        </w:tc>
        <w:tc>
          <w:tcPr>
            <w:tcW w:w="100" w:type="dxa"/>
            <w:vAlign w:val="bottom"/>
            <w:tcBorders>
              <w:bottom w:val="single" w:sz="8" w:color="5591C7"/>
            </w:tcBorders>
            <w:shd w:val="clear" w:color="auto" w:fill="5591C7"/>
          </w:tcPr>
          <w:p>
            <w:pPr>
              <w:spacing w:after="0"/>
              <w:rPr>
                <w:sz w:val="17"/>
                <w:szCs w:val="17"/>
                <w:color w:val="auto"/>
              </w:rPr>
            </w:pPr>
          </w:p>
        </w:tc>
        <w:tc>
          <w:tcPr>
            <w:tcW w:w="1600" w:type="dxa"/>
            <w:vAlign w:val="bottom"/>
            <w:tcBorders>
              <w:bottom w:val="single" w:sz="8" w:color="auto"/>
            </w:tcBorders>
            <w:shd w:val="clear" w:color="auto" w:fill="5591C7"/>
          </w:tcPr>
          <w:p>
            <w:pPr>
              <w:jc w:val="right"/>
              <w:ind w:right="6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5591C7"/>
            </w:tcBorders>
            <w:shd w:val="clear" w:color="auto" w:fill="5591C7"/>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740" w:type="dxa"/>
            <w:vAlign w:val="bottom"/>
            <w:shd w:val="clear" w:color="auto" w:fill="B8CDE8"/>
          </w:tcPr>
          <w:p>
            <w:pPr>
              <w:spacing w:after="0"/>
              <w:rPr>
                <w:sz w:val="20"/>
                <w:szCs w:val="20"/>
                <w:color w:val="auto"/>
              </w:rPr>
            </w:pPr>
            <w:r>
              <w:rPr>
                <w:rFonts w:ascii="Arial" w:cs="Arial" w:eastAsia="Arial" w:hAnsi="Arial"/>
                <w:sz w:val="14"/>
                <w:szCs w:val="14"/>
                <w:color w:val="auto"/>
              </w:rPr>
              <w:t>David Kelso</w:t>
            </w:r>
          </w:p>
        </w:tc>
        <w:tc>
          <w:tcPr>
            <w:tcW w:w="1860" w:type="dxa"/>
            <w:vAlign w:val="bottom"/>
            <w:gridSpan w:val="3"/>
            <w:shd w:val="clear" w:color="auto" w:fill="B8CDE8"/>
          </w:tcPr>
          <w:p>
            <w:pPr>
              <w:jc w:val="right"/>
              <w:ind w:right="120"/>
              <w:spacing w:after="0"/>
              <w:rPr>
                <w:sz w:val="20"/>
                <w:szCs w:val="20"/>
                <w:color w:val="auto"/>
              </w:rPr>
            </w:pPr>
            <w:r>
              <w:rPr>
                <w:rFonts w:ascii="Arial" w:cs="Arial" w:eastAsia="Arial" w:hAnsi="Arial"/>
                <w:sz w:val="14"/>
                <w:szCs w:val="14"/>
                <w:color w:val="auto"/>
              </w:rPr>
              <w:t>80,000</w:t>
            </w:r>
          </w:p>
        </w:tc>
        <w:tc>
          <w:tcPr>
            <w:tcW w:w="1720" w:type="dxa"/>
            <w:vAlign w:val="bottom"/>
            <w:gridSpan w:val="2"/>
            <w:shd w:val="clear" w:color="auto" w:fill="B8CDE8"/>
          </w:tcPr>
          <w:p>
            <w:pPr>
              <w:jc w:val="right"/>
              <w:ind w:right="120"/>
              <w:spacing w:after="0"/>
              <w:rPr>
                <w:sz w:val="20"/>
                <w:szCs w:val="20"/>
                <w:color w:val="auto"/>
              </w:rPr>
            </w:pPr>
            <w:r>
              <w:rPr>
                <w:rFonts w:ascii="Arial" w:cs="Arial" w:eastAsia="Arial" w:hAnsi="Arial"/>
                <w:sz w:val="14"/>
                <w:szCs w:val="14"/>
                <w:color w:val="auto"/>
              </w:rPr>
              <w:t>99,998</w:t>
            </w:r>
          </w:p>
        </w:tc>
        <w:tc>
          <w:tcPr>
            <w:tcW w:w="1700" w:type="dxa"/>
            <w:vAlign w:val="bottom"/>
            <w:gridSpan w:val="2"/>
            <w:shd w:val="clear" w:color="auto" w:fill="B8CDE8"/>
          </w:tcPr>
          <w:p>
            <w:pPr>
              <w:ind w:left="1440"/>
              <w:spacing w:after="0"/>
              <w:rPr>
                <w:sz w:val="20"/>
                <w:szCs w:val="20"/>
                <w:color w:val="auto"/>
              </w:rPr>
            </w:pPr>
            <w:r>
              <w:rPr>
                <w:rFonts w:ascii="Arial" w:cs="Arial" w:eastAsia="Arial" w:hAnsi="Arial"/>
                <w:sz w:val="14"/>
                <w:szCs w:val="14"/>
                <w:color w:val="auto"/>
              </w:rPr>
              <w:t>—</w:t>
            </w:r>
          </w:p>
        </w:tc>
        <w:tc>
          <w:tcPr>
            <w:tcW w:w="170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w:t>
            </w:r>
          </w:p>
        </w:tc>
        <w:tc>
          <w:tcPr>
            <w:tcW w:w="170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179,998</w:t>
            </w:r>
          </w:p>
        </w:tc>
        <w:tc>
          <w:tcPr>
            <w:tcW w:w="0" w:type="dxa"/>
            <w:vAlign w:val="bottom"/>
          </w:tcPr>
          <w:p>
            <w:pPr>
              <w:spacing w:after="0"/>
              <w:rPr>
                <w:sz w:val="1"/>
                <w:szCs w:val="1"/>
                <w:color w:val="auto"/>
              </w:rPr>
            </w:pPr>
          </w:p>
        </w:tc>
      </w:tr>
      <w:tr>
        <w:trPr>
          <w:trHeight w:val="189"/>
        </w:trPr>
        <w:tc>
          <w:tcPr>
            <w:tcW w:w="2740" w:type="dxa"/>
            <w:vAlign w:val="bottom"/>
          </w:tcPr>
          <w:p>
            <w:pPr>
              <w:spacing w:after="0"/>
              <w:rPr>
                <w:sz w:val="20"/>
                <w:szCs w:val="20"/>
                <w:color w:val="auto"/>
              </w:rPr>
            </w:pPr>
            <w:r>
              <w:rPr>
                <w:rFonts w:ascii="Arial" w:cs="Arial" w:eastAsia="Arial" w:hAnsi="Arial"/>
                <w:sz w:val="14"/>
                <w:szCs w:val="14"/>
                <w:color w:val="auto"/>
              </w:rPr>
              <w:t>Deborah Kerr</w:t>
            </w:r>
          </w:p>
        </w:tc>
        <w:tc>
          <w:tcPr>
            <w:tcW w:w="1860" w:type="dxa"/>
            <w:vAlign w:val="bottom"/>
            <w:gridSpan w:val="3"/>
          </w:tcPr>
          <w:p>
            <w:pPr>
              <w:jc w:val="right"/>
              <w:ind w:right="120"/>
              <w:spacing w:after="0"/>
              <w:rPr>
                <w:sz w:val="20"/>
                <w:szCs w:val="20"/>
                <w:color w:val="auto"/>
              </w:rPr>
            </w:pPr>
            <w:r>
              <w:rPr>
                <w:rFonts w:ascii="Arial" w:cs="Arial" w:eastAsia="Arial" w:hAnsi="Arial"/>
                <w:sz w:val="14"/>
                <w:szCs w:val="14"/>
                <w:color w:val="auto"/>
              </w:rPr>
              <w:t>72,500</w:t>
            </w:r>
          </w:p>
        </w:tc>
        <w:tc>
          <w:tcPr>
            <w:tcW w:w="1720" w:type="dxa"/>
            <w:vAlign w:val="bottom"/>
            <w:gridSpan w:val="2"/>
          </w:tcPr>
          <w:p>
            <w:pPr>
              <w:jc w:val="right"/>
              <w:ind w:right="120"/>
              <w:spacing w:after="0"/>
              <w:rPr>
                <w:sz w:val="20"/>
                <w:szCs w:val="20"/>
                <w:color w:val="auto"/>
              </w:rPr>
            </w:pPr>
            <w:r>
              <w:rPr>
                <w:rFonts w:ascii="Arial" w:cs="Arial" w:eastAsia="Arial" w:hAnsi="Arial"/>
                <w:sz w:val="14"/>
                <w:szCs w:val="14"/>
                <w:color w:val="auto"/>
              </w:rPr>
              <w:t>146,309</w:t>
            </w:r>
          </w:p>
        </w:tc>
        <w:tc>
          <w:tcPr>
            <w:tcW w:w="1700" w:type="dxa"/>
            <w:vAlign w:val="bottom"/>
            <w:gridSpan w:val="2"/>
          </w:tcPr>
          <w:p>
            <w:pPr>
              <w:ind w:left="14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100"/>
              <w:spacing w:after="0"/>
              <w:rPr>
                <w:sz w:val="20"/>
                <w:szCs w:val="20"/>
                <w:color w:val="auto"/>
              </w:rPr>
            </w:pPr>
            <w:r>
              <w:rPr>
                <w:rFonts w:ascii="Arial" w:cs="Arial" w:eastAsia="Arial" w:hAnsi="Arial"/>
                <w:sz w:val="14"/>
                <w:szCs w:val="14"/>
                <w:color w:val="auto"/>
              </w:rPr>
              <w:t>218,809</w:t>
            </w:r>
          </w:p>
        </w:tc>
        <w:tc>
          <w:tcPr>
            <w:tcW w:w="0" w:type="dxa"/>
            <w:vAlign w:val="bottom"/>
          </w:tcPr>
          <w:p>
            <w:pPr>
              <w:spacing w:after="0"/>
              <w:rPr>
                <w:sz w:val="1"/>
                <w:szCs w:val="1"/>
                <w:color w:val="auto"/>
              </w:rPr>
            </w:pPr>
          </w:p>
        </w:tc>
      </w:tr>
      <w:tr>
        <w:trPr>
          <w:trHeight w:val="189"/>
        </w:trPr>
        <w:tc>
          <w:tcPr>
            <w:tcW w:w="2740" w:type="dxa"/>
            <w:vAlign w:val="bottom"/>
            <w:shd w:val="clear" w:color="auto" w:fill="B8CDE8"/>
          </w:tcPr>
          <w:p>
            <w:pPr>
              <w:spacing w:after="0"/>
              <w:rPr>
                <w:sz w:val="20"/>
                <w:szCs w:val="20"/>
                <w:color w:val="auto"/>
              </w:rPr>
            </w:pPr>
            <w:r>
              <w:rPr>
                <w:rFonts w:ascii="Arial" w:cs="Arial" w:eastAsia="Arial" w:hAnsi="Arial"/>
                <w:sz w:val="14"/>
                <w:szCs w:val="14"/>
                <w:color w:val="auto"/>
              </w:rPr>
              <w:t>Clyde Ostler</w:t>
            </w:r>
          </w:p>
        </w:tc>
        <w:tc>
          <w:tcPr>
            <w:tcW w:w="1860" w:type="dxa"/>
            <w:vAlign w:val="bottom"/>
            <w:gridSpan w:val="3"/>
            <w:shd w:val="clear" w:color="auto" w:fill="B8CDE8"/>
          </w:tcPr>
          <w:p>
            <w:pPr>
              <w:jc w:val="right"/>
              <w:ind w:right="120"/>
              <w:spacing w:after="0"/>
              <w:rPr>
                <w:sz w:val="20"/>
                <w:szCs w:val="20"/>
                <w:color w:val="auto"/>
              </w:rPr>
            </w:pPr>
            <w:r>
              <w:rPr>
                <w:rFonts w:ascii="Arial" w:cs="Arial" w:eastAsia="Arial" w:hAnsi="Arial"/>
                <w:sz w:val="14"/>
                <w:szCs w:val="14"/>
                <w:color w:val="auto"/>
              </w:rPr>
              <w:t>82,500</w:t>
            </w:r>
          </w:p>
        </w:tc>
        <w:tc>
          <w:tcPr>
            <w:tcW w:w="1720" w:type="dxa"/>
            <w:vAlign w:val="bottom"/>
            <w:gridSpan w:val="2"/>
            <w:shd w:val="clear" w:color="auto" w:fill="B8CDE8"/>
          </w:tcPr>
          <w:p>
            <w:pPr>
              <w:jc w:val="right"/>
              <w:ind w:right="120"/>
              <w:spacing w:after="0"/>
              <w:rPr>
                <w:sz w:val="20"/>
                <w:szCs w:val="20"/>
                <w:color w:val="auto"/>
              </w:rPr>
            </w:pPr>
            <w:r>
              <w:rPr>
                <w:rFonts w:ascii="Arial" w:cs="Arial" w:eastAsia="Arial" w:hAnsi="Arial"/>
                <w:sz w:val="14"/>
                <w:szCs w:val="14"/>
                <w:color w:val="auto"/>
              </w:rPr>
              <w:t>99,998</w:t>
            </w:r>
          </w:p>
        </w:tc>
        <w:tc>
          <w:tcPr>
            <w:tcW w:w="1700" w:type="dxa"/>
            <w:vAlign w:val="bottom"/>
            <w:gridSpan w:val="2"/>
            <w:shd w:val="clear" w:color="auto" w:fill="B8CDE8"/>
          </w:tcPr>
          <w:p>
            <w:pPr>
              <w:ind w:left="1440"/>
              <w:spacing w:after="0"/>
              <w:rPr>
                <w:sz w:val="20"/>
                <w:szCs w:val="20"/>
                <w:color w:val="auto"/>
              </w:rPr>
            </w:pPr>
            <w:r>
              <w:rPr>
                <w:rFonts w:ascii="Arial" w:cs="Arial" w:eastAsia="Arial" w:hAnsi="Arial"/>
                <w:sz w:val="14"/>
                <w:szCs w:val="14"/>
                <w:color w:val="auto"/>
              </w:rPr>
              <w:t>—</w:t>
            </w:r>
          </w:p>
        </w:tc>
        <w:tc>
          <w:tcPr>
            <w:tcW w:w="170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w:t>
            </w:r>
          </w:p>
        </w:tc>
        <w:tc>
          <w:tcPr>
            <w:tcW w:w="170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182,498</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4"/>
                <w:szCs w:val="14"/>
                <w:color w:val="auto"/>
              </w:rPr>
              <w:t>Anne Minto</w:t>
            </w:r>
          </w:p>
        </w:tc>
        <w:tc>
          <w:tcPr>
            <w:tcW w:w="1860" w:type="dxa"/>
            <w:vAlign w:val="bottom"/>
            <w:gridSpan w:val="3"/>
          </w:tcPr>
          <w:p>
            <w:pPr>
              <w:jc w:val="right"/>
              <w:ind w:right="120"/>
              <w:spacing w:after="0"/>
              <w:rPr>
                <w:sz w:val="20"/>
                <w:szCs w:val="20"/>
                <w:color w:val="auto"/>
              </w:rPr>
            </w:pPr>
            <w:r>
              <w:rPr>
                <w:rFonts w:ascii="Arial" w:cs="Arial" w:eastAsia="Arial" w:hAnsi="Arial"/>
                <w:sz w:val="14"/>
                <w:szCs w:val="14"/>
                <w:color w:val="auto"/>
              </w:rPr>
              <w:t>77,500</w:t>
            </w:r>
          </w:p>
        </w:tc>
        <w:tc>
          <w:tcPr>
            <w:tcW w:w="1720" w:type="dxa"/>
            <w:vAlign w:val="bottom"/>
            <w:gridSpan w:val="2"/>
          </w:tcPr>
          <w:p>
            <w:pPr>
              <w:jc w:val="right"/>
              <w:ind w:right="120"/>
              <w:spacing w:after="0"/>
              <w:rPr>
                <w:sz w:val="20"/>
                <w:szCs w:val="20"/>
                <w:color w:val="auto"/>
              </w:rPr>
            </w:pPr>
            <w:r>
              <w:rPr>
                <w:rFonts w:ascii="Arial" w:cs="Arial" w:eastAsia="Arial" w:hAnsi="Arial"/>
                <w:sz w:val="14"/>
                <w:szCs w:val="14"/>
                <w:color w:val="auto"/>
              </w:rPr>
              <w:t>127,108</w:t>
            </w:r>
          </w:p>
        </w:tc>
        <w:tc>
          <w:tcPr>
            <w:tcW w:w="1700" w:type="dxa"/>
            <w:vAlign w:val="bottom"/>
            <w:gridSpan w:val="2"/>
          </w:tcPr>
          <w:p>
            <w:pPr>
              <w:ind w:left="14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100"/>
              <w:spacing w:after="0" w:line="216" w:lineRule="exact"/>
              <w:rPr>
                <w:sz w:val="20"/>
                <w:szCs w:val="20"/>
                <w:color w:val="auto"/>
              </w:rPr>
            </w:pPr>
            <w:r>
              <w:rPr>
                <w:rFonts w:ascii="Arial" w:cs="Arial" w:eastAsia="Arial" w:hAnsi="Arial"/>
                <w:sz w:val="14"/>
                <w:szCs w:val="14"/>
                <w:color w:val="auto"/>
              </w:rPr>
              <w:t>25,077</w:t>
            </w:r>
            <w:r>
              <w:rPr>
                <w:rFonts w:ascii="Arial" w:cs="Arial" w:eastAsia="Arial" w:hAnsi="Arial"/>
                <w:sz w:val="23"/>
                <w:szCs w:val="23"/>
                <w:color w:val="auto"/>
                <w:vertAlign w:val="superscript"/>
              </w:rPr>
              <w:t>(6)</w:t>
            </w:r>
          </w:p>
        </w:tc>
        <w:tc>
          <w:tcPr>
            <w:tcW w:w="1700" w:type="dxa"/>
            <w:vAlign w:val="bottom"/>
            <w:gridSpan w:val="2"/>
          </w:tcPr>
          <w:p>
            <w:pPr>
              <w:jc w:val="right"/>
              <w:ind w:right="100"/>
              <w:spacing w:after="0"/>
              <w:rPr>
                <w:sz w:val="20"/>
                <w:szCs w:val="20"/>
                <w:color w:val="auto"/>
              </w:rPr>
            </w:pPr>
            <w:r>
              <w:rPr>
                <w:rFonts w:ascii="Arial" w:cs="Arial" w:eastAsia="Arial" w:hAnsi="Arial"/>
                <w:sz w:val="14"/>
                <w:szCs w:val="14"/>
                <w:color w:val="auto"/>
              </w:rPr>
              <w:t>229,685</w:t>
            </w:r>
          </w:p>
        </w:tc>
        <w:tc>
          <w:tcPr>
            <w:tcW w:w="0" w:type="dxa"/>
            <w:vAlign w:val="bottom"/>
          </w:tcPr>
          <w:p>
            <w:pPr>
              <w:spacing w:after="0"/>
              <w:rPr>
                <w:sz w:val="1"/>
                <w:szCs w:val="1"/>
                <w:color w:val="auto"/>
              </w:rPr>
            </w:pPr>
          </w:p>
        </w:tc>
      </w:tr>
      <w:tr>
        <w:trPr>
          <w:trHeight w:val="189"/>
        </w:trPr>
        <w:tc>
          <w:tcPr>
            <w:tcW w:w="2740" w:type="dxa"/>
            <w:vAlign w:val="bottom"/>
            <w:shd w:val="clear" w:color="auto" w:fill="B8CDE8"/>
          </w:tcPr>
          <w:p>
            <w:pPr>
              <w:spacing w:after="0"/>
              <w:rPr>
                <w:sz w:val="20"/>
                <w:szCs w:val="20"/>
                <w:color w:val="auto"/>
              </w:rPr>
            </w:pPr>
            <w:r>
              <w:rPr>
                <w:rFonts w:ascii="Arial" w:cs="Arial" w:eastAsia="Arial" w:hAnsi="Arial"/>
                <w:sz w:val="14"/>
                <w:szCs w:val="14"/>
                <w:color w:val="auto"/>
              </w:rPr>
              <w:t>Som Mittal</w:t>
            </w:r>
          </w:p>
        </w:tc>
        <w:tc>
          <w:tcPr>
            <w:tcW w:w="1860" w:type="dxa"/>
            <w:vAlign w:val="bottom"/>
            <w:gridSpan w:val="3"/>
            <w:shd w:val="clear" w:color="auto" w:fill="B8CDE8"/>
          </w:tcPr>
          <w:p>
            <w:pPr>
              <w:jc w:val="right"/>
              <w:ind w:right="120"/>
              <w:spacing w:after="0"/>
              <w:rPr>
                <w:sz w:val="20"/>
                <w:szCs w:val="20"/>
                <w:color w:val="auto"/>
              </w:rPr>
            </w:pPr>
            <w:r>
              <w:rPr>
                <w:rFonts w:ascii="Arial" w:cs="Arial" w:eastAsia="Arial" w:hAnsi="Arial"/>
                <w:sz w:val="14"/>
                <w:szCs w:val="14"/>
                <w:color w:val="auto"/>
              </w:rPr>
              <w:t>70,000</w:t>
            </w:r>
          </w:p>
        </w:tc>
        <w:tc>
          <w:tcPr>
            <w:tcW w:w="1720" w:type="dxa"/>
            <w:vAlign w:val="bottom"/>
            <w:gridSpan w:val="2"/>
            <w:shd w:val="clear" w:color="auto" w:fill="B8CDE8"/>
          </w:tcPr>
          <w:p>
            <w:pPr>
              <w:jc w:val="right"/>
              <w:ind w:right="120"/>
              <w:spacing w:after="0"/>
              <w:rPr>
                <w:sz w:val="20"/>
                <w:szCs w:val="20"/>
                <w:color w:val="auto"/>
              </w:rPr>
            </w:pPr>
            <w:r>
              <w:rPr>
                <w:rFonts w:ascii="Arial" w:cs="Arial" w:eastAsia="Arial" w:hAnsi="Arial"/>
                <w:sz w:val="14"/>
                <w:szCs w:val="14"/>
                <w:color w:val="auto"/>
              </w:rPr>
              <w:t>99,998</w:t>
            </w:r>
          </w:p>
        </w:tc>
        <w:tc>
          <w:tcPr>
            <w:tcW w:w="1700" w:type="dxa"/>
            <w:vAlign w:val="bottom"/>
            <w:gridSpan w:val="2"/>
            <w:shd w:val="clear" w:color="auto" w:fill="B8CDE8"/>
          </w:tcPr>
          <w:p>
            <w:pPr>
              <w:ind w:left="1440"/>
              <w:spacing w:after="0"/>
              <w:rPr>
                <w:sz w:val="20"/>
                <w:szCs w:val="20"/>
                <w:color w:val="auto"/>
              </w:rPr>
            </w:pPr>
            <w:r>
              <w:rPr>
                <w:rFonts w:ascii="Arial" w:cs="Arial" w:eastAsia="Arial" w:hAnsi="Arial"/>
                <w:sz w:val="14"/>
                <w:szCs w:val="14"/>
                <w:color w:val="auto"/>
              </w:rPr>
              <w:t>—</w:t>
            </w:r>
          </w:p>
        </w:tc>
        <w:tc>
          <w:tcPr>
            <w:tcW w:w="170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w:t>
            </w:r>
          </w:p>
        </w:tc>
        <w:tc>
          <w:tcPr>
            <w:tcW w:w="170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169,998</w:t>
            </w:r>
          </w:p>
        </w:tc>
        <w:tc>
          <w:tcPr>
            <w:tcW w:w="0" w:type="dxa"/>
            <w:vAlign w:val="bottom"/>
          </w:tcPr>
          <w:p>
            <w:pPr>
              <w:spacing w:after="0"/>
              <w:rPr>
                <w:sz w:val="1"/>
                <w:szCs w:val="1"/>
                <w:color w:val="auto"/>
              </w:rPr>
            </w:pPr>
          </w:p>
        </w:tc>
      </w:tr>
      <w:tr>
        <w:trPr>
          <w:trHeight w:val="189"/>
        </w:trPr>
        <w:tc>
          <w:tcPr>
            <w:tcW w:w="2740" w:type="dxa"/>
            <w:vAlign w:val="bottom"/>
          </w:tcPr>
          <w:p>
            <w:pPr>
              <w:spacing w:after="0" w:line="189" w:lineRule="exact"/>
              <w:rPr>
                <w:sz w:val="20"/>
                <w:szCs w:val="20"/>
                <w:color w:val="auto"/>
              </w:rPr>
            </w:pPr>
            <w:r>
              <w:rPr>
                <w:rFonts w:ascii="Arial" w:cs="Arial" w:eastAsia="Arial" w:hAnsi="Arial"/>
                <w:sz w:val="13"/>
                <w:szCs w:val="13"/>
                <w:color w:val="auto"/>
              </w:rPr>
              <w:t>Mohanbir Sawhney</w:t>
            </w:r>
            <w:r>
              <w:rPr>
                <w:rFonts w:ascii="Arial" w:cs="Arial" w:eastAsia="Arial" w:hAnsi="Arial"/>
                <w:sz w:val="21"/>
                <w:szCs w:val="21"/>
                <w:color w:val="auto"/>
                <w:vertAlign w:val="superscript"/>
              </w:rPr>
              <w:t>(4)</w:t>
            </w:r>
          </w:p>
        </w:tc>
        <w:tc>
          <w:tcPr>
            <w:tcW w:w="1860" w:type="dxa"/>
            <w:vAlign w:val="bottom"/>
            <w:gridSpan w:val="3"/>
          </w:tcPr>
          <w:p>
            <w:pPr>
              <w:jc w:val="right"/>
              <w:ind w:right="120"/>
              <w:spacing w:after="0"/>
              <w:rPr>
                <w:sz w:val="20"/>
                <w:szCs w:val="20"/>
                <w:color w:val="auto"/>
              </w:rPr>
            </w:pPr>
            <w:r>
              <w:rPr>
                <w:rFonts w:ascii="Arial" w:cs="Arial" w:eastAsia="Arial" w:hAnsi="Arial"/>
                <w:sz w:val="14"/>
                <w:szCs w:val="14"/>
                <w:color w:val="auto"/>
              </w:rPr>
              <w:t>72,500</w:t>
            </w:r>
          </w:p>
        </w:tc>
        <w:tc>
          <w:tcPr>
            <w:tcW w:w="1720" w:type="dxa"/>
            <w:vAlign w:val="bottom"/>
            <w:gridSpan w:val="2"/>
          </w:tcPr>
          <w:p>
            <w:pPr>
              <w:jc w:val="right"/>
              <w:ind w:right="120"/>
              <w:spacing w:after="0"/>
              <w:rPr>
                <w:sz w:val="20"/>
                <w:szCs w:val="20"/>
                <w:color w:val="auto"/>
              </w:rPr>
            </w:pPr>
            <w:r>
              <w:rPr>
                <w:rFonts w:ascii="Arial" w:cs="Arial" w:eastAsia="Arial" w:hAnsi="Arial"/>
                <w:sz w:val="14"/>
                <w:szCs w:val="14"/>
                <w:color w:val="auto"/>
              </w:rPr>
              <w:t>99,998</w:t>
            </w:r>
          </w:p>
        </w:tc>
        <w:tc>
          <w:tcPr>
            <w:tcW w:w="1700" w:type="dxa"/>
            <w:vAlign w:val="bottom"/>
            <w:gridSpan w:val="2"/>
          </w:tcPr>
          <w:p>
            <w:pPr>
              <w:ind w:left="14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100"/>
              <w:spacing w:after="0"/>
              <w:rPr>
                <w:sz w:val="20"/>
                <w:szCs w:val="20"/>
                <w:color w:val="auto"/>
              </w:rPr>
            </w:pPr>
            <w:r>
              <w:rPr>
                <w:rFonts w:ascii="Arial" w:cs="Arial" w:eastAsia="Arial" w:hAnsi="Arial"/>
                <w:sz w:val="14"/>
                <w:szCs w:val="14"/>
                <w:color w:val="auto"/>
              </w:rPr>
              <w:t>172,498</w:t>
            </w:r>
          </w:p>
        </w:tc>
        <w:tc>
          <w:tcPr>
            <w:tcW w:w="0" w:type="dxa"/>
            <w:vAlign w:val="bottom"/>
          </w:tcPr>
          <w:p>
            <w:pPr>
              <w:spacing w:after="0"/>
              <w:rPr>
                <w:sz w:val="1"/>
                <w:szCs w:val="1"/>
                <w:color w:val="auto"/>
              </w:rPr>
            </w:pPr>
          </w:p>
        </w:tc>
      </w:tr>
      <w:tr>
        <w:trPr>
          <w:trHeight w:val="216"/>
        </w:trPr>
        <w:tc>
          <w:tcPr>
            <w:tcW w:w="2740" w:type="dxa"/>
            <w:vAlign w:val="bottom"/>
            <w:shd w:val="clear" w:color="auto" w:fill="B8CDE8"/>
          </w:tcPr>
          <w:p>
            <w:pPr>
              <w:spacing w:after="0"/>
              <w:rPr>
                <w:sz w:val="20"/>
                <w:szCs w:val="20"/>
                <w:color w:val="auto"/>
              </w:rPr>
            </w:pPr>
            <w:r>
              <w:rPr>
                <w:rFonts w:ascii="Arial" w:cs="Arial" w:eastAsia="Arial" w:hAnsi="Arial"/>
                <w:sz w:val="14"/>
                <w:szCs w:val="14"/>
                <w:color w:val="auto"/>
              </w:rPr>
              <w:t>Garen Staglin</w:t>
            </w:r>
          </w:p>
        </w:tc>
        <w:tc>
          <w:tcPr>
            <w:tcW w:w="1860" w:type="dxa"/>
            <w:vAlign w:val="bottom"/>
            <w:gridSpan w:val="3"/>
            <w:shd w:val="clear" w:color="auto" w:fill="B8CDE8"/>
          </w:tcPr>
          <w:p>
            <w:pPr>
              <w:jc w:val="right"/>
              <w:ind w:right="120"/>
              <w:spacing w:after="0"/>
              <w:rPr>
                <w:sz w:val="20"/>
                <w:szCs w:val="20"/>
                <w:color w:val="auto"/>
              </w:rPr>
            </w:pPr>
            <w:r>
              <w:rPr>
                <w:rFonts w:ascii="Arial" w:cs="Arial" w:eastAsia="Arial" w:hAnsi="Arial"/>
                <w:sz w:val="14"/>
                <w:szCs w:val="14"/>
                <w:color w:val="auto"/>
              </w:rPr>
              <w:t>120,000</w:t>
            </w:r>
          </w:p>
        </w:tc>
        <w:tc>
          <w:tcPr>
            <w:tcW w:w="1720" w:type="dxa"/>
            <w:vAlign w:val="bottom"/>
            <w:gridSpan w:val="2"/>
            <w:shd w:val="clear" w:color="auto" w:fill="B8CDE8"/>
          </w:tcPr>
          <w:p>
            <w:pPr>
              <w:jc w:val="right"/>
              <w:ind w:right="120"/>
              <w:spacing w:after="0"/>
              <w:rPr>
                <w:sz w:val="20"/>
                <w:szCs w:val="20"/>
                <w:color w:val="auto"/>
              </w:rPr>
            </w:pPr>
            <w:r>
              <w:rPr>
                <w:rFonts w:ascii="Arial" w:cs="Arial" w:eastAsia="Arial" w:hAnsi="Arial"/>
                <w:sz w:val="14"/>
                <w:szCs w:val="14"/>
                <w:color w:val="auto"/>
              </w:rPr>
              <w:t>206,771</w:t>
            </w:r>
          </w:p>
        </w:tc>
        <w:tc>
          <w:tcPr>
            <w:tcW w:w="1700" w:type="dxa"/>
            <w:vAlign w:val="bottom"/>
            <w:gridSpan w:val="2"/>
            <w:shd w:val="clear" w:color="auto" w:fill="B8CDE8"/>
          </w:tcPr>
          <w:p>
            <w:pPr>
              <w:ind w:left="1440"/>
              <w:spacing w:after="0"/>
              <w:rPr>
                <w:sz w:val="20"/>
                <w:szCs w:val="20"/>
                <w:color w:val="auto"/>
              </w:rPr>
            </w:pPr>
            <w:r>
              <w:rPr>
                <w:rFonts w:ascii="Arial" w:cs="Arial" w:eastAsia="Arial" w:hAnsi="Arial"/>
                <w:sz w:val="14"/>
                <w:szCs w:val="14"/>
                <w:color w:val="auto"/>
              </w:rPr>
              <w:t>—</w:t>
            </w:r>
          </w:p>
        </w:tc>
        <w:tc>
          <w:tcPr>
            <w:tcW w:w="1700" w:type="dxa"/>
            <w:vAlign w:val="bottom"/>
            <w:gridSpan w:val="2"/>
            <w:shd w:val="clear" w:color="auto" w:fill="B8CDE8"/>
          </w:tcPr>
          <w:p>
            <w:pPr>
              <w:jc w:val="right"/>
              <w:ind w:right="100"/>
              <w:spacing w:after="0" w:line="216" w:lineRule="exact"/>
              <w:rPr>
                <w:sz w:val="20"/>
                <w:szCs w:val="20"/>
                <w:color w:val="auto"/>
              </w:rPr>
            </w:pPr>
            <w:r>
              <w:rPr>
                <w:rFonts w:ascii="Arial" w:cs="Arial" w:eastAsia="Arial" w:hAnsi="Arial"/>
                <w:sz w:val="14"/>
                <w:szCs w:val="14"/>
                <w:color w:val="auto"/>
              </w:rPr>
              <w:t>39,500</w:t>
            </w:r>
            <w:r>
              <w:rPr>
                <w:rFonts w:ascii="Arial" w:cs="Arial" w:eastAsia="Arial" w:hAnsi="Arial"/>
                <w:sz w:val="23"/>
                <w:szCs w:val="23"/>
                <w:color w:val="auto"/>
                <w:vertAlign w:val="superscript"/>
              </w:rPr>
              <w:t>(5)</w:t>
            </w:r>
          </w:p>
        </w:tc>
        <w:tc>
          <w:tcPr>
            <w:tcW w:w="1700" w:type="dxa"/>
            <w:vAlign w:val="bottom"/>
            <w:gridSpan w:val="2"/>
            <w:shd w:val="clear" w:color="auto" w:fill="B8CDE8"/>
          </w:tcPr>
          <w:p>
            <w:pPr>
              <w:jc w:val="right"/>
              <w:ind w:right="100"/>
              <w:spacing w:after="0"/>
              <w:rPr>
                <w:sz w:val="20"/>
                <w:szCs w:val="20"/>
                <w:color w:val="auto"/>
              </w:rPr>
            </w:pPr>
            <w:r>
              <w:rPr>
                <w:rFonts w:ascii="Arial" w:cs="Arial" w:eastAsia="Arial" w:hAnsi="Arial"/>
                <w:sz w:val="14"/>
                <w:szCs w:val="14"/>
                <w:color w:val="auto"/>
              </w:rPr>
              <w:t>366,271</w:t>
            </w:r>
          </w:p>
        </w:tc>
        <w:tc>
          <w:tcPr>
            <w:tcW w:w="0" w:type="dxa"/>
            <w:vAlign w:val="bottom"/>
          </w:tcPr>
          <w:p>
            <w:pPr>
              <w:spacing w:after="0"/>
              <w:rPr>
                <w:sz w:val="1"/>
                <w:szCs w:val="1"/>
                <w:color w:val="auto"/>
              </w:rPr>
            </w:pPr>
          </w:p>
        </w:tc>
      </w:tr>
    </w:tbl>
    <w:p>
      <w:pPr>
        <w:spacing w:after="0" w:line="207" w:lineRule="exact"/>
        <w:rPr>
          <w:sz w:val="20"/>
          <w:szCs w:val="20"/>
          <w:color w:val="auto"/>
        </w:rPr>
      </w:pPr>
    </w:p>
    <w:p>
      <w:pPr>
        <w:jc w:val="both"/>
        <w:ind w:left="660" w:right="60" w:hanging="328"/>
        <w:spacing w:after="0" w:line="241" w:lineRule="auto"/>
        <w:tabs>
          <w:tab w:leader="none" w:pos="660" w:val="left"/>
        </w:tabs>
        <w:numPr>
          <w:ilvl w:val="0"/>
          <w:numId w:val="80"/>
        </w:numPr>
        <w:rPr>
          <w:rFonts w:ascii="Arial" w:cs="Arial" w:eastAsia="Arial" w:hAnsi="Arial"/>
          <w:sz w:val="14"/>
          <w:szCs w:val="14"/>
          <w:color w:val="auto"/>
        </w:rPr>
      </w:pPr>
      <w:r>
        <w:rPr>
          <w:rFonts w:ascii="Arial" w:cs="Arial" w:eastAsia="Arial" w:hAnsi="Arial"/>
          <w:sz w:val="14"/>
          <w:szCs w:val="14"/>
          <w:color w:val="auto"/>
        </w:rPr>
        <w:t>Mr. Kapoor’s compensation during 2015 was based solely on his role as CEO, as disclosed in the “Summary Compensation Table for Fiscal Year 2015” beginning on page 42 and discussed in “Compensation Discussion and Analysis” beginning on page 23. He does not receive any additional compensation for his services as a director. Separately, Mr. Sahney did not serve as a director during fiscal year 2015 and accordingly is not included in the table.</w:t>
      </w:r>
    </w:p>
    <w:p>
      <w:pPr>
        <w:spacing w:after="0" w:line="1" w:lineRule="exact"/>
        <w:rPr>
          <w:rFonts w:ascii="Arial" w:cs="Arial" w:eastAsia="Arial" w:hAnsi="Arial"/>
          <w:sz w:val="14"/>
          <w:szCs w:val="14"/>
          <w:color w:val="auto"/>
        </w:rPr>
      </w:pPr>
    </w:p>
    <w:p>
      <w:pPr>
        <w:ind w:left="660" w:right="100" w:hanging="328"/>
        <w:spacing w:after="0" w:line="241" w:lineRule="auto"/>
        <w:tabs>
          <w:tab w:leader="none" w:pos="660" w:val="left"/>
        </w:tabs>
        <w:numPr>
          <w:ilvl w:val="0"/>
          <w:numId w:val="80"/>
        </w:numPr>
        <w:rPr>
          <w:rFonts w:ascii="Arial" w:cs="Arial" w:eastAsia="Arial" w:hAnsi="Arial"/>
          <w:sz w:val="14"/>
          <w:szCs w:val="14"/>
          <w:color w:val="auto"/>
        </w:rPr>
      </w:pPr>
      <w:r>
        <w:rPr>
          <w:rFonts w:ascii="Arial" w:cs="Arial" w:eastAsia="Arial" w:hAnsi="Arial"/>
          <w:sz w:val="14"/>
          <w:szCs w:val="14"/>
          <w:color w:val="auto"/>
        </w:rPr>
        <w:t>Amounts reflect the aggregate grant date fair value of stock awards and option awards recognized for financial statement reporting purposes for the fiscal year ended December 31, 2015, in accordance with FASB ASC Topic 718 (disregarding any forfeiture assumptions). Assumptions used in the calculation of these amounts are included in footnotes 2 and 14 to our audited financial statements for the fiscal year ended December 31, 2015 included in our Annual Report on Form 10-K filed with the Securities and Exchange Commission on February 26, 2016.</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The outstanding equity awards held by our directors on December 31, 2015 is set forth on the table below:</w:t>
      </w:r>
    </w:p>
    <w:p>
      <w:pPr>
        <w:spacing w:after="0" w:line="199"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384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2260" w:type="dxa"/>
            <w:vAlign w:val="bottom"/>
            <w:gridSpan w:val="2"/>
            <w:shd w:val="clear" w:color="auto" w:fill="5591C7"/>
          </w:tcPr>
          <w:p>
            <w:pPr>
              <w:jc w:val="center"/>
              <w:ind w:right="160"/>
              <w:spacing w:after="0"/>
              <w:rPr>
                <w:sz w:val="20"/>
                <w:szCs w:val="20"/>
                <w:color w:val="auto"/>
              </w:rPr>
            </w:pPr>
            <w:r>
              <w:rPr>
                <w:rFonts w:ascii="Arial" w:cs="Arial" w:eastAsia="Arial" w:hAnsi="Arial"/>
                <w:sz w:val="14"/>
                <w:szCs w:val="14"/>
                <w:b w:val="1"/>
                <w:bCs w:val="1"/>
                <w:color w:val="auto"/>
              </w:rPr>
              <w:t>No. of Securities</w:t>
            </w:r>
          </w:p>
        </w:tc>
        <w:tc>
          <w:tcPr>
            <w:tcW w:w="2300" w:type="dxa"/>
            <w:vAlign w:val="bottom"/>
            <w:gridSpan w:val="2"/>
            <w:shd w:val="clear" w:color="auto" w:fill="5591C7"/>
          </w:tcPr>
          <w:p>
            <w:pPr>
              <w:jc w:val="center"/>
              <w:ind w:right="160"/>
              <w:spacing w:after="0"/>
              <w:rPr>
                <w:sz w:val="20"/>
                <w:szCs w:val="20"/>
                <w:color w:val="auto"/>
              </w:rPr>
            </w:pPr>
            <w:r>
              <w:rPr>
                <w:rFonts w:ascii="Arial" w:cs="Arial" w:eastAsia="Arial" w:hAnsi="Arial"/>
                <w:sz w:val="14"/>
                <w:szCs w:val="14"/>
                <w:b w:val="1"/>
                <w:bCs w:val="1"/>
                <w:color w:val="auto"/>
              </w:rPr>
              <w:t>No. of Securities</w:t>
            </w:r>
          </w:p>
        </w:tc>
        <w:tc>
          <w:tcPr>
            <w:tcW w:w="218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r>
      <w:tr>
        <w:trPr>
          <w:trHeight w:val="162"/>
        </w:trPr>
        <w:tc>
          <w:tcPr>
            <w:tcW w:w="384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2260" w:type="dxa"/>
            <w:vAlign w:val="bottom"/>
            <w:gridSpan w:val="2"/>
            <w:shd w:val="clear" w:color="auto" w:fill="5591C7"/>
          </w:tcPr>
          <w:p>
            <w:pPr>
              <w:jc w:val="center"/>
              <w:ind w:right="160"/>
              <w:spacing w:after="0"/>
              <w:rPr>
                <w:sz w:val="20"/>
                <w:szCs w:val="20"/>
                <w:color w:val="auto"/>
              </w:rPr>
            </w:pPr>
            <w:r>
              <w:rPr>
                <w:rFonts w:ascii="Arial" w:cs="Arial" w:eastAsia="Arial" w:hAnsi="Arial"/>
                <w:sz w:val="14"/>
                <w:szCs w:val="14"/>
                <w:b w:val="1"/>
                <w:bCs w:val="1"/>
                <w:color w:val="auto"/>
              </w:rPr>
              <w:t>Underlying</w:t>
            </w:r>
          </w:p>
        </w:tc>
        <w:tc>
          <w:tcPr>
            <w:tcW w:w="2300" w:type="dxa"/>
            <w:vAlign w:val="bottom"/>
            <w:gridSpan w:val="2"/>
            <w:shd w:val="clear" w:color="auto" w:fill="5591C7"/>
          </w:tcPr>
          <w:p>
            <w:pPr>
              <w:jc w:val="center"/>
              <w:ind w:right="160"/>
              <w:spacing w:after="0"/>
              <w:rPr>
                <w:sz w:val="20"/>
                <w:szCs w:val="20"/>
                <w:color w:val="auto"/>
              </w:rPr>
            </w:pPr>
            <w:r>
              <w:rPr>
                <w:rFonts w:ascii="Arial" w:cs="Arial" w:eastAsia="Arial" w:hAnsi="Arial"/>
                <w:sz w:val="14"/>
                <w:szCs w:val="14"/>
                <w:b w:val="1"/>
                <w:bCs w:val="1"/>
                <w:color w:val="auto"/>
              </w:rPr>
              <w:t>Underlying</w:t>
            </w:r>
          </w:p>
        </w:tc>
        <w:tc>
          <w:tcPr>
            <w:tcW w:w="2300" w:type="dxa"/>
            <w:vAlign w:val="bottom"/>
            <w:gridSpan w:val="2"/>
            <w:shd w:val="clear" w:color="auto" w:fill="5591C7"/>
          </w:tcPr>
          <w:p>
            <w:pPr>
              <w:jc w:val="center"/>
              <w:ind w:right="160"/>
              <w:spacing w:after="0"/>
              <w:rPr>
                <w:sz w:val="20"/>
                <w:szCs w:val="20"/>
                <w:color w:val="auto"/>
              </w:rPr>
            </w:pPr>
            <w:r>
              <w:rPr>
                <w:rFonts w:ascii="Arial" w:cs="Arial" w:eastAsia="Arial" w:hAnsi="Arial"/>
                <w:sz w:val="14"/>
                <w:szCs w:val="14"/>
                <w:b w:val="1"/>
                <w:bCs w:val="1"/>
                <w:color w:val="auto"/>
              </w:rPr>
              <w:t>No. of Shares or Units of</w:t>
            </w:r>
          </w:p>
        </w:tc>
      </w:tr>
      <w:tr>
        <w:trPr>
          <w:trHeight w:val="162"/>
        </w:trPr>
        <w:tc>
          <w:tcPr>
            <w:tcW w:w="3840" w:type="dxa"/>
            <w:vAlign w:val="bottom"/>
            <w:shd w:val="clear" w:color="auto" w:fill="5591C7"/>
          </w:tcPr>
          <w:p>
            <w:pPr>
              <w:spacing w:after="0"/>
              <w:rPr>
                <w:sz w:val="14"/>
                <w:szCs w:val="14"/>
                <w:color w:val="auto"/>
              </w:rPr>
            </w:pPr>
          </w:p>
        </w:tc>
        <w:tc>
          <w:tcPr>
            <w:tcW w:w="120" w:type="dxa"/>
            <w:vAlign w:val="bottom"/>
            <w:shd w:val="clear" w:color="auto" w:fill="5591C7"/>
          </w:tcPr>
          <w:p>
            <w:pPr>
              <w:spacing w:after="0"/>
              <w:rPr>
                <w:sz w:val="14"/>
                <w:szCs w:val="14"/>
                <w:color w:val="auto"/>
              </w:rPr>
            </w:pPr>
          </w:p>
        </w:tc>
        <w:tc>
          <w:tcPr>
            <w:tcW w:w="2260" w:type="dxa"/>
            <w:vAlign w:val="bottom"/>
            <w:gridSpan w:val="2"/>
            <w:shd w:val="clear" w:color="auto" w:fill="5591C7"/>
          </w:tcPr>
          <w:p>
            <w:pPr>
              <w:jc w:val="center"/>
              <w:ind w:right="140"/>
              <w:spacing w:after="0"/>
              <w:rPr>
                <w:sz w:val="20"/>
                <w:szCs w:val="20"/>
                <w:color w:val="auto"/>
              </w:rPr>
            </w:pPr>
            <w:r>
              <w:rPr>
                <w:rFonts w:ascii="Arial" w:cs="Arial" w:eastAsia="Arial" w:hAnsi="Arial"/>
                <w:sz w:val="14"/>
                <w:szCs w:val="14"/>
                <w:b w:val="1"/>
                <w:bCs w:val="1"/>
                <w:color w:val="auto"/>
              </w:rPr>
              <w:t>Unexercised Options</w:t>
            </w:r>
          </w:p>
        </w:tc>
        <w:tc>
          <w:tcPr>
            <w:tcW w:w="2300" w:type="dxa"/>
            <w:vAlign w:val="bottom"/>
            <w:gridSpan w:val="2"/>
            <w:shd w:val="clear" w:color="auto" w:fill="5591C7"/>
          </w:tcPr>
          <w:p>
            <w:pPr>
              <w:jc w:val="center"/>
              <w:ind w:right="180"/>
              <w:spacing w:after="0"/>
              <w:rPr>
                <w:sz w:val="20"/>
                <w:szCs w:val="20"/>
                <w:color w:val="auto"/>
              </w:rPr>
            </w:pPr>
            <w:r>
              <w:rPr>
                <w:rFonts w:ascii="Arial" w:cs="Arial" w:eastAsia="Arial" w:hAnsi="Arial"/>
                <w:sz w:val="14"/>
                <w:szCs w:val="14"/>
                <w:b w:val="1"/>
                <w:bCs w:val="1"/>
                <w:color w:val="auto"/>
              </w:rPr>
              <w:t>Unexercised Options</w:t>
            </w:r>
          </w:p>
        </w:tc>
        <w:tc>
          <w:tcPr>
            <w:tcW w:w="2300" w:type="dxa"/>
            <w:vAlign w:val="bottom"/>
            <w:gridSpan w:val="2"/>
            <w:shd w:val="clear" w:color="auto" w:fill="5591C7"/>
          </w:tcPr>
          <w:p>
            <w:pPr>
              <w:jc w:val="center"/>
              <w:ind w:right="140"/>
              <w:spacing w:after="0"/>
              <w:rPr>
                <w:sz w:val="20"/>
                <w:szCs w:val="20"/>
                <w:color w:val="auto"/>
              </w:rPr>
            </w:pPr>
            <w:r>
              <w:rPr>
                <w:rFonts w:ascii="Arial" w:cs="Arial" w:eastAsia="Arial" w:hAnsi="Arial"/>
                <w:sz w:val="14"/>
                <w:szCs w:val="14"/>
                <w:b w:val="1"/>
                <w:bCs w:val="1"/>
                <w:color w:val="auto"/>
              </w:rPr>
              <w:t>Stock That Have Not</w:t>
            </w:r>
          </w:p>
        </w:tc>
      </w:tr>
      <w:tr>
        <w:trPr>
          <w:trHeight w:val="182"/>
        </w:trPr>
        <w:tc>
          <w:tcPr>
            <w:tcW w:w="3840" w:type="dxa"/>
            <w:vAlign w:val="bottom"/>
            <w:tcBorders>
              <w:bottom w:val="single" w:sz="8" w:color="auto"/>
            </w:tcBorders>
            <w:shd w:val="clear" w:color="auto" w:fill="5591C7"/>
          </w:tcPr>
          <w:p>
            <w:pPr>
              <w:ind w:left="172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5591C7"/>
            </w:tcBorders>
            <w:shd w:val="clear" w:color="auto" w:fill="5591C7"/>
          </w:tcPr>
          <w:p>
            <w:pPr>
              <w:spacing w:after="0"/>
              <w:rPr>
                <w:sz w:val="15"/>
                <w:szCs w:val="15"/>
                <w:color w:val="auto"/>
              </w:rPr>
            </w:pPr>
          </w:p>
        </w:tc>
        <w:tc>
          <w:tcPr>
            <w:tcW w:w="216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 Exercisable</w:t>
            </w:r>
          </w:p>
        </w:tc>
        <w:tc>
          <w:tcPr>
            <w:tcW w:w="100" w:type="dxa"/>
            <w:vAlign w:val="bottom"/>
            <w:tcBorders>
              <w:bottom w:val="single" w:sz="8" w:color="5591C7"/>
            </w:tcBorders>
            <w:shd w:val="clear" w:color="auto" w:fill="5591C7"/>
          </w:tcPr>
          <w:p>
            <w:pPr>
              <w:spacing w:after="0"/>
              <w:rPr>
                <w:sz w:val="15"/>
                <w:szCs w:val="15"/>
                <w:color w:val="auto"/>
              </w:rPr>
            </w:pPr>
          </w:p>
        </w:tc>
        <w:tc>
          <w:tcPr>
            <w:tcW w:w="218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 Unexercisable</w:t>
            </w:r>
          </w:p>
        </w:tc>
        <w:tc>
          <w:tcPr>
            <w:tcW w:w="120" w:type="dxa"/>
            <w:vAlign w:val="bottom"/>
            <w:tcBorders>
              <w:bottom w:val="single" w:sz="8" w:color="5591C7"/>
            </w:tcBorders>
            <w:shd w:val="clear" w:color="auto" w:fill="5591C7"/>
          </w:tcPr>
          <w:p>
            <w:pPr>
              <w:spacing w:after="0"/>
              <w:rPr>
                <w:sz w:val="15"/>
                <w:szCs w:val="15"/>
                <w:color w:val="auto"/>
              </w:rPr>
            </w:pPr>
          </w:p>
        </w:tc>
        <w:tc>
          <w:tcPr>
            <w:tcW w:w="2180" w:type="dxa"/>
            <w:vAlign w:val="bottom"/>
            <w:tcBorders>
              <w:bottom w:val="single" w:sz="8" w:color="auto"/>
            </w:tcBorders>
            <w:shd w:val="clear" w:color="auto" w:fill="5591C7"/>
          </w:tcPr>
          <w:p>
            <w:pPr>
              <w:jc w:val="center"/>
              <w:spacing w:after="0"/>
              <w:rPr>
                <w:sz w:val="20"/>
                <w:szCs w:val="20"/>
                <w:color w:val="auto"/>
              </w:rPr>
            </w:pPr>
            <w:r>
              <w:rPr>
                <w:rFonts w:ascii="Arial" w:cs="Arial" w:eastAsia="Arial" w:hAnsi="Arial"/>
                <w:sz w:val="14"/>
                <w:szCs w:val="14"/>
                <w:b w:val="1"/>
                <w:bCs w:val="1"/>
                <w:color w:val="auto"/>
              </w:rPr>
              <w:t>Vested</w:t>
            </w:r>
          </w:p>
        </w:tc>
        <w:tc>
          <w:tcPr>
            <w:tcW w:w="120" w:type="dxa"/>
            <w:vAlign w:val="bottom"/>
            <w:tcBorders>
              <w:bottom w:val="single" w:sz="8" w:color="5591C7"/>
            </w:tcBorders>
            <w:shd w:val="clear" w:color="auto" w:fill="5591C7"/>
          </w:tcPr>
          <w:p>
            <w:pPr>
              <w:spacing w:after="0"/>
              <w:rPr>
                <w:sz w:val="15"/>
                <w:szCs w:val="15"/>
                <w:color w:val="auto"/>
              </w:rPr>
            </w:pPr>
          </w:p>
        </w:tc>
      </w:tr>
      <w:tr>
        <w:trPr>
          <w:trHeight w:val="189"/>
        </w:trPr>
        <w:tc>
          <w:tcPr>
            <w:tcW w:w="3840" w:type="dxa"/>
            <w:vAlign w:val="bottom"/>
            <w:shd w:val="clear" w:color="auto" w:fill="B8CDE8"/>
          </w:tcPr>
          <w:p>
            <w:pPr>
              <w:spacing w:after="0"/>
              <w:rPr>
                <w:sz w:val="20"/>
                <w:szCs w:val="20"/>
                <w:color w:val="auto"/>
              </w:rPr>
            </w:pPr>
            <w:r>
              <w:rPr>
                <w:rFonts w:ascii="Arial" w:cs="Arial" w:eastAsia="Arial" w:hAnsi="Arial"/>
                <w:sz w:val="14"/>
                <w:szCs w:val="14"/>
                <w:color w:val="auto"/>
              </w:rPr>
              <w:t>David Kelso</w:t>
            </w:r>
          </w:p>
        </w:tc>
        <w:tc>
          <w:tcPr>
            <w:tcW w:w="2380" w:type="dxa"/>
            <w:vAlign w:val="bottom"/>
            <w:gridSpan w:val="3"/>
            <w:shd w:val="clear" w:color="auto" w:fill="B8CDE8"/>
          </w:tcPr>
          <w:p>
            <w:pPr>
              <w:jc w:val="right"/>
              <w:ind w:right="100"/>
              <w:spacing w:after="0"/>
              <w:rPr>
                <w:sz w:val="20"/>
                <w:szCs w:val="20"/>
                <w:color w:val="auto"/>
              </w:rPr>
            </w:pPr>
            <w:r>
              <w:rPr>
                <w:rFonts w:ascii="Arial" w:cs="Arial" w:eastAsia="Arial" w:hAnsi="Arial"/>
                <w:sz w:val="14"/>
                <w:szCs w:val="14"/>
                <w:color w:val="auto"/>
              </w:rPr>
              <w:t>38,253</w:t>
            </w:r>
          </w:p>
        </w:tc>
        <w:tc>
          <w:tcPr>
            <w:tcW w:w="2300" w:type="dxa"/>
            <w:vAlign w:val="bottom"/>
            <w:gridSpan w:val="2"/>
            <w:shd w:val="clear" w:color="auto" w:fill="B8CDE8"/>
          </w:tcPr>
          <w:p>
            <w:pPr>
              <w:ind w:left="2040"/>
              <w:spacing w:after="0"/>
              <w:rPr>
                <w:sz w:val="20"/>
                <w:szCs w:val="20"/>
                <w:color w:val="auto"/>
              </w:rPr>
            </w:pPr>
            <w:r>
              <w:rPr>
                <w:rFonts w:ascii="Arial" w:cs="Arial" w:eastAsia="Arial" w:hAnsi="Arial"/>
                <w:sz w:val="14"/>
                <w:szCs w:val="14"/>
                <w:color w:val="auto"/>
              </w:rPr>
              <w:t>—</w:t>
            </w:r>
          </w:p>
        </w:tc>
        <w:tc>
          <w:tcPr>
            <w:tcW w:w="2300" w:type="dxa"/>
            <w:vAlign w:val="bottom"/>
            <w:gridSpan w:val="2"/>
            <w:shd w:val="clear" w:color="auto" w:fill="B8CDE8"/>
          </w:tcPr>
          <w:p>
            <w:pPr>
              <w:jc w:val="right"/>
              <w:ind w:right="120"/>
              <w:spacing w:after="0"/>
              <w:rPr>
                <w:sz w:val="20"/>
                <w:szCs w:val="20"/>
                <w:color w:val="auto"/>
              </w:rPr>
            </w:pPr>
            <w:r>
              <w:rPr>
                <w:rFonts w:ascii="Arial" w:cs="Arial" w:eastAsia="Arial" w:hAnsi="Arial"/>
                <w:sz w:val="14"/>
                <w:szCs w:val="14"/>
                <w:color w:val="auto"/>
              </w:rPr>
              <w:t>2,853</w:t>
            </w:r>
          </w:p>
        </w:tc>
      </w:tr>
      <w:tr>
        <w:trPr>
          <w:trHeight w:val="189"/>
        </w:trPr>
        <w:tc>
          <w:tcPr>
            <w:tcW w:w="3840" w:type="dxa"/>
            <w:vAlign w:val="bottom"/>
          </w:tcPr>
          <w:p>
            <w:pPr>
              <w:spacing w:after="0"/>
              <w:rPr>
                <w:sz w:val="20"/>
                <w:szCs w:val="20"/>
                <w:color w:val="auto"/>
              </w:rPr>
            </w:pPr>
            <w:r>
              <w:rPr>
                <w:rFonts w:ascii="Arial" w:cs="Arial" w:eastAsia="Arial" w:hAnsi="Arial"/>
                <w:sz w:val="14"/>
                <w:szCs w:val="14"/>
                <w:color w:val="auto"/>
              </w:rPr>
              <w:t>Deborah Kerr</w:t>
            </w:r>
          </w:p>
        </w:tc>
        <w:tc>
          <w:tcPr>
            <w:tcW w:w="120" w:type="dxa"/>
            <w:vAlign w:val="bottom"/>
          </w:tcPr>
          <w:p>
            <w:pPr>
              <w:spacing w:after="0"/>
              <w:rPr>
                <w:sz w:val="16"/>
                <w:szCs w:val="16"/>
                <w:color w:val="auto"/>
              </w:rPr>
            </w:pPr>
          </w:p>
        </w:tc>
        <w:tc>
          <w:tcPr>
            <w:tcW w:w="2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300" w:type="dxa"/>
            <w:vAlign w:val="bottom"/>
            <w:gridSpan w:val="2"/>
          </w:tcPr>
          <w:p>
            <w:pPr>
              <w:ind w:left="2040"/>
              <w:spacing w:after="0"/>
              <w:rPr>
                <w:sz w:val="20"/>
                <w:szCs w:val="20"/>
                <w:color w:val="auto"/>
              </w:rPr>
            </w:pPr>
            <w:r>
              <w:rPr>
                <w:rFonts w:ascii="Arial" w:cs="Arial" w:eastAsia="Arial" w:hAnsi="Arial"/>
                <w:sz w:val="14"/>
                <w:szCs w:val="14"/>
                <w:color w:val="auto"/>
              </w:rPr>
              <w:t>—</w:t>
            </w:r>
          </w:p>
        </w:tc>
        <w:tc>
          <w:tcPr>
            <w:tcW w:w="2300" w:type="dxa"/>
            <w:vAlign w:val="bottom"/>
            <w:gridSpan w:val="2"/>
          </w:tcPr>
          <w:p>
            <w:pPr>
              <w:jc w:val="right"/>
              <w:ind w:right="120"/>
              <w:spacing w:after="0"/>
              <w:rPr>
                <w:sz w:val="20"/>
                <w:szCs w:val="20"/>
                <w:color w:val="auto"/>
              </w:rPr>
            </w:pPr>
            <w:r>
              <w:rPr>
                <w:rFonts w:ascii="Arial" w:cs="Arial" w:eastAsia="Arial" w:hAnsi="Arial"/>
                <w:sz w:val="14"/>
                <w:szCs w:val="14"/>
                <w:color w:val="auto"/>
              </w:rPr>
              <w:t>4,470</w:t>
            </w:r>
          </w:p>
        </w:tc>
      </w:tr>
      <w:tr>
        <w:trPr>
          <w:trHeight w:val="189"/>
        </w:trPr>
        <w:tc>
          <w:tcPr>
            <w:tcW w:w="3840" w:type="dxa"/>
            <w:vAlign w:val="bottom"/>
            <w:shd w:val="clear" w:color="auto" w:fill="B8CCE4"/>
          </w:tcPr>
          <w:p>
            <w:pPr>
              <w:spacing w:after="0"/>
              <w:rPr>
                <w:sz w:val="20"/>
                <w:szCs w:val="20"/>
                <w:color w:val="auto"/>
              </w:rPr>
            </w:pPr>
            <w:r>
              <w:rPr>
                <w:rFonts w:ascii="Arial" w:cs="Arial" w:eastAsia="Arial" w:hAnsi="Arial"/>
                <w:sz w:val="14"/>
                <w:szCs w:val="14"/>
                <w:color w:val="auto"/>
              </w:rPr>
              <w:t>Anne Minto</w:t>
            </w:r>
          </w:p>
        </w:tc>
        <w:tc>
          <w:tcPr>
            <w:tcW w:w="2380" w:type="dxa"/>
            <w:vAlign w:val="bottom"/>
            <w:gridSpan w:val="3"/>
            <w:shd w:val="clear" w:color="auto" w:fill="B8CCE4"/>
          </w:tcPr>
          <w:p>
            <w:pPr>
              <w:jc w:val="right"/>
              <w:ind w:right="100"/>
              <w:spacing w:after="0"/>
              <w:rPr>
                <w:sz w:val="20"/>
                <w:szCs w:val="20"/>
                <w:color w:val="auto"/>
              </w:rPr>
            </w:pPr>
            <w:r>
              <w:rPr>
                <w:rFonts w:ascii="Arial" w:cs="Arial" w:eastAsia="Arial" w:hAnsi="Arial"/>
                <w:sz w:val="14"/>
                <w:szCs w:val="14"/>
                <w:color w:val="auto"/>
              </w:rPr>
              <w:t>3,093</w:t>
            </w:r>
          </w:p>
        </w:tc>
        <w:tc>
          <w:tcPr>
            <w:tcW w:w="2300" w:type="dxa"/>
            <w:vAlign w:val="bottom"/>
            <w:gridSpan w:val="2"/>
            <w:shd w:val="clear" w:color="auto" w:fill="B8CCE4"/>
          </w:tcPr>
          <w:p>
            <w:pPr>
              <w:ind w:left="2040"/>
              <w:spacing w:after="0"/>
              <w:rPr>
                <w:sz w:val="20"/>
                <w:szCs w:val="20"/>
                <w:color w:val="auto"/>
              </w:rPr>
            </w:pPr>
            <w:r>
              <w:rPr>
                <w:rFonts w:ascii="Arial" w:cs="Arial" w:eastAsia="Arial" w:hAnsi="Arial"/>
                <w:sz w:val="14"/>
                <w:szCs w:val="14"/>
                <w:color w:val="auto"/>
              </w:rPr>
              <w:t>—</w:t>
            </w:r>
          </w:p>
        </w:tc>
        <w:tc>
          <w:tcPr>
            <w:tcW w:w="2300" w:type="dxa"/>
            <w:vAlign w:val="bottom"/>
            <w:gridSpan w:val="2"/>
            <w:shd w:val="clear" w:color="auto" w:fill="B8CCE4"/>
          </w:tcPr>
          <w:p>
            <w:pPr>
              <w:jc w:val="right"/>
              <w:ind w:right="120"/>
              <w:spacing w:after="0"/>
              <w:rPr>
                <w:sz w:val="20"/>
                <w:szCs w:val="20"/>
                <w:color w:val="auto"/>
              </w:rPr>
            </w:pPr>
            <w:r>
              <w:rPr>
                <w:rFonts w:ascii="Arial" w:cs="Arial" w:eastAsia="Arial" w:hAnsi="Arial"/>
                <w:sz w:val="14"/>
                <w:szCs w:val="14"/>
                <w:color w:val="auto"/>
              </w:rPr>
              <w:t>3,621</w:t>
            </w:r>
          </w:p>
        </w:tc>
      </w:tr>
      <w:tr>
        <w:trPr>
          <w:trHeight w:val="189"/>
        </w:trPr>
        <w:tc>
          <w:tcPr>
            <w:tcW w:w="3840" w:type="dxa"/>
            <w:vAlign w:val="bottom"/>
          </w:tcPr>
          <w:p>
            <w:pPr>
              <w:spacing w:after="0"/>
              <w:rPr>
                <w:sz w:val="20"/>
                <w:szCs w:val="20"/>
                <w:color w:val="auto"/>
              </w:rPr>
            </w:pPr>
            <w:r>
              <w:rPr>
                <w:rFonts w:ascii="Arial" w:cs="Arial" w:eastAsia="Arial" w:hAnsi="Arial"/>
                <w:sz w:val="14"/>
                <w:szCs w:val="14"/>
                <w:color w:val="auto"/>
              </w:rPr>
              <w:t>Som Mittal</w:t>
            </w:r>
          </w:p>
        </w:tc>
        <w:tc>
          <w:tcPr>
            <w:tcW w:w="120" w:type="dxa"/>
            <w:vAlign w:val="bottom"/>
          </w:tcPr>
          <w:p>
            <w:pPr>
              <w:spacing w:after="0"/>
              <w:rPr>
                <w:sz w:val="16"/>
                <w:szCs w:val="16"/>
                <w:color w:val="auto"/>
              </w:rPr>
            </w:pPr>
          </w:p>
        </w:tc>
        <w:tc>
          <w:tcPr>
            <w:tcW w:w="2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300" w:type="dxa"/>
            <w:vAlign w:val="bottom"/>
            <w:gridSpan w:val="2"/>
          </w:tcPr>
          <w:p>
            <w:pPr>
              <w:ind w:left="2040"/>
              <w:spacing w:after="0"/>
              <w:rPr>
                <w:sz w:val="20"/>
                <w:szCs w:val="20"/>
                <w:color w:val="auto"/>
              </w:rPr>
            </w:pPr>
            <w:r>
              <w:rPr>
                <w:rFonts w:ascii="Arial" w:cs="Arial" w:eastAsia="Arial" w:hAnsi="Arial"/>
                <w:sz w:val="14"/>
                <w:szCs w:val="14"/>
                <w:color w:val="auto"/>
              </w:rPr>
              <w:t>—</w:t>
            </w:r>
          </w:p>
        </w:tc>
        <w:tc>
          <w:tcPr>
            <w:tcW w:w="2300" w:type="dxa"/>
            <w:vAlign w:val="bottom"/>
            <w:gridSpan w:val="2"/>
          </w:tcPr>
          <w:p>
            <w:pPr>
              <w:jc w:val="right"/>
              <w:ind w:right="120"/>
              <w:spacing w:after="0"/>
              <w:rPr>
                <w:sz w:val="20"/>
                <w:szCs w:val="20"/>
                <w:color w:val="auto"/>
              </w:rPr>
            </w:pPr>
            <w:r>
              <w:rPr>
                <w:rFonts w:ascii="Arial" w:cs="Arial" w:eastAsia="Arial" w:hAnsi="Arial"/>
                <w:sz w:val="14"/>
                <w:szCs w:val="14"/>
                <w:color w:val="auto"/>
              </w:rPr>
              <w:t>2,853</w:t>
            </w:r>
          </w:p>
        </w:tc>
      </w:tr>
      <w:tr>
        <w:trPr>
          <w:trHeight w:val="189"/>
        </w:trPr>
        <w:tc>
          <w:tcPr>
            <w:tcW w:w="3840" w:type="dxa"/>
            <w:vAlign w:val="bottom"/>
            <w:shd w:val="clear" w:color="auto" w:fill="B8CCE4"/>
          </w:tcPr>
          <w:p>
            <w:pPr>
              <w:spacing w:after="0"/>
              <w:rPr>
                <w:sz w:val="20"/>
                <w:szCs w:val="20"/>
                <w:color w:val="auto"/>
              </w:rPr>
            </w:pPr>
            <w:r>
              <w:rPr>
                <w:rFonts w:ascii="Arial" w:cs="Arial" w:eastAsia="Arial" w:hAnsi="Arial"/>
                <w:sz w:val="14"/>
                <w:szCs w:val="14"/>
                <w:color w:val="auto"/>
              </w:rPr>
              <w:t>Clyde Ostler</w:t>
            </w:r>
          </w:p>
        </w:tc>
        <w:tc>
          <w:tcPr>
            <w:tcW w:w="2380" w:type="dxa"/>
            <w:vAlign w:val="bottom"/>
            <w:gridSpan w:val="3"/>
            <w:shd w:val="clear" w:color="auto" w:fill="B8CCE4"/>
          </w:tcPr>
          <w:p>
            <w:pPr>
              <w:jc w:val="right"/>
              <w:ind w:right="100"/>
              <w:spacing w:after="0"/>
              <w:rPr>
                <w:sz w:val="20"/>
                <w:szCs w:val="20"/>
                <w:color w:val="auto"/>
              </w:rPr>
            </w:pPr>
            <w:r>
              <w:rPr>
                <w:rFonts w:ascii="Arial" w:cs="Arial" w:eastAsia="Arial" w:hAnsi="Arial"/>
                <w:sz w:val="14"/>
                <w:szCs w:val="14"/>
                <w:color w:val="auto"/>
              </w:rPr>
              <w:t>62,723</w:t>
            </w:r>
          </w:p>
        </w:tc>
        <w:tc>
          <w:tcPr>
            <w:tcW w:w="2300" w:type="dxa"/>
            <w:vAlign w:val="bottom"/>
            <w:gridSpan w:val="2"/>
            <w:shd w:val="clear" w:color="auto" w:fill="B8CCE4"/>
          </w:tcPr>
          <w:p>
            <w:pPr>
              <w:ind w:left="2040"/>
              <w:spacing w:after="0"/>
              <w:rPr>
                <w:sz w:val="20"/>
                <w:szCs w:val="20"/>
                <w:color w:val="auto"/>
              </w:rPr>
            </w:pPr>
            <w:r>
              <w:rPr>
                <w:rFonts w:ascii="Arial" w:cs="Arial" w:eastAsia="Arial" w:hAnsi="Arial"/>
                <w:sz w:val="14"/>
                <w:szCs w:val="14"/>
                <w:color w:val="auto"/>
              </w:rPr>
              <w:t>—</w:t>
            </w:r>
          </w:p>
        </w:tc>
        <w:tc>
          <w:tcPr>
            <w:tcW w:w="2300" w:type="dxa"/>
            <w:vAlign w:val="bottom"/>
            <w:gridSpan w:val="2"/>
            <w:shd w:val="clear" w:color="auto" w:fill="B8CCE4"/>
          </w:tcPr>
          <w:p>
            <w:pPr>
              <w:jc w:val="right"/>
              <w:ind w:right="120"/>
              <w:spacing w:after="0"/>
              <w:rPr>
                <w:sz w:val="20"/>
                <w:szCs w:val="20"/>
                <w:color w:val="auto"/>
              </w:rPr>
            </w:pPr>
            <w:r>
              <w:rPr>
                <w:rFonts w:ascii="Arial" w:cs="Arial" w:eastAsia="Arial" w:hAnsi="Arial"/>
                <w:sz w:val="14"/>
                <w:szCs w:val="14"/>
                <w:color w:val="auto"/>
              </w:rPr>
              <w:t>2,853</w:t>
            </w:r>
          </w:p>
        </w:tc>
      </w:tr>
      <w:tr>
        <w:trPr>
          <w:trHeight w:val="189"/>
        </w:trPr>
        <w:tc>
          <w:tcPr>
            <w:tcW w:w="3840" w:type="dxa"/>
            <w:vAlign w:val="bottom"/>
          </w:tcPr>
          <w:p>
            <w:pPr>
              <w:spacing w:after="0"/>
              <w:rPr>
                <w:sz w:val="20"/>
                <w:szCs w:val="20"/>
                <w:color w:val="auto"/>
              </w:rPr>
            </w:pPr>
            <w:r>
              <w:rPr>
                <w:rFonts w:ascii="Arial" w:cs="Arial" w:eastAsia="Arial" w:hAnsi="Arial"/>
                <w:sz w:val="14"/>
                <w:szCs w:val="14"/>
                <w:color w:val="auto"/>
              </w:rPr>
              <w:t>Mohanbir Sawhney</w:t>
            </w:r>
          </w:p>
        </w:tc>
        <w:tc>
          <w:tcPr>
            <w:tcW w:w="120" w:type="dxa"/>
            <w:vAlign w:val="bottom"/>
          </w:tcPr>
          <w:p>
            <w:pPr>
              <w:spacing w:after="0"/>
              <w:rPr>
                <w:sz w:val="16"/>
                <w:szCs w:val="16"/>
                <w:color w:val="auto"/>
              </w:rPr>
            </w:pPr>
          </w:p>
        </w:tc>
        <w:tc>
          <w:tcPr>
            <w:tcW w:w="2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300" w:type="dxa"/>
            <w:vAlign w:val="bottom"/>
            <w:gridSpan w:val="2"/>
          </w:tcPr>
          <w:p>
            <w:pPr>
              <w:ind w:left="2040"/>
              <w:spacing w:after="0"/>
              <w:rPr>
                <w:sz w:val="20"/>
                <w:szCs w:val="20"/>
                <w:color w:val="auto"/>
              </w:rPr>
            </w:pPr>
            <w:r>
              <w:rPr>
                <w:rFonts w:ascii="Arial" w:cs="Arial" w:eastAsia="Arial" w:hAnsi="Arial"/>
                <w:sz w:val="14"/>
                <w:szCs w:val="14"/>
                <w:color w:val="auto"/>
              </w:rPr>
              <w:t>—</w:t>
            </w:r>
          </w:p>
        </w:tc>
        <w:tc>
          <w:tcPr>
            <w:tcW w:w="2300" w:type="dxa"/>
            <w:vAlign w:val="bottom"/>
            <w:gridSpan w:val="2"/>
          </w:tcPr>
          <w:p>
            <w:pPr>
              <w:jc w:val="right"/>
              <w:ind w:right="120"/>
              <w:spacing w:after="0"/>
              <w:rPr>
                <w:sz w:val="20"/>
                <w:szCs w:val="20"/>
                <w:color w:val="auto"/>
              </w:rPr>
            </w:pPr>
            <w:r>
              <w:rPr>
                <w:rFonts w:ascii="Arial" w:cs="Arial" w:eastAsia="Arial" w:hAnsi="Arial"/>
                <w:sz w:val="14"/>
                <w:szCs w:val="14"/>
                <w:color w:val="auto"/>
              </w:rPr>
              <w:t>2,853</w:t>
            </w:r>
          </w:p>
        </w:tc>
      </w:tr>
      <w:tr>
        <w:trPr>
          <w:trHeight w:val="189"/>
        </w:trPr>
        <w:tc>
          <w:tcPr>
            <w:tcW w:w="3840" w:type="dxa"/>
            <w:vAlign w:val="bottom"/>
            <w:shd w:val="clear" w:color="auto" w:fill="B8CDE8"/>
          </w:tcPr>
          <w:p>
            <w:pPr>
              <w:spacing w:after="0"/>
              <w:rPr>
                <w:sz w:val="20"/>
                <w:szCs w:val="20"/>
                <w:color w:val="auto"/>
              </w:rPr>
            </w:pPr>
            <w:r>
              <w:rPr>
                <w:rFonts w:ascii="Arial" w:cs="Arial" w:eastAsia="Arial" w:hAnsi="Arial"/>
                <w:sz w:val="14"/>
                <w:szCs w:val="14"/>
                <w:color w:val="auto"/>
              </w:rPr>
              <w:t>Garen Staglin</w:t>
            </w:r>
          </w:p>
        </w:tc>
        <w:tc>
          <w:tcPr>
            <w:tcW w:w="2380" w:type="dxa"/>
            <w:vAlign w:val="bottom"/>
            <w:gridSpan w:val="3"/>
            <w:shd w:val="clear" w:color="auto" w:fill="B8CDE8"/>
          </w:tcPr>
          <w:p>
            <w:pPr>
              <w:jc w:val="right"/>
              <w:ind w:right="100"/>
              <w:spacing w:after="0"/>
              <w:rPr>
                <w:sz w:val="20"/>
                <w:szCs w:val="20"/>
                <w:color w:val="auto"/>
              </w:rPr>
            </w:pPr>
            <w:r>
              <w:rPr>
                <w:rFonts w:ascii="Arial" w:cs="Arial" w:eastAsia="Arial" w:hAnsi="Arial"/>
                <w:sz w:val="14"/>
                <w:szCs w:val="14"/>
                <w:color w:val="auto"/>
              </w:rPr>
              <w:t>32,723</w:t>
            </w:r>
          </w:p>
        </w:tc>
        <w:tc>
          <w:tcPr>
            <w:tcW w:w="2300" w:type="dxa"/>
            <w:vAlign w:val="bottom"/>
            <w:gridSpan w:val="2"/>
            <w:shd w:val="clear" w:color="auto" w:fill="B8CDE8"/>
          </w:tcPr>
          <w:p>
            <w:pPr>
              <w:ind w:left="2040"/>
              <w:spacing w:after="0"/>
              <w:rPr>
                <w:sz w:val="20"/>
                <w:szCs w:val="20"/>
                <w:color w:val="auto"/>
              </w:rPr>
            </w:pPr>
            <w:r>
              <w:rPr>
                <w:rFonts w:ascii="Arial" w:cs="Arial" w:eastAsia="Arial" w:hAnsi="Arial"/>
                <w:sz w:val="14"/>
                <w:szCs w:val="14"/>
                <w:color w:val="auto"/>
              </w:rPr>
              <w:t>—</w:t>
            </w:r>
          </w:p>
        </w:tc>
        <w:tc>
          <w:tcPr>
            <w:tcW w:w="2300" w:type="dxa"/>
            <w:vAlign w:val="bottom"/>
            <w:gridSpan w:val="2"/>
            <w:shd w:val="clear" w:color="auto" w:fill="B8CDE8"/>
          </w:tcPr>
          <w:p>
            <w:pPr>
              <w:jc w:val="right"/>
              <w:ind w:right="120"/>
              <w:spacing w:after="0"/>
              <w:rPr>
                <w:sz w:val="20"/>
                <w:szCs w:val="20"/>
                <w:color w:val="auto"/>
              </w:rPr>
            </w:pPr>
            <w:r>
              <w:rPr>
                <w:rFonts w:ascii="Arial" w:cs="Arial" w:eastAsia="Arial" w:hAnsi="Arial"/>
                <w:sz w:val="14"/>
                <w:szCs w:val="14"/>
                <w:color w:val="auto"/>
              </w:rPr>
              <w:t>6,270</w:t>
            </w:r>
          </w:p>
        </w:tc>
      </w:tr>
    </w:tbl>
    <w:p>
      <w:pPr>
        <w:spacing w:after="0" w:line="207" w:lineRule="exact"/>
        <w:rPr>
          <w:sz w:val="20"/>
          <w:szCs w:val="20"/>
          <w:color w:val="auto"/>
        </w:rPr>
      </w:pPr>
    </w:p>
    <w:p>
      <w:pPr>
        <w:ind w:left="660" w:hanging="328"/>
        <w:spacing w:after="0"/>
        <w:tabs>
          <w:tab w:leader="none" w:pos="660" w:val="left"/>
        </w:tabs>
        <w:numPr>
          <w:ilvl w:val="0"/>
          <w:numId w:val="81"/>
        </w:numPr>
        <w:rPr>
          <w:rFonts w:ascii="Arial" w:cs="Arial" w:eastAsia="Arial" w:hAnsi="Arial"/>
          <w:sz w:val="14"/>
          <w:szCs w:val="14"/>
          <w:color w:val="auto"/>
        </w:rPr>
      </w:pPr>
      <w:r>
        <w:rPr>
          <w:rFonts w:ascii="Arial" w:cs="Arial" w:eastAsia="Arial" w:hAnsi="Arial"/>
          <w:sz w:val="14"/>
          <w:szCs w:val="14"/>
          <w:color w:val="auto"/>
        </w:rPr>
        <w:t>Mr. Sawhney resigned as a director as of December 31, 2015.</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81"/>
        </w:numPr>
        <w:rPr>
          <w:rFonts w:ascii="Arial" w:cs="Arial" w:eastAsia="Arial" w:hAnsi="Arial"/>
          <w:sz w:val="14"/>
          <w:szCs w:val="14"/>
          <w:color w:val="auto"/>
        </w:rPr>
      </w:pPr>
      <w:r>
        <w:rPr>
          <w:rFonts w:ascii="Arial" w:cs="Arial" w:eastAsia="Arial" w:hAnsi="Arial"/>
          <w:sz w:val="14"/>
          <w:szCs w:val="14"/>
          <w:color w:val="auto"/>
        </w:rPr>
        <w:t>For Mr. Staglin, amount reflects our reimbursement for costs associated with secretarial services.</w:t>
      </w:r>
    </w:p>
    <w:p>
      <w:pPr>
        <w:spacing w:after="0" w:line="1" w:lineRule="exact"/>
        <w:rPr>
          <w:rFonts w:ascii="Arial" w:cs="Arial" w:eastAsia="Arial" w:hAnsi="Arial"/>
          <w:sz w:val="14"/>
          <w:szCs w:val="14"/>
          <w:color w:val="auto"/>
        </w:rPr>
      </w:pPr>
    </w:p>
    <w:p>
      <w:pPr>
        <w:ind w:left="660" w:right="520" w:hanging="328"/>
        <w:spacing w:after="0" w:line="258" w:lineRule="auto"/>
        <w:tabs>
          <w:tab w:leader="none" w:pos="660" w:val="left"/>
        </w:tabs>
        <w:numPr>
          <w:ilvl w:val="0"/>
          <w:numId w:val="81"/>
        </w:numPr>
        <w:rPr>
          <w:rFonts w:ascii="Arial" w:cs="Arial" w:eastAsia="Arial" w:hAnsi="Arial"/>
          <w:sz w:val="14"/>
          <w:szCs w:val="14"/>
          <w:color w:val="auto"/>
        </w:rPr>
      </w:pPr>
      <w:r>
        <w:rPr>
          <w:rFonts w:ascii="Arial" w:cs="Arial" w:eastAsia="Arial" w:hAnsi="Arial"/>
          <w:sz w:val="14"/>
          <w:szCs w:val="14"/>
          <w:color w:val="auto"/>
        </w:rPr>
        <w:t>For Ms. Minto, amount reflects our reimbursement to her for tax planning fees. The amount also reflects a subsequent payment made to Ms. Minto to gross up the reimbursement of tax planning fees so that the economic benefit to her was the same as if such benefit were provided on a non-taxable basis ($8,072).</w:t>
      </w:r>
    </w:p>
    <w:p>
      <w:pPr>
        <w:spacing w:after="0" w:line="39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80"/>
          </w:cols>
          <w:pgMar w:left="240" w:top="859" w:right="179" w:bottom="1440" w:gutter="0" w:footer="0" w:header="0"/>
        </w:sectPr>
      </w:pPr>
    </w:p>
    <w:bookmarkStart w:id="74" w:name="page75"/>
    <w:bookmarkEnd w:id="74"/>
    <w:p>
      <w:pPr>
        <w:ind w:firstLine="648"/>
        <w:spacing w:after="0" w:line="236" w:lineRule="auto"/>
        <w:rPr>
          <w:sz w:val="20"/>
          <w:szCs w:val="20"/>
          <w:color w:val="auto"/>
        </w:rPr>
      </w:pPr>
      <w:r>
        <w:rPr>
          <w:rFonts w:ascii="Arial" w:cs="Arial" w:eastAsia="Arial" w:hAnsi="Arial"/>
          <w:sz w:val="18"/>
          <w:szCs w:val="18"/>
          <w:color w:val="auto"/>
        </w:rPr>
        <w:t>For 2015, non-employee directors were eligible to receive an annual retainer fee in the amount of $55,000. The non-executive Chairman of our board of directors was eligible to receive an additional retainer of $150,000 which is paid $50,000 in cash and $100,000 in equity. The Lead Director of our board of directors (if there is a Lead Director serving at such time) was eligible to receive an additional annual fee of $25,000. New non-employee directors who join our board of directors during a calendar quarter are eligible to receive the full fee for such calendar quarter. The chairperson of our Audit Committee was eligible to receive an additional annual fee of $20,000, and other members of our Audit Committee were eligible to receive an additional annual fee of $10,000. The Chairpersons of committees other than our Audit Committee were eligible to receive an additional annual fee of $ 15,000, and members of committees other than our Audit Committee were eligible to receive an additional annual fee of $7,500. There are no additional fees payable for attendance at our board or committee meetings (whether in person, telephonic or otherwise). We make quarterly cash payments to our directors who elect to receive a portion of their director fees in the form of cash.</w:t>
      </w:r>
    </w:p>
    <w:p>
      <w:pPr>
        <w:spacing w:after="0" w:line="193"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Prior to July 1, 2014, new non-employee directors who join our board of directors were eligible to receive restricted stock units representing 4,000 shares of our common stock and each non-employee director received a grant on the anniversary of his board service date of restricted stock units representing 4,000 shares of our common stock. Effective July 1, 2014, the Company decided to transition to making an annual grant to all directors with an approximate value of $100,000 commencing on the date of the 2015 Annual Stockholders’ meeting. In order to transition to this new program, any director with an anniversary hire date between July 1, 2014 and June 19, 2015, the date of the 2015 Annual Stockholders’ meeting, received a pro rata grant based upon the number of days between the anniversary date and the date of the Annual Stockholders’ meeting. On June 19, 2015, each non-employee director received a grant or restricted stock units valued at $100,000 with the exact number of units being determined by dividing $100,000 by the closing stock price on June 18, 2015. The grants provide that the restricted stock units will vest on the earliest of:</w:t>
      </w:r>
    </w:p>
    <w:p>
      <w:pPr>
        <w:spacing w:after="0" w:line="194" w:lineRule="exact"/>
        <w:rPr>
          <w:sz w:val="20"/>
          <w:szCs w:val="20"/>
          <w:color w:val="auto"/>
        </w:rPr>
      </w:pPr>
    </w:p>
    <w:p>
      <w:pPr>
        <w:ind w:left="1300" w:hanging="401"/>
        <w:spacing w:after="0"/>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first anniversary of the date of grant;</w:t>
      </w:r>
    </w:p>
    <w:p>
      <w:pPr>
        <w:spacing w:after="0" w:line="211" w:lineRule="exact"/>
        <w:rPr>
          <w:rFonts w:ascii="Arial" w:cs="Arial" w:eastAsia="Arial" w:hAnsi="Arial"/>
          <w:sz w:val="18"/>
          <w:szCs w:val="18"/>
          <w:color w:val="auto"/>
        </w:rPr>
      </w:pPr>
    </w:p>
    <w:p>
      <w:pPr>
        <w:ind w:left="1300" w:hanging="401"/>
        <w:spacing w:after="0" w:line="246" w:lineRule="auto"/>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date on which the director’s term as a member of our board of directors expires if the director is not subsequently elected to a new term on our board of directors; and</w:t>
      </w:r>
    </w:p>
    <w:p>
      <w:pPr>
        <w:spacing w:after="0" w:line="183" w:lineRule="exact"/>
        <w:rPr>
          <w:rFonts w:ascii="Arial" w:cs="Arial" w:eastAsia="Arial" w:hAnsi="Arial"/>
          <w:sz w:val="18"/>
          <w:szCs w:val="18"/>
          <w:color w:val="auto"/>
        </w:rPr>
      </w:pPr>
    </w:p>
    <w:p>
      <w:pPr>
        <w:ind w:left="1300" w:hanging="401"/>
        <w:spacing w:after="0"/>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occurrence of a “change in control,” as defined in the 2006 Plan or 2015 Plan, as applicable.</w:t>
      </w:r>
    </w:p>
    <w:p>
      <w:pPr>
        <w:spacing w:after="0" w:line="212" w:lineRule="exact"/>
        <w:rPr>
          <w:sz w:val="20"/>
          <w:szCs w:val="20"/>
          <w:color w:val="auto"/>
        </w:rPr>
      </w:pPr>
    </w:p>
    <w:p>
      <w:pPr>
        <w:ind w:right="80" w:firstLine="648"/>
        <w:spacing w:after="0" w:line="246" w:lineRule="auto"/>
        <w:rPr>
          <w:sz w:val="20"/>
          <w:szCs w:val="20"/>
          <w:color w:val="auto"/>
        </w:rPr>
      </w:pPr>
      <w:r>
        <w:rPr>
          <w:rFonts w:ascii="Arial" w:cs="Arial" w:eastAsia="Arial" w:hAnsi="Arial"/>
          <w:sz w:val="18"/>
          <w:szCs w:val="18"/>
          <w:color w:val="auto"/>
        </w:rPr>
        <w:t>Holders of restricted stock units do not receive the underlying shares of common stock until the units have vested and are settled. The restricted stock units issued to each of our non-employee directors will settle on the earliest of:</w:t>
      </w:r>
    </w:p>
    <w:p>
      <w:pPr>
        <w:spacing w:after="0" w:line="183" w:lineRule="exact"/>
        <w:rPr>
          <w:sz w:val="20"/>
          <w:szCs w:val="20"/>
          <w:color w:val="auto"/>
        </w:rPr>
      </w:pPr>
    </w:p>
    <w:p>
      <w:pPr>
        <w:ind w:left="1300" w:hanging="401"/>
        <w:spacing w:after="0"/>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such director’s death;</w:t>
      </w:r>
    </w:p>
    <w:p>
      <w:pPr>
        <w:spacing w:after="0" w:line="211" w:lineRule="exact"/>
        <w:rPr>
          <w:rFonts w:ascii="Arial" w:cs="Arial" w:eastAsia="Arial" w:hAnsi="Arial"/>
          <w:sz w:val="18"/>
          <w:szCs w:val="18"/>
          <w:color w:val="auto"/>
        </w:rPr>
      </w:pPr>
    </w:p>
    <w:p>
      <w:pPr>
        <w:ind w:left="1300" w:right="100" w:hanging="401"/>
        <w:spacing w:after="0" w:line="246" w:lineRule="auto"/>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180 days following the end of such director’s term on our board of directors, or if the director has satisfied our stock ownership guidelines and made an election prior to the grant, the vesting date of the award; and</w:t>
      </w:r>
    </w:p>
    <w:p>
      <w:pPr>
        <w:spacing w:after="0" w:line="183" w:lineRule="exact"/>
        <w:rPr>
          <w:rFonts w:ascii="Arial" w:cs="Arial" w:eastAsia="Arial" w:hAnsi="Arial"/>
          <w:sz w:val="18"/>
          <w:szCs w:val="18"/>
          <w:color w:val="auto"/>
        </w:rPr>
      </w:pPr>
    </w:p>
    <w:p>
      <w:pPr>
        <w:ind w:left="1300" w:right="20" w:hanging="401"/>
        <w:spacing w:after="0" w:line="246" w:lineRule="auto"/>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occurrence of a “change in control,” as defined in the 2006 Plan or 2015 Plan, as applicable, that satisfies the requirements of Section 409A of the Code.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2" w:right="25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Risk and Compensation Policies</w:t>
      </w:r>
    </w:p>
    <w:p>
      <w:pPr>
        <w:spacing w:after="0" w:line="22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Our Compensation Committee has taken into account its discussions with management regarding our compensation practices and has concluded that any risks arising from our compensation policies and practices are not reasonably likely to have a material adverse effect on us.</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59" w:right="27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STOCK OWNERSHIP OF DIRECTORS, EXECUTIVE OFFICERS AND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BENEFICIAL OWNERS</w:t>
      </w:r>
    </w:p>
    <w:p>
      <w:pPr>
        <w:spacing w:after="0" w:line="198" w:lineRule="exact"/>
        <w:rPr>
          <w:sz w:val="20"/>
          <w:szCs w:val="20"/>
          <w:color w:val="auto"/>
        </w:rPr>
      </w:pPr>
    </w:p>
    <w:p>
      <w:pPr>
        <w:ind w:right="40" w:firstLine="648"/>
        <w:spacing w:after="0" w:line="246" w:lineRule="auto"/>
        <w:rPr>
          <w:sz w:val="20"/>
          <w:szCs w:val="20"/>
          <w:color w:val="auto"/>
        </w:rPr>
      </w:pPr>
      <w:r>
        <w:rPr>
          <w:rFonts w:ascii="Arial" w:cs="Arial" w:eastAsia="Arial" w:hAnsi="Arial"/>
          <w:sz w:val="18"/>
          <w:szCs w:val="18"/>
          <w:color w:val="auto"/>
        </w:rPr>
        <w:t>Unless otherwise indicated, the table below sets forth, as of March 31, 2016, information with respect to the beneficial ownership of our common stock by:</w:t>
      </w:r>
    </w:p>
    <w:p>
      <w:pPr>
        <w:spacing w:after="0" w:line="183" w:lineRule="exact"/>
        <w:rPr>
          <w:sz w:val="20"/>
          <w:szCs w:val="20"/>
          <w:color w:val="auto"/>
        </w:rPr>
      </w:pPr>
    </w:p>
    <w:p>
      <w:pPr>
        <w:ind w:left="1300" w:hanging="644"/>
        <w:spacing w:after="0"/>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each of our directors and each of our named executive officers;</w:t>
      </w:r>
    </w:p>
    <w:p>
      <w:pPr>
        <w:spacing w:after="0" w:line="211" w:lineRule="exact"/>
        <w:rPr>
          <w:rFonts w:ascii="Arial" w:cs="Arial" w:eastAsia="Arial" w:hAnsi="Arial"/>
          <w:sz w:val="18"/>
          <w:szCs w:val="18"/>
          <w:color w:val="auto"/>
        </w:rPr>
      </w:pPr>
    </w:p>
    <w:p>
      <w:pPr>
        <w:ind w:left="1300" w:hanging="644"/>
        <w:spacing w:after="0"/>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each person who is known to be the beneficial owner of more than 5% of our common stock; and</w:t>
      </w:r>
    </w:p>
    <w:p>
      <w:pPr>
        <w:spacing w:after="0" w:line="211" w:lineRule="exact"/>
        <w:rPr>
          <w:rFonts w:ascii="Arial" w:cs="Arial" w:eastAsia="Arial" w:hAnsi="Arial"/>
          <w:sz w:val="18"/>
          <w:szCs w:val="18"/>
          <w:color w:val="auto"/>
        </w:rPr>
      </w:pPr>
    </w:p>
    <w:p>
      <w:pPr>
        <w:ind w:left="1300" w:hanging="644"/>
        <w:spacing w:after="0"/>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all of our current directors and current executive officers (i.e., not just named executive officers) as a group.</w:t>
      </w:r>
    </w:p>
    <w:p>
      <w:pPr>
        <w:spacing w:after="0" w:line="212"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The amounts and percentages of common stock beneficially owned as of March 31, 2016 are reported on the basis of the regulations of the SEC governing the determination of beneficial ownership of securities. Under these rules,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A person is also deemed to be a beneficial owner of any securities of which that person has a right to acquire beneficial ownership within 60 days of March 31, 2016. Under these rules, more than one person may be deemed to be a beneficial owner of the same securities. Except as otherwise indicated below, each of the persons named in the table has sole voting and investment power with respect to the securities beneficially owned by such person as set forth opposite such person’s name.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5140" w:type="dxa"/>
            <w:vAlign w:val="bottom"/>
            <w:shd w:val="clear" w:color="auto" w:fill="5591C7"/>
          </w:tcPr>
          <w:p>
            <w:pPr>
              <w:spacing w:after="0"/>
              <w:rPr>
                <w:sz w:val="16"/>
                <w:szCs w:val="16"/>
                <w:color w:val="auto"/>
              </w:rPr>
            </w:pPr>
          </w:p>
        </w:tc>
        <w:tc>
          <w:tcPr>
            <w:tcW w:w="120" w:type="dxa"/>
            <w:vAlign w:val="bottom"/>
            <w:shd w:val="clear" w:color="auto" w:fill="5591C7"/>
          </w:tcPr>
          <w:p>
            <w:pPr>
              <w:spacing w:after="0"/>
              <w:rPr>
                <w:sz w:val="16"/>
                <w:szCs w:val="16"/>
                <w:color w:val="auto"/>
              </w:rPr>
            </w:pPr>
          </w:p>
        </w:tc>
        <w:tc>
          <w:tcPr>
            <w:tcW w:w="3200" w:type="dxa"/>
            <w:vAlign w:val="bottom"/>
            <w:gridSpan w:val="3"/>
            <w:shd w:val="clear" w:color="auto" w:fill="5591C7"/>
          </w:tcPr>
          <w:p>
            <w:pPr>
              <w:jc w:val="right"/>
              <w:ind w:right="980"/>
              <w:spacing w:after="0"/>
              <w:rPr>
                <w:sz w:val="20"/>
                <w:szCs w:val="20"/>
                <w:color w:val="auto"/>
              </w:rPr>
            </w:pPr>
            <w:r>
              <w:rPr>
                <w:rFonts w:ascii="Arial" w:cs="Arial" w:eastAsia="Arial" w:hAnsi="Arial"/>
                <w:sz w:val="14"/>
                <w:szCs w:val="14"/>
                <w:b w:val="1"/>
                <w:bCs w:val="1"/>
                <w:color w:val="auto"/>
              </w:rPr>
              <w:t>Beneficial Ownership</w:t>
            </w:r>
          </w:p>
        </w:tc>
        <w:tc>
          <w:tcPr>
            <w:tcW w:w="1580" w:type="dxa"/>
            <w:vAlign w:val="bottom"/>
            <w:gridSpan w:val="2"/>
            <w:shd w:val="clear" w:color="auto" w:fill="5591C7"/>
          </w:tcPr>
          <w:p>
            <w:pPr>
              <w:jc w:val="center"/>
              <w:ind w:right="260"/>
              <w:spacing w:after="0"/>
              <w:rPr>
                <w:sz w:val="20"/>
                <w:szCs w:val="20"/>
                <w:color w:val="auto"/>
              </w:rPr>
            </w:pPr>
            <w:r>
              <w:rPr>
                <w:rFonts w:ascii="Arial" w:cs="Arial" w:eastAsia="Arial" w:hAnsi="Arial"/>
                <w:sz w:val="14"/>
                <w:szCs w:val="14"/>
                <w:b w:val="1"/>
                <w:bCs w:val="1"/>
                <w:color w:val="auto"/>
              </w:rPr>
              <w:t>Vested but</w:t>
            </w:r>
          </w:p>
        </w:tc>
        <w:tc>
          <w:tcPr>
            <w:tcW w:w="1360" w:type="dxa"/>
            <w:vAlign w:val="bottom"/>
            <w:shd w:val="clear" w:color="auto" w:fill="5591C7"/>
          </w:tcPr>
          <w:p>
            <w:pPr>
              <w:spacing w:after="0"/>
              <w:rPr>
                <w:sz w:val="16"/>
                <w:szCs w:val="16"/>
                <w:color w:val="auto"/>
              </w:rPr>
            </w:pPr>
          </w:p>
        </w:tc>
      </w:tr>
      <w:tr>
        <w:trPr>
          <w:trHeight w:val="142"/>
        </w:trPr>
        <w:tc>
          <w:tcPr>
            <w:tcW w:w="20" w:type="dxa"/>
            <w:vAlign w:val="bottom"/>
          </w:tcPr>
          <w:p>
            <w:pPr>
              <w:spacing w:after="0"/>
              <w:rPr>
                <w:sz w:val="12"/>
                <w:szCs w:val="12"/>
                <w:color w:val="auto"/>
              </w:rPr>
            </w:pPr>
          </w:p>
        </w:tc>
        <w:tc>
          <w:tcPr>
            <w:tcW w:w="5140" w:type="dxa"/>
            <w:vAlign w:val="bottom"/>
            <w:tcBorders>
              <w:top w:val="single" w:sz="8" w:color="5591C7"/>
            </w:tcBorders>
            <w:shd w:val="clear" w:color="auto" w:fill="5591C7"/>
          </w:tcPr>
          <w:p>
            <w:pPr>
              <w:spacing w:after="0"/>
              <w:rPr>
                <w:sz w:val="12"/>
                <w:szCs w:val="12"/>
                <w:color w:val="auto"/>
              </w:rPr>
            </w:pPr>
          </w:p>
        </w:tc>
        <w:tc>
          <w:tcPr>
            <w:tcW w:w="120" w:type="dxa"/>
            <w:vAlign w:val="bottom"/>
            <w:tcBorders>
              <w:top w:val="single" w:sz="8" w:color="5591C7"/>
            </w:tcBorders>
            <w:shd w:val="clear" w:color="auto" w:fill="5591C7"/>
          </w:tcPr>
          <w:p>
            <w:pPr>
              <w:spacing w:after="0"/>
              <w:rPr>
                <w:sz w:val="12"/>
                <w:szCs w:val="12"/>
                <w:color w:val="auto"/>
              </w:rPr>
            </w:pPr>
          </w:p>
        </w:tc>
        <w:tc>
          <w:tcPr>
            <w:tcW w:w="1620" w:type="dxa"/>
            <w:vAlign w:val="bottom"/>
            <w:tcBorders>
              <w:top w:val="single" w:sz="8" w:color="auto"/>
            </w:tcBorders>
            <w:shd w:val="clear" w:color="auto" w:fill="5591C7"/>
          </w:tcPr>
          <w:p>
            <w:pPr>
              <w:spacing w:after="0"/>
              <w:rPr>
                <w:sz w:val="12"/>
                <w:szCs w:val="12"/>
                <w:color w:val="auto"/>
              </w:rPr>
            </w:pPr>
          </w:p>
        </w:tc>
        <w:tc>
          <w:tcPr>
            <w:tcW w:w="1360" w:type="dxa"/>
            <w:vAlign w:val="bottom"/>
            <w:tcBorders>
              <w:top w:val="single" w:sz="8" w:color="auto"/>
            </w:tcBorders>
            <w:shd w:val="clear" w:color="auto" w:fill="5591C7"/>
          </w:tcPr>
          <w:p>
            <w:pPr>
              <w:spacing w:after="0"/>
              <w:rPr>
                <w:sz w:val="12"/>
                <w:szCs w:val="12"/>
                <w:color w:val="auto"/>
              </w:rPr>
            </w:pPr>
          </w:p>
        </w:tc>
        <w:tc>
          <w:tcPr>
            <w:tcW w:w="220" w:type="dxa"/>
            <w:vAlign w:val="bottom"/>
            <w:tcBorders>
              <w:top w:val="single" w:sz="8" w:color="5591C7"/>
            </w:tcBorders>
            <w:shd w:val="clear" w:color="auto" w:fill="5591C7"/>
          </w:tcPr>
          <w:p>
            <w:pPr>
              <w:spacing w:after="0"/>
              <w:rPr>
                <w:sz w:val="12"/>
                <w:szCs w:val="12"/>
                <w:color w:val="auto"/>
              </w:rPr>
            </w:pPr>
          </w:p>
        </w:tc>
        <w:tc>
          <w:tcPr>
            <w:tcW w:w="1580" w:type="dxa"/>
            <w:vAlign w:val="bottom"/>
            <w:tcBorders>
              <w:top w:val="single" w:sz="8" w:color="5591C7"/>
            </w:tcBorders>
            <w:gridSpan w:val="2"/>
            <w:shd w:val="clear" w:color="auto" w:fill="5591C7"/>
          </w:tcPr>
          <w:p>
            <w:pPr>
              <w:jc w:val="center"/>
              <w:ind w:right="260"/>
              <w:spacing w:after="0" w:line="143" w:lineRule="exact"/>
              <w:rPr>
                <w:sz w:val="20"/>
                <w:szCs w:val="20"/>
                <w:color w:val="auto"/>
              </w:rPr>
            </w:pPr>
            <w:r>
              <w:rPr>
                <w:rFonts w:ascii="Arial" w:cs="Arial" w:eastAsia="Arial" w:hAnsi="Arial"/>
                <w:sz w:val="14"/>
                <w:szCs w:val="14"/>
                <w:b w:val="1"/>
                <w:bCs w:val="1"/>
                <w:color w:val="auto"/>
              </w:rPr>
              <w:t>Unsettled</w:t>
            </w:r>
          </w:p>
        </w:tc>
        <w:tc>
          <w:tcPr>
            <w:tcW w:w="1360" w:type="dxa"/>
            <w:vAlign w:val="bottom"/>
            <w:tcBorders>
              <w:top w:val="single" w:sz="8" w:color="5591C7"/>
            </w:tcBorders>
            <w:shd w:val="clear" w:color="auto" w:fill="5591C7"/>
          </w:tcPr>
          <w:p>
            <w:pPr>
              <w:spacing w:after="0"/>
              <w:rPr>
                <w:sz w:val="12"/>
                <w:szCs w:val="12"/>
                <w:color w:val="auto"/>
              </w:rPr>
            </w:pPr>
          </w:p>
        </w:tc>
      </w:tr>
      <w:tr>
        <w:trPr>
          <w:trHeight w:val="161"/>
        </w:trPr>
        <w:tc>
          <w:tcPr>
            <w:tcW w:w="20" w:type="dxa"/>
            <w:vAlign w:val="bottom"/>
          </w:tcPr>
          <w:p>
            <w:pPr>
              <w:spacing w:after="0"/>
              <w:rPr>
                <w:sz w:val="13"/>
                <w:szCs w:val="13"/>
                <w:color w:val="auto"/>
              </w:rPr>
            </w:pPr>
          </w:p>
        </w:tc>
        <w:tc>
          <w:tcPr>
            <w:tcW w:w="5140" w:type="dxa"/>
            <w:vAlign w:val="bottom"/>
            <w:shd w:val="clear" w:color="auto" w:fill="5591C7"/>
          </w:tcPr>
          <w:p>
            <w:pPr>
              <w:spacing w:after="0"/>
              <w:rPr>
                <w:sz w:val="13"/>
                <w:szCs w:val="13"/>
                <w:color w:val="auto"/>
              </w:rPr>
            </w:pPr>
          </w:p>
        </w:tc>
        <w:tc>
          <w:tcPr>
            <w:tcW w:w="120" w:type="dxa"/>
            <w:vAlign w:val="bottom"/>
            <w:shd w:val="clear" w:color="auto" w:fill="5591C7"/>
          </w:tcPr>
          <w:p>
            <w:pPr>
              <w:spacing w:after="0"/>
              <w:rPr>
                <w:sz w:val="13"/>
                <w:szCs w:val="13"/>
                <w:color w:val="auto"/>
              </w:rPr>
            </w:pPr>
          </w:p>
        </w:tc>
        <w:tc>
          <w:tcPr>
            <w:tcW w:w="1620" w:type="dxa"/>
            <w:vAlign w:val="bottom"/>
            <w:shd w:val="clear" w:color="auto" w:fill="5591C7"/>
          </w:tcPr>
          <w:p>
            <w:pPr>
              <w:spacing w:after="0"/>
              <w:rPr>
                <w:sz w:val="13"/>
                <w:szCs w:val="13"/>
                <w:color w:val="auto"/>
              </w:rPr>
            </w:pPr>
          </w:p>
        </w:tc>
        <w:tc>
          <w:tcPr>
            <w:tcW w:w="1580" w:type="dxa"/>
            <w:vAlign w:val="bottom"/>
            <w:gridSpan w:val="2"/>
            <w:shd w:val="clear" w:color="auto" w:fill="5591C7"/>
          </w:tcPr>
          <w:p>
            <w:pPr>
              <w:jc w:val="right"/>
              <w:ind w:right="540"/>
              <w:spacing w:after="0"/>
              <w:rPr>
                <w:sz w:val="20"/>
                <w:szCs w:val="20"/>
                <w:color w:val="auto"/>
              </w:rPr>
            </w:pPr>
            <w:r>
              <w:rPr>
                <w:rFonts w:ascii="Arial" w:cs="Arial" w:eastAsia="Arial" w:hAnsi="Arial"/>
                <w:sz w:val="14"/>
                <w:szCs w:val="14"/>
                <w:b w:val="1"/>
                <w:bCs w:val="1"/>
                <w:color w:val="auto"/>
              </w:rPr>
              <w:t>Percentage</w:t>
            </w:r>
          </w:p>
        </w:tc>
        <w:tc>
          <w:tcPr>
            <w:tcW w:w="1580" w:type="dxa"/>
            <w:vAlign w:val="bottom"/>
            <w:gridSpan w:val="2"/>
            <w:shd w:val="clear" w:color="auto" w:fill="5591C7"/>
          </w:tcPr>
          <w:p>
            <w:pPr>
              <w:jc w:val="center"/>
              <w:ind w:right="260"/>
              <w:spacing w:after="0"/>
              <w:rPr>
                <w:sz w:val="20"/>
                <w:szCs w:val="20"/>
                <w:color w:val="auto"/>
              </w:rPr>
            </w:pPr>
            <w:r>
              <w:rPr>
                <w:rFonts w:ascii="Arial" w:cs="Arial" w:eastAsia="Arial" w:hAnsi="Arial"/>
                <w:sz w:val="14"/>
                <w:szCs w:val="14"/>
                <w:b w:val="1"/>
                <w:bCs w:val="1"/>
                <w:color w:val="auto"/>
              </w:rPr>
              <w:t>Restricted</w:t>
            </w:r>
          </w:p>
        </w:tc>
        <w:tc>
          <w:tcPr>
            <w:tcW w:w="1360" w:type="dxa"/>
            <w:vAlign w:val="bottom"/>
            <w:shd w:val="clear" w:color="auto" w:fill="5591C7"/>
          </w:tcPr>
          <w:p>
            <w:pPr>
              <w:spacing w:after="0"/>
              <w:rPr>
                <w:sz w:val="13"/>
                <w:szCs w:val="13"/>
                <w:color w:val="auto"/>
              </w:rPr>
            </w:pPr>
          </w:p>
        </w:tc>
      </w:tr>
      <w:tr>
        <w:trPr>
          <w:trHeight w:val="204"/>
        </w:trPr>
        <w:tc>
          <w:tcPr>
            <w:tcW w:w="20" w:type="dxa"/>
            <w:vAlign w:val="bottom"/>
          </w:tcPr>
          <w:p>
            <w:pPr>
              <w:spacing w:after="0"/>
              <w:rPr>
                <w:sz w:val="17"/>
                <w:szCs w:val="17"/>
                <w:color w:val="auto"/>
              </w:rPr>
            </w:pPr>
          </w:p>
        </w:tc>
        <w:tc>
          <w:tcPr>
            <w:tcW w:w="5140" w:type="dxa"/>
            <w:vAlign w:val="bottom"/>
            <w:tcBorders>
              <w:bottom w:val="single" w:sz="8" w:color="auto"/>
            </w:tcBorders>
            <w:shd w:val="clear" w:color="auto" w:fill="5591C7"/>
          </w:tcPr>
          <w:p>
            <w:pPr>
              <w:ind w:left="1220"/>
              <w:spacing w:after="0" w:line="203" w:lineRule="exact"/>
              <w:rPr>
                <w:sz w:val="20"/>
                <w:szCs w:val="20"/>
                <w:color w:val="auto"/>
              </w:rPr>
            </w:pPr>
            <w:r>
              <w:rPr>
                <w:rFonts w:ascii="Arial" w:cs="Arial" w:eastAsia="Arial" w:hAnsi="Arial"/>
                <w:sz w:val="14"/>
                <w:szCs w:val="14"/>
                <w:b w:val="1"/>
                <w:bCs w:val="1"/>
                <w:color w:val="auto"/>
              </w:rPr>
              <w:t>Name and Address of Beneficial Owner</w:t>
            </w:r>
            <w:r>
              <w:rPr>
                <w:rFonts w:ascii="Arial" w:cs="Arial" w:eastAsia="Arial" w:hAnsi="Arial"/>
                <w:sz w:val="23"/>
                <w:szCs w:val="23"/>
                <w:b w:val="1"/>
                <w:bCs w:val="1"/>
                <w:color w:val="auto"/>
                <w:vertAlign w:val="superscript"/>
              </w:rPr>
              <w:t>(1)</w:t>
            </w:r>
          </w:p>
        </w:tc>
        <w:tc>
          <w:tcPr>
            <w:tcW w:w="120" w:type="dxa"/>
            <w:vAlign w:val="bottom"/>
            <w:shd w:val="clear" w:color="auto" w:fill="5591C7"/>
          </w:tcPr>
          <w:p>
            <w:pPr>
              <w:spacing w:after="0"/>
              <w:rPr>
                <w:sz w:val="17"/>
                <w:szCs w:val="17"/>
                <w:color w:val="auto"/>
              </w:rPr>
            </w:pPr>
          </w:p>
        </w:tc>
        <w:tc>
          <w:tcPr>
            <w:tcW w:w="1620" w:type="dxa"/>
            <w:vAlign w:val="bottom"/>
            <w:shd w:val="clear" w:color="auto" w:fill="5591C7"/>
          </w:tcPr>
          <w:p>
            <w:pPr>
              <w:jc w:val="right"/>
              <w:ind w:right="615"/>
              <w:spacing w:after="0"/>
              <w:rPr>
                <w:sz w:val="20"/>
                <w:szCs w:val="20"/>
                <w:color w:val="auto"/>
              </w:rPr>
            </w:pPr>
            <w:r>
              <w:rPr>
                <w:rFonts w:ascii="Arial" w:cs="Arial" w:eastAsia="Arial" w:hAnsi="Arial"/>
                <w:sz w:val="14"/>
                <w:szCs w:val="14"/>
                <w:b w:val="1"/>
                <w:bCs w:val="1"/>
                <w:color w:val="auto"/>
              </w:rPr>
              <w:t>Shares</w:t>
            </w:r>
          </w:p>
        </w:tc>
        <w:tc>
          <w:tcPr>
            <w:tcW w:w="1360" w:type="dxa"/>
            <w:vAlign w:val="bottom"/>
            <w:tcBorders>
              <w:bottom w:val="single" w:sz="8" w:color="auto"/>
            </w:tcBorders>
            <w:shd w:val="clear" w:color="auto" w:fill="5591C7"/>
          </w:tcPr>
          <w:p>
            <w:pPr>
              <w:jc w:val="right"/>
              <w:ind w:right="412"/>
              <w:spacing w:after="0" w:line="203"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3"/>
                <w:szCs w:val="23"/>
                <w:b w:val="1"/>
                <w:bCs w:val="1"/>
                <w:color w:val="auto"/>
                <w:vertAlign w:val="superscript"/>
              </w:rPr>
              <w:t>(2)</w:t>
            </w:r>
          </w:p>
        </w:tc>
        <w:tc>
          <w:tcPr>
            <w:tcW w:w="220" w:type="dxa"/>
            <w:vAlign w:val="bottom"/>
            <w:shd w:val="clear" w:color="auto" w:fill="5591C7"/>
          </w:tcPr>
          <w:p>
            <w:pPr>
              <w:spacing w:after="0"/>
              <w:rPr>
                <w:sz w:val="17"/>
                <w:szCs w:val="17"/>
                <w:color w:val="auto"/>
              </w:rPr>
            </w:pPr>
          </w:p>
        </w:tc>
        <w:tc>
          <w:tcPr>
            <w:tcW w:w="1360" w:type="dxa"/>
            <w:vAlign w:val="bottom"/>
            <w:tcBorders>
              <w:bottom w:val="single" w:sz="8" w:color="auto"/>
            </w:tcBorders>
            <w:shd w:val="clear" w:color="auto" w:fill="5591C7"/>
          </w:tcPr>
          <w:p>
            <w:pPr>
              <w:jc w:val="center"/>
              <w:spacing w:after="0" w:line="203" w:lineRule="exact"/>
              <w:rPr>
                <w:sz w:val="20"/>
                <w:szCs w:val="20"/>
                <w:color w:val="auto"/>
              </w:rPr>
            </w:pPr>
            <w:r>
              <w:rPr>
                <w:rFonts w:ascii="Arial" w:cs="Arial" w:eastAsia="Arial" w:hAnsi="Arial"/>
                <w:sz w:val="14"/>
                <w:szCs w:val="14"/>
                <w:b w:val="1"/>
                <w:bCs w:val="1"/>
                <w:color w:val="auto"/>
                <w:w w:val="98"/>
              </w:rPr>
              <w:t>Stock Units</w:t>
            </w:r>
            <w:r>
              <w:rPr>
                <w:rFonts w:ascii="Arial" w:cs="Arial" w:eastAsia="Arial" w:hAnsi="Arial"/>
                <w:sz w:val="23"/>
                <w:szCs w:val="23"/>
                <w:b w:val="1"/>
                <w:bCs w:val="1"/>
                <w:color w:val="auto"/>
                <w:w w:val="98"/>
                <w:vertAlign w:val="superscript"/>
              </w:rPr>
              <w:t>(3)</w:t>
            </w:r>
          </w:p>
        </w:tc>
        <w:tc>
          <w:tcPr>
            <w:tcW w:w="220" w:type="dxa"/>
            <w:vAlign w:val="bottom"/>
            <w:shd w:val="clear" w:color="auto" w:fill="5591C7"/>
          </w:tcPr>
          <w:p>
            <w:pPr>
              <w:spacing w:after="0"/>
              <w:rPr>
                <w:sz w:val="17"/>
                <w:szCs w:val="17"/>
                <w:color w:val="auto"/>
              </w:rPr>
            </w:pPr>
          </w:p>
        </w:tc>
        <w:tc>
          <w:tcPr>
            <w:tcW w:w="1360" w:type="dxa"/>
            <w:vAlign w:val="bottom"/>
            <w:tcBorders>
              <w:bottom w:val="single" w:sz="8" w:color="auto"/>
            </w:tcBorders>
            <w:shd w:val="clear" w:color="auto" w:fill="5591C7"/>
          </w:tcPr>
          <w:p>
            <w:pPr>
              <w:jc w:val="right"/>
              <w:ind w:right="431"/>
              <w:spacing w:after="0"/>
              <w:rPr>
                <w:sz w:val="20"/>
                <w:szCs w:val="20"/>
                <w:color w:val="auto"/>
              </w:rPr>
            </w:pPr>
            <w:r>
              <w:rPr>
                <w:rFonts w:ascii="Arial" w:cs="Arial" w:eastAsia="Arial" w:hAnsi="Arial"/>
                <w:sz w:val="14"/>
                <w:szCs w:val="14"/>
                <w:b w:val="1"/>
                <w:bCs w:val="1"/>
                <w:color w:val="auto"/>
              </w:rPr>
              <w:t>Total</w:t>
            </w:r>
          </w:p>
        </w:tc>
      </w:tr>
      <w:tr>
        <w:trPr>
          <w:trHeight w:val="237"/>
        </w:trPr>
        <w:tc>
          <w:tcPr>
            <w:tcW w:w="20" w:type="dxa"/>
            <w:vAlign w:val="bottom"/>
          </w:tcPr>
          <w:p>
            <w:pPr>
              <w:spacing w:after="0"/>
              <w:rPr>
                <w:sz w:val="20"/>
                <w:szCs w:val="20"/>
                <w:color w:val="auto"/>
              </w:rPr>
            </w:pPr>
          </w:p>
        </w:tc>
        <w:tc>
          <w:tcPr>
            <w:tcW w:w="5140" w:type="dxa"/>
            <w:vAlign w:val="bottom"/>
          </w:tcPr>
          <w:p>
            <w:pPr>
              <w:spacing w:after="0" w:line="236" w:lineRule="exact"/>
              <w:rPr>
                <w:sz w:val="20"/>
                <w:szCs w:val="20"/>
                <w:color w:val="auto"/>
              </w:rPr>
            </w:pPr>
            <w:r>
              <w:rPr>
                <w:rFonts w:ascii="Arial" w:cs="Arial" w:eastAsia="Arial" w:hAnsi="Arial"/>
                <w:sz w:val="17"/>
                <w:szCs w:val="17"/>
                <w:color w:val="auto"/>
              </w:rPr>
              <w:t>FMR LLC</w:t>
            </w:r>
            <w:r>
              <w:rPr>
                <w:rFonts w:ascii="Arial" w:cs="Arial" w:eastAsia="Arial" w:hAnsi="Arial"/>
                <w:sz w:val="27"/>
                <w:szCs w:val="27"/>
                <w:color w:val="auto"/>
                <w:vertAlign w:val="superscript"/>
              </w:rPr>
              <w:t>(4)</w:t>
            </w:r>
          </w:p>
        </w:tc>
        <w:tc>
          <w:tcPr>
            <w:tcW w:w="1740" w:type="dxa"/>
            <w:vAlign w:val="bottom"/>
            <w:gridSpan w:val="2"/>
          </w:tcPr>
          <w:p>
            <w:pPr>
              <w:jc w:val="right"/>
              <w:ind w:right="155"/>
              <w:spacing w:after="0"/>
              <w:rPr>
                <w:sz w:val="20"/>
                <w:szCs w:val="20"/>
                <w:color w:val="auto"/>
              </w:rPr>
            </w:pPr>
            <w:r>
              <w:rPr>
                <w:rFonts w:ascii="Arial" w:cs="Arial" w:eastAsia="Arial" w:hAnsi="Arial"/>
                <w:sz w:val="18"/>
                <w:szCs w:val="18"/>
                <w:color w:val="auto"/>
              </w:rPr>
              <w:t>4,222,096</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12.59</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4,222,096</w:t>
            </w:r>
          </w:p>
        </w:tc>
      </w:tr>
      <w:tr>
        <w:trPr>
          <w:trHeight w:val="243"/>
        </w:trPr>
        <w:tc>
          <w:tcPr>
            <w:tcW w:w="20" w:type="dxa"/>
            <w:vAlign w:val="bottom"/>
          </w:tcPr>
          <w:p>
            <w:pPr>
              <w:spacing w:after="0"/>
              <w:rPr>
                <w:sz w:val="21"/>
                <w:szCs w:val="21"/>
                <w:color w:val="auto"/>
              </w:rPr>
            </w:pPr>
          </w:p>
        </w:tc>
        <w:tc>
          <w:tcPr>
            <w:tcW w:w="5140" w:type="dxa"/>
            <w:vAlign w:val="bottom"/>
            <w:shd w:val="clear" w:color="auto" w:fill="B8CDE8"/>
          </w:tcPr>
          <w:p>
            <w:pPr>
              <w:spacing w:after="0" w:line="243" w:lineRule="exact"/>
              <w:rPr>
                <w:sz w:val="20"/>
                <w:szCs w:val="20"/>
                <w:color w:val="auto"/>
              </w:rPr>
            </w:pPr>
            <w:r>
              <w:rPr>
                <w:rFonts w:ascii="Arial" w:cs="Arial" w:eastAsia="Arial" w:hAnsi="Arial"/>
                <w:sz w:val="17"/>
                <w:szCs w:val="17"/>
                <w:color w:val="auto"/>
              </w:rPr>
              <w:t>Wellington Management Group LLP</w:t>
            </w:r>
            <w:r>
              <w:rPr>
                <w:rFonts w:ascii="Arial" w:cs="Arial" w:eastAsia="Arial" w:hAnsi="Arial"/>
                <w:sz w:val="28"/>
                <w:szCs w:val="28"/>
                <w:color w:val="auto"/>
                <w:vertAlign w:val="superscript"/>
              </w:rPr>
              <w:t>(5)</w:t>
            </w:r>
          </w:p>
        </w:tc>
        <w:tc>
          <w:tcPr>
            <w:tcW w:w="1740" w:type="dxa"/>
            <w:vAlign w:val="bottom"/>
            <w:gridSpan w:val="2"/>
            <w:shd w:val="clear" w:color="auto" w:fill="B8CDE8"/>
          </w:tcPr>
          <w:p>
            <w:pPr>
              <w:jc w:val="right"/>
              <w:ind w:right="155"/>
              <w:spacing w:after="0"/>
              <w:rPr>
                <w:sz w:val="20"/>
                <w:szCs w:val="20"/>
                <w:color w:val="auto"/>
              </w:rPr>
            </w:pPr>
            <w:r>
              <w:rPr>
                <w:rFonts w:ascii="Arial" w:cs="Arial" w:eastAsia="Arial" w:hAnsi="Arial"/>
                <w:sz w:val="18"/>
                <w:szCs w:val="18"/>
                <w:color w:val="auto"/>
              </w:rPr>
              <w:t>3,168,468</w:t>
            </w:r>
          </w:p>
        </w:tc>
        <w:tc>
          <w:tcPr>
            <w:tcW w:w="1580" w:type="dxa"/>
            <w:vAlign w:val="bottom"/>
            <w:gridSpan w:val="2"/>
            <w:shd w:val="clear" w:color="auto" w:fill="B8CDE8"/>
          </w:tcPr>
          <w:p>
            <w:pPr>
              <w:jc w:val="right"/>
              <w:ind w:right="220"/>
              <w:spacing w:after="0"/>
              <w:rPr>
                <w:sz w:val="20"/>
                <w:szCs w:val="20"/>
                <w:color w:val="auto"/>
              </w:rPr>
            </w:pPr>
            <w:r>
              <w:rPr>
                <w:rFonts w:ascii="Arial" w:cs="Arial" w:eastAsia="Arial" w:hAnsi="Arial"/>
                <w:sz w:val="18"/>
                <w:szCs w:val="18"/>
                <w:color w:val="auto"/>
              </w:rPr>
              <w:t>9.45</w:t>
            </w:r>
          </w:p>
        </w:tc>
        <w:tc>
          <w:tcPr>
            <w:tcW w:w="1580" w:type="dxa"/>
            <w:vAlign w:val="bottom"/>
            <w:gridSpan w:val="2"/>
            <w:shd w:val="clear" w:color="auto" w:fill="B8CDE8"/>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B8CDE8"/>
          </w:tcPr>
          <w:p>
            <w:pPr>
              <w:jc w:val="right"/>
              <w:spacing w:after="0"/>
              <w:rPr>
                <w:sz w:val="20"/>
                <w:szCs w:val="20"/>
                <w:color w:val="auto"/>
              </w:rPr>
            </w:pPr>
            <w:r>
              <w:rPr>
                <w:rFonts w:ascii="Arial" w:cs="Arial" w:eastAsia="Arial" w:hAnsi="Arial"/>
                <w:sz w:val="18"/>
                <w:szCs w:val="18"/>
                <w:color w:val="auto"/>
              </w:rPr>
              <w:t>3,168,468</w:t>
            </w:r>
          </w:p>
        </w:tc>
      </w:tr>
      <w:tr>
        <w:trPr>
          <w:trHeight w:val="243"/>
        </w:trPr>
        <w:tc>
          <w:tcPr>
            <w:tcW w:w="20" w:type="dxa"/>
            <w:vAlign w:val="bottom"/>
          </w:tcPr>
          <w:p>
            <w:pPr>
              <w:spacing w:after="0"/>
              <w:rPr>
                <w:sz w:val="21"/>
                <w:szCs w:val="21"/>
                <w:color w:val="auto"/>
              </w:rPr>
            </w:pPr>
          </w:p>
        </w:tc>
        <w:tc>
          <w:tcPr>
            <w:tcW w:w="5140" w:type="dxa"/>
            <w:vAlign w:val="bottom"/>
          </w:tcPr>
          <w:p>
            <w:pPr>
              <w:spacing w:after="0" w:line="243" w:lineRule="exact"/>
              <w:rPr>
                <w:sz w:val="20"/>
                <w:szCs w:val="20"/>
                <w:color w:val="auto"/>
              </w:rPr>
            </w:pPr>
            <w:r>
              <w:rPr>
                <w:rFonts w:ascii="Arial" w:cs="Arial" w:eastAsia="Arial" w:hAnsi="Arial"/>
                <w:sz w:val="17"/>
                <w:szCs w:val="17"/>
                <w:color w:val="auto"/>
              </w:rPr>
              <w:t>Blackrock, Inc.</w:t>
            </w:r>
            <w:r>
              <w:rPr>
                <w:rFonts w:ascii="Arial" w:cs="Arial" w:eastAsia="Arial" w:hAnsi="Arial"/>
                <w:sz w:val="28"/>
                <w:szCs w:val="28"/>
                <w:color w:val="auto"/>
                <w:vertAlign w:val="superscript"/>
              </w:rPr>
              <w:t>(6)</w:t>
            </w:r>
          </w:p>
        </w:tc>
        <w:tc>
          <w:tcPr>
            <w:tcW w:w="1740" w:type="dxa"/>
            <w:vAlign w:val="bottom"/>
            <w:gridSpan w:val="2"/>
          </w:tcPr>
          <w:p>
            <w:pPr>
              <w:jc w:val="right"/>
              <w:ind w:right="155"/>
              <w:spacing w:after="0"/>
              <w:rPr>
                <w:sz w:val="20"/>
                <w:szCs w:val="20"/>
                <w:color w:val="auto"/>
              </w:rPr>
            </w:pPr>
            <w:r>
              <w:rPr>
                <w:rFonts w:ascii="Arial" w:cs="Arial" w:eastAsia="Arial" w:hAnsi="Arial"/>
                <w:sz w:val="18"/>
                <w:szCs w:val="18"/>
                <w:color w:val="auto"/>
              </w:rPr>
              <w:t>3,092,116</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9.22</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3,092,116</w:t>
            </w:r>
          </w:p>
        </w:tc>
      </w:tr>
      <w:tr>
        <w:trPr>
          <w:trHeight w:val="243"/>
        </w:trPr>
        <w:tc>
          <w:tcPr>
            <w:tcW w:w="20" w:type="dxa"/>
            <w:vAlign w:val="bottom"/>
          </w:tcPr>
          <w:p>
            <w:pPr>
              <w:spacing w:after="0"/>
              <w:rPr>
                <w:sz w:val="21"/>
                <w:szCs w:val="21"/>
                <w:color w:val="auto"/>
              </w:rPr>
            </w:pPr>
          </w:p>
        </w:tc>
        <w:tc>
          <w:tcPr>
            <w:tcW w:w="5140" w:type="dxa"/>
            <w:vAlign w:val="bottom"/>
            <w:shd w:val="clear" w:color="auto" w:fill="B8CDE8"/>
          </w:tcPr>
          <w:p>
            <w:pPr>
              <w:spacing w:after="0" w:line="243" w:lineRule="exact"/>
              <w:rPr>
                <w:sz w:val="20"/>
                <w:szCs w:val="20"/>
                <w:color w:val="auto"/>
              </w:rPr>
            </w:pPr>
            <w:r>
              <w:rPr>
                <w:rFonts w:ascii="Arial" w:cs="Arial" w:eastAsia="Arial" w:hAnsi="Arial"/>
                <w:sz w:val="17"/>
                <w:szCs w:val="17"/>
                <w:color w:val="auto"/>
              </w:rPr>
              <w:t>Vanguard Group, Inc.</w:t>
            </w:r>
            <w:r>
              <w:rPr>
                <w:rFonts w:ascii="Arial" w:cs="Arial" w:eastAsia="Arial" w:hAnsi="Arial"/>
                <w:sz w:val="28"/>
                <w:szCs w:val="28"/>
                <w:color w:val="auto"/>
                <w:vertAlign w:val="superscript"/>
              </w:rPr>
              <w:t>(7)</w:t>
            </w:r>
          </w:p>
        </w:tc>
        <w:tc>
          <w:tcPr>
            <w:tcW w:w="1740" w:type="dxa"/>
            <w:vAlign w:val="bottom"/>
            <w:gridSpan w:val="2"/>
            <w:shd w:val="clear" w:color="auto" w:fill="B8CDE8"/>
          </w:tcPr>
          <w:p>
            <w:pPr>
              <w:jc w:val="right"/>
              <w:ind w:right="155"/>
              <w:spacing w:after="0"/>
              <w:rPr>
                <w:sz w:val="20"/>
                <w:szCs w:val="20"/>
                <w:color w:val="auto"/>
              </w:rPr>
            </w:pPr>
            <w:r>
              <w:rPr>
                <w:rFonts w:ascii="Arial" w:cs="Arial" w:eastAsia="Arial" w:hAnsi="Arial"/>
                <w:sz w:val="18"/>
                <w:szCs w:val="18"/>
                <w:color w:val="auto"/>
              </w:rPr>
              <w:t>2,406,845</w:t>
            </w:r>
          </w:p>
        </w:tc>
        <w:tc>
          <w:tcPr>
            <w:tcW w:w="1580" w:type="dxa"/>
            <w:vAlign w:val="bottom"/>
            <w:gridSpan w:val="2"/>
            <w:shd w:val="clear" w:color="auto" w:fill="B8CDE8"/>
          </w:tcPr>
          <w:p>
            <w:pPr>
              <w:jc w:val="right"/>
              <w:ind w:right="220"/>
              <w:spacing w:after="0"/>
              <w:rPr>
                <w:sz w:val="20"/>
                <w:szCs w:val="20"/>
                <w:color w:val="auto"/>
              </w:rPr>
            </w:pPr>
            <w:r>
              <w:rPr>
                <w:rFonts w:ascii="Arial" w:cs="Arial" w:eastAsia="Arial" w:hAnsi="Arial"/>
                <w:sz w:val="18"/>
                <w:szCs w:val="18"/>
                <w:color w:val="auto"/>
              </w:rPr>
              <w:t>7.18</w:t>
            </w:r>
          </w:p>
        </w:tc>
        <w:tc>
          <w:tcPr>
            <w:tcW w:w="1580" w:type="dxa"/>
            <w:vAlign w:val="bottom"/>
            <w:gridSpan w:val="2"/>
            <w:shd w:val="clear" w:color="auto" w:fill="B8CDE8"/>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B8CDE8"/>
          </w:tcPr>
          <w:p>
            <w:pPr>
              <w:jc w:val="right"/>
              <w:spacing w:after="0"/>
              <w:rPr>
                <w:sz w:val="20"/>
                <w:szCs w:val="20"/>
                <w:color w:val="auto"/>
              </w:rPr>
            </w:pPr>
            <w:r>
              <w:rPr>
                <w:rFonts w:ascii="Arial" w:cs="Arial" w:eastAsia="Arial" w:hAnsi="Arial"/>
                <w:sz w:val="18"/>
                <w:szCs w:val="18"/>
                <w:color w:val="auto"/>
              </w:rPr>
              <w:t>2,406,845</w:t>
            </w:r>
          </w:p>
        </w:tc>
      </w:tr>
      <w:tr>
        <w:trPr>
          <w:trHeight w:val="243"/>
        </w:trPr>
        <w:tc>
          <w:tcPr>
            <w:tcW w:w="20" w:type="dxa"/>
            <w:vAlign w:val="bottom"/>
          </w:tcPr>
          <w:p>
            <w:pPr>
              <w:spacing w:after="0"/>
              <w:rPr>
                <w:sz w:val="21"/>
                <w:szCs w:val="21"/>
                <w:color w:val="auto"/>
              </w:rPr>
            </w:pPr>
          </w:p>
        </w:tc>
        <w:tc>
          <w:tcPr>
            <w:tcW w:w="5140" w:type="dxa"/>
            <w:vAlign w:val="bottom"/>
          </w:tcPr>
          <w:p>
            <w:pPr>
              <w:spacing w:after="0" w:line="243" w:lineRule="exact"/>
              <w:rPr>
                <w:sz w:val="20"/>
                <w:szCs w:val="20"/>
                <w:color w:val="auto"/>
              </w:rPr>
            </w:pPr>
            <w:r>
              <w:rPr>
                <w:rFonts w:ascii="Arial" w:cs="Arial" w:eastAsia="Arial" w:hAnsi="Arial"/>
                <w:sz w:val="17"/>
                <w:szCs w:val="17"/>
                <w:color w:val="auto"/>
              </w:rPr>
              <w:t>TimesSquare Capital Management, LLC</w:t>
            </w:r>
            <w:r>
              <w:rPr>
                <w:rFonts w:ascii="Arial" w:cs="Arial" w:eastAsia="Arial" w:hAnsi="Arial"/>
                <w:sz w:val="28"/>
                <w:szCs w:val="28"/>
                <w:color w:val="auto"/>
                <w:vertAlign w:val="superscript"/>
              </w:rPr>
              <w:t>(8)</w:t>
            </w:r>
          </w:p>
        </w:tc>
        <w:tc>
          <w:tcPr>
            <w:tcW w:w="1740" w:type="dxa"/>
            <w:vAlign w:val="bottom"/>
            <w:gridSpan w:val="2"/>
          </w:tcPr>
          <w:p>
            <w:pPr>
              <w:jc w:val="right"/>
              <w:ind w:right="155"/>
              <w:spacing w:after="0"/>
              <w:rPr>
                <w:sz w:val="20"/>
                <w:szCs w:val="20"/>
                <w:color w:val="auto"/>
              </w:rPr>
            </w:pPr>
            <w:r>
              <w:rPr>
                <w:rFonts w:ascii="Arial" w:cs="Arial" w:eastAsia="Arial" w:hAnsi="Arial"/>
                <w:sz w:val="18"/>
                <w:szCs w:val="18"/>
                <w:color w:val="auto"/>
              </w:rPr>
              <w:t>1,816,231</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5.42</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1,816,231</w:t>
            </w:r>
          </w:p>
        </w:tc>
      </w:tr>
      <w:tr>
        <w:trPr>
          <w:trHeight w:val="243"/>
        </w:trPr>
        <w:tc>
          <w:tcPr>
            <w:tcW w:w="20" w:type="dxa"/>
            <w:vAlign w:val="bottom"/>
          </w:tcPr>
          <w:p>
            <w:pPr>
              <w:spacing w:after="0"/>
              <w:rPr>
                <w:sz w:val="21"/>
                <w:szCs w:val="21"/>
                <w:color w:val="auto"/>
              </w:rPr>
            </w:pPr>
          </w:p>
        </w:tc>
        <w:tc>
          <w:tcPr>
            <w:tcW w:w="5140" w:type="dxa"/>
            <w:vAlign w:val="bottom"/>
            <w:shd w:val="clear" w:color="auto" w:fill="B8CDE8"/>
          </w:tcPr>
          <w:p>
            <w:pPr>
              <w:spacing w:after="0" w:line="243" w:lineRule="exact"/>
              <w:rPr>
                <w:sz w:val="20"/>
                <w:szCs w:val="20"/>
                <w:color w:val="auto"/>
              </w:rPr>
            </w:pPr>
            <w:r>
              <w:rPr>
                <w:rFonts w:ascii="Arial" w:cs="Arial" w:eastAsia="Arial" w:hAnsi="Arial"/>
                <w:sz w:val="17"/>
                <w:szCs w:val="17"/>
                <w:color w:val="auto"/>
              </w:rPr>
              <w:t>Rohit Kapoor</w:t>
            </w:r>
            <w:r>
              <w:rPr>
                <w:rFonts w:ascii="Arial" w:cs="Arial" w:eastAsia="Arial" w:hAnsi="Arial"/>
                <w:sz w:val="28"/>
                <w:szCs w:val="28"/>
                <w:color w:val="auto"/>
                <w:vertAlign w:val="superscript"/>
              </w:rPr>
              <w:t>(9)</w:t>
            </w:r>
          </w:p>
        </w:tc>
        <w:tc>
          <w:tcPr>
            <w:tcW w:w="1740" w:type="dxa"/>
            <w:vAlign w:val="bottom"/>
            <w:gridSpan w:val="2"/>
            <w:shd w:val="clear" w:color="auto" w:fill="B8CDE8"/>
          </w:tcPr>
          <w:p>
            <w:pPr>
              <w:jc w:val="right"/>
              <w:ind w:right="155"/>
              <w:spacing w:after="0"/>
              <w:rPr>
                <w:sz w:val="20"/>
                <w:szCs w:val="20"/>
                <w:color w:val="auto"/>
              </w:rPr>
            </w:pPr>
            <w:r>
              <w:rPr>
                <w:rFonts w:ascii="Arial" w:cs="Arial" w:eastAsia="Arial" w:hAnsi="Arial"/>
                <w:sz w:val="18"/>
                <w:szCs w:val="18"/>
                <w:color w:val="auto"/>
              </w:rPr>
              <w:t>1,556,123</w:t>
            </w:r>
          </w:p>
        </w:tc>
        <w:tc>
          <w:tcPr>
            <w:tcW w:w="1580" w:type="dxa"/>
            <w:vAlign w:val="bottom"/>
            <w:gridSpan w:val="2"/>
            <w:shd w:val="clear" w:color="auto" w:fill="B8CDE8"/>
          </w:tcPr>
          <w:p>
            <w:pPr>
              <w:jc w:val="right"/>
              <w:ind w:right="220"/>
              <w:spacing w:after="0"/>
              <w:rPr>
                <w:sz w:val="20"/>
                <w:szCs w:val="20"/>
                <w:color w:val="auto"/>
              </w:rPr>
            </w:pPr>
            <w:r>
              <w:rPr>
                <w:rFonts w:ascii="Arial" w:cs="Arial" w:eastAsia="Arial" w:hAnsi="Arial"/>
                <w:sz w:val="18"/>
                <w:szCs w:val="18"/>
                <w:color w:val="auto"/>
              </w:rPr>
              <w:t>4.57</w:t>
            </w:r>
          </w:p>
        </w:tc>
        <w:tc>
          <w:tcPr>
            <w:tcW w:w="1580" w:type="dxa"/>
            <w:vAlign w:val="bottom"/>
            <w:gridSpan w:val="2"/>
            <w:shd w:val="clear" w:color="auto" w:fill="B8CDE8"/>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B8CDE8"/>
          </w:tcPr>
          <w:p>
            <w:pPr>
              <w:jc w:val="right"/>
              <w:spacing w:after="0"/>
              <w:rPr>
                <w:sz w:val="20"/>
                <w:szCs w:val="20"/>
                <w:color w:val="auto"/>
              </w:rPr>
            </w:pPr>
            <w:r>
              <w:rPr>
                <w:rFonts w:ascii="Arial" w:cs="Arial" w:eastAsia="Arial" w:hAnsi="Arial"/>
                <w:sz w:val="18"/>
                <w:szCs w:val="18"/>
                <w:color w:val="auto"/>
              </w:rPr>
              <w:t>1,556,123</w:t>
            </w:r>
          </w:p>
        </w:tc>
      </w:tr>
      <w:tr>
        <w:trPr>
          <w:trHeight w:val="243"/>
        </w:trPr>
        <w:tc>
          <w:tcPr>
            <w:tcW w:w="20" w:type="dxa"/>
            <w:vAlign w:val="bottom"/>
          </w:tcPr>
          <w:p>
            <w:pPr>
              <w:spacing w:after="0"/>
              <w:rPr>
                <w:sz w:val="21"/>
                <w:szCs w:val="21"/>
                <w:color w:val="auto"/>
              </w:rPr>
            </w:pPr>
          </w:p>
        </w:tc>
        <w:tc>
          <w:tcPr>
            <w:tcW w:w="5140" w:type="dxa"/>
            <w:vAlign w:val="bottom"/>
          </w:tcPr>
          <w:p>
            <w:pPr>
              <w:spacing w:after="0" w:line="243" w:lineRule="exact"/>
              <w:rPr>
                <w:sz w:val="20"/>
                <w:szCs w:val="20"/>
                <w:color w:val="auto"/>
              </w:rPr>
            </w:pPr>
            <w:r>
              <w:rPr>
                <w:rFonts w:ascii="Arial" w:cs="Arial" w:eastAsia="Arial" w:hAnsi="Arial"/>
                <w:sz w:val="17"/>
                <w:szCs w:val="17"/>
                <w:color w:val="auto"/>
              </w:rPr>
              <w:t>Pavan Bagai</w:t>
            </w:r>
            <w:r>
              <w:rPr>
                <w:rFonts w:ascii="Arial" w:cs="Arial" w:eastAsia="Arial" w:hAnsi="Arial"/>
                <w:sz w:val="28"/>
                <w:szCs w:val="28"/>
                <w:color w:val="auto"/>
                <w:vertAlign w:val="superscript"/>
              </w:rPr>
              <w:t>(10)</w:t>
            </w:r>
          </w:p>
        </w:tc>
        <w:tc>
          <w:tcPr>
            <w:tcW w:w="1740" w:type="dxa"/>
            <w:vAlign w:val="bottom"/>
            <w:gridSpan w:val="2"/>
          </w:tcPr>
          <w:p>
            <w:pPr>
              <w:jc w:val="right"/>
              <w:ind w:right="155"/>
              <w:spacing w:after="0"/>
              <w:rPr>
                <w:sz w:val="20"/>
                <w:szCs w:val="20"/>
                <w:color w:val="auto"/>
              </w:rPr>
            </w:pPr>
            <w:r>
              <w:rPr>
                <w:rFonts w:ascii="Arial" w:cs="Arial" w:eastAsia="Arial" w:hAnsi="Arial"/>
                <w:sz w:val="18"/>
                <w:szCs w:val="18"/>
                <w:color w:val="auto"/>
              </w:rPr>
              <w:t>147,770</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147,770</w:t>
            </w:r>
          </w:p>
        </w:tc>
      </w:tr>
      <w:tr>
        <w:trPr>
          <w:trHeight w:val="243"/>
        </w:trPr>
        <w:tc>
          <w:tcPr>
            <w:tcW w:w="20" w:type="dxa"/>
            <w:vAlign w:val="bottom"/>
          </w:tcPr>
          <w:p>
            <w:pPr>
              <w:spacing w:after="0"/>
              <w:rPr>
                <w:sz w:val="21"/>
                <w:szCs w:val="21"/>
                <w:color w:val="auto"/>
              </w:rPr>
            </w:pPr>
          </w:p>
        </w:tc>
        <w:tc>
          <w:tcPr>
            <w:tcW w:w="5140" w:type="dxa"/>
            <w:vAlign w:val="bottom"/>
            <w:shd w:val="clear" w:color="auto" w:fill="B8CDE8"/>
          </w:tcPr>
          <w:p>
            <w:pPr>
              <w:spacing w:after="0" w:line="243" w:lineRule="exact"/>
              <w:rPr>
                <w:sz w:val="20"/>
                <w:szCs w:val="20"/>
                <w:color w:val="auto"/>
              </w:rPr>
            </w:pPr>
            <w:r>
              <w:rPr>
                <w:rFonts w:ascii="Arial" w:cs="Arial" w:eastAsia="Arial" w:hAnsi="Arial"/>
                <w:sz w:val="17"/>
                <w:szCs w:val="17"/>
                <w:color w:val="auto"/>
              </w:rPr>
              <w:t>Vishal Chhibbar</w:t>
            </w:r>
            <w:r>
              <w:rPr>
                <w:rFonts w:ascii="Arial" w:cs="Arial" w:eastAsia="Arial" w:hAnsi="Arial"/>
                <w:sz w:val="28"/>
                <w:szCs w:val="28"/>
                <w:color w:val="auto"/>
                <w:vertAlign w:val="superscript"/>
              </w:rPr>
              <w:t>(11)</w:t>
            </w:r>
          </w:p>
        </w:tc>
        <w:tc>
          <w:tcPr>
            <w:tcW w:w="1740" w:type="dxa"/>
            <w:vAlign w:val="bottom"/>
            <w:gridSpan w:val="2"/>
            <w:shd w:val="clear" w:color="auto" w:fill="B8CDE8"/>
          </w:tcPr>
          <w:p>
            <w:pPr>
              <w:jc w:val="right"/>
              <w:ind w:right="155"/>
              <w:spacing w:after="0"/>
              <w:rPr>
                <w:sz w:val="20"/>
                <w:szCs w:val="20"/>
                <w:color w:val="auto"/>
              </w:rPr>
            </w:pPr>
            <w:r>
              <w:rPr>
                <w:rFonts w:ascii="Arial" w:cs="Arial" w:eastAsia="Arial" w:hAnsi="Arial"/>
                <w:sz w:val="18"/>
                <w:szCs w:val="18"/>
                <w:color w:val="auto"/>
              </w:rPr>
              <w:t>73,915</w:t>
            </w:r>
          </w:p>
        </w:tc>
        <w:tc>
          <w:tcPr>
            <w:tcW w:w="1580" w:type="dxa"/>
            <w:vAlign w:val="bottom"/>
            <w:gridSpan w:val="2"/>
            <w:shd w:val="clear" w:color="auto" w:fill="B8CDE8"/>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B8CDE8"/>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B8CDE8"/>
          </w:tcPr>
          <w:p>
            <w:pPr>
              <w:jc w:val="right"/>
              <w:spacing w:after="0"/>
              <w:rPr>
                <w:sz w:val="20"/>
                <w:szCs w:val="20"/>
                <w:color w:val="auto"/>
              </w:rPr>
            </w:pPr>
            <w:r>
              <w:rPr>
                <w:rFonts w:ascii="Arial" w:cs="Arial" w:eastAsia="Arial" w:hAnsi="Arial"/>
                <w:sz w:val="18"/>
                <w:szCs w:val="18"/>
                <w:color w:val="auto"/>
              </w:rPr>
              <w:t>73,915</w:t>
            </w:r>
          </w:p>
        </w:tc>
      </w:tr>
      <w:tr>
        <w:trPr>
          <w:trHeight w:val="203"/>
        </w:trPr>
        <w:tc>
          <w:tcPr>
            <w:tcW w:w="20" w:type="dxa"/>
            <w:vAlign w:val="bottom"/>
          </w:tcPr>
          <w:p>
            <w:pPr>
              <w:spacing w:after="0"/>
              <w:rPr>
                <w:sz w:val="17"/>
                <w:szCs w:val="17"/>
                <w:color w:val="auto"/>
              </w:rPr>
            </w:pPr>
          </w:p>
        </w:tc>
        <w:tc>
          <w:tcPr>
            <w:tcW w:w="5140" w:type="dxa"/>
            <w:vAlign w:val="bottom"/>
          </w:tcPr>
          <w:p>
            <w:pPr>
              <w:spacing w:after="0" w:line="202" w:lineRule="exact"/>
              <w:rPr>
                <w:sz w:val="20"/>
                <w:szCs w:val="20"/>
                <w:color w:val="auto"/>
              </w:rPr>
            </w:pPr>
            <w:r>
              <w:rPr>
                <w:rFonts w:ascii="Arial" w:cs="Arial" w:eastAsia="Arial" w:hAnsi="Arial"/>
                <w:sz w:val="18"/>
                <w:szCs w:val="18"/>
                <w:color w:val="auto"/>
              </w:rPr>
              <w:t>Nalin Miglani</w:t>
            </w:r>
          </w:p>
        </w:tc>
        <w:tc>
          <w:tcPr>
            <w:tcW w:w="120" w:type="dxa"/>
            <w:vAlign w:val="bottom"/>
          </w:tcPr>
          <w:p>
            <w:pPr>
              <w:spacing w:after="0"/>
              <w:rPr>
                <w:sz w:val="17"/>
                <w:szCs w:val="17"/>
                <w:color w:val="auto"/>
              </w:rPr>
            </w:pPr>
          </w:p>
        </w:tc>
        <w:tc>
          <w:tcPr>
            <w:tcW w:w="162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5140" w:type="dxa"/>
            <w:vAlign w:val="bottom"/>
            <w:shd w:val="clear" w:color="auto" w:fill="B8CDE8"/>
          </w:tcPr>
          <w:p>
            <w:pPr>
              <w:spacing w:after="0" w:line="243" w:lineRule="exact"/>
              <w:rPr>
                <w:sz w:val="20"/>
                <w:szCs w:val="20"/>
                <w:color w:val="auto"/>
              </w:rPr>
            </w:pPr>
            <w:r>
              <w:rPr>
                <w:rFonts w:ascii="Arial" w:cs="Arial" w:eastAsia="Arial" w:hAnsi="Arial"/>
                <w:sz w:val="17"/>
                <w:szCs w:val="17"/>
                <w:color w:val="auto"/>
              </w:rPr>
              <w:t>Henry Schweppe</w:t>
            </w:r>
            <w:r>
              <w:rPr>
                <w:rFonts w:ascii="Arial" w:cs="Arial" w:eastAsia="Arial" w:hAnsi="Arial"/>
                <w:sz w:val="28"/>
                <w:szCs w:val="28"/>
                <w:color w:val="auto"/>
                <w:vertAlign w:val="superscript"/>
              </w:rPr>
              <w:t>(12)</w:t>
            </w:r>
          </w:p>
        </w:tc>
        <w:tc>
          <w:tcPr>
            <w:tcW w:w="120" w:type="dxa"/>
            <w:vAlign w:val="bottom"/>
            <w:shd w:val="clear" w:color="auto" w:fill="B8CDE8"/>
          </w:tcPr>
          <w:p>
            <w:pPr>
              <w:spacing w:after="0"/>
              <w:rPr>
                <w:sz w:val="21"/>
                <w:szCs w:val="21"/>
                <w:color w:val="auto"/>
              </w:rPr>
            </w:pPr>
          </w:p>
        </w:tc>
        <w:tc>
          <w:tcPr>
            <w:tcW w:w="1620" w:type="dxa"/>
            <w:vAlign w:val="bottom"/>
            <w:shd w:val="clear" w:color="auto" w:fill="B8CDE8"/>
          </w:tcPr>
          <w:p>
            <w:pPr>
              <w:jc w:val="right"/>
              <w:ind w:right="155"/>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B8CDE8"/>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B8CDE8"/>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B8CDE8"/>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5140" w:type="dxa"/>
            <w:vAlign w:val="bottom"/>
          </w:tcPr>
          <w:p>
            <w:pPr>
              <w:spacing w:after="0" w:line="243" w:lineRule="exact"/>
              <w:rPr>
                <w:sz w:val="20"/>
                <w:szCs w:val="20"/>
                <w:color w:val="auto"/>
              </w:rPr>
            </w:pPr>
            <w:r>
              <w:rPr>
                <w:rFonts w:ascii="Arial" w:cs="Arial" w:eastAsia="Arial" w:hAnsi="Arial"/>
                <w:sz w:val="17"/>
                <w:szCs w:val="17"/>
                <w:color w:val="auto"/>
              </w:rPr>
              <w:t>David B. Kelso</w:t>
            </w:r>
            <w:r>
              <w:rPr>
                <w:rFonts w:ascii="Arial" w:cs="Arial" w:eastAsia="Arial" w:hAnsi="Arial"/>
                <w:sz w:val="28"/>
                <w:szCs w:val="28"/>
                <w:color w:val="auto"/>
                <w:vertAlign w:val="superscript"/>
              </w:rPr>
              <w:t>(13)</w:t>
            </w:r>
          </w:p>
        </w:tc>
        <w:tc>
          <w:tcPr>
            <w:tcW w:w="1740" w:type="dxa"/>
            <w:vAlign w:val="bottom"/>
            <w:gridSpan w:val="2"/>
          </w:tcPr>
          <w:p>
            <w:pPr>
              <w:jc w:val="right"/>
              <w:ind w:right="155"/>
              <w:spacing w:after="0"/>
              <w:rPr>
                <w:sz w:val="20"/>
                <w:szCs w:val="20"/>
                <w:color w:val="auto"/>
              </w:rPr>
            </w:pPr>
            <w:r>
              <w:rPr>
                <w:rFonts w:ascii="Arial" w:cs="Arial" w:eastAsia="Arial" w:hAnsi="Arial"/>
                <w:sz w:val="18"/>
                <w:szCs w:val="18"/>
                <w:color w:val="auto"/>
              </w:rPr>
              <w:t>43,253</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35,208</w:t>
            </w:r>
          </w:p>
        </w:tc>
        <w:tc>
          <w:tcPr>
            <w:tcW w:w="1360" w:type="dxa"/>
            <w:vAlign w:val="bottom"/>
          </w:tcPr>
          <w:p>
            <w:pPr>
              <w:jc w:val="right"/>
              <w:spacing w:after="0"/>
              <w:rPr>
                <w:sz w:val="20"/>
                <w:szCs w:val="20"/>
                <w:color w:val="auto"/>
              </w:rPr>
            </w:pPr>
            <w:r>
              <w:rPr>
                <w:rFonts w:ascii="Arial" w:cs="Arial" w:eastAsia="Arial" w:hAnsi="Arial"/>
                <w:sz w:val="18"/>
                <w:szCs w:val="18"/>
                <w:color w:val="auto"/>
              </w:rPr>
              <w:t>78,461</w:t>
            </w:r>
          </w:p>
        </w:tc>
      </w:tr>
      <w:tr>
        <w:trPr>
          <w:trHeight w:val="203"/>
        </w:trPr>
        <w:tc>
          <w:tcPr>
            <w:tcW w:w="20" w:type="dxa"/>
            <w:vAlign w:val="bottom"/>
          </w:tcPr>
          <w:p>
            <w:pPr>
              <w:spacing w:after="0"/>
              <w:rPr>
                <w:sz w:val="17"/>
                <w:szCs w:val="17"/>
                <w:color w:val="auto"/>
              </w:rPr>
            </w:pPr>
          </w:p>
        </w:tc>
        <w:tc>
          <w:tcPr>
            <w:tcW w:w="5140" w:type="dxa"/>
            <w:vAlign w:val="bottom"/>
            <w:shd w:val="clear" w:color="auto" w:fill="B8CDE8"/>
          </w:tcPr>
          <w:p>
            <w:pPr>
              <w:spacing w:after="0" w:line="202" w:lineRule="exact"/>
              <w:rPr>
                <w:sz w:val="20"/>
                <w:szCs w:val="20"/>
                <w:color w:val="auto"/>
              </w:rPr>
            </w:pPr>
            <w:r>
              <w:rPr>
                <w:rFonts w:ascii="Arial" w:cs="Arial" w:eastAsia="Arial" w:hAnsi="Arial"/>
                <w:sz w:val="18"/>
                <w:szCs w:val="18"/>
                <w:color w:val="auto"/>
              </w:rPr>
              <w:t>Deborah Kerr</w:t>
            </w:r>
          </w:p>
        </w:tc>
        <w:tc>
          <w:tcPr>
            <w:tcW w:w="120" w:type="dxa"/>
            <w:vAlign w:val="bottom"/>
            <w:shd w:val="clear" w:color="auto" w:fill="B8CDE8"/>
          </w:tcPr>
          <w:p>
            <w:pPr>
              <w:spacing w:after="0"/>
              <w:rPr>
                <w:sz w:val="17"/>
                <w:szCs w:val="17"/>
                <w:color w:val="auto"/>
              </w:rPr>
            </w:pPr>
          </w:p>
        </w:tc>
        <w:tc>
          <w:tcPr>
            <w:tcW w:w="1620" w:type="dxa"/>
            <w:vAlign w:val="bottom"/>
            <w:shd w:val="clear" w:color="auto" w:fill="B8CDE8"/>
          </w:tcPr>
          <w:p>
            <w:pPr>
              <w:jc w:val="right"/>
              <w:ind w:right="155"/>
              <w:spacing w:after="0" w:line="202" w:lineRule="exact"/>
              <w:rPr>
                <w:sz w:val="20"/>
                <w:szCs w:val="20"/>
                <w:color w:val="auto"/>
              </w:rPr>
            </w:pPr>
            <w:r>
              <w:rPr>
                <w:rFonts w:ascii="Arial" w:cs="Arial" w:eastAsia="Arial" w:hAnsi="Arial"/>
                <w:sz w:val="18"/>
                <w:szCs w:val="18"/>
                <w:color w:val="auto"/>
              </w:rPr>
              <w:t>—</w:t>
            </w:r>
          </w:p>
        </w:tc>
        <w:tc>
          <w:tcPr>
            <w:tcW w:w="1580" w:type="dxa"/>
            <w:vAlign w:val="bottom"/>
            <w:gridSpan w:val="2"/>
            <w:shd w:val="clear" w:color="auto" w:fill="B8CDE8"/>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580" w:type="dxa"/>
            <w:vAlign w:val="bottom"/>
            <w:gridSpan w:val="2"/>
            <w:shd w:val="clear" w:color="auto" w:fill="B8CDE8"/>
          </w:tcPr>
          <w:p>
            <w:pPr>
              <w:jc w:val="right"/>
              <w:ind w:right="220"/>
              <w:spacing w:after="0" w:line="202" w:lineRule="exact"/>
              <w:rPr>
                <w:sz w:val="20"/>
                <w:szCs w:val="20"/>
                <w:color w:val="auto"/>
              </w:rPr>
            </w:pPr>
            <w:r>
              <w:rPr>
                <w:rFonts w:ascii="Arial" w:cs="Arial" w:eastAsia="Arial" w:hAnsi="Arial"/>
                <w:sz w:val="18"/>
                <w:szCs w:val="18"/>
                <w:color w:val="auto"/>
              </w:rPr>
              <w:t>1,617</w:t>
            </w:r>
          </w:p>
        </w:tc>
        <w:tc>
          <w:tcPr>
            <w:tcW w:w="1360" w:type="dxa"/>
            <w:vAlign w:val="bottom"/>
            <w:shd w:val="clear" w:color="auto" w:fill="B8CDE8"/>
          </w:tcPr>
          <w:p>
            <w:pPr>
              <w:jc w:val="right"/>
              <w:spacing w:after="0" w:line="202" w:lineRule="exact"/>
              <w:rPr>
                <w:sz w:val="20"/>
                <w:szCs w:val="20"/>
                <w:color w:val="auto"/>
              </w:rPr>
            </w:pPr>
            <w:r>
              <w:rPr>
                <w:rFonts w:ascii="Arial" w:cs="Arial" w:eastAsia="Arial" w:hAnsi="Arial"/>
                <w:sz w:val="18"/>
                <w:szCs w:val="18"/>
                <w:color w:val="auto"/>
              </w:rPr>
              <w:t>1,617</w:t>
            </w:r>
          </w:p>
        </w:tc>
      </w:tr>
      <w:tr>
        <w:trPr>
          <w:trHeight w:val="243"/>
        </w:trPr>
        <w:tc>
          <w:tcPr>
            <w:tcW w:w="20" w:type="dxa"/>
            <w:vAlign w:val="bottom"/>
          </w:tcPr>
          <w:p>
            <w:pPr>
              <w:spacing w:after="0"/>
              <w:rPr>
                <w:sz w:val="21"/>
                <w:szCs w:val="21"/>
                <w:color w:val="auto"/>
              </w:rPr>
            </w:pPr>
          </w:p>
        </w:tc>
        <w:tc>
          <w:tcPr>
            <w:tcW w:w="5140" w:type="dxa"/>
            <w:vAlign w:val="bottom"/>
          </w:tcPr>
          <w:p>
            <w:pPr>
              <w:spacing w:after="0" w:line="243" w:lineRule="exact"/>
              <w:rPr>
                <w:sz w:val="20"/>
                <w:szCs w:val="20"/>
                <w:color w:val="auto"/>
              </w:rPr>
            </w:pPr>
            <w:r>
              <w:rPr>
                <w:rFonts w:ascii="Arial" w:cs="Arial" w:eastAsia="Arial" w:hAnsi="Arial"/>
                <w:sz w:val="17"/>
                <w:szCs w:val="17"/>
                <w:color w:val="auto"/>
              </w:rPr>
              <w:t>Anne E. Minto</w:t>
            </w:r>
            <w:r>
              <w:rPr>
                <w:rFonts w:ascii="Arial" w:cs="Arial" w:eastAsia="Arial" w:hAnsi="Arial"/>
                <w:sz w:val="28"/>
                <w:szCs w:val="28"/>
                <w:color w:val="auto"/>
                <w:vertAlign w:val="superscript"/>
              </w:rPr>
              <w:t>(14)</w:t>
            </w:r>
          </w:p>
        </w:tc>
        <w:tc>
          <w:tcPr>
            <w:tcW w:w="1740" w:type="dxa"/>
            <w:vAlign w:val="bottom"/>
            <w:gridSpan w:val="2"/>
          </w:tcPr>
          <w:p>
            <w:pPr>
              <w:jc w:val="right"/>
              <w:ind w:right="155"/>
              <w:spacing w:after="0"/>
              <w:rPr>
                <w:sz w:val="20"/>
                <w:szCs w:val="20"/>
                <w:color w:val="auto"/>
              </w:rPr>
            </w:pPr>
            <w:r>
              <w:rPr>
                <w:rFonts w:ascii="Arial" w:cs="Arial" w:eastAsia="Arial" w:hAnsi="Arial"/>
                <w:sz w:val="18"/>
                <w:szCs w:val="18"/>
                <w:color w:val="auto"/>
              </w:rPr>
              <w:t>3,093</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8,768</w:t>
            </w:r>
          </w:p>
        </w:tc>
        <w:tc>
          <w:tcPr>
            <w:tcW w:w="1360" w:type="dxa"/>
            <w:vAlign w:val="bottom"/>
          </w:tcPr>
          <w:p>
            <w:pPr>
              <w:jc w:val="right"/>
              <w:spacing w:after="0"/>
              <w:rPr>
                <w:sz w:val="20"/>
                <w:szCs w:val="20"/>
                <w:color w:val="auto"/>
              </w:rPr>
            </w:pPr>
            <w:r>
              <w:rPr>
                <w:rFonts w:ascii="Arial" w:cs="Arial" w:eastAsia="Arial" w:hAnsi="Arial"/>
                <w:sz w:val="18"/>
                <w:szCs w:val="18"/>
                <w:color w:val="auto"/>
              </w:rPr>
              <w:t>11,861</w:t>
            </w:r>
          </w:p>
        </w:tc>
      </w:tr>
      <w:tr>
        <w:trPr>
          <w:trHeight w:val="203"/>
        </w:trPr>
        <w:tc>
          <w:tcPr>
            <w:tcW w:w="20" w:type="dxa"/>
            <w:vAlign w:val="bottom"/>
          </w:tcPr>
          <w:p>
            <w:pPr>
              <w:spacing w:after="0"/>
              <w:rPr>
                <w:sz w:val="17"/>
                <w:szCs w:val="17"/>
                <w:color w:val="auto"/>
              </w:rPr>
            </w:pPr>
          </w:p>
        </w:tc>
        <w:tc>
          <w:tcPr>
            <w:tcW w:w="5140" w:type="dxa"/>
            <w:vAlign w:val="bottom"/>
            <w:shd w:val="clear" w:color="auto" w:fill="B8CDE8"/>
          </w:tcPr>
          <w:p>
            <w:pPr>
              <w:spacing w:after="0" w:line="202" w:lineRule="exact"/>
              <w:rPr>
                <w:sz w:val="20"/>
                <w:szCs w:val="20"/>
                <w:color w:val="auto"/>
              </w:rPr>
            </w:pPr>
            <w:r>
              <w:rPr>
                <w:rFonts w:ascii="Arial" w:cs="Arial" w:eastAsia="Arial" w:hAnsi="Arial"/>
                <w:sz w:val="18"/>
                <w:szCs w:val="18"/>
                <w:color w:val="auto"/>
              </w:rPr>
              <w:t>Som Mittal</w:t>
            </w:r>
          </w:p>
        </w:tc>
        <w:tc>
          <w:tcPr>
            <w:tcW w:w="120" w:type="dxa"/>
            <w:vAlign w:val="bottom"/>
            <w:shd w:val="clear" w:color="auto" w:fill="B8CDE8"/>
          </w:tcPr>
          <w:p>
            <w:pPr>
              <w:spacing w:after="0"/>
              <w:rPr>
                <w:sz w:val="17"/>
                <w:szCs w:val="17"/>
                <w:color w:val="auto"/>
              </w:rPr>
            </w:pPr>
          </w:p>
        </w:tc>
        <w:tc>
          <w:tcPr>
            <w:tcW w:w="1620" w:type="dxa"/>
            <w:vAlign w:val="bottom"/>
            <w:shd w:val="clear" w:color="auto" w:fill="B8CDE8"/>
          </w:tcPr>
          <w:p>
            <w:pPr>
              <w:jc w:val="right"/>
              <w:ind w:right="155"/>
              <w:spacing w:after="0" w:line="202" w:lineRule="exact"/>
              <w:rPr>
                <w:sz w:val="20"/>
                <w:szCs w:val="20"/>
                <w:color w:val="auto"/>
              </w:rPr>
            </w:pPr>
            <w:r>
              <w:rPr>
                <w:rFonts w:ascii="Arial" w:cs="Arial" w:eastAsia="Arial" w:hAnsi="Arial"/>
                <w:sz w:val="18"/>
                <w:szCs w:val="18"/>
                <w:color w:val="auto"/>
              </w:rPr>
              <w:t>—</w:t>
            </w:r>
          </w:p>
        </w:tc>
        <w:tc>
          <w:tcPr>
            <w:tcW w:w="1580" w:type="dxa"/>
            <w:vAlign w:val="bottom"/>
            <w:gridSpan w:val="2"/>
            <w:shd w:val="clear" w:color="auto" w:fill="B8CDE8"/>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580" w:type="dxa"/>
            <w:vAlign w:val="bottom"/>
            <w:gridSpan w:val="2"/>
            <w:shd w:val="clear" w:color="auto" w:fill="B8CDE8"/>
          </w:tcPr>
          <w:p>
            <w:pPr>
              <w:jc w:val="right"/>
              <w:ind w:right="220"/>
              <w:spacing w:after="0" w:line="202" w:lineRule="exact"/>
              <w:rPr>
                <w:sz w:val="20"/>
                <w:szCs w:val="20"/>
                <w:color w:val="auto"/>
              </w:rPr>
            </w:pPr>
            <w:r>
              <w:rPr>
                <w:rFonts w:ascii="Arial" w:cs="Arial" w:eastAsia="Arial" w:hAnsi="Arial"/>
                <w:sz w:val="18"/>
                <w:szCs w:val="18"/>
                <w:color w:val="auto"/>
              </w:rPr>
              <w:t>6,021</w:t>
            </w:r>
          </w:p>
        </w:tc>
        <w:tc>
          <w:tcPr>
            <w:tcW w:w="1360" w:type="dxa"/>
            <w:vAlign w:val="bottom"/>
            <w:shd w:val="clear" w:color="auto" w:fill="B8CDE8"/>
          </w:tcPr>
          <w:p>
            <w:pPr>
              <w:jc w:val="right"/>
              <w:spacing w:after="0" w:line="202" w:lineRule="exact"/>
              <w:rPr>
                <w:sz w:val="20"/>
                <w:szCs w:val="20"/>
                <w:color w:val="auto"/>
              </w:rPr>
            </w:pPr>
            <w:r>
              <w:rPr>
                <w:rFonts w:ascii="Arial" w:cs="Arial" w:eastAsia="Arial" w:hAnsi="Arial"/>
                <w:sz w:val="18"/>
                <w:szCs w:val="18"/>
                <w:color w:val="auto"/>
              </w:rPr>
              <w:t>6,021</w:t>
            </w:r>
          </w:p>
        </w:tc>
      </w:tr>
      <w:tr>
        <w:trPr>
          <w:trHeight w:val="243"/>
        </w:trPr>
        <w:tc>
          <w:tcPr>
            <w:tcW w:w="20" w:type="dxa"/>
            <w:vAlign w:val="bottom"/>
          </w:tcPr>
          <w:p>
            <w:pPr>
              <w:spacing w:after="0"/>
              <w:rPr>
                <w:sz w:val="21"/>
                <w:szCs w:val="21"/>
                <w:color w:val="auto"/>
              </w:rPr>
            </w:pPr>
          </w:p>
        </w:tc>
        <w:tc>
          <w:tcPr>
            <w:tcW w:w="5140" w:type="dxa"/>
            <w:vAlign w:val="bottom"/>
          </w:tcPr>
          <w:p>
            <w:pPr>
              <w:spacing w:after="0" w:line="243" w:lineRule="exact"/>
              <w:rPr>
                <w:sz w:val="20"/>
                <w:szCs w:val="20"/>
                <w:color w:val="auto"/>
              </w:rPr>
            </w:pPr>
            <w:r>
              <w:rPr>
                <w:rFonts w:ascii="Arial" w:cs="Arial" w:eastAsia="Arial" w:hAnsi="Arial"/>
                <w:sz w:val="17"/>
                <w:szCs w:val="17"/>
                <w:color w:val="auto"/>
              </w:rPr>
              <w:t>Clyde W. Ostler</w:t>
            </w:r>
            <w:r>
              <w:rPr>
                <w:rFonts w:ascii="Arial" w:cs="Arial" w:eastAsia="Arial" w:hAnsi="Arial"/>
                <w:sz w:val="28"/>
                <w:szCs w:val="28"/>
                <w:color w:val="auto"/>
                <w:vertAlign w:val="superscript"/>
              </w:rPr>
              <w:t>(15)</w:t>
            </w:r>
          </w:p>
        </w:tc>
        <w:tc>
          <w:tcPr>
            <w:tcW w:w="1740" w:type="dxa"/>
            <w:vAlign w:val="bottom"/>
            <w:gridSpan w:val="2"/>
          </w:tcPr>
          <w:p>
            <w:pPr>
              <w:jc w:val="right"/>
              <w:ind w:right="155"/>
              <w:spacing w:after="0"/>
              <w:rPr>
                <w:sz w:val="20"/>
                <w:szCs w:val="20"/>
                <w:color w:val="auto"/>
              </w:rPr>
            </w:pPr>
            <w:r>
              <w:rPr>
                <w:rFonts w:ascii="Arial" w:cs="Arial" w:eastAsia="Arial" w:hAnsi="Arial"/>
                <w:sz w:val="18"/>
                <w:szCs w:val="18"/>
                <w:color w:val="auto"/>
              </w:rPr>
              <w:t>62,723</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25,935</w:t>
            </w:r>
          </w:p>
        </w:tc>
        <w:tc>
          <w:tcPr>
            <w:tcW w:w="1360" w:type="dxa"/>
            <w:vAlign w:val="bottom"/>
          </w:tcPr>
          <w:p>
            <w:pPr>
              <w:jc w:val="right"/>
              <w:spacing w:after="0"/>
              <w:rPr>
                <w:sz w:val="20"/>
                <w:szCs w:val="20"/>
                <w:color w:val="auto"/>
              </w:rPr>
            </w:pPr>
            <w:r>
              <w:rPr>
                <w:rFonts w:ascii="Arial" w:cs="Arial" w:eastAsia="Arial" w:hAnsi="Arial"/>
                <w:sz w:val="18"/>
                <w:szCs w:val="18"/>
                <w:color w:val="auto"/>
              </w:rPr>
              <w:t>88,658</w:t>
            </w:r>
          </w:p>
        </w:tc>
      </w:tr>
      <w:tr>
        <w:trPr>
          <w:trHeight w:val="203"/>
        </w:trPr>
        <w:tc>
          <w:tcPr>
            <w:tcW w:w="20" w:type="dxa"/>
            <w:vAlign w:val="bottom"/>
          </w:tcPr>
          <w:p>
            <w:pPr>
              <w:spacing w:after="0"/>
              <w:rPr>
                <w:sz w:val="17"/>
                <w:szCs w:val="17"/>
                <w:color w:val="auto"/>
              </w:rPr>
            </w:pPr>
          </w:p>
        </w:tc>
        <w:tc>
          <w:tcPr>
            <w:tcW w:w="5140" w:type="dxa"/>
            <w:vAlign w:val="bottom"/>
            <w:shd w:val="clear" w:color="auto" w:fill="B8CDE8"/>
          </w:tcPr>
          <w:p>
            <w:pPr>
              <w:spacing w:after="0" w:line="202" w:lineRule="exact"/>
              <w:rPr>
                <w:sz w:val="20"/>
                <w:szCs w:val="20"/>
                <w:color w:val="auto"/>
              </w:rPr>
            </w:pPr>
            <w:r>
              <w:rPr>
                <w:rFonts w:ascii="Arial" w:cs="Arial" w:eastAsia="Arial" w:hAnsi="Arial"/>
                <w:sz w:val="18"/>
                <w:szCs w:val="18"/>
                <w:color w:val="auto"/>
              </w:rPr>
              <w:t>Nitin Sahney</w:t>
            </w:r>
          </w:p>
        </w:tc>
        <w:tc>
          <w:tcPr>
            <w:tcW w:w="120" w:type="dxa"/>
            <w:vAlign w:val="bottom"/>
            <w:shd w:val="clear" w:color="auto" w:fill="B8CDE8"/>
          </w:tcPr>
          <w:p>
            <w:pPr>
              <w:spacing w:after="0"/>
              <w:rPr>
                <w:sz w:val="17"/>
                <w:szCs w:val="17"/>
                <w:color w:val="auto"/>
              </w:rPr>
            </w:pPr>
          </w:p>
        </w:tc>
        <w:tc>
          <w:tcPr>
            <w:tcW w:w="1620" w:type="dxa"/>
            <w:vAlign w:val="bottom"/>
            <w:shd w:val="clear" w:color="auto" w:fill="B8CDE8"/>
          </w:tcPr>
          <w:p>
            <w:pPr>
              <w:jc w:val="right"/>
              <w:ind w:right="155"/>
              <w:spacing w:after="0" w:line="202" w:lineRule="exact"/>
              <w:rPr>
                <w:sz w:val="20"/>
                <w:szCs w:val="20"/>
                <w:color w:val="auto"/>
              </w:rPr>
            </w:pPr>
            <w:r>
              <w:rPr>
                <w:rFonts w:ascii="Arial" w:cs="Arial" w:eastAsia="Arial" w:hAnsi="Arial"/>
                <w:sz w:val="18"/>
                <w:szCs w:val="18"/>
                <w:color w:val="auto"/>
              </w:rPr>
              <w:t>—</w:t>
            </w:r>
          </w:p>
        </w:tc>
        <w:tc>
          <w:tcPr>
            <w:tcW w:w="1580" w:type="dxa"/>
            <w:vAlign w:val="bottom"/>
            <w:gridSpan w:val="2"/>
            <w:shd w:val="clear" w:color="auto" w:fill="B8CDE8"/>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580" w:type="dxa"/>
            <w:vAlign w:val="bottom"/>
            <w:gridSpan w:val="2"/>
            <w:shd w:val="clear" w:color="auto" w:fill="B8CDE8"/>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B8CDE8"/>
          </w:tcPr>
          <w:p>
            <w:pPr>
              <w:jc w:val="right"/>
              <w:spacing w:after="0" w:line="202" w:lineRule="exact"/>
              <w:rPr>
                <w:sz w:val="20"/>
                <w:szCs w:val="20"/>
                <w:color w:val="auto"/>
              </w:rPr>
            </w:pPr>
            <w:r>
              <w:rPr>
                <w:rFonts w:ascii="Arial" w:cs="Arial" w:eastAsia="Arial" w:hAnsi="Arial"/>
                <w:sz w:val="18"/>
                <w:szCs w:val="18"/>
                <w:color w:val="auto"/>
              </w:rPr>
              <w:t>34,184</w:t>
            </w:r>
          </w:p>
        </w:tc>
      </w:tr>
      <w:tr>
        <w:trPr>
          <w:trHeight w:val="243"/>
        </w:trPr>
        <w:tc>
          <w:tcPr>
            <w:tcW w:w="20" w:type="dxa"/>
            <w:vAlign w:val="bottom"/>
          </w:tcPr>
          <w:p>
            <w:pPr>
              <w:spacing w:after="0"/>
              <w:rPr>
                <w:sz w:val="21"/>
                <w:szCs w:val="21"/>
                <w:color w:val="auto"/>
              </w:rPr>
            </w:pPr>
          </w:p>
        </w:tc>
        <w:tc>
          <w:tcPr>
            <w:tcW w:w="5140" w:type="dxa"/>
            <w:vAlign w:val="bottom"/>
          </w:tcPr>
          <w:p>
            <w:pPr>
              <w:spacing w:after="0" w:line="243" w:lineRule="exact"/>
              <w:rPr>
                <w:sz w:val="20"/>
                <w:szCs w:val="20"/>
                <w:color w:val="auto"/>
              </w:rPr>
            </w:pPr>
            <w:r>
              <w:rPr>
                <w:rFonts w:ascii="Arial" w:cs="Arial" w:eastAsia="Arial" w:hAnsi="Arial"/>
                <w:sz w:val="17"/>
                <w:szCs w:val="17"/>
                <w:color w:val="auto"/>
              </w:rPr>
              <w:t>Garen K. Staglin</w:t>
            </w:r>
            <w:r>
              <w:rPr>
                <w:rFonts w:ascii="Arial" w:cs="Arial" w:eastAsia="Arial" w:hAnsi="Arial"/>
                <w:sz w:val="28"/>
                <w:szCs w:val="28"/>
                <w:color w:val="auto"/>
                <w:vertAlign w:val="superscript"/>
              </w:rPr>
              <w:t>(16)</w:t>
            </w:r>
          </w:p>
        </w:tc>
        <w:tc>
          <w:tcPr>
            <w:tcW w:w="1740" w:type="dxa"/>
            <w:vAlign w:val="bottom"/>
            <w:gridSpan w:val="2"/>
          </w:tcPr>
          <w:p>
            <w:pPr>
              <w:jc w:val="right"/>
              <w:ind w:right="155"/>
              <w:spacing w:after="0"/>
              <w:rPr>
                <w:sz w:val="20"/>
                <w:szCs w:val="20"/>
                <w:color w:val="auto"/>
              </w:rPr>
            </w:pPr>
            <w:r>
              <w:rPr>
                <w:rFonts w:ascii="Arial" w:cs="Arial" w:eastAsia="Arial" w:hAnsi="Arial"/>
                <w:sz w:val="18"/>
                <w:szCs w:val="18"/>
                <w:color w:val="auto"/>
              </w:rPr>
              <w:t>52,723</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43,240</w:t>
            </w:r>
          </w:p>
        </w:tc>
        <w:tc>
          <w:tcPr>
            <w:tcW w:w="1360" w:type="dxa"/>
            <w:vAlign w:val="bottom"/>
          </w:tcPr>
          <w:p>
            <w:pPr>
              <w:jc w:val="right"/>
              <w:spacing w:after="0"/>
              <w:rPr>
                <w:sz w:val="20"/>
                <w:szCs w:val="20"/>
                <w:color w:val="auto"/>
              </w:rPr>
            </w:pPr>
            <w:r>
              <w:rPr>
                <w:rFonts w:ascii="Arial" w:cs="Arial" w:eastAsia="Arial" w:hAnsi="Arial"/>
                <w:sz w:val="18"/>
                <w:szCs w:val="18"/>
                <w:color w:val="auto"/>
              </w:rPr>
              <w:t>95,693</w:t>
            </w:r>
          </w:p>
        </w:tc>
      </w:tr>
      <w:tr>
        <w:trPr>
          <w:trHeight w:val="184"/>
        </w:trPr>
        <w:tc>
          <w:tcPr>
            <w:tcW w:w="20" w:type="dxa"/>
            <w:vAlign w:val="bottom"/>
          </w:tcPr>
          <w:p>
            <w:pPr>
              <w:spacing w:after="0"/>
              <w:rPr>
                <w:sz w:val="15"/>
                <w:szCs w:val="15"/>
                <w:color w:val="auto"/>
              </w:rPr>
            </w:pPr>
          </w:p>
        </w:tc>
        <w:tc>
          <w:tcPr>
            <w:tcW w:w="5140" w:type="dxa"/>
            <w:vAlign w:val="bottom"/>
            <w:shd w:val="clear" w:color="auto" w:fill="B8CDE8"/>
          </w:tcPr>
          <w:p>
            <w:pPr>
              <w:spacing w:after="0" w:line="184" w:lineRule="exact"/>
              <w:rPr>
                <w:sz w:val="20"/>
                <w:szCs w:val="20"/>
                <w:color w:val="auto"/>
              </w:rPr>
            </w:pPr>
            <w:r>
              <w:rPr>
                <w:rFonts w:ascii="Arial" w:cs="Arial" w:eastAsia="Arial" w:hAnsi="Arial"/>
                <w:sz w:val="18"/>
                <w:szCs w:val="18"/>
                <w:b w:val="1"/>
                <w:bCs w:val="1"/>
                <w:color w:val="auto"/>
              </w:rPr>
              <w:t>All current directors and current executive officers as a</w:t>
            </w:r>
          </w:p>
        </w:tc>
        <w:tc>
          <w:tcPr>
            <w:tcW w:w="120" w:type="dxa"/>
            <w:vAlign w:val="bottom"/>
            <w:shd w:val="clear" w:color="auto" w:fill="B8CDE8"/>
          </w:tcPr>
          <w:p>
            <w:pPr>
              <w:spacing w:after="0"/>
              <w:rPr>
                <w:sz w:val="15"/>
                <w:szCs w:val="15"/>
                <w:color w:val="auto"/>
              </w:rPr>
            </w:pPr>
          </w:p>
        </w:tc>
        <w:tc>
          <w:tcPr>
            <w:tcW w:w="1620" w:type="dxa"/>
            <w:vAlign w:val="bottom"/>
            <w:shd w:val="clear" w:color="auto" w:fill="B8CDE8"/>
          </w:tcPr>
          <w:p>
            <w:pPr>
              <w:spacing w:after="0"/>
              <w:rPr>
                <w:sz w:val="15"/>
                <w:szCs w:val="15"/>
                <w:color w:val="auto"/>
              </w:rPr>
            </w:pPr>
          </w:p>
        </w:tc>
        <w:tc>
          <w:tcPr>
            <w:tcW w:w="1360" w:type="dxa"/>
            <w:vAlign w:val="bottom"/>
            <w:shd w:val="clear" w:color="auto" w:fill="B8CDE8"/>
          </w:tcPr>
          <w:p>
            <w:pPr>
              <w:spacing w:after="0"/>
              <w:rPr>
                <w:sz w:val="15"/>
                <w:szCs w:val="15"/>
                <w:color w:val="auto"/>
              </w:rPr>
            </w:pPr>
          </w:p>
        </w:tc>
        <w:tc>
          <w:tcPr>
            <w:tcW w:w="220" w:type="dxa"/>
            <w:vAlign w:val="bottom"/>
            <w:shd w:val="clear" w:color="auto" w:fill="B8CDE8"/>
          </w:tcPr>
          <w:p>
            <w:pPr>
              <w:spacing w:after="0"/>
              <w:rPr>
                <w:sz w:val="15"/>
                <w:szCs w:val="15"/>
                <w:color w:val="auto"/>
              </w:rPr>
            </w:pPr>
          </w:p>
        </w:tc>
        <w:tc>
          <w:tcPr>
            <w:tcW w:w="1360" w:type="dxa"/>
            <w:vAlign w:val="bottom"/>
            <w:shd w:val="clear" w:color="auto" w:fill="B8CDE8"/>
          </w:tcPr>
          <w:p>
            <w:pPr>
              <w:spacing w:after="0"/>
              <w:rPr>
                <w:sz w:val="15"/>
                <w:szCs w:val="15"/>
                <w:color w:val="auto"/>
              </w:rPr>
            </w:pPr>
          </w:p>
        </w:tc>
        <w:tc>
          <w:tcPr>
            <w:tcW w:w="220" w:type="dxa"/>
            <w:vAlign w:val="bottom"/>
            <w:shd w:val="clear" w:color="auto" w:fill="B8CDE8"/>
          </w:tcPr>
          <w:p>
            <w:pPr>
              <w:spacing w:after="0"/>
              <w:rPr>
                <w:sz w:val="15"/>
                <w:szCs w:val="15"/>
                <w:color w:val="auto"/>
              </w:rPr>
            </w:pPr>
          </w:p>
        </w:tc>
        <w:tc>
          <w:tcPr>
            <w:tcW w:w="1360" w:type="dxa"/>
            <w:vAlign w:val="bottom"/>
            <w:shd w:val="clear" w:color="auto" w:fill="B8CDE8"/>
          </w:tcPr>
          <w:p>
            <w:pPr>
              <w:spacing w:after="0"/>
              <w:rPr>
                <w:sz w:val="15"/>
                <w:szCs w:val="15"/>
                <w:color w:val="auto"/>
              </w:rPr>
            </w:pPr>
          </w:p>
        </w:tc>
      </w:tr>
      <w:tr>
        <w:trPr>
          <w:trHeight w:val="262"/>
        </w:trPr>
        <w:tc>
          <w:tcPr>
            <w:tcW w:w="20" w:type="dxa"/>
            <w:vAlign w:val="bottom"/>
          </w:tcPr>
          <w:p>
            <w:pPr>
              <w:spacing w:after="0"/>
              <w:rPr>
                <w:sz w:val="22"/>
                <w:szCs w:val="22"/>
                <w:color w:val="auto"/>
              </w:rPr>
            </w:pPr>
          </w:p>
        </w:tc>
        <w:tc>
          <w:tcPr>
            <w:tcW w:w="5140" w:type="dxa"/>
            <w:vAlign w:val="bottom"/>
            <w:shd w:val="clear" w:color="auto" w:fill="B8CDE8"/>
          </w:tcPr>
          <w:p>
            <w:pPr>
              <w:ind w:left="160"/>
              <w:spacing w:after="0" w:line="262" w:lineRule="exact"/>
              <w:rPr>
                <w:sz w:val="20"/>
                <w:szCs w:val="20"/>
                <w:color w:val="auto"/>
              </w:rPr>
            </w:pPr>
            <w:r>
              <w:rPr>
                <w:rFonts w:ascii="Arial" w:cs="Arial" w:eastAsia="Arial" w:hAnsi="Arial"/>
                <w:sz w:val="18"/>
                <w:szCs w:val="18"/>
                <w:b w:val="1"/>
                <w:bCs w:val="1"/>
                <w:color w:val="auto"/>
              </w:rPr>
              <w:t>group (14 persons)</w:t>
            </w:r>
            <w:r>
              <w:rPr>
                <w:rFonts w:ascii="Arial" w:cs="Arial" w:eastAsia="Arial" w:hAnsi="Arial"/>
                <w:sz w:val="30"/>
                <w:szCs w:val="30"/>
                <w:b w:val="1"/>
                <w:bCs w:val="1"/>
                <w:color w:val="auto"/>
                <w:vertAlign w:val="superscript"/>
              </w:rPr>
              <w:t>(17)</w:t>
            </w:r>
          </w:p>
        </w:tc>
        <w:tc>
          <w:tcPr>
            <w:tcW w:w="1740" w:type="dxa"/>
            <w:vAlign w:val="bottom"/>
            <w:gridSpan w:val="2"/>
            <w:shd w:val="clear" w:color="auto" w:fill="B8CDE8"/>
          </w:tcPr>
          <w:p>
            <w:pPr>
              <w:jc w:val="right"/>
              <w:ind w:right="155"/>
              <w:spacing w:after="0"/>
              <w:rPr>
                <w:sz w:val="20"/>
                <w:szCs w:val="20"/>
                <w:color w:val="auto"/>
              </w:rPr>
            </w:pPr>
            <w:r>
              <w:rPr>
                <w:rFonts w:ascii="Arial" w:cs="Arial" w:eastAsia="Arial" w:hAnsi="Arial"/>
                <w:sz w:val="18"/>
                <w:szCs w:val="18"/>
                <w:b w:val="1"/>
                <w:bCs w:val="1"/>
                <w:color w:val="auto"/>
              </w:rPr>
              <w:t>2,045,822</w:t>
            </w:r>
          </w:p>
        </w:tc>
        <w:tc>
          <w:tcPr>
            <w:tcW w:w="1580" w:type="dxa"/>
            <w:vAlign w:val="bottom"/>
            <w:gridSpan w:val="2"/>
            <w:shd w:val="clear" w:color="auto" w:fill="B8CDE8"/>
          </w:tcPr>
          <w:p>
            <w:pPr>
              <w:jc w:val="right"/>
              <w:ind w:right="220"/>
              <w:spacing w:after="0"/>
              <w:rPr>
                <w:sz w:val="20"/>
                <w:szCs w:val="20"/>
                <w:color w:val="auto"/>
              </w:rPr>
            </w:pPr>
            <w:r>
              <w:rPr>
                <w:rFonts w:ascii="Arial" w:cs="Arial" w:eastAsia="Arial" w:hAnsi="Arial"/>
                <w:sz w:val="18"/>
                <w:szCs w:val="18"/>
                <w:b w:val="1"/>
                <w:bCs w:val="1"/>
                <w:color w:val="auto"/>
              </w:rPr>
              <w:t>5.94</w:t>
            </w:r>
          </w:p>
        </w:tc>
        <w:tc>
          <w:tcPr>
            <w:tcW w:w="1580" w:type="dxa"/>
            <w:vAlign w:val="bottom"/>
            <w:gridSpan w:val="2"/>
            <w:shd w:val="clear" w:color="auto" w:fill="B8CDE8"/>
          </w:tcPr>
          <w:p>
            <w:pPr>
              <w:jc w:val="right"/>
              <w:ind w:right="220"/>
              <w:spacing w:after="0"/>
              <w:rPr>
                <w:sz w:val="20"/>
                <w:szCs w:val="20"/>
                <w:color w:val="auto"/>
              </w:rPr>
            </w:pPr>
            <w:r>
              <w:rPr>
                <w:rFonts w:ascii="Arial" w:cs="Arial" w:eastAsia="Arial" w:hAnsi="Arial"/>
                <w:sz w:val="18"/>
                <w:szCs w:val="18"/>
                <w:b w:val="1"/>
                <w:bCs w:val="1"/>
                <w:color w:val="auto"/>
              </w:rPr>
              <w:t>154,973</w:t>
            </w:r>
          </w:p>
        </w:tc>
        <w:tc>
          <w:tcPr>
            <w:tcW w:w="1360" w:type="dxa"/>
            <w:vAlign w:val="bottom"/>
            <w:shd w:val="clear" w:color="auto" w:fill="B8CDE8"/>
          </w:tcPr>
          <w:p>
            <w:pPr>
              <w:jc w:val="right"/>
              <w:spacing w:after="0"/>
              <w:rPr>
                <w:sz w:val="20"/>
                <w:szCs w:val="20"/>
                <w:color w:val="auto"/>
              </w:rPr>
            </w:pPr>
            <w:r>
              <w:rPr>
                <w:rFonts w:ascii="Arial" w:cs="Arial" w:eastAsia="Arial" w:hAnsi="Arial"/>
                <w:sz w:val="18"/>
                <w:szCs w:val="18"/>
                <w:b w:val="1"/>
                <w:bCs w:val="1"/>
                <w:color w:val="auto"/>
              </w:rPr>
              <w:t>2,200,795</w:t>
            </w:r>
          </w:p>
        </w:tc>
      </w:tr>
    </w:tbl>
    <w:p>
      <w:pPr>
        <w:spacing w:after="0" w:line="207" w:lineRule="exact"/>
        <w:rPr>
          <w:sz w:val="20"/>
          <w:szCs w:val="20"/>
          <w:color w:val="auto"/>
        </w:rPr>
      </w:pPr>
    </w:p>
    <w:p>
      <w:pPr>
        <w:ind w:left="740" w:hanging="408"/>
        <w:spacing w:after="0"/>
        <w:tabs>
          <w:tab w:leader="none" w:pos="740" w:val="left"/>
        </w:tabs>
        <w:numPr>
          <w:ilvl w:val="0"/>
          <w:numId w:val="85"/>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1" w:lineRule="exact"/>
        <w:rPr>
          <w:sz w:val="20"/>
          <w:szCs w:val="20"/>
          <w:color w:val="auto"/>
        </w:rPr>
      </w:pPr>
    </w:p>
    <w:p>
      <w:pPr>
        <w:ind w:left="740" w:hanging="408"/>
        <w:spacing w:after="0"/>
        <w:tabs>
          <w:tab w:leader="none" w:pos="7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Unless otherwise noted, the business address of each beneficial owner is c/o ExlService Holdings, Inc., 280 Park Avenue, 38th Floor, New York, New York 10017.</w:t>
      </w:r>
    </w:p>
    <w:p>
      <w:pPr>
        <w:spacing w:after="0" w:line="1" w:lineRule="exact"/>
        <w:rPr>
          <w:rFonts w:ascii="Arial" w:cs="Arial" w:eastAsia="Arial" w:hAnsi="Arial"/>
          <w:sz w:val="14"/>
          <w:szCs w:val="14"/>
          <w:color w:val="auto"/>
        </w:rPr>
      </w:pPr>
    </w:p>
    <w:p>
      <w:pPr>
        <w:ind w:left="740" w:hanging="408"/>
        <w:spacing w:after="0"/>
        <w:tabs>
          <w:tab w:leader="none" w:pos="7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Based on 33,531,971 shares outstanding as of March 31, 2016.</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59" w:right="239" w:bottom="1440" w:gutter="0" w:footer="0" w:header="0"/>
        </w:sectPr>
      </w:pPr>
    </w:p>
    <w:bookmarkStart w:id="77" w:name="page78"/>
    <w:bookmarkEnd w:id="77"/>
    <w:p>
      <w:pPr>
        <w:jc w:val="both"/>
        <w:ind w:left="408" w:hanging="408"/>
        <w:spacing w:after="0" w:line="241" w:lineRule="auto"/>
        <w:tabs>
          <w:tab w:leader="none" w:pos="408" w:val="left"/>
        </w:tabs>
        <w:numPr>
          <w:ilvl w:val="0"/>
          <w:numId w:val="87"/>
        </w:numPr>
        <w:rPr>
          <w:rFonts w:ascii="Arial" w:cs="Arial" w:eastAsia="Arial" w:hAnsi="Arial"/>
          <w:sz w:val="14"/>
          <w:szCs w:val="14"/>
          <w:color w:val="auto"/>
        </w:rPr>
      </w:pPr>
      <w:r>
        <w:rPr>
          <w:rFonts w:ascii="Arial" w:cs="Arial" w:eastAsia="Arial" w:hAnsi="Arial"/>
          <w:sz w:val="14"/>
          <w:szCs w:val="14"/>
          <w:color w:val="auto"/>
        </w:rPr>
        <w:t>For non-management directors, includes restricted stock units (previously granted for service on the Board) that have vested but are unsettled. Because vested restricted stock units generally settle 180 days following the director’s term of service (see “Director Compensation for Fiscal Year 2015” for additional details on settlement), the units are not treated as beneficially owned under SEC rules because the holder does not have the right to acquire the underlying stock within 60 days of March 31, 2016. Restricted stock units that are vested but unsettled count towards our stock ownership policy for non-employee directors, which requires directors to maintain stock ownership of at least five times their respective annual retainers.</w:t>
      </w:r>
    </w:p>
    <w:p>
      <w:pPr>
        <w:spacing w:after="0" w:line="1" w:lineRule="exact"/>
        <w:rPr>
          <w:rFonts w:ascii="Arial" w:cs="Arial" w:eastAsia="Arial" w:hAnsi="Arial"/>
          <w:sz w:val="14"/>
          <w:szCs w:val="14"/>
          <w:color w:val="auto"/>
        </w:rPr>
      </w:pPr>
    </w:p>
    <w:p>
      <w:pPr>
        <w:ind w:left="408" w:hanging="408"/>
        <w:spacing w:after="0" w:line="241" w:lineRule="auto"/>
        <w:tabs>
          <w:tab w:leader="none" w:pos="408" w:val="left"/>
        </w:tabs>
        <w:numPr>
          <w:ilvl w:val="0"/>
          <w:numId w:val="87"/>
        </w:numPr>
        <w:rPr>
          <w:rFonts w:ascii="Arial" w:cs="Arial" w:eastAsia="Arial" w:hAnsi="Arial"/>
          <w:sz w:val="14"/>
          <w:szCs w:val="14"/>
          <w:color w:val="auto"/>
        </w:rPr>
      </w:pPr>
      <w:r>
        <w:rPr>
          <w:rFonts w:ascii="Arial" w:cs="Arial" w:eastAsia="Arial" w:hAnsi="Arial"/>
          <w:sz w:val="14"/>
          <w:szCs w:val="14"/>
          <w:color w:val="auto"/>
        </w:rPr>
        <w:t>Based on the Schedule 13G/A filed on February 12, 2016, FMR LLC had sole voting power with respect to 1,596,822 shares and sole dispositive power with respect to 4,222,096 shares. The business address of FMR LLC is 245 Summer Street, Boston, Massachusetts 02210.</w:t>
      </w:r>
    </w:p>
    <w:p>
      <w:pPr>
        <w:jc w:val="both"/>
        <w:ind w:left="408" w:hanging="408"/>
        <w:spacing w:after="0" w:line="241" w:lineRule="auto"/>
        <w:tabs>
          <w:tab w:leader="none" w:pos="408" w:val="left"/>
        </w:tabs>
        <w:numPr>
          <w:ilvl w:val="0"/>
          <w:numId w:val="87"/>
        </w:numPr>
        <w:rPr>
          <w:rFonts w:ascii="Arial" w:cs="Arial" w:eastAsia="Arial" w:hAnsi="Arial"/>
          <w:sz w:val="14"/>
          <w:szCs w:val="14"/>
          <w:color w:val="auto"/>
        </w:rPr>
      </w:pPr>
      <w:r>
        <w:rPr>
          <w:rFonts w:ascii="Arial" w:cs="Arial" w:eastAsia="Arial" w:hAnsi="Arial"/>
          <w:sz w:val="14"/>
          <w:szCs w:val="14"/>
          <w:color w:val="auto"/>
        </w:rPr>
        <w:t>Based on the Schedule 13G/A filed on February 11, 2016, Wellington Management Group LLP had shared voting power with respect to 2,795,415 shares and shared dispositive power with respect to 3,168,468 shares. The business address of the combined filers is c/o Wellington Management Company, LLP, 280 Congress Street, Boston, Massachusetts 02210.</w:t>
      </w:r>
    </w:p>
    <w:p>
      <w:pPr>
        <w:spacing w:after="0" w:line="1" w:lineRule="exact"/>
        <w:rPr>
          <w:rFonts w:ascii="Arial" w:cs="Arial" w:eastAsia="Arial" w:hAnsi="Arial"/>
          <w:sz w:val="14"/>
          <w:szCs w:val="14"/>
          <w:color w:val="auto"/>
        </w:rPr>
      </w:pPr>
    </w:p>
    <w:p>
      <w:pPr>
        <w:ind w:left="408" w:hanging="408"/>
        <w:spacing w:after="0" w:line="241" w:lineRule="auto"/>
        <w:tabs>
          <w:tab w:leader="none" w:pos="408" w:val="left"/>
        </w:tabs>
        <w:numPr>
          <w:ilvl w:val="0"/>
          <w:numId w:val="87"/>
        </w:numPr>
        <w:rPr>
          <w:rFonts w:ascii="Arial" w:cs="Arial" w:eastAsia="Arial" w:hAnsi="Arial"/>
          <w:sz w:val="14"/>
          <w:szCs w:val="14"/>
          <w:color w:val="auto"/>
        </w:rPr>
      </w:pPr>
      <w:r>
        <w:rPr>
          <w:rFonts w:ascii="Arial" w:cs="Arial" w:eastAsia="Arial" w:hAnsi="Arial"/>
          <w:sz w:val="14"/>
          <w:szCs w:val="14"/>
          <w:color w:val="auto"/>
        </w:rPr>
        <w:t>Based on the Schedule 13G/A filed on January 26, 2016, BlackRock, Inc. had sole voting power with respect to 3,010,412 shares and sole dispositive power with respect to 3,092,116 shares. The business address of Blackrock, Inc. is 55 East 52nd Street, New York, New York 10022.</w:t>
      </w:r>
    </w:p>
    <w:p>
      <w:pPr>
        <w:jc w:val="both"/>
        <w:ind w:left="408" w:hanging="408"/>
        <w:spacing w:after="0" w:line="241" w:lineRule="auto"/>
        <w:tabs>
          <w:tab w:leader="none" w:pos="408" w:val="left"/>
        </w:tabs>
        <w:numPr>
          <w:ilvl w:val="0"/>
          <w:numId w:val="87"/>
        </w:numPr>
        <w:rPr>
          <w:rFonts w:ascii="Arial" w:cs="Arial" w:eastAsia="Arial" w:hAnsi="Arial"/>
          <w:sz w:val="14"/>
          <w:szCs w:val="14"/>
          <w:color w:val="auto"/>
        </w:rPr>
      </w:pPr>
      <w:r>
        <w:rPr>
          <w:rFonts w:ascii="Arial" w:cs="Arial" w:eastAsia="Arial" w:hAnsi="Arial"/>
          <w:sz w:val="14"/>
          <w:szCs w:val="14"/>
          <w:color w:val="auto"/>
        </w:rPr>
        <w:t>Based on the Schedule 13G filed on February 10, 2016, Vanguard Group, Inc. had sole voting power with respect to 70,530 shares, shared voting power with respect to 2,900 shares, sole dispositive power with respect to 2,335,415 shares and shared dispositive power with respect to 71,430 shares. The business address of Vanguard Group, Inc. is 100 Vanguard Boulevard, Malvern, PA 19355.</w:t>
      </w:r>
    </w:p>
    <w:p>
      <w:pPr>
        <w:spacing w:after="0" w:line="1" w:lineRule="exact"/>
        <w:rPr>
          <w:rFonts w:ascii="Arial" w:cs="Arial" w:eastAsia="Arial" w:hAnsi="Arial"/>
          <w:sz w:val="14"/>
          <w:szCs w:val="14"/>
          <w:color w:val="auto"/>
        </w:rPr>
      </w:pPr>
    </w:p>
    <w:p>
      <w:pPr>
        <w:jc w:val="both"/>
        <w:ind w:left="408" w:right="20" w:hanging="408"/>
        <w:spacing w:after="0" w:line="210" w:lineRule="auto"/>
        <w:tabs>
          <w:tab w:leader="none" w:pos="408" w:val="left"/>
        </w:tabs>
        <w:numPr>
          <w:ilvl w:val="0"/>
          <w:numId w:val="87"/>
        </w:numPr>
        <w:rPr>
          <w:rFonts w:ascii="Arial" w:cs="Arial" w:eastAsia="Arial" w:hAnsi="Arial"/>
          <w:sz w:val="14"/>
          <w:szCs w:val="14"/>
          <w:color w:val="auto"/>
        </w:rPr>
      </w:pPr>
      <w:r>
        <w:rPr>
          <w:rFonts w:ascii="Arial" w:cs="Arial" w:eastAsia="Arial" w:hAnsi="Arial"/>
          <w:sz w:val="14"/>
          <w:szCs w:val="14"/>
          <w:color w:val="auto"/>
        </w:rPr>
        <w:t>Based on the Schedule 13G/A filed on February 10, 2016, TimesSquare Capital Management, LLC had sole voting power with respect to 1,779,831 shares and sole dispositive power with respect to 1,816,231 shares. The business address of TimesSquare Capital Management, LLC is 7 Times Square, 42</w:t>
      </w:r>
      <w:r>
        <w:rPr>
          <w:rFonts w:ascii="Arial" w:cs="Arial" w:eastAsia="Arial" w:hAnsi="Arial"/>
          <w:sz w:val="23"/>
          <w:szCs w:val="23"/>
          <w:color w:val="auto"/>
          <w:vertAlign w:val="superscript"/>
        </w:rPr>
        <w:t>nd</w:t>
      </w:r>
      <w:r>
        <w:rPr>
          <w:rFonts w:ascii="Arial" w:cs="Arial" w:eastAsia="Arial" w:hAnsi="Arial"/>
          <w:sz w:val="14"/>
          <w:szCs w:val="14"/>
          <w:color w:val="auto"/>
        </w:rPr>
        <w:t xml:space="preserve"> Floor, New York, New York 10036.</w:t>
      </w:r>
    </w:p>
    <w:p>
      <w:pPr>
        <w:jc w:val="both"/>
        <w:ind w:left="408" w:hanging="408"/>
        <w:spacing w:after="0" w:line="241" w:lineRule="auto"/>
        <w:tabs>
          <w:tab w:leader="none" w:pos="408" w:val="left"/>
        </w:tabs>
        <w:numPr>
          <w:ilvl w:val="0"/>
          <w:numId w:val="87"/>
        </w:numPr>
        <w:rPr>
          <w:rFonts w:ascii="Arial" w:cs="Arial" w:eastAsia="Arial" w:hAnsi="Arial"/>
          <w:sz w:val="14"/>
          <w:szCs w:val="14"/>
          <w:color w:val="auto"/>
        </w:rPr>
      </w:pPr>
      <w:r>
        <w:rPr>
          <w:rFonts w:ascii="Arial" w:cs="Arial" w:eastAsia="Arial" w:hAnsi="Arial"/>
          <w:sz w:val="14"/>
          <w:szCs w:val="14"/>
          <w:color w:val="auto"/>
        </w:rPr>
        <w:t>Mr. Kapoor had sole voting and dispositive power with respect to 296,185 shares and shared voting and dispositive power with respect to 501,185 shares. The amount reported in the table above includes 177,134 shares of our common stock owned indirectly by Mr. Kapoor through a 2005 grantor-retained annuity trust for which Mr. Kapoor is the sole trustee and 40,219 shares of our common stock owned indirectly by Mr. Kapoor through a 2013 grantor retained annuity trust for which Mr. Kapoor is the sole trustee. The amount reported in the table above includes 84,000 shares of our common stock owned indirectly by Mr. Kapoor through a spousal lifetime access trust. Mr. Kapoor’s spouse and Mr. Kapoor’s sister-in-law are the co-trustees of this trust and share dispositive and voting control over the shares in the trust. The amount reported in the table above also includes 84,000 shares of our common stock owned indirectly by Mr. Kapoor through a spousal lifetime access trust for Mr. Kapoor’s spouse. Mr. Kapoor and Mr. Kapoor’s sister-in-law are the co-trustees of this trust and share dispositive and voting control over the shares in the trust. The amount reported in the table above also includes 333,185 shares of our common stock owned indirectly by Mr. Kapoor through a family trust. Barclays Wealth Trust (US), N.A. is the trustee of the family trust and Mr. Kapoor is the investment advisor to the trustee. The amount reported in the table above also includes 541,400 shares of our common stock of which Mr. Kapoor has the right to acquire beneficial ownership within 60 days pursuant to currently vested and exercisable stock opions.</w:t>
      </w:r>
    </w:p>
    <w:p>
      <w:pPr>
        <w:spacing w:after="0" w:line="3" w:lineRule="exact"/>
        <w:rPr>
          <w:rFonts w:ascii="Arial" w:cs="Arial" w:eastAsia="Arial" w:hAnsi="Arial"/>
          <w:sz w:val="14"/>
          <w:szCs w:val="14"/>
          <w:color w:val="auto"/>
        </w:rPr>
      </w:pPr>
    </w:p>
    <w:p>
      <w:pPr>
        <w:ind w:left="408" w:hanging="408"/>
        <w:spacing w:after="0" w:line="241" w:lineRule="auto"/>
        <w:tabs>
          <w:tab w:leader="none" w:pos="408"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This amount includes 45,000 shares of our common stock of which Mr. Bagai has the right to acquire beneficial ownership within 60 days pursuant to currently vested and exercisable stock options.</w:t>
      </w:r>
    </w:p>
    <w:p>
      <w:pPr>
        <w:ind w:left="408" w:hanging="408"/>
        <w:spacing w:after="0" w:line="241" w:lineRule="auto"/>
        <w:tabs>
          <w:tab w:leader="none" w:pos="408"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This amount includes 65,809 shares of our common stock of which Mr. Chhibbar has the right to acquire beneficial ownership within 60 days pursuant to currently vested and exercisable stock options.</w:t>
      </w:r>
    </w:p>
    <w:p>
      <w:pPr>
        <w:ind w:left="408" w:hanging="408"/>
        <w:spacing w:after="0" w:line="241" w:lineRule="auto"/>
        <w:tabs>
          <w:tab w:leader="none" w:pos="408" w:val="left"/>
        </w:tabs>
        <w:numPr>
          <w:ilvl w:val="0"/>
          <w:numId w:val="87"/>
        </w:numPr>
        <w:rPr>
          <w:rFonts w:ascii="Arial" w:cs="Arial" w:eastAsia="Arial" w:hAnsi="Arial"/>
          <w:sz w:val="14"/>
          <w:szCs w:val="14"/>
          <w:color w:val="auto"/>
        </w:rPr>
      </w:pPr>
      <w:r>
        <w:rPr>
          <w:rFonts w:ascii="Arial" w:cs="Arial" w:eastAsia="Arial" w:hAnsi="Arial"/>
          <w:sz w:val="14"/>
          <w:szCs w:val="14"/>
          <w:color w:val="auto"/>
        </w:rPr>
        <w:t>Mr. Schweppe is an NEO pursuant to SEC rules for purposes of the compensation disclosures in this proxy statement, and accordingly is required to be included in this table. Information in this table related to Mr. Schweppe is based on the Company’s records.</w:t>
      </w:r>
    </w:p>
    <w:p>
      <w:pPr>
        <w:ind w:left="408" w:hanging="408"/>
        <w:spacing w:after="0" w:line="241" w:lineRule="auto"/>
        <w:tabs>
          <w:tab w:leader="none" w:pos="408"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This amount includes 38,253 shares of our common stock of which Mr. Kelso has the right to acquire beneficial ownership within 60 days pursuant to currently vested and exercisable stock options.</w:t>
      </w:r>
    </w:p>
    <w:p>
      <w:pPr>
        <w:ind w:left="408" w:right="20" w:hanging="408"/>
        <w:spacing w:after="0" w:line="241" w:lineRule="auto"/>
        <w:tabs>
          <w:tab w:leader="none" w:pos="408"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This amount includes 3,093 shares of our common stock of which Ms. Minto has the right to acquire beneficial ownership within 60 days pursuant to currently vested and exercisable stock options.</w:t>
      </w:r>
    </w:p>
    <w:p>
      <w:pPr>
        <w:ind w:left="408" w:right="20" w:hanging="408"/>
        <w:spacing w:after="0" w:line="241" w:lineRule="auto"/>
        <w:tabs>
          <w:tab w:leader="none" w:pos="408"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This amount includes 62,723 shares of our common stock of which Mr. Ostler has the right to acquire beneficial ownership within 60 days pursuant to currently vested and exercisable stock options.</w:t>
      </w:r>
    </w:p>
    <w:p>
      <w:pPr>
        <w:ind w:left="408" w:right="20" w:hanging="408"/>
        <w:spacing w:after="0" w:line="241" w:lineRule="auto"/>
        <w:tabs>
          <w:tab w:leader="none" w:pos="408"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This amount includes 32,723 shares of our common stock of which Mr. Staglin has the right to acquire beneficial ownership within 60 days pursuant to currently vested and exercisable stock options.</w:t>
      </w:r>
    </w:p>
    <w:p>
      <w:pPr>
        <w:ind w:left="408" w:right="20" w:hanging="408"/>
        <w:spacing w:after="0" w:line="258" w:lineRule="auto"/>
        <w:tabs>
          <w:tab w:leader="none" w:pos="408"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This amount includes an aggregate of 884,401 shares of our common stock of which our current directors and current executive officers have the right to acquire beneficial ownership within 60 days pursuant to currently vested and exercisable stock options.</w:t>
      </w:r>
    </w:p>
    <w:p>
      <w:pPr>
        <w:spacing w:after="0" w:line="391"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-1905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8"/>
          </w:cols>
          <w:pgMar w:left="572" w:top="887" w:right="239" w:bottom="1440" w:gutter="0" w:footer="0" w:header="0"/>
        </w:sectPr>
      </w:pPr>
    </w:p>
    <w:bookmarkStart w:id="78" w:name="page79"/>
    <w:bookmarkEnd w:id="78"/>
    <w:p>
      <w:pPr>
        <w:ind w:right="2660" w:firstLine="2756"/>
        <w:spacing w:after="0" w:line="482" w:lineRule="auto"/>
        <w:rPr>
          <w:sz w:val="20"/>
          <w:szCs w:val="20"/>
          <w:color w:val="auto"/>
        </w:rPr>
      </w:pPr>
      <w:r>
        <w:rPr>
          <w:rFonts w:ascii="Arial" w:cs="Arial" w:eastAsia="Arial" w:hAnsi="Arial"/>
          <w:sz w:val="18"/>
          <w:szCs w:val="18"/>
          <w:b w:val="1"/>
          <w:bCs w:val="1"/>
          <w:color w:val="auto"/>
        </w:rPr>
        <w:t>CERTAIN RELATIONSHIPS AND RELATED PERSON TRANSACTIONS Review and Approval of Related Party Transactions</w:t>
      </w:r>
    </w:p>
    <w:p>
      <w:pPr>
        <w:spacing w:after="0" w:line="1"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We review all transactions in which we, our directors and executive officers or their immediate family members and our 5% stockholders are participants to determine whether such persons have a direct or indirect material interest in such transactions. Our Code of Conduct and Ethics instructs our directors, officers and employees to report the facts and circumstances of any such transaction or potential transaction to our General Counsel or our Audit Committee. Our board of directors has adopted a policy regarding the review of potential related party transactions. Under this policy, our General Counsel will review the facts and circumstances of any covered transaction. If our General Counsel determines that the transaction involves a related party transaction and that the amount involved does not equal or exceed $120,000, our General Counsel will approve or disapprove the transaction. If our General Counsel determines that the transaction involves a related party transaction and that the amount involved equals or exceeds $120,000, our General Counsel will refer the transaction to our Audit Committee for approval. For each transaction, our General Counsel and Audit Committee, as applicable, will review all factors it considers appropriate, including, but not limited to, the nature of the related party transaction, the related party’s interest in the transaction and the material terms of the transaction, the importance of the transaction to us and to the related party and whether the transaction would impair the judgment of a director or executive officer to act in our best interest. As required under SEC rules, transactions that are determined to be directly or indirectly material to us or a related person and which involve amounts exceeding $120,000 in the previous fiscal year are disclosed in our proxy statement.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859" w:right="339"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18"/>
          <w:szCs w:val="18"/>
          <w:b w:val="1"/>
          <w:bCs w:val="1"/>
          <w:color w:val="auto"/>
        </w:rPr>
        <w:t>REPORT OF THE AUDIT COMMITTEE</w:t>
      </w:r>
    </w:p>
    <w:p>
      <w:pPr>
        <w:spacing w:after="0" w:line="220" w:lineRule="exact"/>
        <w:rPr>
          <w:sz w:val="20"/>
          <w:szCs w:val="20"/>
          <w:color w:val="auto"/>
        </w:rPr>
      </w:pPr>
    </w:p>
    <w:p>
      <w:pPr>
        <w:ind w:right="640" w:firstLine="648"/>
        <w:spacing w:after="0" w:line="246" w:lineRule="auto"/>
        <w:rPr>
          <w:sz w:val="20"/>
          <w:szCs w:val="20"/>
          <w:color w:val="auto"/>
        </w:rPr>
      </w:pPr>
      <w:r>
        <w:rPr>
          <w:rFonts w:ascii="Arial" w:cs="Arial" w:eastAsia="Arial" w:hAnsi="Arial"/>
          <w:sz w:val="18"/>
          <w:szCs w:val="18"/>
          <w:color w:val="auto"/>
        </w:rPr>
        <w:t>The Audit Committee of the board of directors of ExlService Holdings, Inc. assists our board of directors in fulfilling its oversight responsibilities with respect to the following:</w:t>
      </w:r>
    </w:p>
    <w:p>
      <w:pPr>
        <w:spacing w:after="0" w:line="183" w:lineRule="exact"/>
        <w:rPr>
          <w:sz w:val="20"/>
          <w:szCs w:val="20"/>
          <w:color w:val="auto"/>
        </w:rPr>
      </w:pPr>
    </w:p>
    <w:p>
      <w:pPr>
        <w:ind w:left="1300" w:right="760" w:hanging="644"/>
        <w:spacing w:after="0" w:line="246" w:lineRule="auto"/>
        <w:tabs>
          <w:tab w:leader="none" w:pos="13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our accounting and financial reporting processes, including the integrity of the financial statements and other financial information provided by us to our stockholders, the public, stock exchanges and others;</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w:t>
      </w:r>
    </w:p>
    <w:p>
      <w:pPr>
        <w:spacing w:after="0" w:line="211" w:lineRule="exact"/>
        <w:rPr>
          <w:rFonts w:ascii="Arial" w:cs="Arial" w:eastAsia="Arial" w:hAnsi="Arial"/>
          <w:sz w:val="18"/>
          <w:szCs w:val="18"/>
          <w:color w:val="auto"/>
        </w:rPr>
      </w:pPr>
    </w:p>
    <w:p>
      <w:pPr>
        <w:ind w:left="1300" w:hanging="644"/>
        <w:spacing w:after="0"/>
        <w:tabs>
          <w:tab w:leader="none" w:pos="13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our registered independent public accounting firm’s qualifications and independence;</w:t>
      </w:r>
    </w:p>
    <w:p>
      <w:pPr>
        <w:spacing w:after="0" w:line="211" w:lineRule="exact"/>
        <w:rPr>
          <w:rFonts w:ascii="Arial" w:cs="Arial" w:eastAsia="Arial" w:hAnsi="Arial"/>
          <w:sz w:val="18"/>
          <w:szCs w:val="18"/>
          <w:color w:val="auto"/>
        </w:rPr>
      </w:pPr>
    </w:p>
    <w:p>
      <w:pPr>
        <w:ind w:left="1300" w:hanging="644"/>
        <w:spacing w:after="0"/>
        <w:tabs>
          <w:tab w:leader="none" w:pos="13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audit of our financial statements; and</w:t>
      </w:r>
    </w:p>
    <w:p>
      <w:pPr>
        <w:spacing w:after="0" w:line="211" w:lineRule="exact"/>
        <w:rPr>
          <w:rFonts w:ascii="Arial" w:cs="Arial" w:eastAsia="Arial" w:hAnsi="Arial"/>
          <w:sz w:val="18"/>
          <w:szCs w:val="18"/>
          <w:color w:val="auto"/>
        </w:rPr>
      </w:pPr>
    </w:p>
    <w:p>
      <w:pPr>
        <w:ind w:left="1300" w:hanging="644"/>
        <w:spacing w:after="0"/>
        <w:tabs>
          <w:tab w:leader="none" w:pos="13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performance of our internal audit function and independent registered public accounting firm.</w:t>
      </w:r>
    </w:p>
    <w:p>
      <w:pPr>
        <w:spacing w:after="0" w:line="212"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In connection with these responsibilities, the Audit Committee met with management and Ernst &amp; Young LLP to review and discuss the December 31, 2015 audited consolidated financial statements. The Audit Committee also discussed with Ernst &amp; Young LLP the matters required to be discussed by the Statement on Auditing Standards No. 61 (Communication with Audit Committees), as amended, as adopted by the Public Company Accounting Oversight Board in Rule 3200T. The Audit Committee also received written disclosures and the letter from Ernst &amp; Young LLP required by Rule 3526 of the Public Company Accounting Oversight Board (Communications with Audit Committees Concerning Independence), and the Audit Committee discussed with Ernst &amp; Young LLP the firm’s independence.</w:t>
      </w:r>
    </w:p>
    <w:p>
      <w:pPr>
        <w:spacing w:after="0" w:line="192"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Based on the review and discussions referred to above, the Audit Committee approved the inclusion of the audited financial statements in the Company’s Annual Report on Form 10-K for 2015.</w:t>
      </w:r>
    </w:p>
    <w:p>
      <w:pPr>
        <w:spacing w:after="0" w:line="18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AUDIT COMMITTEE</w:t>
      </w:r>
    </w:p>
    <w:p>
      <w:pPr>
        <w:spacing w:after="0" w:line="19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Mr. Clyde W. Ostler (Chairman)</w:t>
      </w:r>
    </w:p>
    <w:p>
      <w:pPr>
        <w:ind w:left="6860"/>
        <w:spacing w:after="0" w:line="234" w:lineRule="auto"/>
        <w:rPr>
          <w:sz w:val="20"/>
          <w:szCs w:val="20"/>
          <w:color w:val="auto"/>
        </w:rPr>
      </w:pPr>
      <w:r>
        <w:rPr>
          <w:rFonts w:ascii="Arial" w:cs="Arial" w:eastAsia="Arial" w:hAnsi="Arial"/>
          <w:sz w:val="18"/>
          <w:szCs w:val="18"/>
          <w:color w:val="auto"/>
        </w:rPr>
        <w:t>Mr. David B. Kelso</w:t>
      </w:r>
    </w:p>
    <w:p>
      <w:pPr>
        <w:ind w:left="6860"/>
        <w:spacing w:after="0" w:line="235" w:lineRule="auto"/>
        <w:rPr>
          <w:sz w:val="20"/>
          <w:szCs w:val="20"/>
          <w:color w:val="auto"/>
        </w:rPr>
      </w:pPr>
      <w:r>
        <w:rPr>
          <w:rFonts w:ascii="Arial" w:cs="Arial" w:eastAsia="Arial" w:hAnsi="Arial"/>
          <w:sz w:val="18"/>
          <w:szCs w:val="18"/>
          <w:color w:val="auto"/>
        </w:rPr>
        <w:t>Ms. Deborah Kerr</w:t>
      </w:r>
    </w:p>
    <w:p>
      <w:pPr>
        <w:spacing w:after="0" w:line="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Mr. Nitin Sahney</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59" w:right="25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PROPOSAL 1</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Nominees</w:t>
      </w:r>
    </w:p>
    <w:p>
      <w:pPr>
        <w:spacing w:after="0" w:line="220"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Our Nominating and Governance Committee has nominated, and our board of directors has designated, Ms. Minto and Mr. Kapoor to stand for election as Class I directors at the Annual Meeting. Ms. Minto and Mr. Kapoor are standing for re-election. The proxies given to the proxy holders will be voted or not voted as directed and, if no direction is given, will be voted FOR these three nominees. Our board of directors knows of no reason why any of these nominees should be unable or unwilling to serve. However, if for any reason any nominee should be unable or unwilling to stand for election, the shares represented by proxies will be voted for the election of any substitute nominee designated by our board of directors to fill the vacancy.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 About Nominees</w:t>
      </w:r>
    </w:p>
    <w:p>
      <w:pPr>
        <w:spacing w:after="0" w:line="220"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color w:val="auto"/>
        </w:rPr>
        <w:t>The age, tenure on our board of directors and committee membership, if any, of each nominee appears below. Information regarding the business experience during at least the last five years and directorships of other publicly owned corporations of each nominee can be found above under “Our Board of Directors.” Other information required with respect to any solicitation of proxies in connection with the election of directors is found elsewhere in this proxy statement.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220" w:type="dxa"/>
            <w:vAlign w:val="bottom"/>
            <w:tcBorders>
              <w:bottom w:val="single" w:sz="8" w:color="auto"/>
            </w:tcBorders>
            <w:shd w:val="clear" w:color="auto" w:fill="5591C7"/>
          </w:tcPr>
          <w:p>
            <w:pPr>
              <w:ind w:left="920"/>
              <w:spacing w:after="0"/>
              <w:rPr>
                <w:sz w:val="20"/>
                <w:szCs w:val="20"/>
                <w:color w:val="auto"/>
              </w:rPr>
            </w:pPr>
            <w:r>
              <w:rPr>
                <w:rFonts w:ascii="Arial" w:cs="Arial" w:eastAsia="Arial" w:hAnsi="Arial"/>
                <w:sz w:val="14"/>
                <w:szCs w:val="14"/>
                <w:b w:val="1"/>
                <w:bCs w:val="1"/>
                <w:color w:val="auto"/>
              </w:rPr>
              <w:t>Name</w:t>
            </w:r>
          </w:p>
        </w:tc>
        <w:tc>
          <w:tcPr>
            <w:tcW w:w="180" w:type="dxa"/>
            <w:vAlign w:val="bottom"/>
            <w:tcBorders>
              <w:bottom w:val="single" w:sz="8" w:color="B8CDE8"/>
            </w:tcBorders>
            <w:shd w:val="clear" w:color="auto" w:fill="5591C7"/>
          </w:tcPr>
          <w:p>
            <w:pPr>
              <w:spacing w:after="0"/>
              <w:rPr>
                <w:sz w:val="16"/>
                <w:szCs w:val="16"/>
                <w:color w:val="auto"/>
              </w:rPr>
            </w:pPr>
          </w:p>
        </w:tc>
        <w:tc>
          <w:tcPr>
            <w:tcW w:w="560" w:type="dxa"/>
            <w:vAlign w:val="bottom"/>
            <w:tcBorders>
              <w:bottom w:val="single" w:sz="8" w:color="auto"/>
            </w:tcBorders>
            <w:shd w:val="clear" w:color="auto" w:fill="5591C7"/>
          </w:tcPr>
          <w:p>
            <w:pPr>
              <w:jc w:val="center"/>
              <w:ind w:left="16"/>
              <w:spacing w:after="0"/>
              <w:rPr>
                <w:sz w:val="20"/>
                <w:szCs w:val="20"/>
                <w:color w:val="auto"/>
              </w:rPr>
            </w:pPr>
            <w:r>
              <w:rPr>
                <w:rFonts w:ascii="Arial" w:cs="Arial" w:eastAsia="Arial" w:hAnsi="Arial"/>
                <w:sz w:val="14"/>
                <w:szCs w:val="14"/>
                <w:b w:val="1"/>
                <w:bCs w:val="1"/>
                <w:color w:val="auto"/>
                <w:w w:val="98"/>
              </w:rPr>
              <w:t>Age</w:t>
            </w:r>
          </w:p>
        </w:tc>
        <w:tc>
          <w:tcPr>
            <w:tcW w:w="180" w:type="dxa"/>
            <w:vAlign w:val="bottom"/>
            <w:tcBorders>
              <w:bottom w:val="single" w:sz="8" w:color="B8CDE8"/>
            </w:tcBorders>
            <w:shd w:val="clear" w:color="auto" w:fill="5591C7"/>
          </w:tcPr>
          <w:p>
            <w:pPr>
              <w:spacing w:after="0"/>
              <w:rPr>
                <w:sz w:val="16"/>
                <w:szCs w:val="16"/>
                <w:color w:val="auto"/>
              </w:rPr>
            </w:pPr>
          </w:p>
        </w:tc>
        <w:tc>
          <w:tcPr>
            <w:tcW w:w="2120" w:type="dxa"/>
            <w:vAlign w:val="bottom"/>
            <w:tcBorders>
              <w:bottom w:val="single" w:sz="8" w:color="auto"/>
            </w:tcBorders>
            <w:shd w:val="clear" w:color="auto" w:fill="5591C7"/>
          </w:tcPr>
          <w:p>
            <w:pPr>
              <w:ind w:left="580"/>
              <w:spacing w:after="0"/>
              <w:rPr>
                <w:sz w:val="20"/>
                <w:szCs w:val="20"/>
                <w:color w:val="auto"/>
              </w:rPr>
            </w:pPr>
            <w:r>
              <w:rPr>
                <w:rFonts w:ascii="Arial" w:cs="Arial" w:eastAsia="Arial" w:hAnsi="Arial"/>
                <w:sz w:val="14"/>
                <w:szCs w:val="14"/>
                <w:b w:val="1"/>
                <w:bCs w:val="1"/>
                <w:color w:val="auto"/>
              </w:rPr>
              <w:t>Director Since</w:t>
            </w:r>
          </w:p>
        </w:tc>
        <w:tc>
          <w:tcPr>
            <w:tcW w:w="180" w:type="dxa"/>
            <w:vAlign w:val="bottom"/>
            <w:tcBorders>
              <w:bottom w:val="single" w:sz="8" w:color="B8CDE8"/>
            </w:tcBorders>
            <w:shd w:val="clear" w:color="auto" w:fill="5591C7"/>
          </w:tcPr>
          <w:p>
            <w:pPr>
              <w:spacing w:after="0"/>
              <w:rPr>
                <w:sz w:val="16"/>
                <w:szCs w:val="16"/>
                <w:color w:val="auto"/>
              </w:rPr>
            </w:pPr>
          </w:p>
        </w:tc>
        <w:tc>
          <w:tcPr>
            <w:tcW w:w="1340" w:type="dxa"/>
            <w:vAlign w:val="bottom"/>
            <w:tcBorders>
              <w:bottom w:val="single" w:sz="8" w:color="auto"/>
            </w:tcBorders>
            <w:shd w:val="clear" w:color="auto" w:fill="5591C7"/>
          </w:tcPr>
          <w:p>
            <w:pPr>
              <w:jc w:val="center"/>
              <w:ind w:left="16"/>
              <w:spacing w:after="0"/>
              <w:rPr>
                <w:sz w:val="20"/>
                <w:szCs w:val="20"/>
                <w:color w:val="auto"/>
              </w:rPr>
            </w:pPr>
            <w:r>
              <w:rPr>
                <w:rFonts w:ascii="Arial" w:cs="Arial" w:eastAsia="Arial" w:hAnsi="Arial"/>
                <w:sz w:val="14"/>
                <w:szCs w:val="14"/>
                <w:b w:val="1"/>
                <w:bCs w:val="1"/>
                <w:color w:val="auto"/>
              </w:rPr>
              <w:t>Independent</w:t>
            </w:r>
          </w:p>
        </w:tc>
        <w:tc>
          <w:tcPr>
            <w:tcW w:w="180" w:type="dxa"/>
            <w:vAlign w:val="bottom"/>
            <w:tcBorders>
              <w:bottom w:val="single" w:sz="8" w:color="B8CDE8"/>
            </w:tcBorders>
            <w:shd w:val="clear" w:color="auto" w:fill="5591C7"/>
          </w:tcPr>
          <w:p>
            <w:pPr>
              <w:spacing w:after="0"/>
              <w:rPr>
                <w:sz w:val="16"/>
                <w:szCs w:val="16"/>
                <w:color w:val="auto"/>
              </w:rPr>
            </w:pPr>
          </w:p>
        </w:tc>
        <w:tc>
          <w:tcPr>
            <w:tcW w:w="4460" w:type="dxa"/>
            <w:vAlign w:val="bottom"/>
            <w:tcBorders>
              <w:bottom w:val="single" w:sz="8" w:color="auto"/>
            </w:tcBorders>
            <w:shd w:val="clear" w:color="auto" w:fill="5591C7"/>
          </w:tcPr>
          <w:p>
            <w:pPr>
              <w:ind w:left="1560"/>
              <w:spacing w:after="0"/>
              <w:rPr>
                <w:sz w:val="20"/>
                <w:szCs w:val="20"/>
                <w:color w:val="auto"/>
              </w:rPr>
            </w:pPr>
            <w:r>
              <w:rPr>
                <w:rFonts w:ascii="Arial" w:cs="Arial" w:eastAsia="Arial" w:hAnsi="Arial"/>
                <w:sz w:val="14"/>
                <w:szCs w:val="14"/>
                <w:b w:val="1"/>
                <w:bCs w:val="1"/>
                <w:color w:val="auto"/>
              </w:rPr>
              <w:t>Committee/Position</w:t>
            </w:r>
          </w:p>
        </w:tc>
      </w:tr>
      <w:tr>
        <w:trPr>
          <w:trHeight w:val="209"/>
        </w:trPr>
        <w:tc>
          <w:tcPr>
            <w:tcW w:w="2220" w:type="dxa"/>
            <w:vAlign w:val="bottom"/>
            <w:shd w:val="clear" w:color="auto" w:fill="B8CDE8"/>
          </w:tcPr>
          <w:p>
            <w:pPr>
              <w:ind w:left="80"/>
              <w:spacing w:after="0"/>
              <w:rPr>
                <w:sz w:val="20"/>
                <w:szCs w:val="20"/>
                <w:color w:val="auto"/>
              </w:rPr>
            </w:pPr>
            <w:r>
              <w:rPr>
                <w:rFonts w:ascii="Arial" w:cs="Arial" w:eastAsia="Arial" w:hAnsi="Arial"/>
                <w:sz w:val="18"/>
                <w:szCs w:val="18"/>
                <w:color w:val="auto"/>
              </w:rPr>
              <w:t>Anne Minto</w:t>
            </w:r>
          </w:p>
        </w:tc>
        <w:tc>
          <w:tcPr>
            <w:tcW w:w="180" w:type="dxa"/>
            <w:vAlign w:val="bottom"/>
            <w:shd w:val="clear" w:color="auto" w:fill="B8CDE8"/>
          </w:tcPr>
          <w:p>
            <w:pPr>
              <w:spacing w:after="0"/>
              <w:rPr>
                <w:sz w:val="18"/>
                <w:szCs w:val="18"/>
                <w:color w:val="auto"/>
              </w:rPr>
            </w:pPr>
          </w:p>
        </w:tc>
        <w:tc>
          <w:tcPr>
            <w:tcW w:w="560" w:type="dxa"/>
            <w:vAlign w:val="bottom"/>
            <w:shd w:val="clear" w:color="auto" w:fill="B8CDE8"/>
          </w:tcPr>
          <w:p>
            <w:pPr>
              <w:jc w:val="center"/>
              <w:spacing w:after="0"/>
              <w:rPr>
                <w:sz w:val="20"/>
                <w:szCs w:val="20"/>
                <w:color w:val="auto"/>
              </w:rPr>
            </w:pPr>
            <w:r>
              <w:rPr>
                <w:rFonts w:ascii="Arial" w:cs="Arial" w:eastAsia="Arial" w:hAnsi="Arial"/>
                <w:sz w:val="18"/>
                <w:szCs w:val="18"/>
                <w:color w:val="auto"/>
                <w:w w:val="99"/>
              </w:rPr>
              <w:t>62</w:t>
            </w:r>
          </w:p>
        </w:tc>
        <w:tc>
          <w:tcPr>
            <w:tcW w:w="180" w:type="dxa"/>
            <w:vAlign w:val="bottom"/>
            <w:shd w:val="clear" w:color="auto" w:fill="B8CDE8"/>
          </w:tcPr>
          <w:p>
            <w:pPr>
              <w:spacing w:after="0"/>
              <w:rPr>
                <w:sz w:val="18"/>
                <w:szCs w:val="18"/>
                <w:color w:val="auto"/>
              </w:rPr>
            </w:pPr>
          </w:p>
        </w:tc>
        <w:tc>
          <w:tcPr>
            <w:tcW w:w="2300" w:type="dxa"/>
            <w:vAlign w:val="bottom"/>
            <w:gridSpan w:val="2"/>
            <w:shd w:val="clear" w:color="auto" w:fill="B8CDE8"/>
          </w:tcPr>
          <w:p>
            <w:pPr>
              <w:ind w:left="100"/>
              <w:spacing w:after="0"/>
              <w:rPr>
                <w:sz w:val="20"/>
                <w:szCs w:val="20"/>
                <w:color w:val="auto"/>
              </w:rPr>
            </w:pPr>
            <w:r>
              <w:rPr>
                <w:rFonts w:ascii="Arial" w:cs="Arial" w:eastAsia="Arial" w:hAnsi="Arial"/>
                <w:sz w:val="18"/>
                <w:szCs w:val="18"/>
                <w:color w:val="auto"/>
              </w:rPr>
              <w:t>March 2013</w:t>
            </w:r>
          </w:p>
        </w:tc>
        <w:tc>
          <w:tcPr>
            <w:tcW w:w="1520" w:type="dxa"/>
            <w:vAlign w:val="bottom"/>
            <w:gridSpan w:val="2"/>
            <w:shd w:val="clear" w:color="auto" w:fill="B8CDE8"/>
          </w:tcPr>
          <w:p>
            <w:pPr>
              <w:jc w:val="center"/>
              <w:ind w:right="80"/>
              <w:spacing w:after="0"/>
              <w:rPr>
                <w:sz w:val="20"/>
                <w:szCs w:val="20"/>
                <w:color w:val="auto"/>
              </w:rPr>
            </w:pPr>
            <w:r>
              <w:rPr>
                <w:rFonts w:ascii="Arial" w:cs="Arial" w:eastAsia="Arial" w:hAnsi="Arial"/>
                <w:sz w:val="18"/>
                <w:szCs w:val="18"/>
                <w:color w:val="auto"/>
                <w:w w:val="90"/>
              </w:rPr>
              <w:t>Yes</w:t>
            </w:r>
          </w:p>
        </w:tc>
        <w:tc>
          <w:tcPr>
            <w:tcW w:w="4460" w:type="dxa"/>
            <w:vAlign w:val="bottom"/>
            <w:shd w:val="clear" w:color="auto" w:fill="B8CDE8"/>
          </w:tcPr>
          <w:p>
            <w:pPr>
              <w:ind w:left="100"/>
              <w:spacing w:after="0"/>
              <w:rPr>
                <w:sz w:val="20"/>
                <w:szCs w:val="20"/>
                <w:color w:val="auto"/>
              </w:rPr>
            </w:pPr>
            <w:r>
              <w:rPr>
                <w:rFonts w:ascii="Arial" w:cs="Arial" w:eastAsia="Arial" w:hAnsi="Arial"/>
                <w:sz w:val="18"/>
                <w:szCs w:val="18"/>
                <w:color w:val="auto"/>
              </w:rPr>
              <w:t>Compensation Committee Chairman</w:t>
            </w:r>
          </w:p>
        </w:tc>
      </w:tr>
      <w:tr>
        <w:trPr>
          <w:trHeight w:val="217"/>
        </w:trPr>
        <w:tc>
          <w:tcPr>
            <w:tcW w:w="2220" w:type="dxa"/>
            <w:vAlign w:val="bottom"/>
            <w:shd w:val="clear" w:color="auto" w:fill="B8CDE8"/>
          </w:tcPr>
          <w:p>
            <w:pPr>
              <w:spacing w:after="0"/>
              <w:rPr>
                <w:sz w:val="18"/>
                <w:szCs w:val="18"/>
                <w:color w:val="auto"/>
              </w:rPr>
            </w:pPr>
          </w:p>
        </w:tc>
        <w:tc>
          <w:tcPr>
            <w:tcW w:w="180" w:type="dxa"/>
            <w:vAlign w:val="bottom"/>
            <w:shd w:val="clear" w:color="auto" w:fill="B8CDE8"/>
          </w:tcPr>
          <w:p>
            <w:pPr>
              <w:spacing w:after="0"/>
              <w:rPr>
                <w:sz w:val="18"/>
                <w:szCs w:val="18"/>
                <w:color w:val="auto"/>
              </w:rPr>
            </w:pPr>
          </w:p>
        </w:tc>
        <w:tc>
          <w:tcPr>
            <w:tcW w:w="560" w:type="dxa"/>
            <w:vAlign w:val="bottom"/>
            <w:shd w:val="clear" w:color="auto" w:fill="B8CDE8"/>
          </w:tcPr>
          <w:p>
            <w:pPr>
              <w:spacing w:after="0"/>
              <w:rPr>
                <w:sz w:val="18"/>
                <w:szCs w:val="18"/>
                <w:color w:val="auto"/>
              </w:rPr>
            </w:pPr>
          </w:p>
        </w:tc>
        <w:tc>
          <w:tcPr>
            <w:tcW w:w="180" w:type="dxa"/>
            <w:vAlign w:val="bottom"/>
            <w:shd w:val="clear" w:color="auto" w:fill="B8CDE8"/>
          </w:tcPr>
          <w:p>
            <w:pPr>
              <w:spacing w:after="0"/>
              <w:rPr>
                <w:sz w:val="18"/>
                <w:szCs w:val="18"/>
                <w:color w:val="auto"/>
              </w:rPr>
            </w:pPr>
          </w:p>
        </w:tc>
        <w:tc>
          <w:tcPr>
            <w:tcW w:w="2120" w:type="dxa"/>
            <w:vAlign w:val="bottom"/>
            <w:shd w:val="clear" w:color="auto" w:fill="B8CDE8"/>
          </w:tcPr>
          <w:p>
            <w:pPr>
              <w:spacing w:after="0"/>
              <w:rPr>
                <w:sz w:val="18"/>
                <w:szCs w:val="18"/>
                <w:color w:val="auto"/>
              </w:rPr>
            </w:pPr>
          </w:p>
        </w:tc>
        <w:tc>
          <w:tcPr>
            <w:tcW w:w="180" w:type="dxa"/>
            <w:vAlign w:val="bottom"/>
            <w:shd w:val="clear" w:color="auto" w:fill="B8CDE8"/>
          </w:tcPr>
          <w:p>
            <w:pPr>
              <w:spacing w:after="0"/>
              <w:rPr>
                <w:sz w:val="18"/>
                <w:szCs w:val="18"/>
                <w:color w:val="auto"/>
              </w:rPr>
            </w:pPr>
          </w:p>
        </w:tc>
        <w:tc>
          <w:tcPr>
            <w:tcW w:w="1340" w:type="dxa"/>
            <w:vAlign w:val="bottom"/>
            <w:shd w:val="clear" w:color="auto" w:fill="B8CDE8"/>
          </w:tcPr>
          <w:p>
            <w:pPr>
              <w:spacing w:after="0"/>
              <w:rPr>
                <w:sz w:val="18"/>
                <w:szCs w:val="18"/>
                <w:color w:val="auto"/>
              </w:rPr>
            </w:pPr>
          </w:p>
        </w:tc>
        <w:tc>
          <w:tcPr>
            <w:tcW w:w="180" w:type="dxa"/>
            <w:vAlign w:val="bottom"/>
            <w:shd w:val="clear" w:color="auto" w:fill="B8CDE8"/>
          </w:tcPr>
          <w:p>
            <w:pPr>
              <w:spacing w:after="0"/>
              <w:rPr>
                <w:sz w:val="18"/>
                <w:szCs w:val="18"/>
                <w:color w:val="auto"/>
              </w:rPr>
            </w:pPr>
          </w:p>
        </w:tc>
        <w:tc>
          <w:tcPr>
            <w:tcW w:w="4460" w:type="dxa"/>
            <w:vAlign w:val="bottom"/>
            <w:shd w:val="clear" w:color="auto" w:fill="B8CDE8"/>
          </w:tcPr>
          <w:p>
            <w:pPr>
              <w:ind w:left="100"/>
              <w:spacing w:after="0"/>
              <w:rPr>
                <w:sz w:val="20"/>
                <w:szCs w:val="20"/>
                <w:color w:val="auto"/>
              </w:rPr>
            </w:pPr>
            <w:r>
              <w:rPr>
                <w:rFonts w:ascii="Arial" w:cs="Arial" w:eastAsia="Arial" w:hAnsi="Arial"/>
                <w:sz w:val="18"/>
                <w:szCs w:val="18"/>
                <w:color w:val="auto"/>
              </w:rPr>
              <w:t>Nominating and Governance Committee Member</w:t>
            </w:r>
          </w:p>
        </w:tc>
      </w:tr>
      <w:tr>
        <w:trPr>
          <w:trHeight w:val="230"/>
        </w:trPr>
        <w:tc>
          <w:tcPr>
            <w:tcW w:w="2400" w:type="dxa"/>
            <w:vAlign w:val="bottom"/>
            <w:gridSpan w:val="2"/>
          </w:tcPr>
          <w:p>
            <w:pPr>
              <w:ind w:left="80"/>
              <w:spacing w:after="0"/>
              <w:rPr>
                <w:sz w:val="20"/>
                <w:szCs w:val="20"/>
                <w:color w:val="auto"/>
              </w:rPr>
            </w:pPr>
            <w:r>
              <w:rPr>
                <w:rFonts w:ascii="Arial" w:cs="Arial" w:eastAsia="Arial" w:hAnsi="Arial"/>
                <w:sz w:val="18"/>
                <w:szCs w:val="18"/>
                <w:color w:val="auto"/>
              </w:rPr>
              <w:t>Rohit Kapoor</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51</w:t>
            </w:r>
          </w:p>
        </w:tc>
        <w:tc>
          <w:tcPr>
            <w:tcW w:w="180" w:type="dxa"/>
            <w:vAlign w:val="bottom"/>
          </w:tcPr>
          <w:p>
            <w:pPr>
              <w:spacing w:after="0"/>
              <w:rPr>
                <w:sz w:val="19"/>
                <w:szCs w:val="19"/>
                <w:color w:val="auto"/>
              </w:rPr>
            </w:pP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November 2002</w:t>
            </w:r>
          </w:p>
        </w:tc>
        <w:tc>
          <w:tcPr>
            <w:tcW w:w="1520" w:type="dxa"/>
            <w:vAlign w:val="bottom"/>
            <w:gridSpan w:val="2"/>
          </w:tcPr>
          <w:p>
            <w:pPr>
              <w:jc w:val="center"/>
              <w:ind w:right="80"/>
              <w:spacing w:after="0"/>
              <w:rPr>
                <w:sz w:val="20"/>
                <w:szCs w:val="20"/>
                <w:color w:val="auto"/>
              </w:rPr>
            </w:pPr>
            <w:r>
              <w:rPr>
                <w:rFonts w:ascii="Arial" w:cs="Arial" w:eastAsia="Arial" w:hAnsi="Arial"/>
                <w:sz w:val="18"/>
                <w:szCs w:val="18"/>
                <w:color w:val="auto"/>
              </w:rPr>
              <w:t>No</w:t>
            </w:r>
          </w:p>
        </w:tc>
        <w:tc>
          <w:tcPr>
            <w:tcW w:w="4460" w:type="dxa"/>
            <w:vAlign w:val="bottom"/>
          </w:tcPr>
          <w:p>
            <w:pPr>
              <w:ind w:left="100"/>
              <w:spacing w:after="0"/>
              <w:rPr>
                <w:sz w:val="20"/>
                <w:szCs w:val="20"/>
                <w:color w:val="auto"/>
              </w:rPr>
            </w:pPr>
            <w:r>
              <w:rPr>
                <w:rFonts w:ascii="Arial" w:cs="Arial" w:eastAsia="Arial" w:hAnsi="Arial"/>
                <w:sz w:val="18"/>
                <w:szCs w:val="18"/>
                <w:color w:val="auto"/>
              </w:rPr>
              <w:t>Vice Chairman and CEO</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220" w:lineRule="exact"/>
        <w:rPr>
          <w:sz w:val="20"/>
          <w:szCs w:val="20"/>
          <w:color w:val="auto"/>
        </w:rPr>
      </w:pPr>
    </w:p>
    <w:p>
      <w:pPr>
        <w:jc w:val="both"/>
        <w:ind w:right="100" w:firstLine="648"/>
        <w:spacing w:after="0"/>
        <w:rPr>
          <w:sz w:val="20"/>
          <w:szCs w:val="20"/>
          <w:color w:val="auto"/>
        </w:rPr>
      </w:pPr>
      <w:r>
        <w:rPr>
          <w:rFonts w:ascii="Arial" w:cs="Arial" w:eastAsia="Arial" w:hAnsi="Arial"/>
          <w:sz w:val="18"/>
          <w:szCs w:val="18"/>
          <w:color w:val="auto"/>
        </w:rPr>
        <w:t>The affirmative vote of the plurality of votes cast in person or represented by proxy and entitled to vote at the Annual Meeting will elect the three nominees as Class III directors for the specified three-year term. Unless marked to the contrary, proxies received will be voted “FOR” the nominees.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Our board of directors recommends a vote FOR the election of Ms. Minto and Mr. Kapoor as Class I directors of the Company.</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59"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PROPOSAL 2</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THE APPOINTMENT OF</w:t>
      </w:r>
    </w:p>
    <w:p>
      <w:pPr>
        <w:jc w:val="cente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98"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Our Audit Committee has selected Ernst &amp; Young LLP as the independent registered public accounting firm to audit the Company’s and its subsidiaries’ books, records and accounts for the fiscal year 2016. Our board of directors has endorsed this appointment. Ratification of the selection of Ernst &amp; Young LLP by our stockholders is not required by law. However, as a matter of good corporate practice, such selection is being submitted to our stockholders for ratification at the Annual Meeting. If our stockholders do not ratify the selection, our board of directors and our Audit Committee will reconsider whether or not to retain Ernst &amp; Young LLP, but may nonetheless retain Ernst &amp; Young LLP. Even if the selection is ratified, the Audit Committee in its discretion may change such appointment at any time during the year if it determines that such change would be in the best interests of the Company and our stockholders. Ernst &amp; Young LLP audited our consolidated financial statements for fiscal years 2015 and 2014. Representatives of Ernst &amp; Young LLP are expected to be present at the Annual Meeting. They will have an opportunity to make a statement, if they desire to do so, and will be available to respond to appropriate questions.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and Non-Audit Fees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the fees billed to us by Ernst &amp; Young LLP for professional services rendered for fiscal years 2015 and</w:t>
      </w:r>
    </w:p>
    <w:p>
      <w:pPr>
        <w:spacing w:after="0"/>
        <w:rPr>
          <w:sz w:val="20"/>
          <w:szCs w:val="20"/>
          <w:color w:val="auto"/>
        </w:rPr>
      </w:pPr>
      <w:r>
        <w:rPr>
          <w:rFonts w:ascii="Arial" w:cs="Arial" w:eastAsia="Arial" w:hAnsi="Arial"/>
          <w:sz w:val="18"/>
          <w:szCs w:val="18"/>
          <w:color w:val="auto"/>
        </w:rPr>
        <w:t>2014:</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60" w:type="dxa"/>
            <w:vAlign w:val="bottom"/>
            <w:shd w:val="clear" w:color="auto" w:fill="5591C7"/>
          </w:tcPr>
          <w:p>
            <w:pPr>
              <w:spacing w:after="0"/>
              <w:rPr>
                <w:sz w:val="14"/>
                <w:szCs w:val="14"/>
                <w:color w:val="auto"/>
              </w:rPr>
            </w:pPr>
          </w:p>
        </w:tc>
        <w:tc>
          <w:tcPr>
            <w:tcW w:w="220" w:type="dxa"/>
            <w:vAlign w:val="bottom"/>
            <w:shd w:val="clear" w:color="auto" w:fill="5591C7"/>
          </w:tcPr>
          <w:p>
            <w:pPr>
              <w:spacing w:after="0"/>
              <w:rPr>
                <w:sz w:val="14"/>
                <w:szCs w:val="14"/>
                <w:color w:val="auto"/>
              </w:rPr>
            </w:pPr>
          </w:p>
        </w:tc>
        <w:tc>
          <w:tcPr>
            <w:tcW w:w="240" w:type="dxa"/>
            <w:vAlign w:val="bottom"/>
            <w:shd w:val="clear" w:color="auto" w:fill="5591C7"/>
          </w:tcPr>
          <w:p>
            <w:pPr>
              <w:spacing w:after="0"/>
              <w:rPr>
                <w:sz w:val="14"/>
                <w:szCs w:val="14"/>
                <w:color w:val="auto"/>
              </w:rPr>
            </w:pPr>
          </w:p>
        </w:tc>
        <w:tc>
          <w:tcPr>
            <w:tcW w:w="940" w:type="dxa"/>
            <w:vAlign w:val="bottom"/>
            <w:shd w:val="clear" w:color="auto" w:fill="5591C7"/>
          </w:tcPr>
          <w:p>
            <w:pPr>
              <w:jc w:val="right"/>
              <w:ind w:right="297"/>
              <w:spacing w:after="0"/>
              <w:rPr>
                <w:sz w:val="20"/>
                <w:szCs w:val="20"/>
                <w:color w:val="auto"/>
              </w:rPr>
            </w:pPr>
            <w:r>
              <w:rPr>
                <w:rFonts w:ascii="Arial" w:cs="Arial" w:eastAsia="Arial" w:hAnsi="Arial"/>
                <w:sz w:val="14"/>
                <w:szCs w:val="14"/>
                <w:b w:val="1"/>
                <w:bCs w:val="1"/>
                <w:color w:val="auto"/>
              </w:rPr>
              <w:t>Fiscal</w:t>
            </w:r>
          </w:p>
        </w:tc>
        <w:tc>
          <w:tcPr>
            <w:tcW w:w="180" w:type="dxa"/>
            <w:vAlign w:val="bottom"/>
            <w:shd w:val="clear" w:color="auto" w:fill="5591C7"/>
          </w:tcPr>
          <w:p>
            <w:pPr>
              <w:spacing w:after="0"/>
              <w:rPr>
                <w:sz w:val="14"/>
                <w:szCs w:val="14"/>
                <w:color w:val="auto"/>
              </w:rPr>
            </w:pPr>
          </w:p>
        </w:tc>
        <w:tc>
          <w:tcPr>
            <w:tcW w:w="240" w:type="dxa"/>
            <w:vAlign w:val="bottom"/>
            <w:shd w:val="clear" w:color="auto" w:fill="5591C7"/>
          </w:tcPr>
          <w:p>
            <w:pPr>
              <w:spacing w:after="0"/>
              <w:rPr>
                <w:sz w:val="14"/>
                <w:szCs w:val="14"/>
                <w:color w:val="auto"/>
              </w:rPr>
            </w:pPr>
          </w:p>
        </w:tc>
        <w:tc>
          <w:tcPr>
            <w:tcW w:w="940" w:type="dxa"/>
            <w:vAlign w:val="bottom"/>
            <w:shd w:val="clear" w:color="auto" w:fill="5591C7"/>
          </w:tcPr>
          <w:p>
            <w:pPr>
              <w:jc w:val="right"/>
              <w:ind w:right="315"/>
              <w:spacing w:after="0"/>
              <w:rPr>
                <w:sz w:val="20"/>
                <w:szCs w:val="20"/>
                <w:color w:val="auto"/>
              </w:rPr>
            </w:pPr>
            <w:r>
              <w:rPr>
                <w:rFonts w:ascii="Arial" w:cs="Arial" w:eastAsia="Arial" w:hAnsi="Arial"/>
                <w:sz w:val="14"/>
                <w:szCs w:val="14"/>
                <w:b w:val="1"/>
                <w:bCs w:val="1"/>
                <w:color w:val="auto"/>
              </w:rPr>
              <w:t>Fiscal</w:t>
            </w:r>
          </w:p>
        </w:tc>
      </w:tr>
      <w:tr>
        <w:trPr>
          <w:trHeight w:val="175"/>
        </w:trPr>
        <w:tc>
          <w:tcPr>
            <w:tcW w:w="8660" w:type="dxa"/>
            <w:vAlign w:val="bottom"/>
            <w:tcBorders>
              <w:bottom w:val="single" w:sz="8" w:color="auto"/>
            </w:tcBorders>
            <w:shd w:val="clear" w:color="auto" w:fill="5591C7"/>
          </w:tcPr>
          <w:p>
            <w:pPr>
              <w:ind w:left="3880"/>
              <w:spacing w:after="0"/>
              <w:rPr>
                <w:sz w:val="20"/>
                <w:szCs w:val="20"/>
                <w:color w:val="auto"/>
              </w:rPr>
            </w:pPr>
            <w:r>
              <w:rPr>
                <w:rFonts w:ascii="Arial" w:cs="Arial" w:eastAsia="Arial" w:hAnsi="Arial"/>
                <w:sz w:val="14"/>
                <w:szCs w:val="14"/>
                <w:b w:val="1"/>
                <w:bCs w:val="1"/>
                <w:color w:val="auto"/>
              </w:rPr>
              <w:t>Fee Category</w:t>
            </w:r>
          </w:p>
        </w:tc>
        <w:tc>
          <w:tcPr>
            <w:tcW w:w="220" w:type="dxa"/>
            <w:vAlign w:val="bottom"/>
            <w:tcBorders>
              <w:bottom w:val="single" w:sz="8" w:color="5591C7"/>
            </w:tcBorders>
            <w:shd w:val="clear" w:color="auto" w:fill="5591C7"/>
          </w:tcPr>
          <w:p>
            <w:pPr>
              <w:spacing w:after="0"/>
              <w:rPr>
                <w:sz w:val="15"/>
                <w:szCs w:val="15"/>
                <w:color w:val="auto"/>
              </w:rPr>
            </w:pPr>
          </w:p>
        </w:tc>
        <w:tc>
          <w:tcPr>
            <w:tcW w:w="240" w:type="dxa"/>
            <w:vAlign w:val="bottom"/>
            <w:tcBorders>
              <w:bottom w:val="single" w:sz="8" w:color="auto"/>
            </w:tcBorders>
            <w:shd w:val="clear" w:color="auto" w:fill="5591C7"/>
          </w:tcPr>
          <w:p>
            <w:pPr>
              <w:spacing w:after="0"/>
              <w:rPr>
                <w:sz w:val="15"/>
                <w:szCs w:val="15"/>
                <w:color w:val="auto"/>
              </w:rPr>
            </w:pPr>
          </w:p>
        </w:tc>
        <w:tc>
          <w:tcPr>
            <w:tcW w:w="940" w:type="dxa"/>
            <w:vAlign w:val="bottom"/>
            <w:tcBorders>
              <w:bottom w:val="single" w:sz="8" w:color="auto"/>
            </w:tcBorders>
            <w:shd w:val="clear" w:color="auto" w:fill="5591C7"/>
          </w:tcPr>
          <w:p>
            <w:pPr>
              <w:jc w:val="right"/>
              <w:ind w:right="337"/>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5591C7"/>
            </w:tcBorders>
            <w:shd w:val="clear" w:color="auto" w:fill="5591C7"/>
          </w:tcPr>
          <w:p>
            <w:pPr>
              <w:spacing w:after="0"/>
              <w:rPr>
                <w:sz w:val="15"/>
                <w:szCs w:val="15"/>
                <w:color w:val="auto"/>
              </w:rPr>
            </w:pPr>
          </w:p>
        </w:tc>
        <w:tc>
          <w:tcPr>
            <w:tcW w:w="240" w:type="dxa"/>
            <w:vAlign w:val="bottom"/>
            <w:tcBorders>
              <w:bottom w:val="single" w:sz="8" w:color="auto"/>
            </w:tcBorders>
            <w:shd w:val="clear" w:color="auto" w:fill="5591C7"/>
          </w:tcPr>
          <w:p>
            <w:pPr>
              <w:spacing w:after="0"/>
              <w:rPr>
                <w:sz w:val="15"/>
                <w:szCs w:val="15"/>
                <w:color w:val="auto"/>
              </w:rPr>
            </w:pPr>
          </w:p>
        </w:tc>
        <w:tc>
          <w:tcPr>
            <w:tcW w:w="940" w:type="dxa"/>
            <w:vAlign w:val="bottom"/>
            <w:tcBorders>
              <w:bottom w:val="single" w:sz="8" w:color="auto"/>
            </w:tcBorders>
            <w:shd w:val="clear" w:color="auto" w:fill="5591C7"/>
          </w:tcPr>
          <w:p>
            <w:pPr>
              <w:jc w:val="right"/>
              <w:ind w:right="355"/>
              <w:spacing w:after="0"/>
              <w:rPr>
                <w:sz w:val="20"/>
                <w:szCs w:val="20"/>
                <w:color w:val="auto"/>
              </w:rPr>
            </w:pPr>
            <w:r>
              <w:rPr>
                <w:rFonts w:ascii="Arial" w:cs="Arial" w:eastAsia="Arial" w:hAnsi="Arial"/>
                <w:sz w:val="14"/>
                <w:szCs w:val="14"/>
                <w:b w:val="1"/>
                <w:bCs w:val="1"/>
                <w:color w:val="auto"/>
              </w:rPr>
              <w:t>2014</w:t>
            </w:r>
          </w:p>
        </w:tc>
      </w:tr>
      <w:tr>
        <w:trPr>
          <w:trHeight w:val="183"/>
        </w:trPr>
        <w:tc>
          <w:tcPr>
            <w:tcW w:w="8660" w:type="dxa"/>
            <w:vAlign w:val="bottom"/>
            <w:shd w:val="clear" w:color="auto" w:fill="5591C7"/>
          </w:tcPr>
          <w:p>
            <w:pPr>
              <w:spacing w:after="0"/>
              <w:rPr>
                <w:sz w:val="15"/>
                <w:szCs w:val="15"/>
                <w:color w:val="auto"/>
              </w:rPr>
            </w:pPr>
          </w:p>
        </w:tc>
        <w:tc>
          <w:tcPr>
            <w:tcW w:w="220" w:type="dxa"/>
            <w:vAlign w:val="bottom"/>
            <w:shd w:val="clear" w:color="auto" w:fill="5591C7"/>
          </w:tcPr>
          <w:p>
            <w:pPr>
              <w:spacing w:after="0"/>
              <w:rPr>
                <w:sz w:val="15"/>
                <w:szCs w:val="15"/>
                <w:color w:val="auto"/>
              </w:rPr>
            </w:pPr>
          </w:p>
        </w:tc>
        <w:tc>
          <w:tcPr>
            <w:tcW w:w="240" w:type="dxa"/>
            <w:vAlign w:val="bottom"/>
            <w:shd w:val="clear" w:color="auto" w:fill="5591C7"/>
          </w:tcPr>
          <w:p>
            <w:pPr>
              <w:spacing w:after="0"/>
              <w:rPr>
                <w:sz w:val="15"/>
                <w:szCs w:val="15"/>
                <w:color w:val="auto"/>
              </w:rPr>
            </w:pPr>
          </w:p>
        </w:tc>
        <w:tc>
          <w:tcPr>
            <w:tcW w:w="2300" w:type="dxa"/>
            <w:vAlign w:val="bottom"/>
            <w:gridSpan w:val="4"/>
            <w:shd w:val="clear" w:color="auto" w:fill="5591C7"/>
          </w:tcPr>
          <w:p>
            <w:pPr>
              <w:jc w:val="right"/>
              <w:ind w:right="635"/>
              <w:spacing w:after="0"/>
              <w:rPr>
                <w:sz w:val="20"/>
                <w:szCs w:val="20"/>
                <w:color w:val="auto"/>
              </w:rPr>
            </w:pPr>
            <w:r>
              <w:rPr>
                <w:rFonts w:ascii="Arial" w:cs="Arial" w:eastAsia="Arial" w:hAnsi="Arial"/>
                <w:sz w:val="14"/>
                <w:szCs w:val="14"/>
                <w:b w:val="1"/>
                <w:bCs w:val="1"/>
                <w:color w:val="auto"/>
              </w:rPr>
              <w:t>(in thousands)</w:t>
            </w:r>
          </w:p>
        </w:tc>
      </w:tr>
      <w:tr>
        <w:trPr>
          <w:trHeight w:val="230"/>
        </w:trPr>
        <w:tc>
          <w:tcPr>
            <w:tcW w:w="8660" w:type="dxa"/>
            <w:vAlign w:val="bottom"/>
            <w:shd w:val="clear" w:color="auto" w:fill="B8CDE8"/>
          </w:tcPr>
          <w:p>
            <w:pPr>
              <w:spacing w:after="0"/>
              <w:rPr>
                <w:sz w:val="20"/>
                <w:szCs w:val="20"/>
                <w:color w:val="auto"/>
              </w:rPr>
            </w:pPr>
            <w:r>
              <w:rPr>
                <w:rFonts w:ascii="Arial" w:cs="Arial" w:eastAsia="Arial" w:hAnsi="Arial"/>
                <w:sz w:val="18"/>
                <w:szCs w:val="18"/>
                <w:color w:val="auto"/>
              </w:rPr>
              <w:t>Audit Fees</w:t>
            </w:r>
          </w:p>
        </w:tc>
        <w:tc>
          <w:tcPr>
            <w:tcW w:w="460" w:type="dxa"/>
            <w:vAlign w:val="bottom"/>
            <w:gridSpan w:val="2"/>
            <w:shd w:val="clear" w:color="auto" w:fill="B8CDE8"/>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B8CDE8"/>
          </w:tcPr>
          <w:p>
            <w:pPr>
              <w:jc w:val="right"/>
              <w:spacing w:after="0"/>
              <w:rPr>
                <w:sz w:val="20"/>
                <w:szCs w:val="20"/>
                <w:color w:val="auto"/>
              </w:rPr>
            </w:pPr>
            <w:r>
              <w:rPr>
                <w:rFonts w:ascii="Arial" w:cs="Arial" w:eastAsia="Arial" w:hAnsi="Arial"/>
                <w:sz w:val="18"/>
                <w:szCs w:val="18"/>
                <w:color w:val="auto"/>
              </w:rPr>
              <w:t>1,453</w:t>
            </w:r>
          </w:p>
        </w:tc>
        <w:tc>
          <w:tcPr>
            <w:tcW w:w="420" w:type="dxa"/>
            <w:vAlign w:val="bottom"/>
            <w:gridSpan w:val="2"/>
            <w:shd w:val="clear" w:color="auto" w:fill="B8CDE8"/>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B8CDE8"/>
          </w:tcPr>
          <w:p>
            <w:pPr>
              <w:jc w:val="right"/>
              <w:spacing w:after="0"/>
              <w:rPr>
                <w:sz w:val="20"/>
                <w:szCs w:val="20"/>
                <w:color w:val="auto"/>
              </w:rPr>
            </w:pPr>
            <w:r>
              <w:rPr>
                <w:rFonts w:ascii="Arial" w:cs="Arial" w:eastAsia="Arial" w:hAnsi="Arial"/>
                <w:sz w:val="18"/>
                <w:szCs w:val="18"/>
                <w:color w:val="auto"/>
              </w:rPr>
              <w:t>1,302</w:t>
            </w:r>
          </w:p>
        </w:tc>
      </w:tr>
      <w:tr>
        <w:trPr>
          <w:trHeight w:val="230"/>
        </w:trPr>
        <w:tc>
          <w:tcPr>
            <w:tcW w:w="8660" w:type="dxa"/>
            <w:vAlign w:val="bottom"/>
          </w:tcPr>
          <w:p>
            <w:pPr>
              <w:spacing w:after="0"/>
              <w:rPr>
                <w:sz w:val="20"/>
                <w:szCs w:val="20"/>
                <w:color w:val="auto"/>
              </w:rPr>
            </w:pPr>
            <w:r>
              <w:rPr>
                <w:rFonts w:ascii="Arial" w:cs="Arial" w:eastAsia="Arial" w:hAnsi="Arial"/>
                <w:sz w:val="18"/>
                <w:szCs w:val="18"/>
                <w:color w:val="auto"/>
              </w:rPr>
              <w:t>Audit-Related Fees</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179</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211</w:t>
            </w:r>
          </w:p>
        </w:tc>
      </w:tr>
      <w:tr>
        <w:trPr>
          <w:trHeight w:val="230"/>
        </w:trPr>
        <w:tc>
          <w:tcPr>
            <w:tcW w:w="8660" w:type="dxa"/>
            <w:vAlign w:val="bottom"/>
            <w:shd w:val="clear" w:color="auto" w:fill="B8CDE8"/>
          </w:tcPr>
          <w:p>
            <w:pPr>
              <w:spacing w:after="0"/>
              <w:rPr>
                <w:sz w:val="20"/>
                <w:szCs w:val="20"/>
                <w:color w:val="auto"/>
              </w:rPr>
            </w:pPr>
            <w:r>
              <w:rPr>
                <w:rFonts w:ascii="Arial" w:cs="Arial" w:eastAsia="Arial" w:hAnsi="Arial"/>
                <w:sz w:val="18"/>
                <w:szCs w:val="18"/>
                <w:color w:val="auto"/>
              </w:rPr>
              <w:t>Tax Fees</w:t>
            </w:r>
          </w:p>
        </w:tc>
        <w:tc>
          <w:tcPr>
            <w:tcW w:w="220" w:type="dxa"/>
            <w:vAlign w:val="bottom"/>
            <w:shd w:val="clear" w:color="auto" w:fill="B8CDE8"/>
          </w:tcPr>
          <w:p>
            <w:pPr>
              <w:spacing w:after="0"/>
              <w:rPr>
                <w:sz w:val="19"/>
                <w:szCs w:val="19"/>
                <w:color w:val="auto"/>
              </w:rPr>
            </w:pPr>
          </w:p>
        </w:tc>
        <w:tc>
          <w:tcPr>
            <w:tcW w:w="240" w:type="dxa"/>
            <w:vAlign w:val="bottom"/>
            <w:shd w:val="clear" w:color="auto" w:fill="B8CDE8"/>
          </w:tcPr>
          <w:p>
            <w:pPr>
              <w:spacing w:after="0"/>
              <w:rPr>
                <w:sz w:val="19"/>
                <w:szCs w:val="19"/>
                <w:color w:val="auto"/>
              </w:rPr>
            </w:pPr>
          </w:p>
        </w:tc>
        <w:tc>
          <w:tcPr>
            <w:tcW w:w="940" w:type="dxa"/>
            <w:vAlign w:val="bottom"/>
            <w:shd w:val="clear" w:color="auto" w:fill="B8CDE8"/>
          </w:tcPr>
          <w:p>
            <w:pPr>
              <w:jc w:val="right"/>
              <w:spacing w:after="0"/>
              <w:rPr>
                <w:sz w:val="20"/>
                <w:szCs w:val="20"/>
                <w:color w:val="auto"/>
              </w:rPr>
            </w:pPr>
            <w:r>
              <w:rPr>
                <w:rFonts w:ascii="Arial" w:cs="Arial" w:eastAsia="Arial" w:hAnsi="Arial"/>
                <w:sz w:val="18"/>
                <w:szCs w:val="18"/>
                <w:color w:val="auto"/>
              </w:rPr>
              <w:t>45</w:t>
            </w:r>
          </w:p>
        </w:tc>
        <w:tc>
          <w:tcPr>
            <w:tcW w:w="180" w:type="dxa"/>
            <w:vAlign w:val="bottom"/>
            <w:shd w:val="clear" w:color="auto" w:fill="B8CDE8"/>
          </w:tcPr>
          <w:p>
            <w:pPr>
              <w:spacing w:after="0"/>
              <w:rPr>
                <w:sz w:val="19"/>
                <w:szCs w:val="19"/>
                <w:color w:val="auto"/>
              </w:rPr>
            </w:pPr>
          </w:p>
        </w:tc>
        <w:tc>
          <w:tcPr>
            <w:tcW w:w="240" w:type="dxa"/>
            <w:vAlign w:val="bottom"/>
            <w:shd w:val="clear" w:color="auto" w:fill="B8CDE8"/>
          </w:tcPr>
          <w:p>
            <w:pPr>
              <w:spacing w:after="0"/>
              <w:rPr>
                <w:sz w:val="19"/>
                <w:szCs w:val="19"/>
                <w:color w:val="auto"/>
              </w:rPr>
            </w:pPr>
          </w:p>
        </w:tc>
        <w:tc>
          <w:tcPr>
            <w:tcW w:w="940" w:type="dxa"/>
            <w:vAlign w:val="bottom"/>
            <w:shd w:val="clear" w:color="auto" w:fill="B8CDE8"/>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8660" w:type="dxa"/>
            <w:vAlign w:val="bottom"/>
            <w:tcBorders>
              <w:bottom w:val="single" w:sz="8" w:color="B8CDE8"/>
            </w:tcBorders>
          </w:tcPr>
          <w:p>
            <w:pPr>
              <w:spacing w:after="0"/>
              <w:rPr>
                <w:sz w:val="20"/>
                <w:szCs w:val="20"/>
                <w:color w:val="auto"/>
              </w:rPr>
            </w:pPr>
            <w:r>
              <w:rPr>
                <w:rFonts w:ascii="Arial" w:cs="Arial" w:eastAsia="Arial" w:hAnsi="Arial"/>
                <w:sz w:val="18"/>
                <w:szCs w:val="18"/>
                <w:color w:val="auto"/>
              </w:rPr>
              <w:t>All Other Fees</w:t>
            </w:r>
          </w:p>
        </w:tc>
        <w:tc>
          <w:tcPr>
            <w:tcW w:w="220" w:type="dxa"/>
            <w:vAlign w:val="bottom"/>
            <w:tcBorders>
              <w:bottom w:val="single" w:sz="8" w:color="B8CDE8"/>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80" w:type="dxa"/>
            <w:vAlign w:val="bottom"/>
            <w:tcBorders>
              <w:bottom w:val="single" w:sz="8" w:color="B8CDE8"/>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10"/>
        </w:trPr>
        <w:tc>
          <w:tcPr>
            <w:tcW w:w="8660" w:type="dxa"/>
            <w:vAlign w:val="bottom"/>
            <w:shd w:val="clear" w:color="auto" w:fill="B8CDE8"/>
          </w:tcPr>
          <w:p>
            <w:pPr>
              <w:spacing w:after="0"/>
              <w:rPr>
                <w:sz w:val="20"/>
                <w:szCs w:val="20"/>
                <w:color w:val="auto"/>
              </w:rPr>
            </w:pPr>
            <w:r>
              <w:rPr>
                <w:rFonts w:ascii="Arial" w:cs="Arial" w:eastAsia="Arial" w:hAnsi="Arial"/>
                <w:sz w:val="18"/>
                <w:szCs w:val="18"/>
                <w:color w:val="auto"/>
              </w:rPr>
              <w:t>Total Fees</w:t>
            </w:r>
          </w:p>
        </w:tc>
        <w:tc>
          <w:tcPr>
            <w:tcW w:w="460" w:type="dxa"/>
            <w:vAlign w:val="bottom"/>
            <w:gridSpan w:val="2"/>
            <w:shd w:val="clear" w:color="auto" w:fill="B8CDE8"/>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B8CDE8"/>
          </w:tcPr>
          <w:p>
            <w:pPr>
              <w:jc w:val="right"/>
              <w:spacing w:after="0"/>
              <w:rPr>
                <w:sz w:val="20"/>
                <w:szCs w:val="20"/>
                <w:color w:val="auto"/>
              </w:rPr>
            </w:pPr>
            <w:r>
              <w:rPr>
                <w:rFonts w:ascii="Arial" w:cs="Arial" w:eastAsia="Arial" w:hAnsi="Arial"/>
                <w:sz w:val="18"/>
                <w:szCs w:val="18"/>
                <w:color w:val="auto"/>
              </w:rPr>
              <w:t>1,708</w:t>
            </w:r>
          </w:p>
        </w:tc>
        <w:tc>
          <w:tcPr>
            <w:tcW w:w="420" w:type="dxa"/>
            <w:vAlign w:val="bottom"/>
            <w:gridSpan w:val="2"/>
            <w:shd w:val="clear" w:color="auto" w:fill="B8CDE8"/>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B8CDE8"/>
          </w:tcPr>
          <w:p>
            <w:pPr>
              <w:jc w:val="right"/>
              <w:spacing w:after="0"/>
              <w:rPr>
                <w:sz w:val="20"/>
                <w:szCs w:val="20"/>
                <w:color w:val="auto"/>
              </w:rPr>
            </w:pPr>
            <w:r>
              <w:rPr>
                <w:rFonts w:ascii="Arial" w:cs="Arial" w:eastAsia="Arial" w:hAnsi="Arial"/>
                <w:sz w:val="18"/>
                <w:szCs w:val="18"/>
                <w:color w:val="auto"/>
              </w:rPr>
              <w:t>1,526</w:t>
            </w:r>
          </w:p>
        </w:tc>
      </w:tr>
    </w:tbl>
    <w:p>
      <w:pPr>
        <w:spacing w:after="0" w:line="184" w:lineRule="exact"/>
        <w:rPr>
          <w:sz w:val="20"/>
          <w:szCs w:val="20"/>
          <w:color w:val="auto"/>
        </w:rPr>
      </w:pPr>
    </w:p>
    <w:p>
      <w:pPr>
        <w:ind w:right="60" w:firstLine="648"/>
        <w:spacing w:after="0" w:line="245" w:lineRule="auto"/>
        <w:rPr>
          <w:sz w:val="20"/>
          <w:szCs w:val="20"/>
          <w:color w:val="auto"/>
        </w:rPr>
      </w:pPr>
      <w:r>
        <w:rPr>
          <w:rFonts w:ascii="Arial" w:cs="Arial" w:eastAsia="Arial" w:hAnsi="Arial"/>
          <w:sz w:val="18"/>
          <w:szCs w:val="18"/>
          <w:i w:val="1"/>
          <w:iCs w:val="1"/>
          <w:color w:val="auto"/>
        </w:rPr>
        <w:t>Audit Fees</w:t>
      </w:r>
      <w:r>
        <w:rPr>
          <w:rFonts w:ascii="Arial" w:cs="Arial" w:eastAsia="Arial" w:hAnsi="Arial"/>
          <w:sz w:val="18"/>
          <w:szCs w:val="18"/>
          <w:color w:val="auto"/>
        </w:rPr>
        <w:t>. Consist of fees billed for professional services rendered for the audit of our consolidated financial statements, including (i)</w:t>
      </w:r>
      <w:r>
        <w:rPr>
          <w:rFonts w:ascii="Arial" w:cs="Arial" w:eastAsia="Arial" w:hAnsi="Arial"/>
          <w:sz w:val="18"/>
          <w:szCs w:val="18"/>
          <w:i w:val="1"/>
          <w:iCs w:val="1"/>
          <w:color w:val="auto"/>
        </w:rPr>
        <w:t xml:space="preserve"> </w:t>
      </w:r>
      <w:r>
        <w:rPr>
          <w:rFonts w:ascii="Arial" w:cs="Arial" w:eastAsia="Arial" w:hAnsi="Arial"/>
          <w:sz w:val="18"/>
          <w:szCs w:val="18"/>
          <w:color w:val="auto"/>
        </w:rPr>
        <w:t>the audit of effectiveness of internal control over financial reporting, (ii) review of our consolidated financial statements included in our quarterly reports or (iii) services that are normally provided by our registered independent public accountants in connection with statutory or regulatory filings or engagements for those fiscal years.</w:t>
      </w:r>
    </w:p>
    <w:p>
      <w:pPr>
        <w:spacing w:after="0" w:line="168" w:lineRule="exact"/>
        <w:rPr>
          <w:sz w:val="20"/>
          <w:szCs w:val="20"/>
          <w:color w:val="auto"/>
        </w:rPr>
      </w:pPr>
    </w:p>
    <w:p>
      <w:pPr>
        <w:jc w:val="both"/>
        <w:ind w:right="400" w:firstLine="648"/>
        <w:spacing w:after="0" w:line="251" w:lineRule="auto"/>
        <w:rPr>
          <w:sz w:val="20"/>
          <w:szCs w:val="20"/>
          <w:color w:val="auto"/>
        </w:rPr>
      </w:pPr>
      <w:r>
        <w:rPr>
          <w:rFonts w:ascii="Arial" w:cs="Arial" w:eastAsia="Arial" w:hAnsi="Arial"/>
          <w:sz w:val="18"/>
          <w:szCs w:val="18"/>
          <w:i w:val="1"/>
          <w:iCs w:val="1"/>
          <w:color w:val="auto"/>
        </w:rPr>
        <w:t>Audit-Related Fees</w:t>
      </w:r>
      <w:r>
        <w:rPr>
          <w:rFonts w:ascii="Arial" w:cs="Arial" w:eastAsia="Arial" w:hAnsi="Arial"/>
          <w:sz w:val="18"/>
          <w:szCs w:val="18"/>
          <w:color w:val="auto"/>
        </w:rPr>
        <w:t>. Consist of fees billed for assurance and related services that are reasonably related to the performance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audit or review of our consolidated financial statements and are not reported under “Audit Fees.” These services include SSAE 16 service organization audits, and Federal Reserve and tax certification for Indian legal entities.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Tax Fees</w:t>
      </w:r>
      <w:r>
        <w:rPr>
          <w:rFonts w:ascii="Arial" w:cs="Arial" w:eastAsia="Arial" w:hAnsi="Arial"/>
          <w:sz w:val="18"/>
          <w:szCs w:val="18"/>
          <w:color w:val="auto"/>
        </w:rPr>
        <w:t>. Consist primarily of fees for other tax filing or advisory projects.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All Other Fees</w:t>
      </w:r>
      <w:r>
        <w:rPr>
          <w:rFonts w:ascii="Arial" w:cs="Arial" w:eastAsia="Arial" w:hAnsi="Arial"/>
          <w:sz w:val="18"/>
          <w:szCs w:val="18"/>
          <w:color w:val="auto"/>
        </w:rPr>
        <w:t>. Consist of fees billed for products and services other than as reported above.</w:t>
      </w:r>
    </w:p>
    <w:p>
      <w:pPr>
        <w:spacing w:after="0" w:line="216" w:lineRule="exact"/>
        <w:rPr>
          <w:sz w:val="20"/>
          <w:szCs w:val="20"/>
          <w:color w:val="auto"/>
        </w:rPr>
      </w:pPr>
    </w:p>
    <w:p>
      <w:pPr>
        <w:ind w:right="700" w:firstLine="648"/>
        <w:spacing w:after="0" w:line="246" w:lineRule="auto"/>
        <w:rPr>
          <w:sz w:val="20"/>
          <w:szCs w:val="20"/>
          <w:color w:val="auto"/>
        </w:rPr>
      </w:pPr>
      <w:r>
        <w:rPr>
          <w:rFonts w:ascii="Arial" w:cs="Arial" w:eastAsia="Arial" w:hAnsi="Arial"/>
          <w:sz w:val="18"/>
          <w:szCs w:val="18"/>
          <w:color w:val="auto"/>
        </w:rPr>
        <w:t>Our Audit Committee pre-approves and is responsible for the engagement of all auditing services provided by our independent registered public accountants and all non-auditing services to be provided by such accountants to the extent permitted under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59" w:right="239" w:bottom="1440" w:gutter="0" w:footer="0" w:header="0"/>
        </w:sectPr>
      </w:pPr>
    </w:p>
    <w:bookmarkStart w:id="82" w:name="page83"/>
    <w:bookmarkEnd w:id="82"/>
    <w:p>
      <w:pPr>
        <w:jc w:val="both"/>
        <w:ind w:right="100"/>
        <w:spacing w:after="0" w:line="261" w:lineRule="auto"/>
        <w:rPr>
          <w:sz w:val="20"/>
          <w:szCs w:val="20"/>
          <w:color w:val="auto"/>
        </w:rPr>
      </w:pPr>
      <w:r>
        <w:rPr>
          <w:rFonts w:ascii="Arial" w:cs="Arial" w:eastAsia="Arial" w:hAnsi="Arial"/>
          <w:sz w:val="17"/>
          <w:szCs w:val="17"/>
          <w:color w:val="auto"/>
        </w:rPr>
        <w:t>Section 10A of the Exchange Act, including all fees and other terms of engagement. Our Audit Committee may delegate the authority to pre-approve audit and permitted non-audit services between meetings of our Audit Committee to a designated member of our Audit Committee, provided that the decisions made by such member are presented to our full Audit Committee for ratification at its next scheduled meeting.</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of the fees paid to Ernst &amp; Young LLP in 2015 and 2014 were pre-approved by the Audit Committee.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220"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The ratification of the appointment of Ernst &amp; Young LLP as our independent registered public accounting firm requires the affirmative vote of a majority of shares present in person or represented by proxy and entitled to vote at the Annual Meeting. Unless marked to the contrary, proxies received will be voted “FOR” ratification of the appointment.</w:t>
      </w:r>
    </w:p>
    <w:p>
      <w:pPr>
        <w:spacing w:after="0" w:line="167" w:lineRule="exact"/>
        <w:rPr>
          <w:sz w:val="20"/>
          <w:szCs w:val="20"/>
          <w:color w:val="auto"/>
        </w:rPr>
      </w:pPr>
    </w:p>
    <w:p>
      <w:pPr>
        <w:ind w:right="100" w:firstLine="648"/>
        <w:spacing w:after="0" w:line="271" w:lineRule="auto"/>
        <w:rPr>
          <w:sz w:val="20"/>
          <w:szCs w:val="20"/>
          <w:color w:val="auto"/>
        </w:rPr>
      </w:pPr>
      <w:r>
        <w:rPr>
          <w:rFonts w:ascii="Arial" w:cs="Arial" w:eastAsia="Arial" w:hAnsi="Arial"/>
          <w:sz w:val="18"/>
          <w:szCs w:val="18"/>
          <w:b w:val="1"/>
          <w:bCs w:val="1"/>
          <w:color w:val="auto"/>
        </w:rPr>
        <w:t>Our board of directors recommends a vote FOR the ratification of Ernst &amp; Young LLP as our independent registered public accounting firm</w:t>
      </w:r>
      <w:r>
        <w:rPr>
          <w:rFonts w:ascii="Arial" w:cs="Arial" w:eastAsia="Arial" w:hAnsi="Arial"/>
          <w:sz w:val="18"/>
          <w:szCs w:val="18"/>
          <w:color w:val="auto"/>
        </w:rPr>
        <w:t>.</w:t>
      </w:r>
    </w:p>
    <w:p>
      <w:pPr>
        <w:spacing w:after="0" w:line="37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240" w:top="881" w:right="419" w:bottom="1440" w:gutter="0" w:footer="0" w:header="0"/>
        </w:sectPr>
      </w:pPr>
    </w:p>
    <w:bookmarkStart w:id="83" w:name="page84"/>
    <w:bookmarkEnd w:id="83"/>
    <w:p>
      <w:pPr>
        <w:jc w:val="center"/>
        <w:ind w:right="-59"/>
        <w:spacing w:after="0"/>
        <w:rPr>
          <w:sz w:val="20"/>
          <w:szCs w:val="20"/>
          <w:color w:val="auto"/>
        </w:rPr>
      </w:pPr>
      <w:r>
        <w:rPr>
          <w:rFonts w:ascii="Arial" w:cs="Arial" w:eastAsia="Arial" w:hAnsi="Arial"/>
          <w:sz w:val="18"/>
          <w:szCs w:val="18"/>
          <w:b w:val="1"/>
          <w:bCs w:val="1"/>
          <w:color w:val="auto"/>
        </w:rPr>
        <w:t>PROPOSAL 3</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ADVISORY (NON-BINDING) VOTE ON EXECUTIVE COMPENSATION</w:t>
      </w:r>
    </w:p>
    <w:p>
      <w:pPr>
        <w:spacing w:after="0" w:line="198" w:lineRule="exact"/>
        <w:rPr>
          <w:sz w:val="20"/>
          <w:szCs w:val="20"/>
          <w:color w:val="auto"/>
        </w:rPr>
      </w:pPr>
    </w:p>
    <w:p>
      <w:pPr>
        <w:ind w:right="160" w:firstLine="648"/>
        <w:spacing w:after="0"/>
        <w:rPr>
          <w:sz w:val="20"/>
          <w:szCs w:val="20"/>
          <w:color w:val="auto"/>
        </w:rPr>
      </w:pPr>
      <w:r>
        <w:rPr>
          <w:rFonts w:ascii="Arial" w:cs="Arial" w:eastAsia="Arial" w:hAnsi="Arial"/>
          <w:sz w:val="18"/>
          <w:szCs w:val="18"/>
          <w:color w:val="auto"/>
        </w:rPr>
        <w:t>Proposal 3 is an advisory (non-binding) vote on the compensation of our executive officers as described in this proxy statement. Although the vote is advisory and is not binding on the board of directors, our Compensation Committee will take into account the outcome of the vote when considering future executive compensation decisions. We refer to this non-binding advisory vote as the “say-on-pay” vote.</w:t>
      </w:r>
    </w:p>
    <w:p>
      <w:pPr>
        <w:spacing w:after="0" w:line="189"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At the 2011 Annual Meeting of Stockholders, our stockholders voted on a proposal relating to the frequency of the “say-on-pay” vote. We recommended, and our stockholders approved on an advisory, non-binding basis, an annual say-on-pay vote. Accordingly, we include the say-on-pay vote each year as a regular part of each Annual Meeting of Stockholders, and the next such say-on-pay vote will occur at next year’s Annual Meeting of Stockholders. The next vote on the frequency of the “say-on-pay” vote will also be held at next year’s Annual Meeting of Stockholders.</w:t>
      </w:r>
    </w:p>
    <w:p>
      <w:pPr>
        <w:spacing w:after="0" w:line="189" w:lineRule="exact"/>
        <w:rPr>
          <w:sz w:val="20"/>
          <w:szCs w:val="20"/>
          <w:color w:val="auto"/>
        </w:rPr>
      </w:pPr>
    </w:p>
    <w:p>
      <w:pPr>
        <w:ind w:right="60" w:firstLine="648"/>
        <w:spacing w:after="0" w:line="236" w:lineRule="auto"/>
        <w:rPr>
          <w:sz w:val="20"/>
          <w:szCs w:val="20"/>
          <w:color w:val="auto"/>
        </w:rPr>
      </w:pPr>
      <w:r>
        <w:rPr>
          <w:rFonts w:ascii="Arial" w:cs="Arial" w:eastAsia="Arial" w:hAnsi="Arial"/>
          <w:sz w:val="18"/>
          <w:szCs w:val="18"/>
          <w:color w:val="auto"/>
        </w:rPr>
        <w:t>Our board of directors is committed to corporate governance best practices and recognizes the significant interest of stockholders in executive compensation matters. As discussed in the Compensation Discussion and Analysis, our board of directors believes that our current executive compensation program directly links executive compensation to our performance and aligns the interests of our executive officers with those of our stockholders. For example, the bulk of our annual incentive bonuses are earned based on achievement of two core financial metrics: Adjusted EPS and revenues. As we discuss in greater detail in our Compensation Discussion and Analysis, these financial metrics focus our named executive officers on top-line revenues and bottom-line earnings that are likely to make meaningful contributions to our future financial performance. We believe rewarding our executives with incentive pay based on achievement of these three financial metrics closely aligns management with the interests of our stockholders.</w:t>
      </w:r>
    </w:p>
    <w:p>
      <w:pPr>
        <w:spacing w:after="0" w:line="195" w:lineRule="exact"/>
        <w:rPr>
          <w:sz w:val="20"/>
          <w:szCs w:val="20"/>
          <w:color w:val="auto"/>
        </w:rPr>
      </w:pPr>
    </w:p>
    <w:p>
      <w:pPr>
        <w:ind w:right="40" w:firstLine="648"/>
        <w:spacing w:after="0" w:line="246" w:lineRule="auto"/>
        <w:rPr>
          <w:sz w:val="20"/>
          <w:szCs w:val="20"/>
          <w:color w:val="auto"/>
        </w:rPr>
      </w:pPr>
      <w:r>
        <w:rPr>
          <w:rFonts w:ascii="Arial" w:cs="Arial" w:eastAsia="Arial" w:hAnsi="Arial"/>
          <w:sz w:val="18"/>
          <w:szCs w:val="18"/>
          <w:color w:val="auto"/>
        </w:rPr>
        <w:t>In addition, our philosophy places more emphasis on variable elements of compensation (such as incentive bonuses and equity-based compensation) than fixed remuneration.</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stockholders have the opportunity to vote for, against or abstain from voting on the following resolution:</w:t>
      </w:r>
    </w:p>
    <w:p>
      <w:pPr>
        <w:spacing w:after="0" w:line="176" w:lineRule="exact"/>
        <w:rPr>
          <w:sz w:val="20"/>
          <w:szCs w:val="20"/>
          <w:color w:val="auto"/>
        </w:rPr>
      </w:pPr>
    </w:p>
    <w:p>
      <w:pPr>
        <w:ind w:left="660" w:right="540"/>
        <w:spacing w:after="0" w:line="275" w:lineRule="auto"/>
        <w:rPr>
          <w:sz w:val="20"/>
          <w:szCs w:val="20"/>
          <w:color w:val="auto"/>
        </w:rPr>
      </w:pPr>
      <w:r>
        <w:rPr>
          <w:rFonts w:ascii="Arial" w:cs="Arial" w:eastAsia="Arial" w:hAnsi="Arial"/>
          <w:sz w:val="17"/>
          <w:szCs w:val="17"/>
          <w:b w:val="1"/>
          <w:bCs w:val="1"/>
          <w:color w:val="auto"/>
        </w:rPr>
        <w:t>“Resolved, that the stockholders approve on an advisory basis the compensation of our named executive officers, as disclosed pursuant to the compensation disclosure rules of the SEC (which disclosure shall include the Compensation Discussion and Analysis, the compensation tables and any related material disclosed in this proxy statement).”</w:t>
      </w:r>
    </w:p>
    <w:p>
      <w:pPr>
        <w:spacing w:after="0" w:line="160" w:lineRule="exact"/>
        <w:rPr>
          <w:sz w:val="20"/>
          <w:szCs w:val="20"/>
          <w:color w:val="auto"/>
        </w:rPr>
      </w:pPr>
    </w:p>
    <w:p>
      <w:pPr>
        <w:ind w:right="320" w:firstLine="648"/>
        <w:spacing w:after="0" w:line="246" w:lineRule="auto"/>
        <w:rPr>
          <w:sz w:val="20"/>
          <w:szCs w:val="20"/>
          <w:color w:val="auto"/>
        </w:rPr>
      </w:pPr>
      <w:r>
        <w:rPr>
          <w:rFonts w:ascii="Arial" w:cs="Arial" w:eastAsia="Arial" w:hAnsi="Arial"/>
          <w:sz w:val="18"/>
          <w:szCs w:val="18"/>
          <w:color w:val="auto"/>
        </w:rPr>
        <w:t>The above-referenced disclosures related to the compensation of our named executive officers appear beginning at page 23 of this proxy statement.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220"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The approval of the compensation of our named executive officers requires the affirmative vote of a majority of shares present in person or represented by proxy and entitled to vote at the Annual Meeting. Unless marked to the contrary, proxies received will be voted “FOR” the approval of the compensation of our named executive officers.</w:t>
      </w:r>
    </w:p>
    <w:p>
      <w:pPr>
        <w:spacing w:after="0" w:line="167" w:lineRule="exact"/>
        <w:rPr>
          <w:sz w:val="20"/>
          <w:szCs w:val="20"/>
          <w:color w:val="auto"/>
        </w:rPr>
      </w:pPr>
    </w:p>
    <w:p>
      <w:pPr>
        <w:jc w:val="both"/>
        <w:ind w:right="620" w:firstLine="648"/>
        <w:spacing w:after="0" w:line="253" w:lineRule="auto"/>
        <w:rPr>
          <w:sz w:val="20"/>
          <w:szCs w:val="20"/>
          <w:color w:val="auto"/>
        </w:rPr>
      </w:pPr>
      <w:r>
        <w:rPr>
          <w:rFonts w:ascii="Arial" w:cs="Arial" w:eastAsia="Arial" w:hAnsi="Arial"/>
          <w:sz w:val="18"/>
          <w:szCs w:val="18"/>
          <w:b w:val="1"/>
          <w:bCs w:val="1"/>
          <w:color w:val="auto"/>
        </w:rPr>
        <w:t>Our board of directors recommends a vote FOR the approval on an advisory basis of the compensation of our named executive officers as disclosed pursuant to the compensation disclosure rules of the SEC (which disclosure shall include the Compensation Discussion and Analysis, the compensation tables and any related material disclosed in this proxy statement).</w:t>
      </w: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59" w:right="279" w:bottom="1440" w:gutter="0" w:footer="0" w:header="0"/>
        </w:sectPr>
      </w:pPr>
    </w:p>
    <w:bookmarkStart w:id="84" w:name="page85"/>
    <w:bookmarkEnd w:id="84"/>
    <w:p>
      <w:pPr>
        <w:jc w:val="center"/>
        <w:ind w:right="-19"/>
        <w:spacing w:after="0"/>
        <w:rPr>
          <w:sz w:val="20"/>
          <w:szCs w:val="20"/>
          <w:color w:val="auto"/>
        </w:rPr>
      </w:pPr>
      <w:r>
        <w:rPr>
          <w:rFonts w:ascii="Arial" w:cs="Arial" w:eastAsia="Arial" w:hAnsi="Arial"/>
          <w:sz w:val="18"/>
          <w:szCs w:val="18"/>
          <w:b w:val="1"/>
          <w:bCs w:val="1"/>
          <w:color w:val="auto"/>
        </w:rPr>
        <w:t>STOCKHOLDER PROPOSALS AND DIRECTOR NOMINATIONS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2017 ANNUAL MEETING</w:t>
      </w:r>
    </w:p>
    <w:p>
      <w:pPr>
        <w:spacing w:after="0" w:line="220" w:lineRule="exact"/>
        <w:rPr>
          <w:sz w:val="20"/>
          <w:szCs w:val="20"/>
          <w:color w:val="auto"/>
        </w:rPr>
      </w:pPr>
    </w:p>
    <w:p>
      <w:pPr>
        <w:ind w:right="200" w:firstLine="648"/>
        <w:spacing w:after="0" w:line="237" w:lineRule="auto"/>
        <w:rPr>
          <w:sz w:val="20"/>
          <w:szCs w:val="20"/>
          <w:color w:val="auto"/>
        </w:rPr>
      </w:pPr>
      <w:r>
        <w:rPr>
          <w:rFonts w:ascii="Arial" w:cs="Arial" w:eastAsia="Arial" w:hAnsi="Arial"/>
          <w:sz w:val="18"/>
          <w:szCs w:val="18"/>
          <w:color w:val="auto"/>
        </w:rPr>
        <w:t>Stockholder proposals intended to be included in our proxy materials for the 2017 Annual Meeting of Stockholders (“2017 Annual Meeting”) must be received by the deadline calculated in accordance with SEC Rule 14a-8, which is 120 days before the anniversary of the date of this year’s proxy statement. This year’s deadline is Friday, December 30, 2016. Such proposals must include the information required by SEC rules, and should be sent in writing by courier or certified mail to the Corporate Secretary of the Company at 280 Park Avenue, 38th Floor, New York, New York 10017. Stockholder proposals that are sent to any other person or location or by any other means may not be received in a timely manner and thus ineligible for inclusion.</w:t>
      </w:r>
    </w:p>
    <w:p>
      <w:pPr>
        <w:spacing w:after="0" w:line="192" w:lineRule="exact"/>
        <w:rPr>
          <w:sz w:val="20"/>
          <w:szCs w:val="20"/>
          <w:color w:val="auto"/>
        </w:rPr>
      </w:pPr>
    </w:p>
    <w:p>
      <w:pPr>
        <w:ind w:right="120" w:firstLine="648"/>
        <w:spacing w:after="0" w:line="237" w:lineRule="auto"/>
        <w:rPr>
          <w:sz w:val="20"/>
          <w:szCs w:val="20"/>
          <w:color w:val="auto"/>
        </w:rPr>
      </w:pPr>
      <w:r>
        <w:rPr>
          <w:rFonts w:ascii="Arial" w:cs="Arial" w:eastAsia="Arial" w:hAnsi="Arial"/>
          <w:sz w:val="18"/>
          <w:szCs w:val="18"/>
          <w:color w:val="auto"/>
        </w:rPr>
        <w:t>Stockholders who intend to submit proposals at the 2017 Annual Meeting but whose proposals are not included in the proxy materials for the meeting, and stockholders who intend to submit nominations for directors at the 2017 Annual Meeting, are required to notify the Corporate Secretary of the Company (at the address above) of their proposal or nominations not less than 90 days, nor more than 120 days, before the anniversary of this year’s Annual Meeting of Stockholders, in accordance with our by-laws. This year such notice must be delivered between February 17, 2017 and March 19, 2017. Special notice provisions apply under the by-laws if the date of the 2017 Annual Meeting is more than 30 days before or 70 days after the anniversary date of this year’s Annual Meeting of Stockholders.</w:t>
      </w:r>
    </w:p>
    <w:p>
      <w:pPr>
        <w:spacing w:after="0" w:line="192"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Any notice of proposed business or nomination, whether or not included in our proxy statement, must include the information required under our by-laws, including Section 2.11.4, in order for the matter to be eligible for consideration at the 2017 Annual Meeting. The presiding officer of the 2017 Annual Meeting may refuse to acknowledge any matter or nomination not made in compliance with the procedures in our by-laws. Our by-laws can be found on our website and the current SEC rules for submitting stockholder proposals can be obtained from the SEC at: Division of Corporation Finance, 100 F. Street, N.E., Washington, DC 20549, or through the SEC’s Internet website at www.sec.gov.</w:t>
      </w:r>
    </w:p>
    <w:p>
      <w:pPr>
        <w:spacing w:after="0" w:line="167"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MISCELLANEOUS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Delivery of Documents to Stockholders Sharing an Address</w:t>
      </w:r>
    </w:p>
    <w:p>
      <w:pPr>
        <w:spacing w:after="0" w:line="220"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If you are the beneficial owner, but not the record holder, of shares of our common stock, your broker, bank, trust or other nominee may only deliver one copy of this proxy statement and our 2015 Annual Report to multiple stockholders who share an address unless that nominee has received contrary instructions from one or more of the stockholders. We will deliver promptly, upon written or oral request, a separate copy of this proxy statement and our 2015 Annual Report to a stockholder at a shared address to which a single copy of the documents was delivered. A stockholder who wishes to receive a separate copy of the proxy statement and annual report, now or in the future, should submit this request to our investor relations department through our website at www.exlservice.com. Beneficial owners sharing an address who are receiving multiple copies of proxy materials and annual reports and who wish to receive a single copy of such materials in the future will need to contact their broker, bank, trust or other nominee to request that only a single copy of each document be mailed to all stockholders at the shared address in the future.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59" w:right="25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Electronic Access to Proxy Statement and Annual Report</w:t>
      </w:r>
    </w:p>
    <w:p>
      <w:pPr>
        <w:spacing w:after="0" w:line="220" w:lineRule="exact"/>
        <w:rPr>
          <w:sz w:val="20"/>
          <w:szCs w:val="20"/>
          <w:color w:val="auto"/>
        </w:rPr>
      </w:pPr>
    </w:p>
    <w:p>
      <w:pPr>
        <w:ind w:right="80" w:firstLine="648"/>
        <w:spacing w:after="0" w:line="237" w:lineRule="auto"/>
        <w:rPr>
          <w:sz w:val="20"/>
          <w:szCs w:val="20"/>
          <w:color w:val="auto"/>
        </w:rPr>
      </w:pPr>
      <w:r>
        <w:rPr>
          <w:rFonts w:ascii="Arial" w:cs="Arial" w:eastAsia="Arial" w:hAnsi="Arial"/>
          <w:sz w:val="18"/>
          <w:szCs w:val="18"/>
          <w:color w:val="auto"/>
        </w:rPr>
        <w:t xml:space="preserve">This proxy statement and our 2015 Annual Report on Form 10-K may be viewed on our website at </w:t>
      </w:r>
      <w:r>
        <w:rPr>
          <w:rFonts w:ascii="Arial" w:cs="Arial" w:eastAsia="Arial" w:hAnsi="Arial"/>
          <w:sz w:val="18"/>
          <w:szCs w:val="18"/>
          <w:u w:val="single" w:color="auto"/>
          <w:color w:val="auto"/>
        </w:rPr>
        <w:t>www.exlservice.com</w:t>
      </w:r>
      <w:r>
        <w:rPr>
          <w:rFonts w:ascii="Arial" w:cs="Arial" w:eastAsia="Arial" w:hAnsi="Arial"/>
          <w:sz w:val="18"/>
          <w:szCs w:val="18"/>
          <w:color w:val="auto"/>
        </w:rPr>
        <w:t xml:space="preserve"> and at </w:t>
      </w:r>
      <w:r>
        <w:rPr>
          <w:rFonts w:ascii="Arial" w:cs="Arial" w:eastAsia="Arial" w:hAnsi="Arial"/>
          <w:sz w:val="18"/>
          <w:szCs w:val="18"/>
          <w:u w:val="single" w:color="auto"/>
          <w:color w:val="auto"/>
        </w:rPr>
        <w:t>www.proxyvote.com</w:t>
      </w:r>
      <w:r>
        <w:rPr>
          <w:rFonts w:ascii="Arial" w:cs="Arial" w:eastAsia="Arial" w:hAnsi="Arial"/>
          <w:sz w:val="18"/>
          <w:szCs w:val="18"/>
          <w:color w:val="auto"/>
        </w:rPr>
        <w:t xml:space="preserve"> by following the instructions provided in the Internet Notice. If you are a stockholder of record, you can elect to access future annual reports and proxy statements electronically by marking the appropriate box on your proxy form. If you choose this option, you will receive a proxy form in mid-May listing the website locations and your choice will remain in effect until you notify us by mail that you wish to resume mail delivery of these documents. If you hold your common stock through a bank, broker or another holder of record, refer to the information provided by that entity for instructions on how to elect this option.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220"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Our board of directors does not know of any other business that will be presented at the Annual Meeting. If any other business is properly brought before the Annual Meeting, your proxy holders will vote on it as they think best unless you direct them otherwise in your proxy instructions.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Whether or not you intend to be present at the Annual Meeting, we urge you to submit your signed proxy promptly.</w:t>
      </w:r>
    </w:p>
    <w:p>
      <w:pPr>
        <w:spacing w:after="0" w:line="198"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By Order of the Board of Directors,</w:t>
      </w:r>
    </w:p>
    <w:p>
      <w:pPr>
        <w:spacing w:after="0" w:line="194"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Nancy Saltzman</w:t>
      </w:r>
    </w:p>
    <w:p>
      <w:pPr>
        <w:ind w:left="8000"/>
        <w:spacing w:after="0" w:line="234" w:lineRule="auto"/>
        <w:rPr>
          <w:sz w:val="20"/>
          <w:szCs w:val="20"/>
          <w:color w:val="auto"/>
        </w:rPr>
      </w:pPr>
      <w:r>
        <w:rPr>
          <w:rFonts w:ascii="Arial" w:cs="Arial" w:eastAsia="Arial" w:hAnsi="Arial"/>
          <w:sz w:val="18"/>
          <w:szCs w:val="18"/>
          <w:color w:val="auto"/>
        </w:rPr>
        <w:t>Executive Vice President,</w:t>
      </w:r>
    </w:p>
    <w:p>
      <w:pPr>
        <w:ind w:left="8000"/>
        <w:spacing w:after="0" w:line="235" w:lineRule="auto"/>
        <w:rPr>
          <w:sz w:val="20"/>
          <w:szCs w:val="20"/>
          <w:color w:val="auto"/>
        </w:rPr>
      </w:pPr>
      <w:r>
        <w:rPr>
          <w:rFonts w:ascii="Arial" w:cs="Arial" w:eastAsia="Arial" w:hAnsi="Arial"/>
          <w:sz w:val="18"/>
          <w:szCs w:val="18"/>
          <w:color w:val="auto"/>
        </w:rPr>
        <w:t>General Counsel and</w:t>
      </w:r>
    </w:p>
    <w:p>
      <w:pPr>
        <w:spacing w:after="0" w:line="1"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Corporate Secretary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rPr>
          <w:sz w:val="20"/>
          <w:szCs w:val="20"/>
          <w:color w:val="auto"/>
        </w:rPr>
      </w:pPr>
      <w:r>
        <w:rPr>
          <w:rFonts w:ascii="Arial" w:cs="Arial" w:eastAsia="Arial" w:hAnsi="Arial"/>
          <w:sz w:val="18"/>
          <w:szCs w:val="18"/>
          <w:color w:val="auto"/>
        </w:rPr>
        <w:t>April 29, 2016</w:t>
      </w:r>
    </w:p>
    <w:p>
      <w:pPr>
        <w:spacing w:after="0" w:line="176" w:lineRule="exact"/>
        <w:rPr>
          <w:sz w:val="20"/>
          <w:szCs w:val="20"/>
          <w:color w:val="auto"/>
        </w:rPr>
      </w:pPr>
    </w:p>
    <w:p>
      <w:pPr>
        <w:spacing w:after="0" w:line="242" w:lineRule="auto"/>
        <w:rPr>
          <w:sz w:val="20"/>
          <w:szCs w:val="20"/>
          <w:color w:val="auto"/>
        </w:rPr>
      </w:pPr>
      <w:r>
        <w:rPr>
          <w:rFonts w:ascii="Arial" w:cs="Arial" w:eastAsia="Arial" w:hAnsi="Arial"/>
          <w:sz w:val="18"/>
          <w:szCs w:val="18"/>
          <w:b w:val="1"/>
          <w:bCs w:val="1"/>
          <w:color w:val="auto"/>
        </w:rPr>
        <w:t>We will furnish without charge to each person whose proxy is being solicited, upon the written request of any such person, a copy of the Company’s Annual Report on Form 10-K for the fiscal year ended December 31, 2015, as filed with the SEC, as well as copies of exhibits to the Annual Report on Form 10-K, but for copies of exhibits will charge a reasonable fee per page to any requesting stockholder. Stockholders may make such request in writing to ExlService Holdings, Inc., 280 Park Avenue, 38th Floor, New York, New York 10017, Attention: Investor Relations. The request must include a representation by the stockholder that as of April 21, 2016, the stockholder was entitled to vote at the Annual Meeting.</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59" w:right="239" w:bottom="1440" w:gutter="0" w:footer="0" w:header="0"/>
        </w:sectPr>
      </w:pPr>
    </w:p>
    <w:bookmarkStart w:id="86" w:name="page87"/>
    <w:bookmarkEnd w:id="86"/>
    <w:p>
      <w:pPr>
        <w:spacing w:after="0" w:line="200" w:lineRule="exact"/>
        <w:rPr>
          <w:sz w:val="20"/>
          <w:szCs w:val="20"/>
          <w:color w:val="auto"/>
        </w:rPr>
      </w:pPr>
    </w:p>
    <w:p>
      <w:pPr>
        <w:spacing w:after="0" w:line="209" w:lineRule="exact"/>
        <w:rPr>
          <w:sz w:val="20"/>
          <w:szCs w:val="20"/>
          <w:color w:val="auto"/>
        </w:rPr>
      </w:pPr>
    </w:p>
    <w:p>
      <w:pPr>
        <w:ind w:left="480" w:right="1300"/>
        <w:spacing w:after="0" w:line="247" w:lineRule="auto"/>
        <w:rPr>
          <w:sz w:val="20"/>
          <w:szCs w:val="20"/>
          <w:color w:val="auto"/>
        </w:rPr>
      </w:pPr>
      <w:r>
        <w:rPr>
          <w:rFonts w:ascii="Arial" w:cs="Arial" w:eastAsia="Arial" w:hAnsi="Arial"/>
          <w:sz w:val="18"/>
          <w:szCs w:val="18"/>
          <w:b w:val="1"/>
          <w:bCs w:val="1"/>
          <w:i w:val="1"/>
          <w:iCs w:val="1"/>
          <w:color w:val="auto"/>
        </w:rPr>
        <w:t>EXLSERVICE HOLDINGS, INC. 280 PARK AVENUE, 38TH FLOOR NEW YORK, NY 10017 ATTN: ACCOUNTS PAYABLE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 xml:space="preserve">VOTE BY INTERNET - </w:t>
      </w:r>
      <w:r>
        <w:rPr>
          <w:rFonts w:ascii="Arial" w:cs="Arial" w:eastAsia="Arial" w:hAnsi="Arial"/>
          <w:sz w:val="14"/>
          <w:szCs w:val="14"/>
          <w:b w:val="1"/>
          <w:bCs w:val="1"/>
          <w:u w:val="single" w:color="auto"/>
          <w:color w:val="auto"/>
        </w:rPr>
        <w:t>www.proxyvote.com</w:t>
      </w:r>
    </w:p>
    <w:p>
      <w:pPr>
        <w:spacing w:after="0" w:line="19" w:lineRule="exact"/>
        <w:rPr>
          <w:sz w:val="20"/>
          <w:szCs w:val="20"/>
          <w:color w:val="auto"/>
        </w:rPr>
      </w:pPr>
    </w:p>
    <w:p>
      <w:pPr>
        <w:jc w:val="both"/>
        <w:ind w:right="600"/>
        <w:spacing w:after="0" w:line="247" w:lineRule="auto"/>
        <w:rPr>
          <w:sz w:val="20"/>
          <w:szCs w:val="20"/>
          <w:color w:val="auto"/>
        </w:rPr>
      </w:pPr>
      <w:r>
        <w:rPr>
          <w:rFonts w:ascii="Arial" w:cs="Arial" w:eastAsia="Arial" w:hAnsi="Arial"/>
          <w:sz w:val="14"/>
          <w:szCs w:val="14"/>
          <w:color w:val="auto"/>
        </w:rPr>
        <w:t>Use the Internet to transmit your voting instructions and for electronic delivery of information up until 11:59 P.M. Eastern Time on June 16, 2016. Have your proxy card in hand when you access the web site and follow the instructions to obtain your records and to create an electronic voting instruction form.</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PHONE - 1-800-690-6903</w:t>
      </w:r>
    </w:p>
    <w:p>
      <w:pPr>
        <w:spacing w:after="0" w:line="19" w:lineRule="exact"/>
        <w:rPr>
          <w:sz w:val="20"/>
          <w:szCs w:val="20"/>
          <w:color w:val="auto"/>
        </w:rPr>
      </w:pPr>
    </w:p>
    <w:p>
      <w:pPr>
        <w:jc w:val="both"/>
        <w:ind w:right="600"/>
        <w:spacing w:after="0" w:line="250" w:lineRule="auto"/>
        <w:rPr>
          <w:sz w:val="20"/>
          <w:szCs w:val="20"/>
          <w:color w:val="auto"/>
        </w:rPr>
      </w:pPr>
      <w:r>
        <w:rPr>
          <w:rFonts w:ascii="Arial" w:cs="Arial" w:eastAsia="Arial" w:hAnsi="Arial"/>
          <w:sz w:val="14"/>
          <w:szCs w:val="14"/>
          <w:color w:val="auto"/>
        </w:rPr>
        <w:t>Use any touch-tone telephone to transmit your voting instructions up until 11:59 P.M. Eastern Time on June 16, 2016. Have your proxy card in hand when you call and then follow the instructions.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MAIL</w:t>
      </w:r>
    </w:p>
    <w:p>
      <w:pPr>
        <w:spacing w:after="0" w:line="19" w:lineRule="exact"/>
        <w:rPr>
          <w:sz w:val="20"/>
          <w:szCs w:val="20"/>
          <w:color w:val="auto"/>
        </w:rPr>
      </w:pPr>
    </w:p>
    <w:p>
      <w:pPr>
        <w:jc w:val="both"/>
        <w:ind w:right="620"/>
        <w:spacing w:after="0" w:line="250" w:lineRule="auto"/>
        <w:rPr>
          <w:sz w:val="20"/>
          <w:szCs w:val="20"/>
          <w:color w:val="auto"/>
        </w:rPr>
      </w:pPr>
      <w:r>
        <w:rPr>
          <w:rFonts w:ascii="Arial" w:cs="Arial" w:eastAsia="Arial" w:hAnsi="Arial"/>
          <w:sz w:val="14"/>
          <w:szCs w:val="14"/>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4620" w:space="720"/>
            <w:col w:w="6120"/>
          </w:cols>
          <w:pgMar w:left="220" w:top="694"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40" w:type="dxa"/>
            <w:vAlign w:val="bottom"/>
            <w:gridSpan w:val="4"/>
          </w:tcPr>
          <w:p>
            <w:pPr>
              <w:ind w:left="20"/>
              <w:spacing w:after="0"/>
              <w:rPr>
                <w:sz w:val="20"/>
                <w:szCs w:val="20"/>
                <w:color w:val="auto"/>
              </w:rPr>
            </w:pPr>
            <w:r>
              <w:rPr>
                <w:rFonts w:ascii="Arial" w:cs="Arial" w:eastAsia="Arial" w:hAnsi="Arial"/>
                <w:sz w:val="14"/>
                <w:szCs w:val="14"/>
                <w:color w:val="auto"/>
              </w:rPr>
              <w:t>TO VOTE, MARK BLOCKS BELOW IN BLUE OR BLACK INK AS FOLLOWS:</w:t>
            </w:r>
          </w:p>
        </w:tc>
        <w:tc>
          <w:tcPr>
            <w:tcW w:w="80" w:type="dxa"/>
            <w:vAlign w:val="bottom"/>
          </w:tcPr>
          <w:p>
            <w:pPr>
              <w:spacing w:after="0"/>
              <w:rPr>
                <w:sz w:val="14"/>
                <w:szCs w:val="14"/>
                <w:color w:val="auto"/>
              </w:rPr>
            </w:pPr>
          </w:p>
        </w:tc>
        <w:tc>
          <w:tcPr>
            <w:tcW w:w="2680" w:type="dxa"/>
            <w:vAlign w:val="bottom"/>
            <w:vMerge w:val="restart"/>
          </w:tcPr>
          <w:p>
            <w:pPr>
              <w:ind w:left="1180"/>
              <w:spacing w:after="0"/>
              <w:rPr>
                <w:sz w:val="20"/>
                <w:szCs w:val="20"/>
                <w:color w:val="auto"/>
              </w:rPr>
            </w:pPr>
            <w:r>
              <w:rPr>
                <w:rFonts w:ascii="Arial" w:cs="Arial" w:eastAsia="Arial" w:hAnsi="Arial"/>
                <w:sz w:val="14"/>
                <w:szCs w:val="14"/>
                <w:color w:val="auto"/>
              </w:rPr>
              <w:t>E09380-P74132</w:t>
            </w:r>
          </w:p>
        </w:tc>
        <w:tc>
          <w:tcPr>
            <w:tcW w:w="3260" w:type="dxa"/>
            <w:vAlign w:val="bottom"/>
            <w:gridSpan w:val="4"/>
            <w:vMerge w:val="restart"/>
          </w:tcPr>
          <w:p>
            <w:pPr>
              <w:jc w:val="right"/>
              <w:ind w:right="20"/>
              <w:spacing w:after="0"/>
              <w:rPr>
                <w:sz w:val="20"/>
                <w:szCs w:val="20"/>
                <w:color w:val="auto"/>
              </w:rPr>
            </w:pPr>
            <w:r>
              <w:rPr>
                <w:rFonts w:ascii="Arial" w:cs="Arial" w:eastAsia="Arial" w:hAnsi="Arial"/>
                <w:sz w:val="14"/>
                <w:szCs w:val="14"/>
                <w:color w:val="auto"/>
              </w:rPr>
              <w:t>KEEP THIS PORTION FOR YOUR RECORDS</w:t>
            </w:r>
          </w:p>
        </w:tc>
        <w:tc>
          <w:tcPr>
            <w:tcW w:w="0" w:type="dxa"/>
            <w:vAlign w:val="bottom"/>
          </w:tcPr>
          <w:p>
            <w:pPr>
              <w:spacing w:after="0"/>
              <w:rPr>
                <w:sz w:val="1"/>
                <w:szCs w:val="1"/>
                <w:color w:val="auto"/>
              </w:rPr>
            </w:pPr>
          </w:p>
        </w:tc>
      </w:tr>
      <w:tr>
        <w:trPr>
          <w:trHeight w:val="162"/>
        </w:trPr>
        <w:tc>
          <w:tcPr>
            <w:tcW w:w="3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80" w:type="dxa"/>
            <w:vAlign w:val="bottom"/>
            <w:vMerge w:val="continue"/>
          </w:tcPr>
          <w:p>
            <w:pPr>
              <w:spacing w:after="0"/>
              <w:rPr>
                <w:sz w:val="14"/>
                <w:szCs w:val="14"/>
                <w:color w:val="auto"/>
              </w:rPr>
            </w:pPr>
          </w:p>
        </w:tc>
        <w:tc>
          <w:tcPr>
            <w:tcW w:w="3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520" w:type="dxa"/>
            <w:vAlign w:val="bottom"/>
          </w:tcPr>
          <w:p>
            <w:pPr>
              <w:spacing w:after="0"/>
              <w:rPr>
                <w:sz w:val="15"/>
                <w:szCs w:val="15"/>
                <w:color w:val="auto"/>
              </w:rPr>
            </w:pPr>
          </w:p>
        </w:tc>
        <w:tc>
          <w:tcPr>
            <w:tcW w:w="4680" w:type="dxa"/>
            <w:vAlign w:val="bottom"/>
            <w:gridSpan w:val="5"/>
            <w:vMerge w:val="restart"/>
          </w:tcPr>
          <w:p>
            <w:pPr>
              <w:ind w:left="120"/>
              <w:spacing w:after="0"/>
              <w:rPr>
                <w:sz w:val="20"/>
                <w:szCs w:val="20"/>
                <w:color w:val="auto"/>
              </w:rPr>
            </w:pPr>
            <w:r>
              <w:rPr>
                <w:rFonts w:ascii="Arial" w:cs="Arial" w:eastAsia="Arial" w:hAnsi="Arial"/>
                <w:sz w:val="14"/>
                <w:szCs w:val="14"/>
                <w:b w:val="1"/>
                <w:bCs w:val="1"/>
                <w:color w:val="auto"/>
              </w:rPr>
              <w:t>THIS PROXY CARD IS VALID ONLY WHEN SIGNED AND DATED.</w:t>
            </w:r>
          </w:p>
        </w:tc>
        <w:tc>
          <w:tcPr>
            <w:tcW w:w="3260" w:type="dxa"/>
            <w:vAlign w:val="bottom"/>
            <w:gridSpan w:val="4"/>
          </w:tcPr>
          <w:p>
            <w:pPr>
              <w:jc w:val="right"/>
              <w:ind w:right="20"/>
              <w:spacing w:after="0"/>
              <w:rPr>
                <w:sz w:val="20"/>
                <w:szCs w:val="20"/>
                <w:color w:val="auto"/>
              </w:rPr>
            </w:pPr>
            <w:r>
              <w:rPr>
                <w:rFonts w:ascii="Arial" w:cs="Arial" w:eastAsia="Arial" w:hAnsi="Arial"/>
                <w:sz w:val="14"/>
                <w:szCs w:val="14"/>
                <w:color w:val="auto"/>
              </w:rPr>
              <w:t>DETACH AND RETURN THIS PORTION ONLY</w:t>
            </w:r>
          </w:p>
        </w:tc>
        <w:tc>
          <w:tcPr>
            <w:tcW w:w="0" w:type="dxa"/>
            <w:vAlign w:val="bottom"/>
          </w:tcPr>
          <w:p>
            <w:pPr>
              <w:spacing w:after="0"/>
              <w:rPr>
                <w:sz w:val="1"/>
                <w:szCs w:val="1"/>
                <w:color w:val="auto"/>
              </w:rPr>
            </w:pPr>
          </w:p>
        </w:tc>
      </w:tr>
      <w:tr>
        <w:trPr>
          <w:trHeight w:val="81"/>
        </w:trPr>
        <w:tc>
          <w:tcPr>
            <w:tcW w:w="3520" w:type="dxa"/>
            <w:vAlign w:val="bottom"/>
          </w:tcPr>
          <w:p>
            <w:pPr>
              <w:spacing w:after="0"/>
              <w:rPr>
                <w:sz w:val="7"/>
                <w:szCs w:val="7"/>
                <w:color w:val="auto"/>
              </w:rPr>
            </w:pPr>
          </w:p>
        </w:tc>
        <w:tc>
          <w:tcPr>
            <w:tcW w:w="4680" w:type="dxa"/>
            <w:vAlign w:val="bottom"/>
            <w:gridSpan w:val="5"/>
            <w:vMerge w:val="continue"/>
          </w:tcPr>
          <w:p>
            <w:pPr>
              <w:spacing w:after="0"/>
              <w:rPr>
                <w:sz w:val="7"/>
                <w:szCs w:val="7"/>
                <w:color w:val="auto"/>
              </w:rPr>
            </w:pPr>
          </w:p>
        </w:tc>
        <w:tc>
          <w:tcPr>
            <w:tcW w:w="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5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gridSpan w:val="2"/>
          </w:tcPr>
          <w:p>
            <w:pPr>
              <w:spacing w:after="0"/>
              <w:rPr>
                <w:sz w:val="9"/>
                <w:szCs w:val="9"/>
                <w:color w:val="auto"/>
              </w:rPr>
            </w:pPr>
          </w:p>
        </w:tc>
        <w:tc>
          <w:tcPr>
            <w:tcW w:w="6020" w:type="dxa"/>
            <w:vAlign w:val="bottom"/>
            <w:tcBorders>
              <w:bottom w:val="single" w:sz="8" w:color="auto"/>
            </w:tcBorders>
            <w:gridSpan w:val="6"/>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52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EXLSERVICE HOLDINGS, INC.</w:t>
            </w:r>
          </w:p>
        </w:tc>
        <w:tc>
          <w:tcPr>
            <w:tcW w:w="620" w:type="dxa"/>
            <w:vAlign w:val="bottom"/>
          </w:tcPr>
          <w:p>
            <w:pPr>
              <w:jc w:val="center"/>
              <w:ind w:left="108"/>
              <w:spacing w:after="0" w:line="149" w:lineRule="exact"/>
              <w:rPr>
                <w:sz w:val="20"/>
                <w:szCs w:val="20"/>
                <w:color w:val="auto"/>
              </w:rPr>
            </w:pPr>
            <w:r>
              <w:rPr>
                <w:rFonts w:ascii="Arial" w:cs="Arial" w:eastAsia="Arial" w:hAnsi="Arial"/>
                <w:sz w:val="14"/>
                <w:szCs w:val="14"/>
                <w:b w:val="1"/>
                <w:bCs w:val="1"/>
                <w:color w:val="auto"/>
              </w:rPr>
              <w:t>For</w:t>
            </w:r>
          </w:p>
        </w:tc>
        <w:tc>
          <w:tcPr>
            <w:tcW w:w="13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Withhold For All</w:t>
            </w:r>
          </w:p>
        </w:tc>
        <w:tc>
          <w:tcPr>
            <w:tcW w:w="6020" w:type="dxa"/>
            <w:vAlign w:val="bottom"/>
            <w:gridSpan w:val="6"/>
          </w:tcPr>
          <w:p>
            <w:pPr>
              <w:ind w:left="80"/>
              <w:spacing w:after="0" w:line="149" w:lineRule="exact"/>
              <w:rPr>
                <w:sz w:val="20"/>
                <w:szCs w:val="20"/>
                <w:color w:val="auto"/>
              </w:rPr>
            </w:pPr>
            <w:r>
              <w:rPr>
                <w:rFonts w:ascii="Arial" w:cs="Arial" w:eastAsia="Arial" w:hAnsi="Arial"/>
                <w:sz w:val="14"/>
                <w:szCs w:val="14"/>
                <w:color w:val="auto"/>
              </w:rPr>
              <w:t>To withhold authority to vote for any individual</w:t>
            </w:r>
          </w:p>
        </w:tc>
        <w:tc>
          <w:tcPr>
            <w:tcW w:w="0" w:type="dxa"/>
            <w:vAlign w:val="bottom"/>
          </w:tcPr>
          <w:p>
            <w:pPr>
              <w:spacing w:after="0"/>
              <w:rPr>
                <w:sz w:val="1"/>
                <w:szCs w:val="1"/>
                <w:color w:val="auto"/>
              </w:rPr>
            </w:pPr>
          </w:p>
        </w:tc>
      </w:tr>
      <w:tr>
        <w:trPr>
          <w:trHeight w:val="182"/>
        </w:trPr>
        <w:tc>
          <w:tcPr>
            <w:tcW w:w="35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The Board of Directors recommends you vote</w:t>
            </w:r>
          </w:p>
        </w:tc>
        <w:tc>
          <w:tcPr>
            <w:tcW w:w="620" w:type="dxa"/>
            <w:vAlign w:val="bottom"/>
          </w:tcPr>
          <w:p>
            <w:pPr>
              <w:jc w:val="center"/>
              <w:ind w:left="168"/>
              <w:spacing w:after="0" w:line="129" w:lineRule="exact"/>
              <w:rPr>
                <w:sz w:val="20"/>
                <w:szCs w:val="20"/>
                <w:color w:val="auto"/>
              </w:rPr>
            </w:pPr>
            <w:r>
              <w:rPr>
                <w:rFonts w:ascii="Arial" w:cs="Arial" w:eastAsia="Arial" w:hAnsi="Arial"/>
                <w:sz w:val="14"/>
                <w:szCs w:val="14"/>
                <w:b w:val="1"/>
                <w:bCs w:val="1"/>
                <w:color w:val="auto"/>
              </w:rPr>
              <w:t>All</w:t>
            </w:r>
          </w:p>
        </w:tc>
        <w:tc>
          <w:tcPr>
            <w:tcW w:w="620" w:type="dxa"/>
            <w:vAlign w:val="bottom"/>
          </w:tcPr>
          <w:p>
            <w:pPr>
              <w:ind w:left="300"/>
              <w:spacing w:after="0" w:line="129" w:lineRule="exact"/>
              <w:rPr>
                <w:sz w:val="20"/>
                <w:szCs w:val="20"/>
                <w:color w:val="auto"/>
              </w:rPr>
            </w:pPr>
            <w:r>
              <w:rPr>
                <w:rFonts w:ascii="Arial" w:cs="Arial" w:eastAsia="Arial" w:hAnsi="Arial"/>
                <w:sz w:val="14"/>
                <w:szCs w:val="14"/>
                <w:b w:val="1"/>
                <w:bCs w:val="1"/>
                <w:color w:val="auto"/>
              </w:rPr>
              <w:t>All</w:t>
            </w:r>
          </w:p>
        </w:tc>
        <w:tc>
          <w:tcPr>
            <w:tcW w:w="6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Except</w:t>
            </w:r>
          </w:p>
        </w:tc>
        <w:tc>
          <w:tcPr>
            <w:tcW w:w="6020" w:type="dxa"/>
            <w:vAlign w:val="bottom"/>
            <w:gridSpan w:val="6"/>
          </w:tcPr>
          <w:p>
            <w:pPr>
              <w:ind w:left="80"/>
              <w:spacing w:after="0" w:line="129" w:lineRule="exact"/>
              <w:rPr>
                <w:sz w:val="20"/>
                <w:szCs w:val="20"/>
                <w:color w:val="auto"/>
              </w:rPr>
            </w:pPr>
            <w:r>
              <w:rPr>
                <w:rFonts w:ascii="Arial" w:cs="Arial" w:eastAsia="Arial" w:hAnsi="Arial"/>
                <w:sz w:val="14"/>
                <w:szCs w:val="14"/>
                <w:color w:val="auto"/>
              </w:rPr>
              <w:t>nominee(s), mark “For All Except” and write the</w:t>
            </w:r>
          </w:p>
        </w:tc>
        <w:tc>
          <w:tcPr>
            <w:tcW w:w="0" w:type="dxa"/>
            <w:vAlign w:val="bottom"/>
          </w:tcPr>
          <w:p>
            <w:pPr>
              <w:spacing w:after="0"/>
              <w:rPr>
                <w:sz w:val="1"/>
                <w:szCs w:val="1"/>
                <w:color w:val="auto"/>
              </w:rPr>
            </w:pPr>
          </w:p>
        </w:tc>
      </w:tr>
      <w:tr>
        <w:trPr>
          <w:trHeight w:val="122"/>
        </w:trPr>
        <w:tc>
          <w:tcPr>
            <w:tcW w:w="352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100" w:type="dxa"/>
            <w:vAlign w:val="bottom"/>
            <w:gridSpan w:val="4"/>
          </w:tcPr>
          <w:p>
            <w:pPr>
              <w:ind w:left="80"/>
              <w:spacing w:after="0" w:line="122" w:lineRule="exact"/>
              <w:rPr>
                <w:sz w:val="20"/>
                <w:szCs w:val="20"/>
                <w:color w:val="auto"/>
              </w:rPr>
            </w:pPr>
            <w:r>
              <w:rPr>
                <w:rFonts w:ascii="Arial" w:cs="Arial" w:eastAsia="Arial" w:hAnsi="Arial"/>
                <w:sz w:val="14"/>
                <w:szCs w:val="14"/>
                <w:color w:val="auto"/>
              </w:rPr>
              <w:t>number(s) of the nominee(s) on the line below.</w:t>
            </w:r>
          </w:p>
        </w:tc>
        <w:tc>
          <w:tcPr>
            <w:tcW w:w="580" w:type="dxa"/>
            <w:vAlign w:val="bottom"/>
            <w:tcBorders>
              <w:top w:val="single" w:sz="8" w:color="auto"/>
              <w:right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3520" w:type="dxa"/>
            <w:vAlign w:val="bottom"/>
          </w:tcPr>
          <w:p>
            <w:pPr>
              <w:ind w:left="260"/>
              <w:spacing w:after="0"/>
              <w:rPr>
                <w:sz w:val="20"/>
                <w:szCs w:val="20"/>
                <w:color w:val="auto"/>
              </w:rPr>
            </w:pPr>
            <w:r>
              <w:rPr>
                <w:rFonts w:ascii="Arial" w:cs="Arial" w:eastAsia="Arial" w:hAnsi="Arial"/>
                <w:sz w:val="14"/>
                <w:szCs w:val="14"/>
                <w:b w:val="1"/>
                <w:bCs w:val="1"/>
                <w:color w:val="auto"/>
              </w:rPr>
              <w:t>FOR the following:</w:t>
            </w:r>
          </w:p>
        </w:tc>
        <w:tc>
          <w:tcPr>
            <w:tcW w:w="620" w:type="dxa"/>
            <w:vAlign w:val="bottom"/>
            <w:vMerge w:val="restart"/>
          </w:tcPr>
          <w:p>
            <w:pPr>
              <w:jc w:val="center"/>
              <w:ind w:left="148"/>
              <w:spacing w:after="0" w:line="141" w:lineRule="exact"/>
              <w:rPr>
                <w:sz w:val="20"/>
                <w:szCs w:val="20"/>
                <w:color w:val="auto"/>
              </w:rPr>
            </w:pPr>
            <w:r>
              <w:rPr>
                <w:rFonts w:ascii="MS PGothic" w:cs="MS PGothic" w:eastAsia="MS PGothic" w:hAnsi="MS PGothic"/>
                <w:sz w:val="14"/>
                <w:szCs w:val="14"/>
                <w:color w:val="auto"/>
                <w:w w:val="85"/>
              </w:rPr>
              <w:t>☐</w:t>
            </w:r>
          </w:p>
        </w:tc>
        <w:tc>
          <w:tcPr>
            <w:tcW w:w="620" w:type="dxa"/>
            <w:vAlign w:val="bottom"/>
            <w:vMerge w:val="restart"/>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68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3520" w:type="dxa"/>
            <w:vAlign w:val="bottom"/>
            <w:vMerge w:val="restart"/>
          </w:tcPr>
          <w:p>
            <w:pPr>
              <w:ind w:left="300"/>
              <w:spacing w:after="0"/>
              <w:rPr>
                <w:sz w:val="20"/>
                <w:szCs w:val="20"/>
                <w:color w:val="auto"/>
              </w:rPr>
            </w:pPr>
            <w:r>
              <w:rPr>
                <w:rFonts w:ascii="Arial" w:cs="Arial" w:eastAsia="Arial" w:hAnsi="Arial"/>
                <w:sz w:val="14"/>
                <w:szCs w:val="14"/>
                <w:color w:val="auto"/>
              </w:rPr>
              <w:t>1.Election of Directors</w:t>
            </w:r>
          </w:p>
        </w:tc>
        <w:tc>
          <w:tcPr>
            <w:tcW w:w="62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6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820" w:type="dxa"/>
            <w:vAlign w:val="bottom"/>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520" w:type="dxa"/>
            <w:vAlign w:val="bottom"/>
            <w:vMerge w:val="continue"/>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8"/>
        </w:trPr>
        <w:tc>
          <w:tcPr>
            <w:tcW w:w="3520" w:type="dxa"/>
            <w:vAlign w:val="bottom"/>
          </w:tcPr>
          <w:p>
            <w:pPr>
              <w:ind w:left="700"/>
              <w:spacing w:after="0"/>
              <w:rPr>
                <w:sz w:val="20"/>
                <w:szCs w:val="20"/>
                <w:color w:val="auto"/>
              </w:rPr>
            </w:pPr>
            <w:r>
              <w:rPr>
                <w:rFonts w:ascii="Arial" w:cs="Arial" w:eastAsia="Arial" w:hAnsi="Arial"/>
                <w:sz w:val="14"/>
                <w:szCs w:val="14"/>
                <w:b w:val="1"/>
                <w:bCs w:val="1"/>
                <w:color w:val="auto"/>
              </w:rPr>
              <w:t>Nominees:</w:t>
            </w: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-1119505</wp:posOffset>
            </wp:positionV>
            <wp:extent cx="7272020" cy="342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72020" cy="3429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-883920</wp:posOffset>
            </wp:positionV>
            <wp:extent cx="34290" cy="12604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126047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-883920</wp:posOffset>
            </wp:positionV>
            <wp:extent cx="34290" cy="12604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1260475"/>
                    </a:xfrm>
                    <a:prstGeom prst="rect">
                      <a:avLst/>
                    </a:prstGeom>
                    <a:noFill/>
                  </pic:spPr>
                </pic:pic>
              </a:graphicData>
            </a:graphic>
          </wp:anchor>
        </w:drawing>
      </w:r>
    </w:p>
    <w:p>
      <w:pPr>
        <w:spacing w:after="0" w:line="172" w:lineRule="exact"/>
        <w:rPr>
          <w:sz w:val="20"/>
          <w:szCs w:val="20"/>
          <w:color w:val="auto"/>
        </w:rPr>
      </w:pPr>
    </w:p>
    <w:p>
      <w:pPr>
        <w:ind w:left="1120" w:hanging="417"/>
        <w:spacing w:after="0"/>
        <w:tabs>
          <w:tab w:leader="none" w:pos="1120" w:val="left"/>
        </w:tabs>
        <w:numPr>
          <w:ilvl w:val="0"/>
          <w:numId w:val="89"/>
        </w:numPr>
        <w:rPr>
          <w:rFonts w:ascii="Arial" w:cs="Arial" w:eastAsia="Arial" w:hAnsi="Arial"/>
          <w:sz w:val="14"/>
          <w:szCs w:val="14"/>
          <w:color w:val="auto"/>
        </w:rPr>
      </w:pPr>
      <w:r>
        <w:rPr>
          <w:rFonts w:ascii="Arial" w:cs="Arial" w:eastAsia="Arial" w:hAnsi="Arial"/>
          <w:sz w:val="14"/>
          <w:szCs w:val="14"/>
          <w:color w:val="auto"/>
        </w:rPr>
        <w:t>Rohit Kapoor</w:t>
      </w:r>
    </w:p>
    <w:p>
      <w:pPr>
        <w:spacing w:after="0" w:line="42" w:lineRule="exact"/>
        <w:rPr>
          <w:sz w:val="20"/>
          <w:szCs w:val="20"/>
          <w:color w:val="auto"/>
        </w:rPr>
      </w:pPr>
    </w:p>
    <w:p>
      <w:pPr>
        <w:ind w:left="1100" w:hanging="397"/>
        <w:spacing w:after="0"/>
        <w:tabs>
          <w:tab w:leader="none" w:pos="1100" w:val="left"/>
        </w:tabs>
        <w:numPr>
          <w:ilvl w:val="0"/>
          <w:numId w:val="90"/>
        </w:numPr>
        <w:rPr>
          <w:rFonts w:ascii="Arial" w:cs="Arial" w:eastAsia="Arial" w:hAnsi="Arial"/>
          <w:sz w:val="14"/>
          <w:szCs w:val="14"/>
          <w:color w:val="auto"/>
        </w:rPr>
      </w:pPr>
      <w:r>
        <w:rPr>
          <w:rFonts w:ascii="Arial" w:cs="Arial" w:eastAsia="Arial" w:hAnsi="Arial"/>
          <w:sz w:val="14"/>
          <w:szCs w:val="14"/>
          <w:color w:val="auto"/>
        </w:rPr>
        <w:t>Anne Minto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23495</wp:posOffset>
            </wp:positionV>
            <wp:extent cx="7246620" cy="2693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2693035"/>
                    </a:xfrm>
                    <a:prstGeom prst="rect">
                      <a:avLst/>
                    </a:prstGeom>
                    <a:noFill/>
                  </pic:spPr>
                </pic:pic>
              </a:graphicData>
            </a:graphic>
          </wp:anchor>
        </w:drawing>
      </w:r>
    </w:p>
    <w:p>
      <w:pPr>
        <w:spacing w:after="0" w:line="274"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9160" w:type="dxa"/>
            <w:vAlign w:val="bottom"/>
            <w:gridSpan w:val="2"/>
          </w:tcPr>
          <w:p>
            <w:pPr>
              <w:spacing w:after="0"/>
              <w:rPr>
                <w:sz w:val="20"/>
                <w:szCs w:val="20"/>
                <w:color w:val="auto"/>
              </w:rPr>
            </w:pPr>
            <w:r>
              <w:rPr>
                <w:rFonts w:ascii="Arial" w:cs="Arial" w:eastAsia="Arial" w:hAnsi="Arial"/>
                <w:sz w:val="14"/>
                <w:szCs w:val="14"/>
                <w:b w:val="1"/>
                <w:bCs w:val="1"/>
                <w:color w:val="auto"/>
              </w:rPr>
              <w:t>The Board of Directors recommends you vote FOR proposals 2 and 3.</w:t>
            </w: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97"/>
              </w:rPr>
              <w:t>For</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Against</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rPr>
              <w:t>Abstain</w:t>
            </w:r>
          </w:p>
        </w:tc>
      </w:tr>
      <w:tr>
        <w:trPr>
          <w:trHeight w:val="287"/>
        </w:trPr>
        <w:tc>
          <w:tcPr>
            <w:tcW w:w="320" w:type="dxa"/>
            <w:vAlign w:val="bottom"/>
          </w:tcPr>
          <w:p>
            <w:pPr>
              <w:jc w:val="right"/>
              <w:ind w:right="88"/>
              <w:spacing w:after="0"/>
              <w:rPr>
                <w:sz w:val="20"/>
                <w:szCs w:val="20"/>
                <w:color w:val="auto"/>
              </w:rPr>
            </w:pPr>
            <w:r>
              <w:rPr>
                <w:rFonts w:ascii="Arial" w:cs="Arial" w:eastAsia="Arial" w:hAnsi="Arial"/>
                <w:sz w:val="14"/>
                <w:szCs w:val="14"/>
                <w:color w:val="auto"/>
              </w:rPr>
              <w:t>2.</w:t>
            </w:r>
          </w:p>
        </w:tc>
        <w:tc>
          <w:tcPr>
            <w:tcW w:w="8840" w:type="dxa"/>
            <w:vAlign w:val="bottom"/>
          </w:tcPr>
          <w:p>
            <w:pPr>
              <w:ind w:left="160"/>
              <w:spacing w:after="0"/>
              <w:rPr>
                <w:sz w:val="20"/>
                <w:szCs w:val="20"/>
                <w:color w:val="auto"/>
              </w:rPr>
            </w:pPr>
            <w:r>
              <w:rPr>
                <w:rFonts w:ascii="Arial" w:cs="Arial" w:eastAsia="Arial" w:hAnsi="Arial"/>
                <w:sz w:val="14"/>
                <w:szCs w:val="14"/>
                <w:color w:val="auto"/>
              </w:rPr>
              <w:t>The ratification of the selection of Ernst &amp; Young LLP as the independent registered public accounting firm of the Company for fiscal</w:t>
            </w:r>
          </w:p>
        </w:tc>
        <w:tc>
          <w:tcPr>
            <w:tcW w:w="4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r>
      <w:tr>
        <w:trPr>
          <w:trHeight w:val="172"/>
        </w:trPr>
        <w:tc>
          <w:tcPr>
            <w:tcW w:w="320" w:type="dxa"/>
            <w:vAlign w:val="bottom"/>
          </w:tcPr>
          <w:p>
            <w:pPr>
              <w:spacing w:after="0"/>
              <w:rPr>
                <w:sz w:val="14"/>
                <w:szCs w:val="14"/>
                <w:color w:val="auto"/>
              </w:rPr>
            </w:pPr>
          </w:p>
        </w:tc>
        <w:tc>
          <w:tcPr>
            <w:tcW w:w="8840" w:type="dxa"/>
            <w:vAlign w:val="bottom"/>
          </w:tcPr>
          <w:p>
            <w:pPr>
              <w:ind w:left="160"/>
              <w:spacing w:after="0"/>
              <w:rPr>
                <w:sz w:val="20"/>
                <w:szCs w:val="20"/>
                <w:color w:val="auto"/>
              </w:rPr>
            </w:pPr>
            <w:r>
              <w:rPr>
                <w:rFonts w:ascii="Arial" w:cs="Arial" w:eastAsia="Arial" w:hAnsi="Arial"/>
                <w:sz w:val="14"/>
                <w:szCs w:val="14"/>
                <w:color w:val="auto"/>
              </w:rPr>
              <w:t>year 2016</w:t>
            </w: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340"/>
        </w:trPr>
        <w:tc>
          <w:tcPr>
            <w:tcW w:w="320" w:type="dxa"/>
            <w:vAlign w:val="bottom"/>
          </w:tcPr>
          <w:p>
            <w:pPr>
              <w:jc w:val="right"/>
              <w:ind w:right="88"/>
              <w:spacing w:after="0"/>
              <w:rPr>
                <w:sz w:val="20"/>
                <w:szCs w:val="20"/>
                <w:color w:val="auto"/>
              </w:rPr>
            </w:pPr>
            <w:r>
              <w:rPr>
                <w:rFonts w:ascii="Arial" w:cs="Arial" w:eastAsia="Arial" w:hAnsi="Arial"/>
                <w:sz w:val="14"/>
                <w:szCs w:val="14"/>
                <w:color w:val="auto"/>
              </w:rPr>
              <w:t>3.</w:t>
            </w:r>
          </w:p>
        </w:tc>
        <w:tc>
          <w:tcPr>
            <w:tcW w:w="8840" w:type="dxa"/>
            <w:vAlign w:val="bottom"/>
          </w:tcPr>
          <w:p>
            <w:pPr>
              <w:ind w:left="160"/>
              <w:spacing w:after="0"/>
              <w:rPr>
                <w:sz w:val="20"/>
                <w:szCs w:val="20"/>
                <w:color w:val="auto"/>
              </w:rPr>
            </w:pPr>
            <w:r>
              <w:rPr>
                <w:rFonts w:ascii="Arial" w:cs="Arial" w:eastAsia="Arial" w:hAnsi="Arial"/>
                <w:sz w:val="14"/>
                <w:szCs w:val="14"/>
                <w:color w:val="auto"/>
              </w:rPr>
              <w:t>The approval of the compensation of the named executive officers of the Company</w:t>
            </w:r>
          </w:p>
        </w:tc>
        <w:tc>
          <w:tcPr>
            <w:tcW w:w="4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r>
    </w:tbl>
    <w:p>
      <w:pPr>
        <w:spacing w:after="0" w:line="131" w:lineRule="exact"/>
        <w:rPr>
          <w:sz w:val="20"/>
          <w:szCs w:val="20"/>
          <w:color w:val="auto"/>
        </w:rPr>
      </w:pPr>
    </w:p>
    <w:p>
      <w:pPr>
        <w:ind w:left="300" w:right="2080"/>
        <w:spacing w:after="0" w:line="285" w:lineRule="auto"/>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The proxies are authorized to act upon such other business as may properly come before the Annual Meeting or any adjournment or</w:t>
      </w:r>
      <w:r>
        <w:rPr>
          <w:rFonts w:ascii="Arial" w:cs="Arial" w:eastAsia="Arial" w:hAnsi="Arial"/>
          <w:sz w:val="14"/>
          <w:szCs w:val="14"/>
          <w:b w:val="1"/>
          <w:bCs w:val="1"/>
          <w:color w:val="auto"/>
        </w:rPr>
        <w:t xml:space="preserve"> </w:t>
      </w:r>
      <w:r>
        <w:rPr>
          <w:rFonts w:ascii="Arial" w:cs="Arial" w:eastAsia="Arial" w:hAnsi="Arial"/>
          <w:sz w:val="14"/>
          <w:szCs w:val="14"/>
          <w:color w:val="auto"/>
        </w:rPr>
        <w:t>postponement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00"/>
        <w:spacing w:after="0"/>
        <w:rPr>
          <w:sz w:val="20"/>
          <w:szCs w:val="20"/>
          <w:color w:val="auto"/>
        </w:rPr>
      </w:pPr>
      <w:r>
        <w:rPr>
          <w:rFonts w:ascii="Arial" w:cs="Arial" w:eastAsia="Arial" w:hAnsi="Arial"/>
          <w:sz w:val="14"/>
          <w:szCs w:val="14"/>
          <w:color w:val="auto"/>
        </w:rPr>
        <w:t>Please sign exactly as your name(s) appear(s) hereon. When signing as</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4"/>
          <w:szCs w:val="14"/>
          <w:color w:val="auto"/>
        </w:rPr>
        <w:t>attorney, executor, administrator, or other fiduciary, please give full title as such.</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4"/>
          <w:szCs w:val="14"/>
          <w:color w:val="auto"/>
        </w:rPr>
        <w:t>Joint owners should each sign personally. All holders must sign. If a corporation</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4"/>
          <w:szCs w:val="14"/>
          <w:color w:val="auto"/>
        </w:rPr>
        <w:t>or partnership, please sign in full corporate or partnership name by authorized</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4"/>
          <w:szCs w:val="14"/>
          <w:color w:val="auto"/>
        </w:rPr>
        <w:t>officer.</w:t>
      </w:r>
    </w:p>
    <w:p>
      <w:pPr>
        <w:spacing w:after="0" w:line="200" w:lineRule="exact"/>
        <w:rPr>
          <w:sz w:val="20"/>
          <w:szCs w:val="20"/>
          <w:color w:val="auto"/>
        </w:rPr>
      </w:pPr>
    </w:p>
    <w:p>
      <w:pPr>
        <w:spacing w:after="0" w:line="301" w:lineRule="exact"/>
        <w:rPr>
          <w:sz w:val="20"/>
          <w:szCs w:val="20"/>
          <w:color w:val="auto"/>
        </w:rPr>
      </w:pPr>
    </w:p>
    <w:p>
      <w:pPr>
        <w:ind w:left="300"/>
        <w:spacing w:after="0"/>
        <w:tabs>
          <w:tab w:leader="none" w:pos="3700" w:val="left"/>
          <w:tab w:leader="none" w:pos="5520" w:val="left"/>
          <w:tab w:leader="none" w:pos="870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469265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60"/>
          </w:cols>
          <w:pgMar w:left="220" w:top="694" w:right="219" w:bottom="1440" w:gutter="0" w:footer="0" w:header="0"/>
          <w:type w:val="continuous"/>
        </w:sectPr>
      </w:pPr>
    </w:p>
    <w:bookmarkStart w:id="87" w:name="page88"/>
    <w:bookmarkEnd w:id="8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18"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The Notice and Proxy Statement and Annual Report are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E09381-P74132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-1905</wp:posOffset>
            </wp:positionV>
            <wp:extent cx="7246620" cy="35331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353314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EXLSERVICE HOLDINGS, INC.</w:t>
      </w:r>
    </w:p>
    <w:p>
      <w:pPr>
        <w:spacing w:after="0" w:line="13"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Annual Meeting of Shareholders</w:t>
      </w:r>
    </w:p>
    <w:p>
      <w:pPr>
        <w:jc w:val="center"/>
        <w:ind w:right="360"/>
        <w:spacing w:after="0" w:line="234" w:lineRule="auto"/>
        <w:rPr>
          <w:sz w:val="20"/>
          <w:szCs w:val="20"/>
          <w:color w:val="auto"/>
        </w:rPr>
      </w:pPr>
      <w:r>
        <w:rPr>
          <w:rFonts w:ascii="Arial" w:cs="Arial" w:eastAsia="Arial" w:hAnsi="Arial"/>
          <w:sz w:val="18"/>
          <w:szCs w:val="18"/>
          <w:b w:val="1"/>
          <w:bCs w:val="1"/>
          <w:color w:val="auto"/>
        </w:rPr>
        <w:t>June 17, 2016 8:30 AM</w:t>
      </w:r>
    </w:p>
    <w:p>
      <w:pPr>
        <w:spacing w:after="0" w:line="1"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This proxy is solicited by the Board of Directors</w:t>
      </w:r>
    </w:p>
    <w:p>
      <w:pPr>
        <w:spacing w:after="0" w:line="131" w:lineRule="exact"/>
        <w:rPr>
          <w:sz w:val="20"/>
          <w:szCs w:val="20"/>
          <w:color w:val="auto"/>
        </w:rPr>
      </w:pPr>
    </w:p>
    <w:p>
      <w:pPr>
        <w:jc w:val="both"/>
        <w:ind w:right="360"/>
        <w:spacing w:after="0" w:line="238" w:lineRule="auto"/>
        <w:rPr>
          <w:sz w:val="20"/>
          <w:szCs w:val="20"/>
          <w:color w:val="auto"/>
        </w:rPr>
      </w:pPr>
      <w:r>
        <w:rPr>
          <w:rFonts w:ascii="Arial" w:cs="Arial" w:eastAsia="Arial" w:hAnsi="Arial"/>
          <w:sz w:val="18"/>
          <w:szCs w:val="18"/>
          <w:color w:val="auto"/>
        </w:rPr>
        <w:t>The shareholder(s) hereby appoint(s) Vishal Chhibbar and Nancy Saltzman, or either of them, as proxies, each with the power to appoint his or her substitute, and hereby authorizes them to represent and to vote, as designated on the reverse side of this ballot, all of the shares of common stock of EXLSERVICE HOLDINGS, INC. that the shareholder(s) is/are entitled to vote at the Annual Meeting of Shareholders to be held at 8:30 A.M., eastern daylight time on June 17, 2016, at 280 Park Avenue, 38th Floor, New York, NY 10017, and any adjournment or postponement thereof.</w:t>
      </w:r>
    </w:p>
    <w:p>
      <w:pPr>
        <w:spacing w:after="0" w:line="189" w:lineRule="exact"/>
        <w:rPr>
          <w:sz w:val="20"/>
          <w:szCs w:val="20"/>
          <w:color w:val="auto"/>
        </w:rPr>
      </w:pPr>
    </w:p>
    <w:p>
      <w:pPr>
        <w:jc w:val="both"/>
        <w:ind w:right="360"/>
        <w:spacing w:after="0"/>
        <w:rPr>
          <w:sz w:val="20"/>
          <w:szCs w:val="20"/>
          <w:color w:val="auto"/>
        </w:rPr>
      </w:pPr>
      <w:r>
        <w:rPr>
          <w:rFonts w:ascii="Arial" w:cs="Arial" w:eastAsia="Arial" w:hAnsi="Arial"/>
          <w:sz w:val="18"/>
          <w:szCs w:val="18"/>
          <w:color w:val="auto"/>
        </w:rPr>
        <w:t>The undersigned hereby also authorizes the proxy, in his or her discretion, to vote on any other business that may properly be brought before the meeting or any adjournment or postponement thereof to the extent authorized by Rule 14a-4(c) promulgated by the Securities and Exchange Commission.</w:t>
      </w:r>
    </w:p>
    <w:p>
      <w:pPr>
        <w:spacing w:after="0" w:line="113" w:lineRule="exact"/>
        <w:rPr>
          <w:sz w:val="20"/>
          <w:szCs w:val="20"/>
          <w:color w:val="auto"/>
        </w:rPr>
      </w:pPr>
    </w:p>
    <w:p>
      <w:pPr>
        <w:jc w:val="both"/>
        <w:ind w:right="380"/>
        <w:spacing w:after="0" w:line="247" w:lineRule="auto"/>
        <w:rPr>
          <w:sz w:val="20"/>
          <w:szCs w:val="20"/>
          <w:color w:val="auto"/>
        </w:rPr>
      </w:pPr>
      <w:r>
        <w:rPr>
          <w:rFonts w:ascii="Arial" w:cs="Arial" w:eastAsia="Arial" w:hAnsi="Arial"/>
          <w:sz w:val="18"/>
          <w:szCs w:val="18"/>
          <w:b w:val="1"/>
          <w:bCs w:val="1"/>
          <w:color w:val="auto"/>
        </w:rPr>
        <w:t>This proxy, when properly executed, will be voted in the manner directed herein. If no such direction is made, this proxy will be voted in accordance with the Board of Directors’ recommendations, and accordingly, will be voted FOR each of the Board of Directors’ nominees for director specified in Proposal 1, and FOR Proposals 2 and 3, unless a contrary choice is specified, in which case the proxy will be voted as specified.</w:t>
      </w:r>
    </w:p>
    <w:p>
      <w:pPr>
        <w:spacing w:after="0" w:line="142" w:lineRule="exact"/>
        <w:rPr>
          <w:sz w:val="20"/>
          <w:szCs w:val="20"/>
          <w:color w:val="auto"/>
        </w:rPr>
      </w:pPr>
    </w:p>
    <w:p>
      <w:pPr>
        <w:jc w:val="both"/>
        <w:ind w:right="380"/>
        <w:spacing w:after="0" w:line="246" w:lineRule="auto"/>
        <w:rPr>
          <w:sz w:val="20"/>
          <w:szCs w:val="20"/>
          <w:color w:val="auto"/>
        </w:rPr>
      </w:pPr>
      <w:r>
        <w:rPr>
          <w:rFonts w:ascii="Arial" w:cs="Arial" w:eastAsia="Arial" w:hAnsi="Arial"/>
          <w:sz w:val="18"/>
          <w:szCs w:val="18"/>
          <w:color w:val="auto"/>
        </w:rPr>
        <w:t>The undersigned hereby acknowledges receipt of the Notice of Annual Meeting of Shareholders, dated on or about April 29, 2016, and the Proxy Statement furnished therewith.</w:t>
      </w:r>
    </w:p>
    <w:p>
      <w:pPr>
        <w:spacing w:after="0" w:line="310"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774700</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040"/>
      </w:cols>
      <w:pgMar w:left="62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A6D8D3C"/>
    <w:multiLevelType w:val="hybridMultilevel"/>
    <w:lvl w:ilvl="0">
      <w:lvlJc w:val="left"/>
      <w:lvlText w:val="☐"/>
      <w:numFmt w:val="bullet"/>
      <w:start w:val="1"/>
    </w:lvl>
  </w:abstractNum>
  <w:abstractNum w:abstractNumId="1">
    <w:nsid w:val="4B588F54"/>
    <w:multiLevelType w:val="hybridMultilevel"/>
    <w:lvl w:ilvl="0">
      <w:lvlJc w:val="left"/>
      <w:lvlText w:val="☒"/>
      <w:numFmt w:val="bullet"/>
      <w:start w:val="1"/>
    </w:lvl>
  </w:abstractNum>
  <w:abstractNum w:abstractNumId="2">
    <w:nsid w:val="542289EC"/>
    <w:multiLevelType w:val="hybridMultilevel"/>
    <w:lvl w:ilvl="0">
      <w:lvlJc w:val="left"/>
      <w:lvlText w:val="☐"/>
      <w:numFmt w:val="bullet"/>
      <w:start w:val="1"/>
    </w:lvl>
    <w:lvl w:ilvl="1">
      <w:lvlJc w:val="left"/>
      <w:lvlText w:val="(%2)"/>
      <w:numFmt w:val="decimal"/>
      <w:start w:val="1"/>
    </w:lvl>
  </w:abstractNum>
  <w:abstractNum w:abstractNumId="3">
    <w:nsid w:val="6DE91B18"/>
    <w:multiLevelType w:val="hybridMultilevel"/>
    <w:lvl w:ilvl="0">
      <w:lvlJc w:val="left"/>
      <w:lvlText w:val="(%1)"/>
      <w:numFmt w:val="decimal"/>
      <w:start w:val="212"/>
    </w:lvl>
  </w:abstractNum>
  <w:abstractNum w:abstractNumId="4">
    <w:nsid w:val="38437FDB"/>
    <w:multiLevelType w:val="hybridMultilevel"/>
    <w:lvl w:ilvl="0">
      <w:lvlJc w:val="left"/>
      <w:lvlText w:val="%1."/>
      <w:numFmt w:val="decimal"/>
      <w:start w:val="1"/>
    </w:lvl>
  </w:abstractNum>
  <w:abstractNum w:abstractNumId="5">
    <w:nsid w:val="7644A45C"/>
    <w:multiLevelType w:val="hybridMultilevel"/>
    <w:lvl w:ilvl="0">
      <w:lvlJc w:val="left"/>
      <w:lvlText w:val="%1."/>
      <w:numFmt w:val="decimal"/>
      <w:start w:val="1"/>
    </w:lvl>
  </w:abstractNum>
  <w:abstractNum w:abstractNumId="6">
    <w:nsid w:val="32FFF902"/>
    <w:multiLevelType w:val="hybridMultilevel"/>
    <w:lvl w:ilvl="0">
      <w:lvlJc w:val="left"/>
      <w:lvlText w:val="(%1)"/>
      <w:numFmt w:val="decimal"/>
      <w:start w:val="1"/>
    </w:lvl>
  </w:abstractNum>
  <w:abstractNum w:abstractNumId="7">
    <w:nsid w:val="684A481A"/>
    <w:multiLevelType w:val="hybridMultilevel"/>
    <w:lvl w:ilvl="0">
      <w:lvlJc w:val="left"/>
      <w:lvlText w:val="*"/>
      <w:numFmt w:val="bullet"/>
      <w:start w:val="1"/>
    </w:lvl>
  </w:abstractNum>
  <w:abstractNum w:abstractNumId="8">
    <w:nsid w:val="579478FE"/>
    <w:multiLevelType w:val="hybridMultilevel"/>
    <w:lvl w:ilvl="0">
      <w:lvlJc w:val="left"/>
      <w:lvlText w:val="·"/>
      <w:numFmt w:val="bullet"/>
      <w:start w:val="1"/>
    </w:lvl>
  </w:abstractNum>
  <w:abstractNum w:abstractNumId="9">
    <w:nsid w:val="749ABB43"/>
    <w:multiLevelType w:val="hybridMultilevel"/>
    <w:lvl w:ilvl="0">
      <w:lvlJc w:val="left"/>
      <w:lvlText w:val="(%1)"/>
      <w:numFmt w:val="decimal"/>
      <w:start w:val="1"/>
    </w:lvl>
  </w:abstractNum>
  <w:abstractNum w:abstractNumId="10">
    <w:nsid w:val="3DC240FB"/>
    <w:multiLevelType w:val="hybridMultilevel"/>
    <w:lvl w:ilvl="0">
      <w:lvlJc w:val="left"/>
      <w:lvlText w:val="(%1)"/>
      <w:numFmt w:val="decimal"/>
      <w:start w:val="1"/>
    </w:lvl>
  </w:abstractNum>
  <w:abstractNum w:abstractNumId="11">
    <w:nsid w:val="1BA026FA"/>
    <w:multiLevelType w:val="hybridMultilevel"/>
    <w:lvl w:ilvl="0">
      <w:lvlJc w:val="left"/>
      <w:lvlText w:val="·"/>
      <w:numFmt w:val="bullet"/>
      <w:start w:val="1"/>
    </w:lvl>
    <w:lvl w:ilvl="1">
      <w:lvlJc w:val="left"/>
      <w:lvlText w:val="○"/>
      <w:numFmt w:val="bullet"/>
      <w:start w:val="1"/>
    </w:lvl>
  </w:abstractNum>
  <w:abstractNum w:abstractNumId="12">
    <w:nsid w:val="79A1DEAA"/>
    <w:multiLevelType w:val="hybridMultilevel"/>
    <w:lvl w:ilvl="0">
      <w:lvlJc w:val="left"/>
      <w:lvlText w:val="(%1)"/>
      <w:numFmt w:val="decimal"/>
      <w:start w:val="1"/>
    </w:lvl>
  </w:abstractNum>
  <w:abstractNum w:abstractNumId="13">
    <w:nsid w:val="75C6C33A"/>
    <w:multiLevelType w:val="hybridMultilevel"/>
    <w:lvl w:ilvl="0">
      <w:lvlJc w:val="left"/>
      <w:lvlText w:val="·"/>
      <w:numFmt w:val="bullet"/>
      <w:start w:val="1"/>
    </w:lvl>
  </w:abstractNum>
  <w:abstractNum w:abstractNumId="14">
    <w:nsid w:val="12E685FB"/>
    <w:multiLevelType w:val="hybridMultilevel"/>
    <w:lvl w:ilvl="0">
      <w:lvlJc w:val="left"/>
      <w:lvlText w:val="(%1)"/>
      <w:numFmt w:val="decimal"/>
      <w:start w:val="1"/>
    </w:lvl>
  </w:abstractNum>
  <w:abstractNum w:abstractNumId="15">
    <w:nsid w:val="70C6A529"/>
    <w:multiLevelType w:val="hybridMultilevel"/>
    <w:lvl w:ilvl="0">
      <w:lvlJc w:val="left"/>
      <w:lvlText w:val="·"/>
      <w:numFmt w:val="bullet"/>
      <w:start w:val="1"/>
    </w:lvl>
  </w:abstractNum>
  <w:abstractNum w:abstractNumId="16">
    <w:nsid w:val="520EEDD1"/>
    <w:multiLevelType w:val="hybridMultilevel"/>
    <w:lvl w:ilvl="0">
      <w:lvlJc w:val="left"/>
      <w:lvlText w:val="·"/>
      <w:numFmt w:val="bullet"/>
      <w:start w:val="1"/>
    </w:lvl>
  </w:abstractNum>
  <w:abstractNum w:abstractNumId="17">
    <w:nsid w:val="374A3FE6"/>
    <w:multiLevelType w:val="hybridMultilevel"/>
    <w:lvl w:ilvl="0">
      <w:lvlJc w:val="left"/>
      <w:lvlText w:val="·"/>
      <w:numFmt w:val="bullet"/>
      <w:start w:val="1"/>
    </w:lvl>
  </w:abstractNum>
  <w:abstractNum w:abstractNumId="18">
    <w:nsid w:val="4F4EF005"/>
    <w:multiLevelType w:val="hybridMultilevel"/>
    <w:lvl w:ilvl="0">
      <w:lvlJc w:val="left"/>
      <w:lvlText w:val="&amp;"/>
      <w:numFmt w:val="bullet"/>
      <w:start w:val="1"/>
    </w:lvl>
  </w:abstractNum>
  <w:abstractNum w:abstractNumId="19">
    <w:nsid w:val="23F9C13C"/>
    <w:multiLevelType w:val="hybridMultilevel"/>
    <w:lvl w:ilvl="0">
      <w:lvlJc w:val="left"/>
      <w:lvlText w:val="·"/>
      <w:numFmt w:val="bullet"/>
      <w:start w:val="1"/>
    </w:lvl>
  </w:abstractNum>
  <w:abstractNum w:abstractNumId="20">
    <w:nsid w:val="649BB77C"/>
    <w:multiLevelType w:val="hybridMultilevel"/>
    <w:lvl w:ilvl="0">
      <w:lvlJc w:val="left"/>
      <w:lvlText w:val="(%1)"/>
      <w:numFmt w:val="decimal"/>
      <w:start w:val="1"/>
    </w:lvl>
  </w:abstractNum>
  <w:abstractNum w:abstractNumId="21">
    <w:nsid w:val="275AC794"/>
    <w:multiLevelType w:val="hybridMultilevel"/>
    <w:lvl w:ilvl="0">
      <w:lvlJc w:val="left"/>
      <w:lvlText w:val="·"/>
      <w:numFmt w:val="bullet"/>
      <w:start w:val="1"/>
    </w:lvl>
  </w:abstractNum>
  <w:abstractNum w:abstractNumId="22">
    <w:nsid w:val="39386575"/>
    <w:multiLevelType w:val="hybridMultilevel"/>
    <w:lvl w:ilvl="0">
      <w:lvlJc w:val="left"/>
      <w:lvlText w:val="·"/>
      <w:numFmt w:val="bullet"/>
      <w:start w:val="1"/>
    </w:lvl>
  </w:abstractNum>
  <w:abstractNum w:abstractNumId="23">
    <w:nsid w:val="1CF10FD8"/>
    <w:multiLevelType w:val="hybridMultilevel"/>
    <w:lvl w:ilvl="0">
      <w:lvlJc w:val="left"/>
      <w:lvlText w:val="·"/>
      <w:numFmt w:val="bullet"/>
      <w:start w:val="1"/>
    </w:lvl>
  </w:abstractNum>
  <w:abstractNum w:abstractNumId="24">
    <w:nsid w:val="180115BE"/>
    <w:multiLevelType w:val="hybridMultilevel"/>
    <w:lvl w:ilvl="0">
      <w:lvlJc w:val="left"/>
      <w:lvlText w:val="·"/>
      <w:numFmt w:val="bullet"/>
      <w:start w:val="1"/>
    </w:lvl>
  </w:abstractNum>
  <w:abstractNum w:abstractNumId="25">
    <w:nsid w:val="235BA861"/>
    <w:multiLevelType w:val="hybridMultilevel"/>
    <w:lvl w:ilvl="0">
      <w:lvlJc w:val="left"/>
      <w:lvlText w:val="·"/>
      <w:numFmt w:val="bullet"/>
      <w:start w:val="1"/>
    </w:lvl>
  </w:abstractNum>
  <w:abstractNum w:abstractNumId="26">
    <w:nsid w:val="47398C89"/>
    <w:multiLevelType w:val="hybridMultilevel"/>
    <w:lvl w:ilvl="0">
      <w:lvlJc w:val="left"/>
      <w:lvlText w:val="·"/>
      <w:numFmt w:val="bullet"/>
      <w:start w:val="1"/>
    </w:lvl>
  </w:abstractNum>
  <w:abstractNum w:abstractNumId="27">
    <w:nsid w:val="354FE9F9"/>
    <w:multiLevelType w:val="hybridMultilevel"/>
    <w:lvl w:ilvl="0">
      <w:lvlJc w:val="left"/>
      <w:lvlText w:val="·"/>
      <w:numFmt w:val="bullet"/>
      <w:start w:val="1"/>
    </w:lvl>
  </w:abstractNum>
  <w:abstractNum w:abstractNumId="28">
    <w:nsid w:val="15B5AF5C"/>
    <w:multiLevelType w:val="hybridMultilevel"/>
    <w:lvl w:ilvl="0">
      <w:lvlJc w:val="left"/>
      <w:lvlText w:val="·"/>
      <w:numFmt w:val="bullet"/>
      <w:start w:val="1"/>
    </w:lvl>
  </w:abstractNum>
  <w:abstractNum w:abstractNumId="29">
    <w:nsid w:val="741226BB"/>
    <w:multiLevelType w:val="hybridMultilevel"/>
    <w:lvl w:ilvl="0">
      <w:lvlJc w:val="left"/>
      <w:lvlText w:val="·"/>
      <w:numFmt w:val="bullet"/>
      <w:start w:val="1"/>
    </w:lvl>
  </w:abstractNum>
  <w:abstractNum w:abstractNumId="30">
    <w:nsid w:val="D34B6A8"/>
    <w:multiLevelType w:val="hybridMultilevel"/>
    <w:lvl w:ilvl="0">
      <w:lvlJc w:val="left"/>
      <w:lvlText w:val="·"/>
      <w:numFmt w:val="bullet"/>
      <w:start w:val="1"/>
    </w:lvl>
  </w:abstractNum>
  <w:abstractNum w:abstractNumId="31">
    <w:nsid w:val="10233C99"/>
    <w:multiLevelType w:val="hybridMultilevel"/>
    <w:lvl w:ilvl="0">
      <w:lvlJc w:val="left"/>
      <w:lvlText w:val="·"/>
      <w:numFmt w:val="bullet"/>
      <w:start w:val="1"/>
    </w:lvl>
  </w:abstractNum>
  <w:abstractNum w:abstractNumId="32">
    <w:nsid w:val="3F6AB60F"/>
    <w:multiLevelType w:val="hybridMultilevel"/>
    <w:lvl w:ilvl="0">
      <w:lvlJc w:val="left"/>
      <w:lvlText w:val="·"/>
      <w:numFmt w:val="bullet"/>
      <w:start w:val="1"/>
    </w:lvl>
  </w:abstractNum>
  <w:abstractNum w:abstractNumId="33">
    <w:nsid w:val="61574095"/>
    <w:multiLevelType w:val="hybridMultilevel"/>
    <w:lvl w:ilvl="0">
      <w:lvlJc w:val="left"/>
      <w:lvlText w:val="·"/>
      <w:numFmt w:val="bullet"/>
      <w:start w:val="1"/>
    </w:lvl>
  </w:abstractNum>
  <w:abstractNum w:abstractNumId="34">
    <w:nsid w:val="7E0C57B1"/>
    <w:multiLevelType w:val="hybridMultilevel"/>
    <w:lvl w:ilvl="0">
      <w:lvlJc w:val="left"/>
      <w:lvlText w:val="·"/>
      <w:numFmt w:val="bullet"/>
      <w:start w:val="1"/>
    </w:lvl>
  </w:abstractNum>
  <w:abstractNum w:abstractNumId="35">
    <w:nsid w:val="77AE35EB"/>
    <w:multiLevelType w:val="hybridMultilevel"/>
    <w:lvl w:ilvl="0">
      <w:lvlJc w:val="left"/>
      <w:lvlText w:val="·"/>
      <w:numFmt w:val="bullet"/>
      <w:start w:val="1"/>
    </w:lvl>
  </w:abstractNum>
  <w:abstractNum w:abstractNumId="36">
    <w:nsid w:val="579BE4F1"/>
    <w:multiLevelType w:val="hybridMultilevel"/>
    <w:lvl w:ilvl="0">
      <w:lvlJc w:val="left"/>
      <w:lvlText w:val="·"/>
      <w:numFmt w:val="bullet"/>
      <w:start w:val="1"/>
    </w:lvl>
  </w:abstractNum>
  <w:abstractNum w:abstractNumId="37">
    <w:nsid w:val="310C50B3"/>
    <w:multiLevelType w:val="hybridMultilevel"/>
    <w:lvl w:ilvl="0">
      <w:lvlJc w:val="left"/>
      <w:lvlText w:val="(%1)"/>
      <w:numFmt w:val="decimal"/>
      <w:start w:val="1"/>
    </w:lvl>
  </w:abstractNum>
  <w:abstractNum w:abstractNumId="38">
    <w:nsid w:val="5FF87E05"/>
    <w:multiLevelType w:val="hybridMultilevel"/>
    <w:lvl w:ilvl="0">
      <w:lvlJc w:val="left"/>
      <w:lvlText w:val="·"/>
      <w:numFmt w:val="bullet"/>
      <w:start w:val="1"/>
    </w:lvl>
  </w:abstractNum>
  <w:abstractNum w:abstractNumId="39">
    <w:nsid w:val="2F305DEF"/>
    <w:multiLevelType w:val="hybridMultilevel"/>
    <w:lvl w:ilvl="0">
      <w:lvlJc w:val="left"/>
      <w:lvlText w:val="·"/>
      <w:numFmt w:val="bullet"/>
      <w:start w:val="1"/>
    </w:lvl>
  </w:abstractNum>
  <w:abstractNum w:abstractNumId="40">
    <w:nsid w:val="25A70BF7"/>
    <w:multiLevelType w:val="hybridMultilevel"/>
    <w:lvl w:ilvl="0">
      <w:lvlJc w:val="left"/>
      <w:lvlText w:val="·"/>
      <w:numFmt w:val="bullet"/>
      <w:start w:val="1"/>
    </w:lvl>
    <w:lvl w:ilvl="1">
      <w:lvlJc w:val="left"/>
      <w:lvlText w:val="·"/>
      <w:numFmt w:val="bullet"/>
      <w:start w:val="1"/>
    </w:lvl>
  </w:abstractNum>
  <w:abstractNum w:abstractNumId="41">
    <w:nsid w:val="1DBABF00"/>
    <w:multiLevelType w:val="hybridMultilevel"/>
    <w:lvl w:ilvl="0">
      <w:lvlJc w:val="left"/>
      <w:lvlText w:val="·"/>
      <w:numFmt w:val="bullet"/>
      <w:start w:val="1"/>
    </w:lvl>
  </w:abstractNum>
  <w:abstractNum w:abstractNumId="42">
    <w:nsid w:val="4AD084E9"/>
    <w:multiLevelType w:val="hybridMultilevel"/>
    <w:lvl w:ilvl="0">
      <w:lvlJc w:val="left"/>
      <w:lvlText w:val="(%1)"/>
      <w:numFmt w:val="decimal"/>
      <w:start w:val="1"/>
    </w:lvl>
  </w:abstractNum>
  <w:abstractNum w:abstractNumId="43">
    <w:nsid w:val="1F48EAA1"/>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4">
    <w:nsid w:val="1381823A"/>
    <w:multiLevelType w:val="hybridMultilevel"/>
    <w:lvl w:ilvl="0">
      <w:lvlJc w:val="left"/>
      <w:lvlText w:val="○"/>
      <w:numFmt w:val="bullet"/>
      <w:start w:val="1"/>
    </w:lvl>
    <w:lvl w:ilvl="1">
      <w:lvlJc w:val="left"/>
      <w:lvlText w:val="·"/>
      <w:numFmt w:val="bullet"/>
      <w:start w:val="1"/>
    </w:lvl>
  </w:abstractNum>
  <w:abstractNum w:abstractNumId="45">
    <w:nsid w:val="5DB70AE5"/>
    <w:multiLevelType w:val="hybridMultilevel"/>
    <w:lvl w:ilvl="0">
      <w:lvlJc w:val="left"/>
      <w:lvlText w:val="·"/>
      <w:numFmt w:val="bullet"/>
      <w:start w:val="1"/>
    </w:lvl>
  </w:abstractNum>
  <w:abstractNum w:abstractNumId="46">
    <w:nsid w:val="100F8FCA"/>
    <w:multiLevelType w:val="hybridMultilevel"/>
    <w:lvl w:ilvl="0">
      <w:lvlJc w:val="left"/>
      <w:lvlText w:val="(%1)"/>
      <w:numFmt w:val="decimal"/>
      <w:start w:val="1"/>
    </w:lvl>
  </w:abstractNum>
  <w:abstractNum w:abstractNumId="47">
    <w:nsid w:val="6590700B"/>
    <w:multiLevelType w:val="hybridMultilevel"/>
    <w:lvl w:ilvl="0">
      <w:lvlJc w:val="left"/>
      <w:lvlText w:val="(%1)"/>
      <w:numFmt w:val="decimal"/>
      <w:start w:val="1"/>
    </w:lvl>
  </w:abstractNum>
  <w:abstractNum w:abstractNumId="48">
    <w:nsid w:val="15014ACB"/>
    <w:multiLevelType w:val="hybridMultilevel"/>
    <w:lvl w:ilvl="0">
      <w:lvlJc w:val="left"/>
      <w:lvlText w:val="·"/>
      <w:numFmt w:val="bullet"/>
      <w:start w:val="1"/>
    </w:lvl>
  </w:abstractNum>
  <w:abstractNum w:abstractNumId="49">
    <w:nsid w:val="5F5E7FD0"/>
    <w:multiLevelType w:val="hybridMultilevel"/>
    <w:lvl w:ilvl="0">
      <w:lvlJc w:val="left"/>
      <w:lvlText w:val="(%1)"/>
      <w:numFmt w:val="decimal"/>
      <w:start w:val="1"/>
    </w:lvl>
  </w:abstractNum>
  <w:abstractNum w:abstractNumId="50">
    <w:nsid w:val="98A3148"/>
    <w:multiLevelType w:val="hybridMultilevel"/>
    <w:lvl w:ilvl="0">
      <w:lvlJc w:val="left"/>
      <w:lvlText w:val="(%1)"/>
      <w:numFmt w:val="decimal"/>
      <w:start w:val="4"/>
    </w:lvl>
  </w:abstractNum>
  <w:abstractNum w:abstractNumId="51">
    <w:nsid w:val="799D0247"/>
    <w:multiLevelType w:val="hybridMultilevel"/>
    <w:lvl w:ilvl="0">
      <w:lvlJc w:val="left"/>
      <w:lvlText w:val="(%1)"/>
      <w:numFmt w:val="decimal"/>
      <w:start w:val="1"/>
    </w:lvl>
  </w:abstractNum>
  <w:abstractNum w:abstractNumId="52">
    <w:nsid w:val="6B94764"/>
    <w:multiLevelType w:val="hybridMultilevel"/>
    <w:lvl w:ilvl="0">
      <w:lvlJc w:val="left"/>
      <w:lvlText w:val="(%1)"/>
      <w:numFmt w:val="decimal"/>
      <w:start w:val="6"/>
    </w:lvl>
  </w:abstractNum>
  <w:abstractNum w:abstractNumId="53">
    <w:nsid w:val="42C296BD"/>
    <w:multiLevelType w:val="hybridMultilevel"/>
    <w:lvl w:ilvl="0">
      <w:lvlJc w:val="left"/>
      <w:lvlText w:val="(%1)"/>
      <w:numFmt w:val="decimal"/>
      <w:start w:val="1"/>
    </w:lvl>
  </w:abstractNum>
  <w:abstractNum w:abstractNumId="54">
    <w:nsid w:val="168E121F"/>
    <w:multiLevelType w:val="hybridMultilevel"/>
    <w:lvl w:ilvl="0">
      <w:lvlJc w:val="left"/>
      <w:lvlText w:val="(%1)"/>
      <w:numFmt w:val="decimal"/>
      <w:start w:val="2"/>
    </w:lvl>
  </w:abstractNum>
  <w:abstractNum w:abstractNumId="55">
    <w:nsid w:val="1EBA5D23"/>
    <w:multiLevelType w:val="hybridMultilevel"/>
    <w:lvl w:ilvl="0">
      <w:lvlJc w:val="left"/>
      <w:lvlText w:val="#"/>
      <w:numFmt w:val="bullet"/>
      <w:start w:val="1"/>
    </w:lvl>
  </w:abstractNum>
  <w:abstractNum w:abstractNumId="56">
    <w:nsid w:val="661E3F1E"/>
    <w:multiLevelType w:val="hybridMultilevel"/>
    <w:lvl w:ilvl="0">
      <w:lvlJc w:val="left"/>
      <w:lvlText w:val="%1"/>
      <w:numFmt w:val="decimal"/>
      <w:start w:val="751"/>
    </w:lvl>
  </w:abstractNum>
  <w:abstractNum w:abstractNumId="57">
    <w:nsid w:val="5DC79EA8"/>
    <w:multiLevelType w:val="hybridMultilevel"/>
    <w:lvl w:ilvl="0">
      <w:lvlJc w:val="left"/>
      <w:lvlText w:val="(%1)"/>
      <w:numFmt w:val="decimal"/>
      <w:start w:val="3"/>
    </w:lvl>
  </w:abstractNum>
  <w:abstractNum w:abstractNumId="58">
    <w:nsid w:val="540A471C"/>
    <w:multiLevelType w:val="hybridMultilevel"/>
    <w:lvl w:ilvl="0">
      <w:lvlJc w:val="left"/>
      <w:lvlText w:val="(%1)"/>
      <w:numFmt w:val="decimal"/>
      <w:start w:val="4"/>
    </w:lvl>
  </w:abstractNum>
  <w:abstractNum w:abstractNumId="59">
    <w:nsid w:val="7BD3EE7B"/>
    <w:multiLevelType w:val="hybridMultilevel"/>
    <w:lvl w:ilvl="0">
      <w:lvlJc w:val="left"/>
      <w:lvlText w:val="(%1)"/>
      <w:numFmt w:val="decimal"/>
      <w:start w:val="1"/>
    </w:lvl>
  </w:abstractNum>
  <w:abstractNum w:abstractNumId="60">
    <w:nsid w:val="51D9C564"/>
    <w:multiLevelType w:val="hybridMultilevel"/>
    <w:lvl w:ilvl="0">
      <w:lvlJc w:val="left"/>
      <w:lvlText w:val="(%1)"/>
      <w:numFmt w:val="decimal"/>
      <w:start w:val="2"/>
    </w:lvl>
  </w:abstractNum>
  <w:abstractNum w:abstractNumId="61">
    <w:nsid w:val="613EFDC5"/>
    <w:multiLevelType w:val="hybridMultilevel"/>
    <w:lvl w:ilvl="0">
      <w:lvlJc w:val="left"/>
      <w:lvlText w:val="·"/>
      <w:numFmt w:val="bullet"/>
      <w:start w:val="1"/>
    </w:lvl>
  </w:abstractNum>
  <w:abstractNum w:abstractNumId="62">
    <w:nsid w:val="BF72B14"/>
    <w:multiLevelType w:val="hybridMultilevel"/>
    <w:lvl w:ilvl="0">
      <w:lvlJc w:val="left"/>
      <w:lvlText w:val="·"/>
      <w:numFmt w:val="bullet"/>
      <w:start w:val="1"/>
    </w:lvl>
  </w:abstractNum>
  <w:abstractNum w:abstractNumId="63">
    <w:nsid w:val="11447B73"/>
    <w:multiLevelType w:val="hybridMultilevel"/>
    <w:lvl w:ilvl="0">
      <w:lvlJc w:val="left"/>
      <w:lvlText w:val="·"/>
      <w:numFmt w:val="bullet"/>
      <w:start w:val="1"/>
    </w:lvl>
  </w:abstractNum>
  <w:abstractNum w:abstractNumId="64">
    <w:nsid w:val="42963E5A"/>
    <w:multiLevelType w:val="hybridMultilevel"/>
    <w:lvl w:ilvl="0">
      <w:lvlJc w:val="left"/>
      <w:lvlText w:val="·"/>
      <w:numFmt w:val="bullet"/>
      <w:start w:val="1"/>
    </w:lvl>
  </w:abstractNum>
  <w:abstractNum w:abstractNumId="65">
    <w:nsid w:val="A0382C5"/>
    <w:multiLevelType w:val="hybridMultilevel"/>
    <w:lvl w:ilvl="0">
      <w:lvlJc w:val="left"/>
      <w:lvlText w:val="·"/>
      <w:numFmt w:val="bullet"/>
      <w:start w:val="1"/>
    </w:lvl>
    <w:lvl w:ilvl="1">
      <w:lvlJc w:val="left"/>
      <w:lvlText w:val="○"/>
      <w:numFmt w:val="bullet"/>
      <w:start w:val="1"/>
    </w:lvl>
  </w:abstractNum>
  <w:abstractNum w:abstractNumId="66">
    <w:nsid w:val="8F2B15E"/>
    <w:multiLevelType w:val="hybridMultilevel"/>
    <w:lvl w:ilvl="0">
      <w:lvlJc w:val="left"/>
      <w:lvlText w:val="·"/>
      <w:numFmt w:val="bullet"/>
      <w:start w:val="1"/>
    </w:lvl>
  </w:abstractNum>
  <w:abstractNum w:abstractNumId="67">
    <w:nsid w:val="1A32234B"/>
    <w:multiLevelType w:val="hybridMultilevel"/>
    <w:lvl w:ilvl="0">
      <w:lvlJc w:val="left"/>
      <w:lvlText w:val="(%1)"/>
      <w:numFmt w:val="decimal"/>
      <w:start w:val="1"/>
    </w:lvl>
  </w:abstractNum>
  <w:abstractNum w:abstractNumId="68">
    <w:nsid w:val="3B0FD379"/>
    <w:multiLevelType w:val="hybridMultilevel"/>
    <w:lvl w:ilvl="0">
      <w:lvlJc w:val="left"/>
      <w:lvlText w:val="·"/>
      <w:numFmt w:val="bullet"/>
      <w:start w:val="1"/>
    </w:lvl>
  </w:abstractNum>
  <w:abstractNum w:abstractNumId="69">
    <w:nsid w:val="68EB2F63"/>
    <w:multiLevelType w:val="hybridMultilevel"/>
    <w:lvl w:ilvl="0">
      <w:lvlJc w:val="left"/>
      <w:lvlText w:val="·"/>
      <w:numFmt w:val="bullet"/>
      <w:start w:val="1"/>
    </w:lvl>
  </w:abstractNum>
  <w:abstractNum w:abstractNumId="70">
    <w:nsid w:val="4962813B"/>
    <w:multiLevelType w:val="hybridMultilevel"/>
    <w:lvl w:ilvl="0">
      <w:lvlJc w:val="left"/>
      <w:lvlText w:val="·"/>
      <w:numFmt w:val="bullet"/>
      <w:start w:val="1"/>
    </w:lvl>
  </w:abstractNum>
  <w:abstractNum w:abstractNumId="71">
    <w:nsid w:val="60B6DF70"/>
    <w:multiLevelType w:val="hybridMultilevel"/>
    <w:lvl w:ilvl="0">
      <w:lvlJc w:val="left"/>
      <w:lvlText w:val="·"/>
      <w:numFmt w:val="bullet"/>
      <w:start w:val="1"/>
    </w:lvl>
  </w:abstractNum>
  <w:abstractNum w:abstractNumId="72">
    <w:nsid w:val="6A5EE64"/>
    <w:multiLevelType w:val="hybridMultilevel"/>
    <w:lvl w:ilvl="0">
      <w:lvlJc w:val="left"/>
      <w:lvlText w:val="(%1)"/>
      <w:numFmt w:val="decimal"/>
      <w:start w:val="1"/>
    </w:lvl>
  </w:abstractNum>
  <w:abstractNum w:abstractNumId="73">
    <w:nsid w:val="14330624"/>
    <w:multiLevelType w:val="hybridMultilevel"/>
    <w:lvl w:ilvl="0">
      <w:lvlJc w:val="left"/>
      <w:lvlText w:val="·"/>
      <w:numFmt w:val="bullet"/>
      <w:start w:val="1"/>
    </w:lvl>
  </w:abstractNum>
  <w:abstractNum w:abstractNumId="74">
    <w:nsid w:val="7FFFCA11"/>
    <w:multiLevelType w:val="hybridMultilevel"/>
    <w:lvl w:ilvl="0">
      <w:lvlJc w:val="left"/>
      <w:lvlText w:val="·"/>
      <w:numFmt w:val="bullet"/>
      <w:start w:val="1"/>
    </w:lvl>
  </w:abstractNum>
  <w:abstractNum w:abstractNumId="75">
    <w:nsid w:val="1A27709E"/>
    <w:multiLevelType w:val="hybridMultilevel"/>
    <w:lvl w:ilvl="0">
      <w:lvlJc w:val="left"/>
      <w:lvlText w:val="(%1)"/>
      <w:numFmt w:val="decimal"/>
      <w:start w:val="1"/>
    </w:lvl>
  </w:abstractNum>
  <w:abstractNum w:abstractNumId="76">
    <w:nsid w:val="71EA1109"/>
    <w:multiLevelType w:val="hybridMultilevel"/>
    <w:lvl w:ilvl="0">
      <w:lvlJc w:val="left"/>
      <w:lvlText w:val="·"/>
      <w:numFmt w:val="bullet"/>
      <w:start w:val="1"/>
    </w:lvl>
  </w:abstractNum>
  <w:abstractNum w:abstractNumId="77">
    <w:nsid w:val="100F59DC"/>
    <w:multiLevelType w:val="hybridMultilevel"/>
    <w:lvl w:ilvl="0">
      <w:lvlJc w:val="left"/>
      <w:lvlText w:val="·"/>
      <w:numFmt w:val="bullet"/>
      <w:start w:val="1"/>
    </w:lvl>
  </w:abstractNum>
  <w:abstractNum w:abstractNumId="78">
    <w:nsid w:val="7FB7E0AA"/>
    <w:multiLevelType w:val="hybridMultilevel"/>
    <w:lvl w:ilvl="0">
      <w:lvlJc w:val="left"/>
      <w:lvlText w:val="·"/>
      <w:numFmt w:val="bullet"/>
      <w:start w:val="1"/>
    </w:lvl>
  </w:abstractNum>
  <w:abstractNum w:abstractNumId="79">
    <w:nsid w:val="6EB5BD4"/>
    <w:multiLevelType w:val="hybridMultilevel"/>
    <w:lvl w:ilvl="0">
      <w:lvlJc w:val="left"/>
      <w:lvlText w:val="(%1)"/>
      <w:numFmt w:val="decimal"/>
      <w:start w:val="1"/>
    </w:lvl>
  </w:abstractNum>
  <w:abstractNum w:abstractNumId="80">
    <w:nsid w:val="6F6DD9AC"/>
    <w:multiLevelType w:val="hybridMultilevel"/>
    <w:lvl w:ilvl="0">
      <w:lvlJc w:val="left"/>
      <w:lvlText w:val="(%1)"/>
      <w:numFmt w:val="decimal"/>
      <w:start w:val="4"/>
    </w:lvl>
  </w:abstractNum>
  <w:abstractNum w:abstractNumId="81">
    <w:nsid w:val="94211F2"/>
    <w:multiLevelType w:val="hybridMultilevel"/>
    <w:lvl w:ilvl="0">
      <w:lvlJc w:val="left"/>
      <w:lvlText w:val="·"/>
      <w:numFmt w:val="bullet"/>
      <w:start w:val="1"/>
    </w:lvl>
  </w:abstractNum>
  <w:abstractNum w:abstractNumId="82">
    <w:nsid w:val="885E1B"/>
    <w:multiLevelType w:val="hybridMultilevel"/>
    <w:lvl w:ilvl="0">
      <w:lvlJc w:val="left"/>
      <w:lvlText w:val="·"/>
      <w:numFmt w:val="bullet"/>
      <w:start w:val="1"/>
    </w:lvl>
  </w:abstractNum>
  <w:abstractNum w:abstractNumId="83">
    <w:nsid w:val="76272110"/>
    <w:multiLevelType w:val="hybridMultilevel"/>
    <w:lvl w:ilvl="0">
      <w:lvlJc w:val="left"/>
      <w:lvlText w:val="·"/>
      <w:numFmt w:val="bullet"/>
      <w:start w:val="1"/>
    </w:lvl>
  </w:abstractNum>
  <w:abstractNum w:abstractNumId="84">
    <w:nsid w:val="4C04A8AF"/>
    <w:multiLevelType w:val="hybridMultilevel"/>
    <w:lvl w:ilvl="0">
      <w:lvlJc w:val="left"/>
      <w:lvlText w:val="*"/>
      <w:numFmt w:val="bullet"/>
      <w:start w:val="1"/>
    </w:lvl>
  </w:abstractNum>
  <w:abstractNum w:abstractNumId="85">
    <w:nsid w:val="1716703B"/>
    <w:multiLevelType w:val="hybridMultilevel"/>
    <w:lvl w:ilvl="0">
      <w:lvlJc w:val="left"/>
      <w:lvlText w:val="(%1)"/>
      <w:numFmt w:val="decimal"/>
      <w:start w:val="1"/>
    </w:lvl>
  </w:abstractNum>
  <w:abstractNum w:abstractNumId="86">
    <w:nsid w:val="14E17E33"/>
    <w:multiLevelType w:val="hybridMultilevel"/>
    <w:lvl w:ilvl="0">
      <w:lvlJc w:val="left"/>
      <w:lvlText w:val="(%1)"/>
      <w:numFmt w:val="decimal"/>
      <w:start w:val="3"/>
    </w:lvl>
  </w:abstractNum>
  <w:abstractNum w:abstractNumId="87">
    <w:nsid w:val="3222E7CD"/>
    <w:multiLevelType w:val="hybridMultilevel"/>
    <w:lvl w:ilvl="0">
      <w:lvlJc w:val="left"/>
      <w:lvlText w:val="·"/>
      <w:numFmt w:val="bullet"/>
      <w:start w:val="1"/>
    </w:lvl>
  </w:abstractNum>
  <w:abstractNum w:abstractNumId="88">
    <w:nsid w:val="74DE0EE3"/>
    <w:multiLevelType w:val="hybridMultilevel"/>
    <w:lvl w:ilvl="0">
      <w:lvlJc w:val="left"/>
      <w:lvlText w:val="%1)"/>
      <w:numFmt w:val="decimal"/>
      <w:start w:val="1"/>
    </w:lvl>
  </w:abstractNum>
  <w:abstractNum w:abstractNumId="89">
    <w:nsid w:val="68EBC550"/>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2019-12-08T02:10:29Z</dcterms:created>
  <dcterms:modified xsi:type="dcterms:W3CDTF">2019-12-08T02:10:29Z</dcterms:modified>
</cp:coreProperties>
</file>