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8"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474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474460"/>
                    </a:xfrm>
                    <a:prstGeom prst="rect">
                      <a:avLst/>
                    </a:prstGeom>
                    <a:noFill/>
                  </pic:spPr>
                </pic:pic>
              </a:graphicData>
            </a:graphic>
          </wp:anchor>
        </w:drawing>
      </w:r>
    </w:p>
    <w:p>
      <w:pPr>
        <w:spacing w:after="0" w:line="96" w:lineRule="exact"/>
        <w:rPr>
          <w:sz w:val="24"/>
          <w:szCs w:val="24"/>
          <w:color w:val="auto"/>
        </w:rPr>
      </w:pPr>
    </w:p>
    <w:p>
      <w:pPr>
        <w:sectPr>
          <w:pgSz w:w="11900" w:h="16866"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Kapoor Rohit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11/25/2019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CEO &amp; Vice Chairman</w:t>
      </w:r>
    </w:p>
    <w:p>
      <w:pPr>
        <w:spacing w:after="0" w:line="267" w:lineRule="exact"/>
        <w:rPr>
          <w:sz w:val="24"/>
          <w:szCs w:val="24"/>
          <w:color w:val="auto"/>
        </w:rPr>
      </w:pPr>
    </w:p>
    <w:p>
      <w:pPr>
        <w:sectPr>
          <w:pgSz w:w="11900" w:h="16866" w:orient="portrait"/>
          <w:cols w:equalWidth="0" w:num="3">
            <w:col w:w="3360" w:space="720"/>
            <w:col w:w="3257" w:space="720"/>
            <w:col w:w="3363"/>
          </w:cols>
          <w:pgMar w:left="240" w:top="226" w:right="239" w:bottom="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300" w:type="dxa"/>
            <w:vAlign w:val="bottom"/>
            <w:shd w:val="clear" w:color="auto" w:fill="9A9A9A"/>
          </w:tcPr>
          <w:p>
            <w:pPr>
              <w:spacing w:after="0"/>
              <w:rPr>
                <w:sz w:val="2"/>
                <w:szCs w:val="2"/>
                <w:color w:val="auto"/>
              </w:rPr>
            </w:pPr>
          </w:p>
        </w:tc>
        <w:tc>
          <w:tcPr>
            <w:tcW w:w="1000" w:type="dxa"/>
            <w:vAlign w:val="bottom"/>
            <w:shd w:val="clear" w:color="auto" w:fill="9A9A9A"/>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700" w:type="dxa"/>
            <w:vAlign w:val="bottom"/>
            <w:tcBorders>
              <w:right w:val="single" w:sz="8" w:color="9A9A9A"/>
            </w:tcBorders>
            <w:shd w:val="clear" w:color="auto" w:fill="9A9A9A"/>
          </w:tcPr>
          <w:p>
            <w:pPr>
              <w:spacing w:after="0"/>
              <w:rPr>
                <w:sz w:val="2"/>
                <w:szCs w:val="2"/>
                <w:color w:val="auto"/>
              </w:rPr>
            </w:pPr>
          </w:p>
        </w:tc>
        <w:tc>
          <w:tcPr>
            <w:tcW w:w="3840" w:type="dxa"/>
            <w:vAlign w:val="bottom"/>
            <w:gridSpan w:val="6"/>
            <w:vMerge w:val="restart"/>
          </w:tcPr>
          <w:p>
            <w:pPr>
              <w:jc w:val="right"/>
              <w:ind w:right="196"/>
              <w:spacing w:after="0"/>
              <w:rPr>
                <w:sz w:val="20"/>
                <w:szCs w:val="20"/>
                <w:color w:val="auto"/>
              </w:rPr>
            </w:pPr>
            <w:r>
              <w:rPr>
                <w:rFonts w:ascii="Arial" w:cs="Arial" w:eastAsia="Arial" w:hAnsi="Arial"/>
                <w:sz w:val="14"/>
                <w:szCs w:val="14"/>
                <w:color w:val="auto"/>
                <w:w w:val="99"/>
              </w:rPr>
              <w:t>4. If Amendment, Date of Original Filed (Month/Day/Year)</w:t>
            </w:r>
          </w:p>
        </w:tc>
        <w:tc>
          <w:tcPr>
            <w:tcW w:w="3660" w:type="dxa"/>
            <w:vAlign w:val="bottom"/>
            <w:gridSpan w:val="7"/>
            <w:vMerge w:val="restart"/>
          </w:tcPr>
          <w:p>
            <w:pPr>
              <w:ind w:left="30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40" w:type="dxa"/>
            <w:vAlign w:val="bottom"/>
            <w:gridSpan w:val="6"/>
            <w:vMerge w:val="continue"/>
          </w:tcPr>
          <w:p>
            <w:pPr>
              <w:spacing w:after="0"/>
              <w:rPr>
                <w:sz w:val="11"/>
                <w:szCs w:val="11"/>
                <w:color w:val="auto"/>
              </w:rPr>
            </w:pPr>
          </w:p>
        </w:tc>
        <w:tc>
          <w:tcPr>
            <w:tcW w:w="36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gridSpan w:val="2"/>
          </w:tcPr>
          <w:p>
            <w:pPr>
              <w:ind w:left="300"/>
              <w:spacing w:after="0" w:line="155" w:lineRule="exact"/>
              <w:rPr>
                <w:sz w:val="20"/>
                <w:szCs w:val="20"/>
                <w:color w:val="auto"/>
              </w:rPr>
            </w:pPr>
            <w:r>
              <w:rPr>
                <w:rFonts w:ascii="Arial" w:cs="Arial" w:eastAsia="Arial" w:hAnsi="Arial"/>
                <w:sz w:val="14"/>
                <w:szCs w:val="14"/>
                <w:color w:val="auto"/>
                <w:w w:val="89"/>
              </w:rPr>
              <w:t>Line)</w:t>
            </w: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21"/>
                <w:szCs w:val="21"/>
                <w:color w:val="auto"/>
              </w:rPr>
            </w:pPr>
          </w:p>
        </w:tc>
        <w:tc>
          <w:tcPr>
            <w:tcW w:w="560" w:type="dxa"/>
            <w:vAlign w:val="bottom"/>
          </w:tcPr>
          <w:p>
            <w:pPr>
              <w:spacing w:after="0"/>
              <w:rPr>
                <w:sz w:val="20"/>
                <w:szCs w:val="20"/>
                <w:color w:val="auto"/>
              </w:rPr>
            </w:pPr>
            <w:r>
              <w:rPr>
                <w:rFonts w:ascii="Arial" w:cs="Arial" w:eastAsia="Arial" w:hAnsi="Arial"/>
                <w:sz w:val="18"/>
                <w:szCs w:val="18"/>
                <w:color w:val="0000FF"/>
              </w:rPr>
              <w:t>10017</w:t>
            </w: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60" w:type="dxa"/>
            <w:vAlign w:val="bottom"/>
            <w:gridSpan w:val="5"/>
            <w:vMerge w:val="restart"/>
          </w:tcPr>
          <w:p>
            <w:pPr>
              <w:ind w:left="2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100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700" w:type="dxa"/>
            <w:vAlign w:val="bottom"/>
            <w:tcBorders>
              <w:top w:val="single" w:sz="8" w:color="EEEEEE"/>
            </w:tcBorders>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6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5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ind w:left="26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gridSpan w:val="3"/>
          </w:tcPr>
          <w:p>
            <w:pPr>
              <w:spacing w:after="0"/>
              <w:rPr>
                <w:sz w:val="11"/>
                <w:szCs w:val="11"/>
                <w:color w:val="auto"/>
              </w:rPr>
            </w:pPr>
          </w:p>
        </w:tc>
        <w:tc>
          <w:tcPr>
            <w:tcW w:w="4240" w:type="dxa"/>
            <w:vAlign w:val="bottom"/>
            <w:tcBorders>
              <w:bottom w:val="single" w:sz="8" w:color="2C2C2C"/>
            </w:tcBorders>
            <w:gridSpan w:val="7"/>
          </w:tcPr>
          <w:p>
            <w:pPr>
              <w:spacing w:after="0"/>
              <w:rPr>
                <w:sz w:val="11"/>
                <w:szCs w:val="11"/>
                <w:color w:val="auto"/>
              </w:rPr>
            </w:pPr>
          </w:p>
        </w:tc>
        <w:tc>
          <w:tcPr>
            <w:tcW w:w="1460" w:type="dxa"/>
            <w:vAlign w:val="bottom"/>
            <w:tcBorders>
              <w:bottom w:val="single" w:sz="8" w:color="2C2C2C"/>
            </w:tcBorders>
            <w:gridSpan w:val="3"/>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960" w:type="dxa"/>
            <w:vAlign w:val="bottom"/>
            <w:tcBorders>
              <w:top w:val="single" w:sz="8" w:color="2C2C2C"/>
            </w:tcBorders>
            <w:gridSpan w:val="13"/>
          </w:tcPr>
          <w:p>
            <w:pPr>
              <w:jc w:val="center"/>
              <w:ind w:left="6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60" w:type="dxa"/>
            <w:vAlign w:val="bottom"/>
          </w:tcPr>
          <w:p>
            <w:pPr>
              <w:spacing w:after="0"/>
              <w:rPr>
                <w:sz w:val="15"/>
                <w:szCs w:val="15"/>
                <w:color w:val="auto"/>
              </w:rPr>
            </w:pPr>
          </w:p>
        </w:tc>
        <w:tc>
          <w:tcPr>
            <w:tcW w:w="112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00" w:type="dxa"/>
            <w:vAlign w:val="bottom"/>
            <w:tcBorders>
              <w:bottom w:val="single" w:sz="8" w:color="2C2C2C"/>
            </w:tcBorders>
            <w:gridSpan w:val="6"/>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0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20" w:type="dxa"/>
            <w:vAlign w:val="bottom"/>
            <w:tcBorders>
              <w:bottom w:val="single" w:sz="8" w:color="2C2C2C"/>
            </w:tcBorders>
            <w:gridSpan w:val="2"/>
          </w:tcPr>
          <w:p>
            <w:pPr>
              <w:jc w:val="right"/>
              <w:ind w:right="58"/>
              <w:spacing w:after="0"/>
              <w:rPr>
                <w:sz w:val="20"/>
                <w:szCs w:val="20"/>
                <w:color w:val="auto"/>
              </w:rPr>
            </w:pPr>
            <w:r>
              <w:rPr>
                <w:rFonts w:ascii="Arial" w:cs="Arial" w:eastAsia="Arial" w:hAnsi="Arial"/>
                <w:sz w:val="18"/>
                <w:szCs w:val="18"/>
                <w:color w:val="0000FF"/>
              </w:rPr>
              <w:t>11/25/2019</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5,772</w:t>
            </w:r>
          </w:p>
        </w:tc>
        <w:tc>
          <w:tcPr>
            <w:tcW w:w="700" w:type="dxa"/>
            <w:vAlign w:val="bottom"/>
            <w:tcBorders>
              <w:bottom w:val="single" w:sz="8" w:color="2C2C2C"/>
            </w:tcBorders>
          </w:tcPr>
          <w:p>
            <w:pPr>
              <w:jc w:val="right"/>
              <w:ind w:right="196"/>
              <w:spacing w:after="0"/>
              <w:rPr>
                <w:sz w:val="20"/>
                <w:szCs w:val="20"/>
                <w:color w:val="auto"/>
              </w:rPr>
            </w:pPr>
            <w:r>
              <w:rPr>
                <w:rFonts w:ascii="Arial" w:cs="Arial" w:eastAsia="Arial" w:hAnsi="Arial"/>
                <w:sz w:val="18"/>
                <w:szCs w:val="18"/>
                <w:color w:val="0000FF"/>
              </w:rPr>
              <w:t>D</w:t>
            </w:r>
          </w:p>
        </w:tc>
        <w:tc>
          <w:tcPr>
            <w:tcW w:w="600" w:type="dxa"/>
            <w:vAlign w:val="bottom"/>
            <w:tcBorders>
              <w:bottom w:val="single" w:sz="8" w:color="2C2C2C"/>
            </w:tcBorders>
            <w:gridSpan w:val="2"/>
          </w:tcPr>
          <w:p>
            <w:pPr>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69.9</w:t>
            </w:r>
            <w:r>
              <w:rPr>
                <w:rFonts w:ascii="Arial" w:cs="Arial" w:eastAsia="Arial" w:hAnsi="Arial"/>
                <w:sz w:val="22"/>
                <w:szCs w:val="22"/>
                <w:color w:val="008000"/>
                <w:w w:val="92"/>
                <w:vertAlign w:val="superscript"/>
              </w:rPr>
              <w:t>(2)</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6"/>
              </w:rPr>
              <w:t>211,794</w:t>
            </w:r>
          </w:p>
        </w:tc>
        <w:tc>
          <w:tcPr>
            <w:tcW w:w="940" w:type="dxa"/>
            <w:vAlign w:val="bottom"/>
            <w:tcBorders>
              <w:bottom w:val="single" w:sz="8" w:color="2C2C2C"/>
            </w:tcBorders>
          </w:tcPr>
          <w:p>
            <w:pPr>
              <w:jc w:val="center"/>
              <w:ind w:right="28"/>
              <w:spacing w:after="0"/>
              <w:rPr>
                <w:sz w:val="20"/>
                <w:szCs w:val="20"/>
                <w:color w:val="auto"/>
              </w:rPr>
            </w:pPr>
            <w:r>
              <w:rPr>
                <w:rFonts w:ascii="Arial" w:cs="Arial" w:eastAsia="Arial" w:hAnsi="Arial"/>
                <w:sz w:val="18"/>
                <w:szCs w:val="18"/>
                <w:color w:val="0000FF"/>
                <w:w w:val="91"/>
              </w:rPr>
              <w:t>D</w:t>
            </w:r>
          </w:p>
        </w:tc>
        <w:tc>
          <w:tcPr>
            <w:tcW w:w="8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6"/>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20" w:type="dxa"/>
            <w:vAlign w:val="bottom"/>
            <w:gridSpan w:val="2"/>
            <w:vMerge w:val="restart"/>
          </w:tcPr>
          <w:p>
            <w:pPr>
              <w:jc w:val="right"/>
              <w:ind w:right="58"/>
              <w:spacing w:after="0"/>
              <w:rPr>
                <w:sz w:val="20"/>
                <w:szCs w:val="20"/>
                <w:color w:val="auto"/>
              </w:rPr>
            </w:pPr>
            <w:r>
              <w:rPr>
                <w:rFonts w:ascii="Arial" w:cs="Arial" w:eastAsia="Arial" w:hAnsi="Arial"/>
                <w:sz w:val="18"/>
                <w:szCs w:val="18"/>
                <w:color w:val="0000FF"/>
              </w:rPr>
              <w:t>11/25/2019</w:t>
            </w: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(3)</w:t>
            </w:r>
          </w:p>
        </w:tc>
        <w:tc>
          <w:tcPr>
            <w:tcW w:w="720" w:type="dxa"/>
            <w:vAlign w:val="bottom"/>
            <w:vMerge w:val="restart"/>
          </w:tcPr>
          <w:p>
            <w:pPr>
              <w:ind w:left="220"/>
              <w:spacing w:after="0"/>
              <w:rPr>
                <w:sz w:val="20"/>
                <w:szCs w:val="20"/>
                <w:color w:val="auto"/>
              </w:rPr>
            </w:pPr>
            <w:r>
              <w:rPr>
                <w:rFonts w:ascii="Arial" w:cs="Arial" w:eastAsia="Arial" w:hAnsi="Arial"/>
                <w:sz w:val="18"/>
                <w:szCs w:val="18"/>
                <w:color w:val="0000FF"/>
              </w:rPr>
              <w:t>5,137</w:t>
            </w:r>
          </w:p>
        </w:tc>
        <w:tc>
          <w:tcPr>
            <w:tcW w:w="700" w:type="dxa"/>
            <w:vAlign w:val="bottom"/>
            <w:vMerge w:val="restart"/>
          </w:tcPr>
          <w:p>
            <w:pPr>
              <w:jc w:val="right"/>
              <w:ind w:right="196"/>
              <w:spacing w:after="0"/>
              <w:rPr>
                <w:sz w:val="20"/>
                <w:szCs w:val="20"/>
                <w:color w:val="auto"/>
              </w:rPr>
            </w:pPr>
            <w:r>
              <w:rPr>
                <w:rFonts w:ascii="Arial" w:cs="Arial" w:eastAsia="Arial" w:hAnsi="Arial"/>
                <w:sz w:val="18"/>
                <w:szCs w:val="18"/>
                <w:color w:val="0000FF"/>
              </w:rPr>
              <w:t>D</w:t>
            </w:r>
          </w:p>
        </w:tc>
        <w:tc>
          <w:tcPr>
            <w:tcW w:w="600" w:type="dxa"/>
            <w:vAlign w:val="bottom"/>
            <w:gridSpan w:val="2"/>
            <w:vMerge w:val="restart"/>
          </w:tcPr>
          <w:p>
            <w:pPr>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69.9</w:t>
            </w:r>
            <w:r>
              <w:rPr>
                <w:rFonts w:ascii="Arial" w:cs="Arial" w:eastAsia="Arial" w:hAnsi="Arial"/>
                <w:sz w:val="22"/>
                <w:szCs w:val="22"/>
                <w:color w:val="008000"/>
                <w:w w:val="92"/>
                <w:vertAlign w:val="superscript"/>
              </w:rPr>
              <w:t>(4)</w:t>
            </w:r>
          </w:p>
        </w:tc>
        <w:tc>
          <w:tcPr>
            <w:tcW w:w="12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6"/>
              </w:rPr>
              <w:t>283,292</w:t>
            </w:r>
          </w:p>
        </w:tc>
        <w:tc>
          <w:tcPr>
            <w:tcW w:w="940" w:type="dxa"/>
            <w:vAlign w:val="bottom"/>
            <w:vMerge w:val="restart"/>
          </w:tcPr>
          <w:p>
            <w:pPr>
              <w:jc w:val="center"/>
              <w:ind w:right="48"/>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200" w:type="dxa"/>
            <w:vAlign w:val="bottom"/>
            <w:gridSpan w:val="6"/>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40" w:type="dxa"/>
            <w:vAlign w:val="bottom"/>
            <w:vMerge w:val="restart"/>
          </w:tcPr>
          <w:p>
            <w:pPr>
              <w:ind w:left="2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(5)</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6"/>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7"/>
              </w:rPr>
              <w:t>40,219</w:t>
            </w:r>
          </w:p>
        </w:tc>
        <w:tc>
          <w:tcPr>
            <w:tcW w:w="940" w:type="dxa"/>
            <w:vAlign w:val="bottom"/>
            <w:vMerge w:val="restart"/>
          </w:tcPr>
          <w:p>
            <w:pPr>
              <w:jc w:val="center"/>
              <w:ind w:right="48"/>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gridSpan w:val="6"/>
            <w:vMerge w:val="continue"/>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vMerge w:val="restart"/>
          </w:tcPr>
          <w:p>
            <w:pPr>
              <w:ind w:left="2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(6)</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6"/>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6"/>
              </w:rPr>
              <w:t>177,134</w:t>
            </w:r>
          </w:p>
        </w:tc>
        <w:tc>
          <w:tcPr>
            <w:tcW w:w="940" w:type="dxa"/>
            <w:vAlign w:val="bottom"/>
            <w:vMerge w:val="restart"/>
          </w:tcPr>
          <w:p>
            <w:pPr>
              <w:jc w:val="center"/>
              <w:ind w:right="48"/>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gridSpan w:val="6"/>
            <w:vMerge w:val="continue"/>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vMerge w:val="restart"/>
          </w:tcPr>
          <w:p>
            <w:pPr>
              <w:ind w:left="2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(7)</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6"/>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7"/>
              </w:rPr>
              <w:t>84,000</w:t>
            </w:r>
          </w:p>
        </w:tc>
        <w:tc>
          <w:tcPr>
            <w:tcW w:w="940" w:type="dxa"/>
            <w:vAlign w:val="bottom"/>
            <w:vMerge w:val="restart"/>
          </w:tcPr>
          <w:p>
            <w:pPr>
              <w:jc w:val="center"/>
              <w:ind w:right="48"/>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gridSpan w:val="6"/>
            <w:vMerge w:val="continue"/>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vMerge w:val="restart"/>
          </w:tcPr>
          <w:p>
            <w:pPr>
              <w:ind w:left="2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(8)</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6"/>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7"/>
              </w:rPr>
              <w:t>84,000</w:t>
            </w:r>
          </w:p>
        </w:tc>
        <w:tc>
          <w:tcPr>
            <w:tcW w:w="940" w:type="dxa"/>
            <w:vAlign w:val="bottom"/>
            <w:vMerge w:val="restart"/>
          </w:tcPr>
          <w:p>
            <w:pPr>
              <w:jc w:val="center"/>
              <w:ind w:right="48"/>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gridSpan w:val="6"/>
            <w:vMerge w:val="continue"/>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8"/>
                <w:szCs w:val="18"/>
                <w:color w:val="0000FF"/>
                <w:w w:val="92"/>
              </w:rPr>
              <w:t>Footnote</w:t>
            </w:r>
            <w:r>
              <w:rPr>
                <w:rFonts w:ascii="Arial" w:cs="Arial" w:eastAsia="Arial" w:hAnsi="Arial"/>
                <w:sz w:val="22"/>
                <w:szCs w:val="22"/>
                <w:color w:val="008000"/>
                <w:w w:val="92"/>
                <w:vertAlign w:val="superscript"/>
              </w:rPr>
              <w:t>(9)</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2"/>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140" w:type="dxa"/>
            <w:vAlign w:val="bottom"/>
            <w:gridSpan w:val="9"/>
          </w:tcPr>
          <w:p>
            <w:pPr>
              <w:jc w:val="center"/>
              <w:ind w:right="74"/>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5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4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56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(I) (Instr. 4)</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0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30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 was made pursuant to a 10b5-1 plan previously entered into by the reporting person.</w:t>
      </w:r>
    </w:p>
    <w:p>
      <w:pPr>
        <w:spacing w:after="0" w:line="41" w:lineRule="exact"/>
        <w:rPr>
          <w:rFonts w:ascii="Arial" w:cs="Arial" w:eastAsia="Arial" w:hAnsi="Arial"/>
          <w:sz w:val="14"/>
          <w:szCs w:val="14"/>
          <w:color w:val="008000"/>
        </w:rPr>
      </w:pPr>
    </w:p>
    <w:p>
      <w:pPr>
        <w:ind w:left="40" w:right="12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$69.90 to $69.93 per share. The price reported above reflects the weighted average purchase price on the date indicated. The reporting person hereby undertakes to provide upon request to the SEC staff, the issuer or a security holder of the issuer full information regarding the number of shares.</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Rohit Kapoor 2016 Family Trust.</w:t>
      </w:r>
    </w:p>
    <w:p>
      <w:pPr>
        <w:spacing w:after="0" w:line="41" w:lineRule="exact"/>
        <w:rPr>
          <w:rFonts w:ascii="Arial" w:cs="Arial" w:eastAsia="Arial" w:hAnsi="Arial"/>
          <w:sz w:val="14"/>
          <w:szCs w:val="14"/>
          <w:color w:val="008000"/>
        </w:rPr>
      </w:pPr>
    </w:p>
    <w:p>
      <w:pPr>
        <w:ind w:left="40" w:right="12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$69.90 to $69.93 per share. The price reported above reflects the weighted average purchase price on the date indicated. The reporting person hereby undertakes to provide upon request to the SEC staff, the issuer or a security holder of the issuer full information regarding the number of shares.</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2016 Family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2016 Kapoor Family Trust Created Under the Rohit Kapoor 2013 GRAT.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2016 Kapoor Family Trust Created Under the Rohit Kapoor 2005 GRAT.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Spousal Lifetime Access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Shikha Kapoor 2005 Family Trust.</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11/27/2019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66" w:orient="portrait"/>
          <w:cols w:equalWidth="0" w:num="1">
            <w:col w:w="11420"/>
          </w:cols>
          <w:pgMar w:left="240" w:top="226" w:right="23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2019-11-27T16:37:34Z</dcterms:created>
  <dcterms:modified xsi:type="dcterms:W3CDTF">2019-11-27T16:37:34Z</dcterms:modified>
</cp:coreProperties>
</file>