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25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508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Rai Ankor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10/22/2021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4"/>
        <w:spacing w:after="0"/>
        <w:rPr>
          <w:sz w:val="20"/>
          <w:szCs w:val="20"/>
          <w:color w:val="auto"/>
        </w:rPr>
      </w:pPr>
      <w:r>
        <w:rPr>
          <w:rFonts w:ascii="Arial" w:cs="Arial" w:eastAsia="Arial" w:hAnsi="Arial"/>
          <w:sz w:val="17"/>
          <w:szCs w:val="17"/>
          <w:color w:val="0000FF"/>
        </w:rPr>
        <w:t>EVP, Chief Digital Officer</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10/22/2021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4,566</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4,566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10/22/2021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1,966</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122.84</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2,600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(1)</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36"/>
              <w:spacing w:after="0"/>
              <w:rPr>
                <w:sz w:val="20"/>
                <w:szCs w:val="20"/>
                <w:color w:val="auto"/>
              </w:rPr>
            </w:pPr>
            <w:r>
              <w:rPr>
                <w:rFonts w:ascii="Arial" w:cs="Arial" w:eastAsia="Arial" w:hAnsi="Arial"/>
                <w:sz w:val="11"/>
                <w:szCs w:val="11"/>
                <w:color w:val="008000"/>
              </w:rPr>
              <w:t>(3)</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4,566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10/22/2021</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Arial" w:cs="Arial" w:eastAsia="Arial" w:hAnsi="Arial"/>
                <w:sz w:val="13"/>
                <w:szCs w:val="13"/>
                <w:color w:val="0000FF"/>
              </w:rPr>
              <w:t>4,566</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ind w:left="340"/>
              <w:spacing w:after="0" w:line="143" w:lineRule="exact"/>
              <w:rPr>
                <w:sz w:val="20"/>
                <w:szCs w:val="20"/>
                <w:color w:val="auto"/>
              </w:rPr>
            </w:pPr>
            <w:r>
              <w:rPr>
                <w:rFonts w:ascii="Arial" w:cs="Arial" w:eastAsia="Arial" w:hAnsi="Arial"/>
                <w:sz w:val="13"/>
                <w:szCs w:val="13"/>
                <w:color w:val="0000FF"/>
                <w:w w:val="92"/>
              </w:rPr>
              <w:t>4,567</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5"/>
              </w:rPr>
              <w:t>$0.001</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Arial" w:cs="Arial" w:eastAsia="Arial" w:hAnsi="Arial"/>
          <w:sz w:val="13"/>
          <w:szCs w:val="13"/>
          <w:color w:val="0000FF"/>
        </w:rPr>
        <w:t>per share</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42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October 22,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22, 2019, the reporting person was granted 9,133 restricted stock units, fifty percent of the restricted stock units became vested on October 22, 2021, and the remaining balance of fifty percent of the restricted stock units will vest on October 22, 2022.</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10/26/2021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8817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2021-10-26T16:26:31Z</dcterms:created>
  <dcterms:modified xsi:type="dcterms:W3CDTF">2021-10-26T16:26:31Z</dcterms:modified>
</cp:coreProperties>
</file>