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812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812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160" w:type="dxa"/>
            <w:vAlign w:val="bottom"/>
            <w:gridSpan w:val="9"/>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1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4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tcBorders>
              <w:bottom w:val="single" w:sz="8" w:color="2C2C2C"/>
            </w:tcBorders>
            <w:gridSpan w:val="3"/>
          </w:tcPr>
          <w:p>
            <w:pPr>
              <w:jc w:val="right"/>
              <w:ind w:right="132"/>
              <w:spacing w:after="0"/>
              <w:rPr>
                <w:sz w:val="20"/>
                <w:szCs w:val="20"/>
                <w:color w:val="auto"/>
              </w:rPr>
            </w:pPr>
            <w:r>
              <w:rPr>
                <w:rFonts w:ascii="Arial" w:cs="Arial" w:eastAsia="Arial" w:hAnsi="Arial"/>
                <w:sz w:val="18"/>
                <w:szCs w:val="18"/>
                <w:color w:val="0000FF"/>
              </w:rPr>
              <w:t>02/23/2018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7,972</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(1)</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440,077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5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tcBorders>
              <w:bottom w:val="single" w:sz="8" w:color="2C2C2C"/>
            </w:tcBorders>
            <w:gridSpan w:val="3"/>
          </w:tcPr>
          <w:p>
            <w:pPr>
              <w:jc w:val="right"/>
              <w:ind w:right="132"/>
              <w:spacing w:after="0"/>
              <w:rPr>
                <w:sz w:val="20"/>
                <w:szCs w:val="20"/>
                <w:color w:val="auto"/>
              </w:rPr>
            </w:pPr>
            <w:r>
              <w:rPr>
                <w:rFonts w:ascii="Arial" w:cs="Arial" w:eastAsia="Arial" w:hAnsi="Arial"/>
                <w:sz w:val="18"/>
                <w:szCs w:val="18"/>
                <w:color w:val="0000FF"/>
              </w:rPr>
              <w:t>02/24/2018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9,375</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(1)</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449,452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5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280" w:type="dxa"/>
            <w:vAlign w:val="bottom"/>
          </w:tcPr>
          <w:p>
            <w:pPr>
              <w:spacing w:after="0"/>
              <w:rPr>
                <w:sz w:val="22"/>
                <w:szCs w:val="22"/>
                <w:color w:val="auto"/>
              </w:rPr>
            </w:pPr>
          </w:p>
        </w:tc>
        <w:tc>
          <w:tcPr>
            <w:tcW w:w="680" w:type="dxa"/>
            <w:vAlign w:val="bottom"/>
            <w:vMerge w:val="restart"/>
          </w:tcPr>
          <w:p>
            <w:pPr>
              <w:jc w:val="center"/>
              <w:ind w:right="35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280" w:type="dxa"/>
            <w:vAlign w:val="bottom"/>
          </w:tcPr>
          <w:p>
            <w:pPr>
              <w:spacing w:after="0"/>
              <w:rPr>
                <w:sz w:val="22"/>
                <w:szCs w:val="22"/>
                <w:color w:val="auto"/>
              </w:rPr>
            </w:pPr>
          </w:p>
        </w:tc>
        <w:tc>
          <w:tcPr>
            <w:tcW w:w="680" w:type="dxa"/>
            <w:vAlign w:val="bottom"/>
            <w:vMerge w:val="restart"/>
          </w:tcPr>
          <w:p>
            <w:pPr>
              <w:jc w:val="center"/>
              <w:ind w:right="35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280" w:type="dxa"/>
            <w:vAlign w:val="bottom"/>
          </w:tcPr>
          <w:p>
            <w:pPr>
              <w:spacing w:after="0"/>
              <w:rPr>
                <w:sz w:val="22"/>
                <w:szCs w:val="22"/>
                <w:color w:val="auto"/>
              </w:rPr>
            </w:pPr>
          </w:p>
        </w:tc>
        <w:tc>
          <w:tcPr>
            <w:tcW w:w="680" w:type="dxa"/>
            <w:vAlign w:val="bottom"/>
            <w:vMerge w:val="restart"/>
          </w:tcPr>
          <w:p>
            <w:pPr>
              <w:jc w:val="center"/>
              <w:ind w:right="35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80" w:type="dxa"/>
            <w:vAlign w:val="bottom"/>
            <w:vMerge w:val="restart"/>
          </w:tcPr>
          <w:p>
            <w:pPr>
              <w:jc w:val="center"/>
              <w:ind w:right="35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80" w:type="dxa"/>
            <w:vAlign w:val="bottom"/>
            <w:vMerge w:val="restart"/>
          </w:tcPr>
          <w:p>
            <w:pPr>
              <w:jc w:val="center"/>
              <w:ind w:right="35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54"/>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jc w:val="center"/>
              <w:ind w:right="34"/>
              <w:spacing w:after="0"/>
              <w:rPr>
                <w:sz w:val="20"/>
                <w:szCs w:val="20"/>
                <w:color w:val="auto"/>
              </w:rPr>
            </w:pPr>
            <w:r>
              <w:rPr>
                <w:rFonts w:ascii="Arial" w:cs="Arial" w:eastAsia="Arial" w:hAnsi="Arial"/>
                <w:sz w:val="11"/>
                <w:szCs w:val="11"/>
                <w:color w:val="008000"/>
              </w:rPr>
              <w:t>(8)</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7,972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02/23/2018</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2"/>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7,972</w:t>
            </w:r>
          </w:p>
        </w:tc>
        <w:tc>
          <w:tcPr>
            <w:tcW w:w="8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0000FF"/>
              </w:rPr>
              <w:t>23,917</w:t>
            </w:r>
          </w:p>
        </w:tc>
        <w:tc>
          <w:tcPr>
            <w:tcW w:w="680" w:type="dxa"/>
            <w:vAlign w:val="bottom"/>
          </w:tcPr>
          <w:p>
            <w:pPr>
              <w:ind w:left="40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(9)</w:t>
            </w:r>
          </w:p>
        </w:tc>
        <w:tc>
          <w:tcPr>
            <w:tcW w:w="720" w:type="dxa"/>
            <w:vAlign w:val="bottom"/>
            <w:vMerge w:val="restart"/>
          </w:tcPr>
          <w:p>
            <w:pPr>
              <w:jc w:val="center"/>
              <w:ind w:right="34"/>
              <w:spacing w:after="0"/>
              <w:rPr>
                <w:sz w:val="20"/>
                <w:szCs w:val="20"/>
                <w:color w:val="auto"/>
              </w:rPr>
            </w:pPr>
            <w:r>
              <w:rPr>
                <w:rFonts w:ascii="Arial" w:cs="Arial" w:eastAsia="Arial" w:hAnsi="Arial"/>
                <w:sz w:val="11"/>
                <w:szCs w:val="11"/>
                <w:color w:val="008000"/>
              </w:rPr>
              <w:t>(9)</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9,375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02/24/2018</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2"/>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9,375</w:t>
            </w:r>
          </w:p>
        </w:tc>
        <w:tc>
          <w:tcPr>
            <w:tcW w:w="8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0000FF"/>
              </w:rPr>
              <w:t>18,750</w:t>
            </w:r>
          </w:p>
        </w:tc>
        <w:tc>
          <w:tcPr>
            <w:tcW w:w="680" w:type="dxa"/>
            <w:vAlign w:val="bottom"/>
          </w:tcPr>
          <w:p>
            <w:pPr>
              <w:ind w:left="40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convert into common stock, par value $0.001 per share on a one-for-one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31,889 restricted stock units, vesting in four annual installments beginning on the first anniversary of the grant date. 25 percent of the restricted stock units became vested on February 23, 2018, an additional 25 percent of the restricted stock units will vest on February 23, 2019, an additional 25 percent of the restricted stock units will vest on February 23, 2020, and the remaining balance of 7,973 shares of the restricted stock units will vest on February 23, 2021.</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37,500 restricted stock units, vesting in four equal annual installments beginning on the first anniversary of the grant date. 25 percent of the restricted</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line="239" w:lineRule="auto"/>
        <w:rPr>
          <w:sz w:val="20"/>
          <w:szCs w:val="20"/>
          <w:color w:val="auto"/>
        </w:rPr>
      </w:pPr>
      <w:r>
        <w:rPr>
          <w:rFonts w:ascii="Arial" w:cs="Arial" w:eastAsia="Arial" w:hAnsi="Arial"/>
          <w:sz w:val="14"/>
          <w:szCs w:val="14"/>
          <w:color w:val="008000"/>
        </w:rPr>
        <w:t>stock units became vested on February 24, 2017, an additional 25 percent of the restricted stock units became vested on February 24, 2018, an additional 25 percent of the restricted stock units will vest on February 24, 2019, and the remaining balance of 25 of the restricted stock units will vest on February 24, 2020.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2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20"/>
      </w:cols>
      <w:pgMar w:left="280" w:top="12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2019-12-04T01:51:30Z</dcterms:created>
  <dcterms:modified xsi:type="dcterms:W3CDTF">2019-12-04T01:51:30Z</dcterms:modified>
</cp:coreProperties>
</file>