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8133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13308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Kapoor Rohit</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1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02/18/2025</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977"/>
        <w:spacing w:after="0"/>
        <w:rPr>
          <w:sz w:val="20"/>
          <w:szCs w:val="20"/>
          <w:color w:val="auto"/>
        </w:rPr>
      </w:pPr>
      <w:r>
        <w:rPr>
          <w:rFonts w:ascii="Times New Roman" w:cs="Times New Roman" w:eastAsia="Times New Roman" w:hAnsi="Times New Roman"/>
          <w:sz w:val="17"/>
          <w:szCs w:val="17"/>
          <w:color w:val="0000FF"/>
        </w:rPr>
        <w:t>Chairman &amp; CEO</w:t>
      </w:r>
    </w:p>
    <w:p>
      <w:pPr>
        <w:spacing w:after="0" w:line="277" w:lineRule="exact"/>
        <w:rPr>
          <w:sz w:val="24"/>
          <w:szCs w:val="24"/>
          <w:color w:val="auto"/>
        </w:rPr>
      </w:pPr>
    </w:p>
    <w:p>
      <w:pPr>
        <w:sectPr>
          <w:pgSz w:w="11900" w:h="16838" w:orient="portrait"/>
          <w:cols w:equalWidth="0" w:num="3">
            <w:col w:w="3180" w:space="720"/>
            <w:col w:w="3103" w:space="720"/>
            <w:col w:w="3357"/>
          </w:cols>
          <w:pgMar w:left="460" w:top="217" w:right="359" w:bottom="0" w:gutter="0" w:footer="0" w:header="0"/>
          <w:type w:val="continuous"/>
        </w:sectPr>
      </w:pP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34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700" w:type="dxa"/>
            <w:vAlign w:val="bottom"/>
            <w:gridSpan w:val="7"/>
            <w:vMerge w:val="restart"/>
          </w:tcPr>
          <w:p>
            <w:pPr>
              <w:jc w:val="center"/>
              <w:ind w:right="35"/>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1"/>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00" w:type="dxa"/>
            <w:vAlign w:val="bottom"/>
            <w:gridSpan w:val="7"/>
            <w:vMerge w:val="continue"/>
          </w:tcPr>
          <w:p>
            <w:pPr>
              <w:spacing w:after="0"/>
              <w:rPr>
                <w:sz w:val="10"/>
                <w:szCs w:val="10"/>
                <w:color w:val="auto"/>
              </w:rPr>
            </w:pPr>
          </w:p>
        </w:tc>
        <w:tc>
          <w:tcPr>
            <w:tcW w:w="364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8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10022</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20" w:type="dxa"/>
            <w:vAlign w:val="bottom"/>
            <w:gridSpan w:val="5"/>
          </w:tcPr>
          <w:p>
            <w:pPr>
              <w:ind w:left="22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40" w:type="dxa"/>
            <w:vAlign w:val="bottom"/>
            <w:gridSpan w:val="8"/>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Borders>
              <w:top w:val="single" w:sz="8" w:color="EEEEEE"/>
            </w:tcBorders>
          </w:tcPr>
          <w:p>
            <w:pPr>
              <w:spacing w:after="0"/>
              <w:rPr>
                <w:sz w:val="15"/>
                <w:szCs w:val="15"/>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80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340" w:type="dxa"/>
            <w:vAlign w:val="bottom"/>
            <w:tcBorders>
              <w:top w:val="single" w:sz="8" w:color="EEEEEE"/>
            </w:tcBorders>
          </w:tcPr>
          <w:p>
            <w:pPr>
              <w:spacing w:after="0"/>
              <w:rPr>
                <w:sz w:val="15"/>
                <w:szCs w:val="15"/>
                <w:color w:val="auto"/>
              </w:rPr>
            </w:pPr>
          </w:p>
        </w:tc>
        <w:tc>
          <w:tcPr>
            <w:tcW w:w="80" w:type="dxa"/>
            <w:vAlign w:val="bottom"/>
            <w:tcBorders>
              <w:top w:val="single" w:sz="8" w:color="EEEEEE"/>
            </w:tcBorders>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Person</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4"/>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4"/>
          </w:tcPr>
          <w:p>
            <w:pPr>
              <w:ind w:left="7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gridSpan w:val="2"/>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4"/>
          </w:tcPr>
          <w:p>
            <w:pPr>
              <w:jc w:val="center"/>
              <w:ind w:left="594"/>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98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jc w:val="center"/>
              <w:ind w:right="15"/>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300" w:type="dxa"/>
            <w:vAlign w:val="bottom"/>
            <w:tcBorders>
              <w:bottom w:val="single" w:sz="8" w:color="2C2C2C"/>
            </w:tcBorders>
            <w:gridSpan w:val="6"/>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3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960" w:type="dxa"/>
            <w:vAlign w:val="bottom"/>
            <w:tcBorders>
              <w:bottom w:val="single" w:sz="8" w:color="2C2C2C"/>
            </w:tcBorders>
            <w:gridSpan w:val="3"/>
          </w:tcPr>
          <w:p>
            <w:pPr>
              <w:jc w:val="center"/>
              <w:ind w:right="64"/>
              <w:spacing w:after="0"/>
              <w:rPr>
                <w:sz w:val="20"/>
                <w:szCs w:val="20"/>
                <w:color w:val="auto"/>
              </w:rPr>
            </w:pPr>
            <w:r>
              <w:rPr>
                <w:rFonts w:ascii="Times New Roman" w:cs="Times New Roman" w:eastAsia="Times New Roman" w:hAnsi="Times New Roman"/>
                <w:sz w:val="17"/>
                <w:szCs w:val="17"/>
                <w:color w:val="0000FF"/>
                <w:w w:val="98"/>
              </w:rPr>
              <w:t>02/18/2025</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44,250</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911,355</w:t>
            </w:r>
          </w:p>
        </w:tc>
        <w:tc>
          <w:tcPr>
            <w:tcW w:w="2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54"/>
              <w:spacing w:after="0" w:line="309" w:lineRule="exact"/>
              <w:rPr>
                <w:sz w:val="20"/>
                <w:szCs w:val="20"/>
                <w:color w:val="auto"/>
              </w:rPr>
            </w:pPr>
            <w:r>
              <w:rPr>
                <w:rFonts w:ascii="Times New Roman" w:cs="Times New Roman" w:eastAsia="Times New Roman" w:hAnsi="Times New Roman"/>
                <w:sz w:val="33"/>
                <w:szCs w:val="33"/>
                <w:color w:val="0000FF"/>
                <w:w w:val="90"/>
                <w:vertAlign w:val="subscript"/>
              </w:rPr>
              <w:t>D</w:t>
            </w:r>
            <w:r>
              <w:rPr>
                <w:rFonts w:ascii="Times New Roman" w:cs="Times New Roman" w:eastAsia="Times New Roman" w:hAnsi="Times New Roman"/>
                <w:sz w:val="11"/>
                <w:szCs w:val="11"/>
                <w:color w:val="008000"/>
                <w:w w:val="90"/>
              </w:rPr>
              <w:t>(2)</w:t>
            </w:r>
          </w:p>
        </w:tc>
        <w:tc>
          <w:tcPr>
            <w:tcW w:w="2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3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960" w:type="dxa"/>
            <w:vAlign w:val="bottom"/>
            <w:tcBorders>
              <w:bottom w:val="single" w:sz="8" w:color="2C2C2C"/>
            </w:tcBorders>
            <w:gridSpan w:val="3"/>
          </w:tcPr>
          <w:p>
            <w:pPr>
              <w:jc w:val="center"/>
              <w:ind w:right="64"/>
              <w:spacing w:after="0"/>
              <w:rPr>
                <w:sz w:val="20"/>
                <w:szCs w:val="20"/>
                <w:color w:val="auto"/>
              </w:rPr>
            </w:pPr>
            <w:r>
              <w:rPr>
                <w:rFonts w:ascii="Times New Roman" w:cs="Times New Roman" w:eastAsia="Times New Roman" w:hAnsi="Times New Roman"/>
                <w:sz w:val="17"/>
                <w:szCs w:val="17"/>
                <w:color w:val="0000FF"/>
                <w:w w:val="98"/>
              </w:rPr>
              <w:t>02/18/2025</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31,455</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942,810</w:t>
            </w:r>
          </w:p>
        </w:tc>
        <w:tc>
          <w:tcPr>
            <w:tcW w:w="2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54"/>
              <w:spacing w:after="0" w:line="309" w:lineRule="exact"/>
              <w:rPr>
                <w:sz w:val="20"/>
                <w:szCs w:val="20"/>
                <w:color w:val="auto"/>
              </w:rPr>
            </w:pPr>
            <w:r>
              <w:rPr>
                <w:rFonts w:ascii="Times New Roman" w:cs="Times New Roman" w:eastAsia="Times New Roman" w:hAnsi="Times New Roman"/>
                <w:sz w:val="33"/>
                <w:szCs w:val="33"/>
                <w:color w:val="0000FF"/>
                <w:w w:val="90"/>
                <w:vertAlign w:val="subscript"/>
              </w:rPr>
              <w:t>D</w:t>
            </w:r>
            <w:r>
              <w:rPr>
                <w:rFonts w:ascii="Times New Roman" w:cs="Times New Roman" w:eastAsia="Times New Roman" w:hAnsi="Times New Roman"/>
                <w:sz w:val="11"/>
                <w:szCs w:val="11"/>
                <w:color w:val="008000"/>
                <w:w w:val="90"/>
              </w:rPr>
              <w:t>(2)</w:t>
            </w:r>
          </w:p>
        </w:tc>
        <w:tc>
          <w:tcPr>
            <w:tcW w:w="2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3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960" w:type="dxa"/>
            <w:vAlign w:val="bottom"/>
            <w:tcBorders>
              <w:bottom w:val="single" w:sz="8" w:color="2C2C2C"/>
            </w:tcBorders>
            <w:gridSpan w:val="3"/>
          </w:tcPr>
          <w:p>
            <w:pPr>
              <w:jc w:val="center"/>
              <w:ind w:right="64"/>
              <w:spacing w:after="0"/>
              <w:rPr>
                <w:sz w:val="20"/>
                <w:szCs w:val="20"/>
                <w:color w:val="auto"/>
              </w:rPr>
            </w:pPr>
            <w:r>
              <w:rPr>
                <w:rFonts w:ascii="Times New Roman" w:cs="Times New Roman" w:eastAsia="Times New Roman" w:hAnsi="Times New Roman"/>
                <w:sz w:val="17"/>
                <w:szCs w:val="17"/>
                <w:color w:val="0000FF"/>
                <w:w w:val="98"/>
              </w:rPr>
              <w:t>02/18/2025</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26,120</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968,930</w:t>
            </w:r>
          </w:p>
        </w:tc>
        <w:tc>
          <w:tcPr>
            <w:tcW w:w="2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54"/>
              <w:spacing w:after="0" w:line="309" w:lineRule="exact"/>
              <w:rPr>
                <w:sz w:val="20"/>
                <w:szCs w:val="20"/>
                <w:color w:val="auto"/>
              </w:rPr>
            </w:pPr>
            <w:r>
              <w:rPr>
                <w:rFonts w:ascii="Times New Roman" w:cs="Times New Roman" w:eastAsia="Times New Roman" w:hAnsi="Times New Roman"/>
                <w:sz w:val="33"/>
                <w:szCs w:val="33"/>
                <w:color w:val="0000FF"/>
                <w:w w:val="90"/>
                <w:vertAlign w:val="subscript"/>
              </w:rPr>
              <w:t>D</w:t>
            </w:r>
            <w:r>
              <w:rPr>
                <w:rFonts w:ascii="Times New Roman" w:cs="Times New Roman" w:eastAsia="Times New Roman" w:hAnsi="Times New Roman"/>
                <w:sz w:val="11"/>
                <w:szCs w:val="11"/>
                <w:color w:val="008000"/>
                <w:w w:val="90"/>
              </w:rPr>
              <w:t>(2)</w:t>
            </w:r>
          </w:p>
        </w:tc>
        <w:tc>
          <w:tcPr>
            <w:tcW w:w="2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3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2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7"/>
                <w:szCs w:val="17"/>
                <w:color w:val="0000FF"/>
              </w:rPr>
              <w:t>885,670</w:t>
            </w:r>
          </w:p>
        </w:tc>
        <w:tc>
          <w:tcPr>
            <w:tcW w:w="280" w:type="dxa"/>
            <w:vAlign w:val="bottom"/>
          </w:tcPr>
          <w:p>
            <w:pPr>
              <w:spacing w:after="0"/>
              <w:rPr>
                <w:sz w:val="21"/>
                <w:szCs w:val="21"/>
                <w:color w:val="auto"/>
              </w:rPr>
            </w:pPr>
          </w:p>
        </w:tc>
        <w:tc>
          <w:tcPr>
            <w:tcW w:w="580" w:type="dxa"/>
            <w:vAlign w:val="bottom"/>
            <w:vMerge w:val="restart"/>
          </w:tcPr>
          <w:p>
            <w:pPr>
              <w:jc w:val="center"/>
              <w:ind w:right="254"/>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300" w:type="dxa"/>
            <w:vAlign w:val="bottom"/>
            <w:gridSpan w:val="6"/>
            <w:vMerge w:val="continue"/>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3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2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7"/>
                <w:szCs w:val="17"/>
                <w:color w:val="0000FF"/>
              </w:rPr>
              <w:t>420,000</w:t>
            </w:r>
          </w:p>
        </w:tc>
        <w:tc>
          <w:tcPr>
            <w:tcW w:w="280" w:type="dxa"/>
            <w:vAlign w:val="bottom"/>
          </w:tcPr>
          <w:p>
            <w:pPr>
              <w:spacing w:after="0"/>
              <w:rPr>
                <w:sz w:val="21"/>
                <w:szCs w:val="21"/>
                <w:color w:val="auto"/>
              </w:rPr>
            </w:pPr>
          </w:p>
        </w:tc>
        <w:tc>
          <w:tcPr>
            <w:tcW w:w="580" w:type="dxa"/>
            <w:vAlign w:val="bottom"/>
            <w:vMerge w:val="restart"/>
          </w:tcPr>
          <w:p>
            <w:pPr>
              <w:jc w:val="center"/>
              <w:ind w:right="254"/>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300" w:type="dxa"/>
            <w:vAlign w:val="bottom"/>
            <w:gridSpan w:val="6"/>
            <w:vMerge w:val="continue"/>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3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2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7"/>
                <w:szCs w:val="17"/>
                <w:color w:val="0000FF"/>
              </w:rPr>
              <w:t>420,000</w:t>
            </w:r>
          </w:p>
        </w:tc>
        <w:tc>
          <w:tcPr>
            <w:tcW w:w="280" w:type="dxa"/>
            <w:vAlign w:val="bottom"/>
          </w:tcPr>
          <w:p>
            <w:pPr>
              <w:spacing w:after="0"/>
              <w:rPr>
                <w:sz w:val="21"/>
                <w:szCs w:val="21"/>
                <w:color w:val="auto"/>
              </w:rPr>
            </w:pPr>
          </w:p>
        </w:tc>
        <w:tc>
          <w:tcPr>
            <w:tcW w:w="580" w:type="dxa"/>
            <w:vAlign w:val="bottom"/>
            <w:vMerge w:val="restart"/>
          </w:tcPr>
          <w:p>
            <w:pPr>
              <w:jc w:val="center"/>
              <w:ind w:right="254"/>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300" w:type="dxa"/>
            <w:vAlign w:val="bottom"/>
            <w:gridSpan w:val="6"/>
            <w:vMerge w:val="continue"/>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3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2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7"/>
                <w:szCs w:val="17"/>
                <w:color w:val="0000FF"/>
              </w:rPr>
              <w:t>665,925</w:t>
            </w:r>
          </w:p>
        </w:tc>
        <w:tc>
          <w:tcPr>
            <w:tcW w:w="280" w:type="dxa"/>
            <w:vAlign w:val="bottom"/>
          </w:tcPr>
          <w:p>
            <w:pPr>
              <w:spacing w:after="0"/>
              <w:rPr>
                <w:sz w:val="21"/>
                <w:szCs w:val="21"/>
                <w:color w:val="auto"/>
              </w:rPr>
            </w:pPr>
          </w:p>
        </w:tc>
        <w:tc>
          <w:tcPr>
            <w:tcW w:w="580" w:type="dxa"/>
            <w:vAlign w:val="bottom"/>
            <w:vMerge w:val="restart"/>
          </w:tcPr>
          <w:p>
            <w:pPr>
              <w:jc w:val="center"/>
              <w:ind w:right="254"/>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300" w:type="dxa"/>
            <w:vAlign w:val="bottom"/>
            <w:gridSpan w:val="6"/>
            <w:vMerge w:val="continue"/>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3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2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7"/>
                <w:szCs w:val="17"/>
                <w:color w:val="0000FF"/>
              </w:rPr>
              <w:t>201,095</w:t>
            </w:r>
          </w:p>
        </w:tc>
        <w:tc>
          <w:tcPr>
            <w:tcW w:w="280" w:type="dxa"/>
            <w:vAlign w:val="bottom"/>
          </w:tcPr>
          <w:p>
            <w:pPr>
              <w:spacing w:after="0"/>
              <w:rPr>
                <w:sz w:val="21"/>
                <w:szCs w:val="21"/>
                <w:color w:val="auto"/>
              </w:rPr>
            </w:pPr>
          </w:p>
        </w:tc>
        <w:tc>
          <w:tcPr>
            <w:tcW w:w="580" w:type="dxa"/>
            <w:vAlign w:val="bottom"/>
            <w:vMerge w:val="restart"/>
          </w:tcPr>
          <w:p>
            <w:pPr>
              <w:jc w:val="center"/>
              <w:ind w:right="254"/>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300" w:type="dxa"/>
            <w:vAlign w:val="bottom"/>
            <w:gridSpan w:val="6"/>
            <w:vMerge w:val="continue"/>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(7)</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gridSpan w:val="14"/>
          </w:tcPr>
          <w:p>
            <w:pPr>
              <w:jc w:val="center"/>
              <w:ind w:right="8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6"/>
              </w:rPr>
              <w:t>3A. Deemed</w:t>
            </w:r>
          </w:p>
        </w:tc>
        <w:tc>
          <w:tcPr>
            <w:tcW w:w="34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1"/>
              </w:rPr>
              <w:t>Reported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1"/>
              </w:rPr>
              <w:t>Transaction(s)</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restart"/>
          </w:tcPr>
          <w:p>
            <w:pPr>
              <w:spacing w:after="0" w:line="284"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gridSpan w:val="2"/>
            <w:vMerge w:val="restart"/>
          </w:tcPr>
          <w:p>
            <w:pPr>
              <w:jc w:val="center"/>
              <w:ind w:right="44"/>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(8)</w:t>
            </w:r>
          </w:p>
        </w:tc>
        <w:tc>
          <w:tcPr>
            <w:tcW w:w="640" w:type="dxa"/>
            <w:vAlign w:val="bottom"/>
          </w:tcPr>
          <w:p>
            <w:pPr>
              <w:jc w:val="center"/>
              <w:ind w:right="55"/>
              <w:spacing w:after="0" w:line="142"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26,120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02/18/2025</w:t>
            </w: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26,120</w:t>
            </w: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55"/>
              <w:spacing w:after="0" w:line="142" w:lineRule="exact"/>
              <w:rPr>
                <w:sz w:val="20"/>
                <w:szCs w:val="20"/>
                <w:color w:val="auto"/>
              </w:rPr>
            </w:pPr>
            <w:r>
              <w:rPr>
                <w:rFonts w:ascii="Times New Roman" w:cs="Times New Roman" w:eastAsia="Times New Roman" w:hAnsi="Times New Roman"/>
                <w:sz w:val="13"/>
                <w:szCs w:val="13"/>
                <w:color w:val="0000FF"/>
                <w:w w:val="99"/>
              </w:rPr>
              <w:t>par value</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52,240</w:t>
            </w:r>
          </w:p>
        </w:tc>
        <w:tc>
          <w:tcPr>
            <w:tcW w:w="580" w:type="dxa"/>
            <w:vAlign w:val="bottom"/>
          </w:tcPr>
          <w:p>
            <w:pPr>
              <w:ind w:left="40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55"/>
              <w:spacing w:after="0" w:line="142"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7"/>
              </w:rPr>
              <w:t>per share</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restart"/>
          </w:tcPr>
          <w:p>
            <w:pPr>
              <w:spacing w:after="0" w:line="284"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gridSpan w:val="2"/>
            <w:vMerge w:val="restart"/>
          </w:tcPr>
          <w:p>
            <w:pPr>
              <w:jc w:val="center"/>
              <w:ind w:right="44"/>
              <w:spacing w:after="0"/>
              <w:rPr>
                <w:sz w:val="20"/>
                <w:szCs w:val="20"/>
                <w:color w:val="auto"/>
              </w:rPr>
            </w:pPr>
            <w:r>
              <w:rPr>
                <w:rFonts w:ascii="Times New Roman" w:cs="Times New Roman" w:eastAsia="Times New Roman" w:hAnsi="Times New Roman"/>
                <w:sz w:val="11"/>
                <w:szCs w:val="11"/>
                <w:color w:val="008000"/>
              </w:rPr>
              <w:t>(9)</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(9)</w:t>
            </w:r>
          </w:p>
        </w:tc>
        <w:tc>
          <w:tcPr>
            <w:tcW w:w="640" w:type="dxa"/>
            <w:vAlign w:val="bottom"/>
          </w:tcPr>
          <w:p>
            <w:pPr>
              <w:jc w:val="center"/>
              <w:ind w:right="55"/>
              <w:spacing w:after="0" w:line="142"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31,455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02/18/2025</w:t>
            </w: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31,455</w:t>
            </w: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55"/>
              <w:spacing w:after="0" w:line="142" w:lineRule="exact"/>
              <w:rPr>
                <w:sz w:val="20"/>
                <w:szCs w:val="20"/>
                <w:color w:val="auto"/>
              </w:rPr>
            </w:pPr>
            <w:r>
              <w:rPr>
                <w:rFonts w:ascii="Times New Roman" w:cs="Times New Roman" w:eastAsia="Times New Roman" w:hAnsi="Times New Roman"/>
                <w:sz w:val="13"/>
                <w:szCs w:val="13"/>
                <w:color w:val="0000FF"/>
                <w:w w:val="99"/>
              </w:rPr>
              <w:t>par value</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31,455</w:t>
            </w:r>
          </w:p>
        </w:tc>
        <w:tc>
          <w:tcPr>
            <w:tcW w:w="580" w:type="dxa"/>
            <w:vAlign w:val="bottom"/>
          </w:tcPr>
          <w:p>
            <w:pPr>
              <w:ind w:left="40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55"/>
              <w:spacing w:after="0" w:line="142"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7"/>
              </w:rPr>
              <w:t>per share</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restart"/>
          </w:tcPr>
          <w:p>
            <w:pPr>
              <w:spacing w:after="0" w:line="284"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gridSpan w:val="2"/>
            <w:vMerge w:val="restart"/>
          </w:tcPr>
          <w:p>
            <w:pPr>
              <w:jc w:val="center"/>
              <w:ind w:right="44"/>
              <w:spacing w:after="0"/>
              <w:rPr>
                <w:sz w:val="20"/>
                <w:szCs w:val="20"/>
                <w:color w:val="auto"/>
              </w:rPr>
            </w:pPr>
            <w:r>
              <w:rPr>
                <w:rFonts w:ascii="Times New Roman" w:cs="Times New Roman" w:eastAsia="Times New Roman" w:hAnsi="Times New Roman"/>
                <w:sz w:val="11"/>
                <w:szCs w:val="11"/>
                <w:color w:val="008000"/>
                <w:w w:val="97"/>
              </w:rPr>
              <w:t>(10)</w:t>
            </w:r>
          </w:p>
        </w:tc>
        <w:tc>
          <w:tcPr>
            <w:tcW w:w="70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(10)</w:t>
            </w:r>
          </w:p>
        </w:tc>
        <w:tc>
          <w:tcPr>
            <w:tcW w:w="640" w:type="dxa"/>
            <w:vAlign w:val="bottom"/>
          </w:tcPr>
          <w:p>
            <w:pPr>
              <w:jc w:val="center"/>
              <w:ind w:right="55"/>
              <w:spacing w:after="0" w:line="142"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44,250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02/18/2025</w:t>
            </w: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44,250</w:t>
            </w: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55"/>
              <w:spacing w:after="0" w:line="142" w:lineRule="exact"/>
              <w:rPr>
                <w:sz w:val="20"/>
                <w:szCs w:val="20"/>
                <w:color w:val="auto"/>
              </w:rPr>
            </w:pPr>
            <w:r>
              <w:rPr>
                <w:rFonts w:ascii="Times New Roman" w:cs="Times New Roman" w:eastAsia="Times New Roman" w:hAnsi="Times New Roman"/>
                <w:sz w:val="13"/>
                <w:szCs w:val="13"/>
                <w:color w:val="0000FF"/>
                <w:w w:val="99"/>
              </w:rPr>
              <w:t>par value</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40" w:type="dxa"/>
            <w:vAlign w:val="bottom"/>
          </w:tcPr>
          <w:p>
            <w:pPr>
              <w:jc w:val="center"/>
              <w:ind w:left="260"/>
              <w:spacing w:after="0" w:line="142"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2"/>
                <w:szCs w:val="12"/>
                <w:color w:val="auto"/>
              </w:rPr>
            </w:pPr>
          </w:p>
        </w:tc>
        <w:tc>
          <w:tcPr>
            <w:tcW w:w="580" w:type="dxa"/>
            <w:vAlign w:val="bottom"/>
          </w:tcPr>
          <w:p>
            <w:pPr>
              <w:ind w:left="40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40"/>
        <w:spacing w:after="0"/>
        <w:rPr>
          <w:sz w:val="20"/>
          <w:szCs w:val="20"/>
          <w:color w:val="auto"/>
        </w:rPr>
      </w:pPr>
      <w:r>
        <w:rPr>
          <w:rFonts w:ascii="Times New Roman" w:cs="Times New Roman" w:eastAsia="Times New Roman" w:hAnsi="Times New Roman"/>
          <w:sz w:val="13"/>
          <w:szCs w:val="13"/>
          <w:color w:val="0000FF"/>
        </w:rPr>
        <w:t>per share</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Rohit Kapoor.</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2016 Kapoor Family Trust Created Under the Rohit Kapoor 2005 GRAT.</w:t>
      </w:r>
    </w:p>
    <w:p>
      <w:pPr>
        <w:sectPr>
          <w:pgSz w:w="11900" w:h="16838" w:orient="portrait"/>
          <w:cols w:equalWidth="0" w:num="1">
            <w:col w:w="11080"/>
          </w:cols>
          <w:pgMar w:left="460" w:top="217" w:right="359" w:bottom="0" w:gutter="0" w:footer="0" w:header="0"/>
          <w:type w:val="continuous"/>
        </w:sectPr>
      </w:pPr>
    </w:p>
    <w:bookmarkStart w:id="1" w:name="page2"/>
    <w:bookmarkEnd w:id="1"/>
    <w:p>
      <w:pPr>
        <w:ind w:left="140" w:hanging="138"/>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Rohit Kapoor Spousal Lifetime Access Trust.</w:t>
      </w:r>
    </w:p>
    <w:p>
      <w:pPr>
        <w:spacing w:after="0" w:line="44"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Shikha Kapoor 2005 Family Trust.</w:t>
      </w:r>
    </w:p>
    <w:p>
      <w:pPr>
        <w:spacing w:after="0" w:line="44"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Rohit Kapoor 2016 Family Trust</w:t>
      </w:r>
    </w:p>
    <w:p>
      <w:pPr>
        <w:spacing w:after="0" w:line="44"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2016 Kapoor Family Trust Created Under the Rohit Kapoor 2013 GRAT.</w:t>
      </w:r>
    </w:p>
    <w:p>
      <w:pPr>
        <w:spacing w:after="0" w:line="44" w:lineRule="exact"/>
        <w:rPr>
          <w:rFonts w:ascii="Times New Roman" w:cs="Times New Roman" w:eastAsia="Times New Roman" w:hAnsi="Times New Roman"/>
          <w:sz w:val="13"/>
          <w:szCs w:val="13"/>
          <w:color w:val="008000"/>
        </w:rPr>
      </w:pPr>
    </w:p>
    <w:p>
      <w:pPr>
        <w:jc w:val="both"/>
        <w:ind w:right="320" w:firstLine="2"/>
        <w:spacing w:after="0" w:line="242"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15, 2023, the reporting person was granted 20,896 (pre-split) restricted stock units, vesting in four equal annual installments beginning on the first anniversary of the grant date. Twenty-five percent of the restricted stock units became vested on February 15, 2024, an additional twenty-five percent of the restricted stock units vested on February 15, 2025, an additional twenty-five percent of the restricted stock units will vest on February 15, 2026, and the remaining balance of twenty-five percent of the restricted stock units will vest on February 15, 2027.</w:t>
      </w:r>
    </w:p>
    <w:p>
      <w:pPr>
        <w:spacing w:after="0" w:line="25" w:lineRule="exact"/>
        <w:rPr>
          <w:rFonts w:ascii="Times New Roman" w:cs="Times New Roman" w:eastAsia="Times New Roman" w:hAnsi="Times New Roman"/>
          <w:sz w:val="13"/>
          <w:szCs w:val="13"/>
          <w:color w:val="008000"/>
        </w:rPr>
      </w:pPr>
    </w:p>
    <w:p>
      <w:pPr>
        <w:ind w:right="80" w:firstLine="2"/>
        <w:spacing w:after="0" w:line="242"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16, 2022, the reporting person was granted 25,164 (pre-split) restricted stock units, vesting in four equal annual installments beginning on the first anniversary of the grant date. Twenty-five percent of the restricted stock units became vested on February 16, 2023, an additional twenty-five percent of the restricted stock units became vested on February 16, 2024, an additional twenty-five percent of the restricted stock units became vested on February 16, 2025, and the remaining balance of twenty-five percent of the restricted stock units will vest on February 16, 2026.</w:t>
      </w:r>
    </w:p>
    <w:p>
      <w:pPr>
        <w:spacing w:after="0" w:line="25" w:lineRule="exact"/>
        <w:rPr>
          <w:rFonts w:ascii="Times New Roman" w:cs="Times New Roman" w:eastAsia="Times New Roman" w:hAnsi="Times New Roman"/>
          <w:sz w:val="13"/>
          <w:szCs w:val="13"/>
          <w:color w:val="008000"/>
        </w:rPr>
      </w:pPr>
    </w:p>
    <w:p>
      <w:pPr>
        <w:jc w:val="both"/>
        <w:ind w:firstLine="2"/>
        <w:spacing w:after="0" w:line="242" w:lineRule="auto"/>
        <w:tabs>
          <w:tab w:leader="none" w:pos="194"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17, 2021, the reporting person was granted 35,400 (pre-split) restricted stock units, vesting in four equal annual installments beginning on the first anniversary of the grant date. 25 percent of the restricted stock units became vested on February 17, 2022, an additional 25 percent of the restricted stock units became vested on February 17, 2023, an additional 25 percent of the restricted stock units became vested on February 17, 2024, and the remaining balance of 25 percent of the restricted stock units became vested on February 17, 2025.</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pacing w:after="0" w:line="5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Ajay Ayyappan, Attorney-</w:t>
            </w:r>
          </w:p>
        </w:tc>
        <w:tc>
          <w:tcPr>
            <w:tcW w:w="22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02/20/2025</w:t>
            </w:r>
          </w:p>
        </w:tc>
        <w:tc>
          <w:tcPr>
            <w:tcW w:w="0" w:type="dxa"/>
            <w:vAlign w:val="bottom"/>
          </w:tcPr>
          <w:p>
            <w:pPr>
              <w:spacing w:after="0"/>
              <w:rPr>
                <w:sz w:val="1"/>
                <w:szCs w:val="1"/>
                <w:color w:val="auto"/>
              </w:rPr>
            </w:pPr>
          </w:p>
        </w:tc>
      </w:tr>
      <w:tr>
        <w:trPr>
          <w:trHeight w:val="88"/>
        </w:trPr>
        <w:tc>
          <w:tcPr>
            <w:tcW w:w="48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420" w:firstLine="2"/>
        <w:spacing w:after="0" w:line="336" w:lineRule="auto"/>
        <w:tabs>
          <w:tab w:leader="none" w:pos="13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73630"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2025-02-20T17:03:06Z</dcterms:created>
  <dcterms:modified xsi:type="dcterms:W3CDTF">2025-02-20T17:03:06Z</dcterms:modified>
</cp:coreProperties>
</file>