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634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487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59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Mahon Anita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40"/>
        <w:spacing w:after="0" w:line="327"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03/02/2023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EVP &amp; Chief Growth Officer</w:t>
      </w:r>
    </w:p>
    <w:p>
      <w:pPr>
        <w:spacing w:after="0" w:line="436" w:lineRule="exact"/>
        <w:rPr>
          <w:sz w:val="24"/>
          <w:szCs w:val="24"/>
          <w:color w:val="auto"/>
        </w:rPr>
      </w:pPr>
    </w:p>
    <w:p>
      <w:pPr>
        <w:sectPr>
          <w:pgSz w:w="11900" w:h="16838" w:orient="portrait"/>
          <w:cols w:equalWidth="0" w:num="3">
            <w:col w:w="3180" w:space="720"/>
            <w:col w:w="3106" w:space="720"/>
            <w:col w:w="3354"/>
          </w:cols>
          <w:pgMar w:left="460" w:top="222" w:right="359" w:bottom="596"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00" w:type="dxa"/>
            <w:vAlign w:val="bottom"/>
            <w:gridSpan w:val="10"/>
          </w:tcPr>
          <w:p>
            <w:pPr>
              <w:ind w:left="3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03/02/2023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498</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3"/>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9,693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03/02/2023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255</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163.25</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9,438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03/02/2023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1,091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3"/>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10,529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03/02/2023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559</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163.25</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9,970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jc w:val="right"/>
              <w:ind w:right="93"/>
              <w:spacing w:after="0"/>
              <w:rPr>
                <w:sz w:val="20"/>
                <w:szCs w:val="20"/>
                <w:color w:val="auto"/>
              </w:rPr>
            </w:pPr>
            <w:r>
              <w:rPr>
                <w:rFonts w:ascii="Arial" w:cs="Arial" w:eastAsia="Arial" w:hAnsi="Arial"/>
                <w:sz w:val="17"/>
                <w:szCs w:val="17"/>
                <w:color w:val="0000FF"/>
              </w:rPr>
              <w:t>498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03/02/2023</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jc w:val="right"/>
              <w:ind w:right="81"/>
              <w:spacing w:after="0" w:line="143" w:lineRule="exact"/>
              <w:rPr>
                <w:sz w:val="20"/>
                <w:szCs w:val="20"/>
                <w:color w:val="auto"/>
              </w:rPr>
            </w:pPr>
            <w:r>
              <w:rPr>
                <w:rFonts w:ascii="Arial" w:cs="Arial" w:eastAsia="Arial" w:hAnsi="Arial"/>
                <w:sz w:val="13"/>
                <w:szCs w:val="13"/>
                <w:color w:val="0000FF"/>
              </w:rPr>
              <w:t>498</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20"/>
              <w:spacing w:after="0" w:line="143" w:lineRule="exact"/>
              <w:rPr>
                <w:sz w:val="20"/>
                <w:szCs w:val="20"/>
                <w:color w:val="auto"/>
              </w:rPr>
            </w:pPr>
            <w:r>
              <w:rPr>
                <w:rFonts w:ascii="Arial" w:cs="Arial" w:eastAsia="Arial" w:hAnsi="Arial"/>
                <w:sz w:val="13"/>
                <w:szCs w:val="13"/>
                <w:color w:val="0000FF"/>
              </w:rPr>
              <w:t>498</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jc w:val="right"/>
              <w:ind w:right="33"/>
              <w:spacing w:after="0"/>
              <w:rPr>
                <w:sz w:val="20"/>
                <w:szCs w:val="20"/>
                <w:color w:val="auto"/>
              </w:rPr>
            </w:pPr>
            <w:r>
              <w:rPr>
                <w:rFonts w:ascii="Arial" w:cs="Arial" w:eastAsia="Arial" w:hAnsi="Arial"/>
                <w:sz w:val="17"/>
                <w:szCs w:val="17"/>
                <w:color w:val="0000FF"/>
              </w:rPr>
              <w:t>1,091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03/02/2023</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jc w:val="right"/>
              <w:ind w:right="41"/>
              <w:spacing w:after="0" w:line="143" w:lineRule="exact"/>
              <w:rPr>
                <w:sz w:val="20"/>
                <w:szCs w:val="20"/>
                <w:color w:val="auto"/>
              </w:rPr>
            </w:pPr>
            <w:r>
              <w:rPr>
                <w:rFonts w:ascii="Arial" w:cs="Arial" w:eastAsia="Arial" w:hAnsi="Arial"/>
                <w:sz w:val="13"/>
                <w:szCs w:val="13"/>
                <w:color w:val="0000FF"/>
              </w:rPr>
              <w:t>1,091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0000FF"/>
              </w:rPr>
              <w:t>1,092</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-2827020</wp:posOffset>
            </wp:positionV>
            <wp:extent cx="29210" cy="283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21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2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March 2,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ind w:left="40" w:right="4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 2020, the reporting person was granted 1,992 restricted stock units, vesting in four equal annual installments beginning on the first anniversary of the grant date. 25 percent of the restricted stock units became vested on March 2, 2021, an additional 25 percent of the restricted stock units became vested on March 2, 2022, an additional 25 percent of the restricted stock units became vested on March 2, 2023, and the remaining balance of 25 of the restricted stock units will vest on March 2, 2024.</w:t>
      </w:r>
    </w:p>
    <w:p>
      <w:pPr>
        <w:spacing w:after="0" w:line="30" w:lineRule="exact"/>
        <w:rPr>
          <w:rFonts w:ascii="Arial" w:cs="Arial" w:eastAsia="Arial" w:hAnsi="Arial"/>
          <w:sz w:val="13"/>
          <w:szCs w:val="13"/>
          <w:color w:val="008000"/>
        </w:rPr>
      </w:pPr>
    </w:p>
    <w:p>
      <w:pPr>
        <w:ind w:left="40" w:right="4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 2020, the reporting person was granted 4,365 restricted stock units, vesting in four equal annual installments beginning on the first anniversary of the grant date. 25 percent of the restricted stock units became vested on March 2, 2021, an additional 25 percent of the restricted stock units became vested on March 2, 2022, an additional 25 percent of the restricted stock units became vested on March 2, 2023, and the remaining balance of 25 of the restricted stock units will vest on March 2,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03/06/2023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2023-03-06T17:06:29Z</dcterms:created>
  <dcterms:modified xsi:type="dcterms:W3CDTF">2023-03-06T17:06:29Z</dcterms:modified>
</cp:coreProperties>
</file>