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4821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21555"/>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AYYAPPAN AJAY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4"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54"/>
        <w:spacing w:after="0"/>
        <w:rPr>
          <w:sz w:val="20"/>
          <w:szCs w:val="20"/>
          <w:color w:val="auto"/>
        </w:rPr>
      </w:pPr>
      <w:r>
        <w:rPr>
          <w:rFonts w:ascii="Times New Roman" w:cs="Times New Roman" w:eastAsia="Times New Roman" w:hAnsi="Times New Roman"/>
          <w:sz w:val="17"/>
          <w:szCs w:val="17"/>
          <w:color w:val="0000FF"/>
        </w:rPr>
        <w:t>SVP &amp; Gen Counsel/Corp. Sec'y.</w:t>
      </w:r>
    </w:p>
    <w:p>
      <w:pPr>
        <w:spacing w:after="0" w:line="311"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1,996</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02/15/2023</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1,996</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1,996</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four equal annual installments, beginning on February 15, 2024. Vesting will be accelerated upon certain termination of employment events and upon a "Change in Control" (as defined in the ExlService Holdings, Inc. 2018 Omnibus Incentive Plan).</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right="480"/>
        <w:spacing w:after="0" w:line="243" w:lineRule="auto"/>
        <w:rPr>
          <w:sz w:val="20"/>
          <w:szCs w:val="20"/>
          <w:color w:val="auto"/>
        </w:rPr>
      </w:pPr>
      <w:r>
        <w:rPr>
          <w:rFonts w:ascii="Times New Roman" w:cs="Times New Roman" w:eastAsia="Times New Roman" w:hAnsi="Times New Roman"/>
          <w:sz w:val="13"/>
          <w:szCs w:val="13"/>
          <w:color w:val="008000"/>
        </w:rPr>
        <w:t>Note: On February 15, 2023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2"/>
          <w:szCs w:val="32"/>
          <w:color w:val="0000FF"/>
          <w:vertAlign w:val="subscript"/>
        </w:rPr>
        <w:t>02/17/2023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6209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2023-02-17T16:43:56Z</dcterms:created>
  <dcterms:modified xsi:type="dcterms:W3CDTF">2023-02-17T16:43:56Z</dcterms:modified>
</cp:coreProperties>
</file>