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560705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314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8-K</w:t>
      </w:r>
    </w:p>
    <w:p>
      <w:pPr>
        <w:spacing w:after="0" w:line="6" w:lineRule="exact"/>
        <w:rPr>
          <w:sz w:val="24"/>
          <w:szCs w:val="24"/>
          <w:color w:val="auto"/>
        </w:rPr>
      </w:pPr>
    </w:p>
    <w:p>
      <w:pPr>
        <w:ind w:left="314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25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w:t>
      </w:r>
    </w:p>
    <w:p>
      <w:pPr>
        <w:spacing w:after="0" w:line="266" w:lineRule="exact"/>
        <w:rPr>
          <w:sz w:val="24"/>
          <w:szCs w:val="24"/>
          <w:color w:val="auto"/>
        </w:rPr>
      </w:pPr>
    </w:p>
    <w:p>
      <w:pPr>
        <w:ind w:left="2980"/>
        <w:spacing w:after="0"/>
        <w:rPr>
          <w:sz w:val="20"/>
          <w:szCs w:val="20"/>
          <w:color w:val="auto"/>
        </w:rPr>
      </w:pPr>
      <w:r>
        <w:rPr>
          <w:rFonts w:ascii="Arial" w:cs="Arial" w:eastAsia="Arial" w:hAnsi="Arial"/>
          <w:sz w:val="17"/>
          <w:szCs w:val="17"/>
          <w:b w:val="1"/>
          <w:bCs w:val="1"/>
          <w:color w:val="auto"/>
        </w:rPr>
        <w:t>Pursuant to Sections 13 or 15(d) of the Securities Exchange Act of 1934</w:t>
      </w:r>
    </w:p>
    <w:p>
      <w:pPr>
        <w:spacing w:after="0" w:line="65" w:lineRule="exact"/>
        <w:rPr>
          <w:sz w:val="24"/>
          <w:szCs w:val="24"/>
          <w:color w:val="auto"/>
        </w:rPr>
      </w:pPr>
    </w:p>
    <w:p>
      <w:pPr>
        <w:ind w:left="3440"/>
        <w:spacing w:after="0"/>
        <w:rPr>
          <w:sz w:val="20"/>
          <w:szCs w:val="20"/>
          <w:color w:val="auto"/>
        </w:rPr>
      </w:pPr>
      <w:r>
        <w:rPr>
          <w:rFonts w:ascii="Arial" w:cs="Arial" w:eastAsia="Arial" w:hAnsi="Arial"/>
          <w:sz w:val="18"/>
          <w:szCs w:val="18"/>
          <w:color w:val="auto"/>
        </w:rPr>
        <w:t>Date of Report (Date of earliest event reported): April 30, 2019</w:t>
      </w:r>
    </w:p>
    <w:p>
      <w:pPr>
        <w:spacing w:after="0" w:line="59" w:lineRule="exact"/>
        <w:rPr>
          <w:sz w:val="24"/>
          <w:szCs w:val="24"/>
          <w:color w:val="auto"/>
        </w:rPr>
      </w:pPr>
    </w:p>
    <w:p>
      <w:pPr>
        <w:ind w:left="318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39" w:lineRule="exact"/>
        <w:rPr>
          <w:sz w:val="24"/>
          <w:szCs w:val="24"/>
          <w:color w:val="auto"/>
        </w:rPr>
      </w:pPr>
    </w:p>
    <w:p>
      <w:pPr>
        <w:jc w:val="center"/>
        <w:ind w:right="-39"/>
        <w:spacing w:after="0"/>
        <w:rPr>
          <w:sz w:val="20"/>
          <w:szCs w:val="20"/>
          <w:color w:val="auto"/>
        </w:rPr>
      </w:pPr>
      <w:r>
        <w:rPr>
          <w:rFonts w:ascii="Arial" w:cs="Arial" w:eastAsia="Arial" w:hAnsi="Arial"/>
          <w:sz w:val="36"/>
          <w:szCs w:val="36"/>
          <w:b w:val="1"/>
          <w:bCs w:val="1"/>
          <w:color w:val="auto"/>
        </w:rPr>
        <w:t>EXLSERVICE HOLDINGS, INC.</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3" w:lineRule="exact"/>
        <w:rPr>
          <w:sz w:val="24"/>
          <w:szCs w:val="24"/>
          <w:color w:val="auto"/>
        </w:rPr>
      </w:pPr>
    </w:p>
    <w:p>
      <w:pPr>
        <w:ind w:left="314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ectPr>
          <w:pgSz w:w="11900" w:h="16838" w:orient="portrait"/>
          <w:cols w:equalWidth="0" w:num="1">
            <w:col w:w="11400"/>
          </w:cols>
          <w:pgMar w:left="240" w:top="999" w:right="259" w:bottom="1440" w:gutter="0" w:footer="0" w:header="0"/>
        </w:sectPr>
      </w:pPr>
    </w:p>
    <w:p>
      <w:pPr>
        <w:spacing w:after="0" w:line="200" w:lineRule="exact"/>
        <w:rPr>
          <w:sz w:val="24"/>
          <w:szCs w:val="24"/>
          <w:color w:val="auto"/>
        </w:rPr>
      </w:pPr>
    </w:p>
    <w:p>
      <w:pPr>
        <w:spacing w:after="0" w:line="219" w:lineRule="exact"/>
        <w:rPr>
          <w:sz w:val="24"/>
          <w:szCs w:val="24"/>
          <w:color w:val="auto"/>
        </w:rPr>
      </w:pPr>
    </w:p>
    <w:p>
      <w:pPr>
        <w:ind w:left="15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0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34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jc w:val="center"/>
        <w:ind w:right="1380"/>
        <w:spacing w:after="0"/>
        <w:rPr>
          <w:sz w:val="20"/>
          <w:szCs w:val="20"/>
          <w:color w:val="auto"/>
        </w:rPr>
      </w:pPr>
      <w:r>
        <w:rPr>
          <w:rFonts w:ascii="Arial" w:cs="Arial" w:eastAsia="Arial" w:hAnsi="Arial"/>
          <w:sz w:val="18"/>
          <w:szCs w:val="18"/>
          <w:b w:val="1"/>
          <w:bCs w:val="1"/>
          <w:color w:val="auto"/>
        </w:rPr>
        <w:t>001-33089</w:t>
      </w:r>
    </w:p>
    <w:p>
      <w:pPr>
        <w:spacing w:after="0" w:line="27" w:lineRule="exact"/>
        <w:rPr>
          <w:sz w:val="24"/>
          <w:szCs w:val="24"/>
          <w:color w:val="auto"/>
        </w:rPr>
      </w:pPr>
    </w:p>
    <w:p>
      <w:pPr>
        <w:jc w:val="center"/>
        <w:ind w:right="13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jc w:val="center"/>
        <w:ind w:right="1180"/>
        <w:spacing w:after="0"/>
        <w:rPr>
          <w:sz w:val="20"/>
          <w:szCs w:val="20"/>
          <w:color w:val="auto"/>
        </w:rPr>
      </w:pPr>
      <w:r>
        <w:rPr>
          <w:rFonts w:ascii="Arial" w:cs="Arial" w:eastAsia="Arial" w:hAnsi="Arial"/>
          <w:sz w:val="18"/>
          <w:szCs w:val="18"/>
          <w:b w:val="1"/>
          <w:bCs w:val="1"/>
          <w:color w:val="auto"/>
        </w:rPr>
        <w:t>82-0572194</w:t>
      </w:r>
    </w:p>
    <w:p>
      <w:pPr>
        <w:spacing w:after="0" w:line="27" w:lineRule="exact"/>
        <w:rPr>
          <w:sz w:val="24"/>
          <w:szCs w:val="24"/>
          <w:color w:val="auto"/>
        </w:rPr>
      </w:pPr>
    </w:p>
    <w:p>
      <w:pPr>
        <w:jc w:val="center"/>
        <w:ind w:right="118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8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60" w:space="720"/>
            <w:col w:w="3380" w:space="720"/>
            <w:col w:w="2520"/>
          </w:cols>
          <w:pgMar w:left="240" w:top="999" w:right="259" w:bottom="1440" w:gutter="0" w:footer="0" w:header="0"/>
          <w:type w:val="continuous"/>
        </w:sectPr>
      </w:pPr>
    </w:p>
    <w:p>
      <w:pPr>
        <w:spacing w:after="0" w:line="236" w:lineRule="exact"/>
        <w:rPr>
          <w:sz w:val="24"/>
          <w:szCs w:val="24"/>
          <w:color w:val="auto"/>
        </w:rPr>
      </w:pPr>
    </w:p>
    <w:p>
      <w:pPr>
        <w:ind w:left="4800"/>
        <w:spacing w:after="0"/>
        <w:rPr>
          <w:sz w:val="20"/>
          <w:szCs w:val="20"/>
          <w:color w:val="auto"/>
        </w:rPr>
      </w:pPr>
      <w:r>
        <w:rPr>
          <w:rFonts w:ascii="Arial" w:cs="Arial" w:eastAsia="Arial" w:hAnsi="Arial"/>
          <w:sz w:val="18"/>
          <w:szCs w:val="18"/>
          <w:b w:val="1"/>
          <w:bCs w:val="1"/>
          <w:color w:val="auto"/>
        </w:rPr>
        <w:t>280 Park Avenue, 38</w:t>
      </w:r>
      <w:r>
        <w:rPr>
          <w:rFonts w:ascii="Arial" w:cs="Arial" w:eastAsia="Arial" w:hAnsi="Arial"/>
          <w:sz w:val="12"/>
          <w:szCs w:val="12"/>
          <w:b w:val="1"/>
          <w:bCs w:val="1"/>
          <w:color w:val="auto"/>
        </w:rPr>
        <w:t>th</w:t>
      </w:r>
      <w:r>
        <w:rPr>
          <w:rFonts w:ascii="Arial" w:cs="Arial" w:eastAsia="Arial" w:hAnsi="Arial"/>
          <w:sz w:val="18"/>
          <w:szCs w:val="18"/>
          <w:b w:val="1"/>
          <w:bCs w:val="1"/>
          <w:color w:val="auto"/>
        </w:rPr>
        <w:t xml:space="preserve"> Floor</w:t>
      </w:r>
    </w:p>
    <w:p>
      <w:pPr>
        <w:spacing w:after="0" w:line="27"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ind w:left="4440"/>
        <w:spacing w:after="0"/>
        <w:rPr>
          <w:sz w:val="20"/>
          <w:szCs w:val="20"/>
          <w:color w:val="auto"/>
        </w:rPr>
      </w:pPr>
      <w:r>
        <w:rPr>
          <w:rFonts w:ascii="Arial" w:cs="Arial" w:eastAsia="Arial" w:hAnsi="Arial"/>
          <w:sz w:val="18"/>
          <w:szCs w:val="18"/>
          <w:color w:val="auto"/>
        </w:rPr>
        <w:t>(Address of principal executive offices)</w:t>
      </w:r>
    </w:p>
    <w:p>
      <w:pPr>
        <w:spacing w:after="0" w:line="274" w:lineRule="exact"/>
        <w:rPr>
          <w:sz w:val="24"/>
          <w:szCs w:val="24"/>
          <w:color w:val="auto"/>
        </w:rPr>
      </w:pPr>
    </w:p>
    <w:p>
      <w:pPr>
        <w:ind w:left="3240"/>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(212) 277-7100</w:t>
      </w:r>
    </w:p>
    <w:p>
      <w:pPr>
        <w:spacing w:after="0" w:line="20" w:lineRule="exact"/>
        <w:rPr>
          <w:sz w:val="24"/>
          <w:szCs w:val="24"/>
          <w:color w:val="auto"/>
        </w:rPr>
      </w:pPr>
      <w:r>
        <w:rPr>
          <w:sz w:val="24"/>
          <w:szCs w:val="24"/>
          <w:color w:val="auto"/>
        </w:rPr>
        <w:br w:type="column"/>
      </w:r>
    </w:p>
    <w:p>
      <w:pPr>
        <w:spacing w:after="0" w:line="216"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10017</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6"/>
          <w:szCs w:val="16"/>
          <w:color w:val="auto"/>
        </w:rPr>
        <w:t>(Zip code)</w:t>
      </w:r>
    </w:p>
    <w:p>
      <w:pPr>
        <w:spacing w:after="0" w:line="897" w:lineRule="exact"/>
        <w:rPr>
          <w:sz w:val="24"/>
          <w:szCs w:val="24"/>
          <w:color w:val="auto"/>
        </w:rPr>
      </w:pPr>
    </w:p>
    <w:p>
      <w:pPr>
        <w:sectPr>
          <w:pgSz w:w="11900" w:h="16838" w:orient="portrait"/>
          <w:cols w:equalWidth="0" w:num="2">
            <w:col w:w="8700" w:space="720"/>
            <w:col w:w="1980"/>
          </w:cols>
          <w:pgMar w:left="240" w:top="999" w:right="259" w:bottom="1440" w:gutter="0" w:footer="0" w:header="0"/>
          <w:type w:val="continuous"/>
        </w:sectPr>
      </w:pPr>
    </w:p>
    <w:p>
      <w:pPr>
        <w:spacing w:after="0" w:line="8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(Former name or address, if changed since last report)</w:t>
      </w:r>
    </w:p>
    <w:p>
      <w:pPr>
        <w:spacing w:after="0" w:line="32"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____________________________________________</w:t>
      </w:r>
    </w:p>
    <w:p>
      <w:pPr>
        <w:sectPr>
          <w:pgSz w:w="11900" w:h="16838" w:orient="portrait"/>
          <w:cols w:equalWidth="0" w:num="1">
            <w:col w:w="11400"/>
          </w:cols>
          <w:pgMar w:left="240" w:top="999" w:right="259" w:bottom="1440" w:gutter="0" w:footer="0" w:header="0"/>
          <w:type w:val="continuous"/>
        </w:sectPr>
      </w:pPr>
    </w:p>
    <w:p>
      <w:pPr>
        <w:spacing w:after="0" w:line="274"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116" w:lineRule="exact"/>
        <w:rPr>
          <w:sz w:val="24"/>
          <w:szCs w:val="24"/>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98"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or Rule 12b-2 of the Securities Exchange Act of 1934 (§240.12b-2 of this chapter)</w:t>
      </w:r>
    </w:p>
    <w:p>
      <w:pPr>
        <w:spacing w:after="0" w:line="157" w:lineRule="exact"/>
        <w:rPr>
          <w:sz w:val="24"/>
          <w:szCs w:val="24"/>
          <w:color w:val="auto"/>
        </w:rPr>
      </w:pPr>
    </w:p>
    <w:p>
      <w:pPr>
        <w:ind w:left="620" w:hanging="585"/>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Emerging growth company</w:t>
      </w:r>
    </w:p>
    <w:p>
      <w:pPr>
        <w:spacing w:after="0" w:line="306" w:lineRule="exact"/>
        <w:rPr>
          <w:rFonts w:ascii="Arial" w:cs="Arial" w:eastAsia="Arial" w:hAnsi="Arial"/>
          <w:sz w:val="18"/>
          <w:szCs w:val="18"/>
          <w:color w:val="auto"/>
        </w:rPr>
      </w:pPr>
    </w:p>
    <w:p>
      <w:pPr>
        <w:ind w:left="620" w:right="60" w:hanging="585"/>
        <w:spacing w:after="0" w:line="277" w:lineRule="auto"/>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357505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99"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April 30, 2019, ExlService Holdings, Inc. (the “Company”) reported its results of operations for the three months ended March 31, 2019. A copy of the press release issued by the Company concerning the foregoing is furnished herewith as Exhibit 99.1 and is incorporated herein by reference. The information provided in Item 2.02 of this report, including Exhibit 99.1, shall not be deemed to be “filed” for purposes of Section 18 of the Securities Exchange Act of 1934, as amended.</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b w:val="1"/>
                <w:bCs w:val="1"/>
                <w:color w:val="auto"/>
                <w:w w:val="91"/>
              </w:rPr>
              <w:t>Exhibit No.</w:t>
            </w:r>
          </w:p>
        </w:tc>
        <w:tc>
          <w:tcPr>
            <w:tcW w:w="6760" w:type="dxa"/>
            <w:vAlign w:val="bottom"/>
            <w:gridSpan w:val="4"/>
          </w:tcPr>
          <w:p>
            <w:pPr>
              <w:ind w:left="540"/>
              <w:spacing w:after="0"/>
              <w:rPr>
                <w:sz w:val="20"/>
                <w:szCs w:val="20"/>
                <w:color w:val="auto"/>
              </w:rPr>
            </w:pPr>
            <w:r>
              <w:rPr>
                <w:rFonts w:ascii="Arial" w:cs="Arial" w:eastAsia="Arial" w:hAnsi="Arial"/>
                <w:sz w:val="18"/>
                <w:szCs w:val="18"/>
                <w:b w:val="1"/>
                <w:bCs w:val="1"/>
                <w:color w:val="auto"/>
              </w:rPr>
              <w:t>Description</w:t>
            </w:r>
          </w:p>
        </w:tc>
      </w:tr>
      <w:tr>
        <w:trPr>
          <w:trHeight w:val="412"/>
        </w:trPr>
        <w:tc>
          <w:tcPr>
            <w:tcW w:w="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040" w:type="dxa"/>
            <w:vAlign w:val="bottom"/>
            <w:tcBorders>
              <w:bottom w:val="single" w:sz="8" w:color="0000FF"/>
            </w:tcBorders>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Press Release, dated April 30, 2019 (furnished pursuant to Item 2.02).</w:t>
              </w:r>
            </w:hyperlink>
          </w:p>
        </w:tc>
      </w:tr>
    </w:tbl>
    <w:p>
      <w:pPr>
        <w:sectPr>
          <w:pgSz w:w="11900" w:h="16838" w:orient="portrait"/>
          <w:cols w:equalWidth="0" w:num="1">
            <w:col w:w="11420"/>
          </w:cols>
          <w:pgMar w:left="240" w:top="87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3240" w:type="dxa"/>
            <w:vAlign w:val="bottom"/>
          </w:tcPr>
          <w:p>
            <w:pPr>
              <w:spacing w:after="0"/>
              <w:rPr>
                <w:sz w:val="19"/>
                <w:szCs w:val="19"/>
                <w:color w:val="auto"/>
              </w:rPr>
            </w:pPr>
          </w:p>
        </w:tc>
        <w:tc>
          <w:tcPr>
            <w:tcW w:w="8140" w:type="dxa"/>
            <w:vAlign w:val="bottom"/>
            <w:gridSpan w:val="2"/>
          </w:tcPr>
          <w:p>
            <w:pPr>
              <w:ind w:left="1780"/>
              <w:spacing w:after="0"/>
              <w:rPr>
                <w:sz w:val="20"/>
                <w:szCs w:val="20"/>
                <w:color w:val="auto"/>
              </w:rPr>
            </w:pPr>
            <w:r>
              <w:rPr>
                <w:rFonts w:ascii="Arial" w:cs="Arial" w:eastAsia="Arial" w:hAnsi="Arial"/>
                <w:sz w:val="18"/>
                <w:szCs w:val="18"/>
                <w:b w:val="1"/>
                <w:bCs w:val="1"/>
                <w:color w:val="auto"/>
              </w:rPr>
              <w:t>EXLSERVICE HOLDINGS, INC.</w:t>
            </w:r>
          </w:p>
        </w:tc>
      </w:tr>
      <w:tr>
        <w:trPr>
          <w:trHeight w:val="230"/>
        </w:trPr>
        <w:tc>
          <w:tcPr>
            <w:tcW w:w="3240" w:type="dxa"/>
            <w:vAlign w:val="bottom"/>
          </w:tcPr>
          <w:p>
            <w:pPr>
              <w:spacing w:after="0"/>
              <w:rPr>
                <w:sz w:val="20"/>
                <w:szCs w:val="20"/>
                <w:color w:val="auto"/>
              </w:rPr>
            </w:pPr>
          </w:p>
        </w:tc>
        <w:tc>
          <w:tcPr>
            <w:tcW w:w="3120" w:type="dxa"/>
            <w:vAlign w:val="bottom"/>
          </w:tcPr>
          <w:p>
            <w:pPr>
              <w:ind w:left="1780"/>
              <w:spacing w:after="0"/>
              <w:rPr>
                <w:sz w:val="20"/>
                <w:szCs w:val="20"/>
                <w:color w:val="auto"/>
              </w:rPr>
            </w:pPr>
            <w:r>
              <w:rPr>
                <w:rFonts w:ascii="Arial" w:cs="Arial" w:eastAsia="Arial" w:hAnsi="Arial"/>
                <w:sz w:val="18"/>
                <w:szCs w:val="18"/>
                <w:color w:val="auto"/>
              </w:rPr>
              <w:t>(Registrant)</w:t>
            </w:r>
          </w:p>
        </w:tc>
        <w:tc>
          <w:tcPr>
            <w:tcW w:w="5020" w:type="dxa"/>
            <w:vAlign w:val="bottom"/>
          </w:tcPr>
          <w:p>
            <w:pPr>
              <w:spacing w:after="0"/>
              <w:rPr>
                <w:sz w:val="20"/>
                <w:szCs w:val="20"/>
                <w:color w:val="auto"/>
              </w:rPr>
            </w:pPr>
          </w:p>
        </w:tc>
      </w:tr>
      <w:tr>
        <w:trPr>
          <w:trHeight w:val="864"/>
        </w:trPr>
        <w:tc>
          <w:tcPr>
            <w:tcW w:w="3240" w:type="dxa"/>
            <w:vAlign w:val="bottom"/>
          </w:tcPr>
          <w:p>
            <w:pPr>
              <w:spacing w:after="0"/>
              <w:rPr>
                <w:sz w:val="20"/>
                <w:szCs w:val="20"/>
                <w:color w:val="auto"/>
              </w:rPr>
            </w:pPr>
            <w:r>
              <w:rPr>
                <w:rFonts w:ascii="Arial" w:cs="Arial" w:eastAsia="Arial" w:hAnsi="Arial"/>
                <w:sz w:val="18"/>
                <w:szCs w:val="18"/>
                <w:color w:val="auto"/>
              </w:rPr>
              <w:t>Date: April 30, 2019</w:t>
            </w:r>
          </w:p>
        </w:tc>
        <w:tc>
          <w:tcPr>
            <w:tcW w:w="3120" w:type="dxa"/>
            <w:vAlign w:val="bottom"/>
          </w:tcPr>
          <w:p>
            <w:pPr>
              <w:ind w:left="1780"/>
              <w:spacing w:after="0"/>
              <w:rPr>
                <w:sz w:val="20"/>
                <w:szCs w:val="20"/>
                <w:color w:val="auto"/>
              </w:rPr>
            </w:pPr>
            <w:r>
              <w:rPr>
                <w:rFonts w:ascii="Arial" w:cs="Arial" w:eastAsia="Arial" w:hAnsi="Arial"/>
                <w:sz w:val="18"/>
                <w:szCs w:val="18"/>
                <w:color w:val="auto"/>
              </w:rPr>
              <w:t>By:</w:t>
            </w:r>
          </w:p>
        </w:tc>
        <w:tc>
          <w:tcPr>
            <w:tcW w:w="5020" w:type="dxa"/>
            <w:vAlign w:val="bottom"/>
          </w:tcPr>
          <w:p>
            <w:pPr>
              <w:ind w:left="40"/>
              <w:spacing w:after="0"/>
              <w:rPr>
                <w:sz w:val="20"/>
                <w:szCs w:val="20"/>
                <w:color w:val="auto"/>
              </w:rPr>
            </w:pPr>
            <w:r>
              <w:rPr>
                <w:rFonts w:ascii="Arial" w:cs="Arial" w:eastAsia="Arial" w:hAnsi="Arial"/>
                <w:sz w:val="18"/>
                <w:szCs w:val="18"/>
                <w:color w:val="auto"/>
              </w:rPr>
              <w:t>/s/ Ajay Ayyappan</w:t>
            </w:r>
          </w:p>
        </w:tc>
      </w:tr>
      <w:tr>
        <w:trPr>
          <w:trHeight w:val="41"/>
        </w:trPr>
        <w:tc>
          <w:tcPr>
            <w:tcW w:w="3240" w:type="dxa"/>
            <w:vAlign w:val="bottom"/>
          </w:tcPr>
          <w:p>
            <w:pPr>
              <w:spacing w:after="0"/>
              <w:rPr>
                <w:sz w:val="3"/>
                <w:szCs w:val="3"/>
                <w:color w:val="auto"/>
              </w:rPr>
            </w:pPr>
          </w:p>
        </w:tc>
        <w:tc>
          <w:tcPr>
            <w:tcW w:w="3120" w:type="dxa"/>
            <w:vAlign w:val="bottom"/>
          </w:tcPr>
          <w:p>
            <w:pPr>
              <w:spacing w:after="0"/>
              <w:rPr>
                <w:sz w:val="3"/>
                <w:szCs w:val="3"/>
                <w:color w:val="auto"/>
              </w:rPr>
            </w:pPr>
          </w:p>
        </w:tc>
        <w:tc>
          <w:tcPr>
            <w:tcW w:w="5020" w:type="dxa"/>
            <w:vAlign w:val="bottom"/>
            <w:tcBorders>
              <w:bottom w:val="single" w:sz="8" w:color="auto"/>
            </w:tcBorders>
          </w:tcPr>
          <w:p>
            <w:pPr>
              <w:spacing w:after="0"/>
              <w:rPr>
                <w:sz w:val="3"/>
                <w:szCs w:val="3"/>
                <w:color w:val="auto"/>
              </w:rPr>
            </w:pPr>
          </w:p>
        </w:tc>
      </w:tr>
      <w:tr>
        <w:trPr>
          <w:trHeight w:val="250"/>
        </w:trPr>
        <w:tc>
          <w:tcPr>
            <w:tcW w:w="3240" w:type="dxa"/>
            <w:vAlign w:val="bottom"/>
          </w:tcPr>
          <w:p>
            <w:pPr>
              <w:spacing w:after="0"/>
              <w:rPr>
                <w:sz w:val="21"/>
                <w:szCs w:val="21"/>
                <w:color w:val="auto"/>
              </w:rPr>
            </w:pPr>
          </w:p>
        </w:tc>
        <w:tc>
          <w:tcPr>
            <w:tcW w:w="3120" w:type="dxa"/>
            <w:vAlign w:val="bottom"/>
          </w:tcPr>
          <w:p>
            <w:pPr>
              <w:ind w:left="1780"/>
              <w:spacing w:after="0"/>
              <w:rPr>
                <w:sz w:val="20"/>
                <w:szCs w:val="20"/>
                <w:color w:val="auto"/>
              </w:rPr>
            </w:pPr>
            <w:r>
              <w:rPr>
                <w:rFonts w:ascii="Arial" w:cs="Arial" w:eastAsia="Arial" w:hAnsi="Arial"/>
                <w:sz w:val="18"/>
                <w:szCs w:val="18"/>
                <w:color w:val="auto"/>
              </w:rPr>
              <w:t>Name:</w:t>
            </w:r>
          </w:p>
        </w:tc>
        <w:tc>
          <w:tcPr>
            <w:tcW w:w="5020" w:type="dxa"/>
            <w:vAlign w:val="bottom"/>
          </w:tcPr>
          <w:p>
            <w:pPr>
              <w:ind w:left="40"/>
              <w:spacing w:after="0"/>
              <w:rPr>
                <w:sz w:val="20"/>
                <w:szCs w:val="20"/>
                <w:color w:val="auto"/>
              </w:rPr>
            </w:pPr>
            <w:r>
              <w:rPr>
                <w:rFonts w:ascii="Arial" w:cs="Arial" w:eastAsia="Arial" w:hAnsi="Arial"/>
                <w:sz w:val="18"/>
                <w:szCs w:val="18"/>
                <w:color w:val="auto"/>
              </w:rPr>
              <w:t>Ajay Ayyappan</w:t>
            </w:r>
          </w:p>
        </w:tc>
      </w:tr>
      <w:tr>
        <w:trPr>
          <w:trHeight w:val="270"/>
        </w:trPr>
        <w:tc>
          <w:tcPr>
            <w:tcW w:w="3240" w:type="dxa"/>
            <w:vAlign w:val="bottom"/>
          </w:tcPr>
          <w:p>
            <w:pPr>
              <w:spacing w:after="0"/>
              <w:rPr>
                <w:sz w:val="23"/>
                <w:szCs w:val="23"/>
                <w:color w:val="auto"/>
              </w:rPr>
            </w:pPr>
          </w:p>
        </w:tc>
        <w:tc>
          <w:tcPr>
            <w:tcW w:w="3120" w:type="dxa"/>
            <w:vAlign w:val="bottom"/>
          </w:tcPr>
          <w:p>
            <w:pPr>
              <w:ind w:left="1780"/>
              <w:spacing w:after="0"/>
              <w:rPr>
                <w:sz w:val="20"/>
                <w:szCs w:val="20"/>
                <w:color w:val="auto"/>
              </w:rPr>
            </w:pPr>
            <w:r>
              <w:rPr>
                <w:rFonts w:ascii="Arial" w:cs="Arial" w:eastAsia="Arial" w:hAnsi="Arial"/>
                <w:sz w:val="18"/>
                <w:szCs w:val="18"/>
                <w:color w:val="auto"/>
              </w:rPr>
              <w:t>Title:</w:t>
            </w:r>
          </w:p>
        </w:tc>
        <w:tc>
          <w:tcPr>
            <w:tcW w:w="5020" w:type="dxa"/>
            <w:vAlign w:val="bottom"/>
          </w:tcPr>
          <w:p>
            <w:pPr>
              <w:ind w:left="40"/>
              <w:spacing w:after="0"/>
              <w:rPr>
                <w:sz w:val="20"/>
                <w:szCs w:val="20"/>
                <w:color w:val="auto"/>
              </w:rPr>
            </w:pPr>
            <w:r>
              <w:rPr>
                <w:rFonts w:ascii="Arial" w:cs="Arial" w:eastAsia="Arial" w:hAnsi="Arial"/>
                <w:sz w:val="18"/>
                <w:szCs w:val="18"/>
                <w:color w:val="auto"/>
              </w:rPr>
              <w:t>General Counsel and Corporate Secretary</w:t>
            </w:r>
          </w:p>
        </w:tc>
      </w:tr>
    </w:tbl>
    <w:p>
      <w:pPr>
        <w:sectPr>
          <w:pgSz w:w="11900" w:h="16838" w:orient="portrait"/>
          <w:cols w:equalWidth="0" w:num="1">
            <w:col w:w="11420"/>
          </w:cols>
          <w:pgMar w:left="240" w:top="621" w:right="239" w:bottom="1440" w:gutter="0" w:footer="0" w:header="0"/>
        </w:sectPr>
      </w:pPr>
    </w:p>
    <w:bookmarkStart w:id="3" w:name="page4"/>
    <w:bookmarkEnd w:id="3"/>
    <w:p>
      <w:pPr>
        <w:ind w:left="10480"/>
        <w:spacing w:after="0"/>
        <w:rPr>
          <w:sz w:val="20"/>
          <w:szCs w:val="20"/>
          <w:color w:val="auto"/>
        </w:rPr>
      </w:pPr>
      <w:r>
        <w:rPr>
          <w:rFonts w:ascii="Arial" w:cs="Arial" w:eastAsia="Arial" w:hAnsi="Arial"/>
          <w:sz w:val="16"/>
          <w:szCs w:val="16"/>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 REPORTS 2019 FIRST QUARTER RESULTS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2019 First Quarter Revenues of $239.6 Million, up 15.8% year-over-year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Q1 Diluted EPS (GAAP) of $0.42, down from $0.66 in Q1 of 2018</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Q1 Adjusted Diluted EPS (Non-GAAP) of $0.71, up from $0.65 in Q1 of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New York, NY - April 30, 2019 - ExlService Holdings, Inc. (NASDAQ: EXLS), a leading operations management and analytics company, today announced its financial results for the quarter ended March 31, 2019.</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8"/>
          <w:szCs w:val="18"/>
          <w:color w:val="auto"/>
        </w:rPr>
        <w:t>Rohit Kapoor, Vice Chairman and Chief Executive Officer, said, “EXL generated revenues of $239.6 million during the first quarter of 2019, up 15.8% year-over-year. EXL’s revenues growth was led by a 52.3% increase in Analytics revenues, driven by an 18.8% increase in organic revenues and the acquisition of SCIOinspire Holdings, Inc. Analytics represents 36.3% of EXL’s revenues.</w:t>
      </w:r>
    </w:p>
    <w:p>
      <w:pPr>
        <w:spacing w:after="0" w:line="222" w:lineRule="exact"/>
        <w:rPr>
          <w:sz w:val="20"/>
          <w:szCs w:val="20"/>
          <w:color w:val="auto"/>
        </w:rPr>
      </w:pPr>
    </w:p>
    <w:p>
      <w:pPr>
        <w:jc w:val="both"/>
        <w:spacing w:after="0" w:line="304" w:lineRule="auto"/>
        <w:rPr>
          <w:sz w:val="20"/>
          <w:szCs w:val="20"/>
          <w:color w:val="auto"/>
        </w:rPr>
      </w:pPr>
      <w:r>
        <w:rPr>
          <w:rFonts w:ascii="Arial" w:cs="Arial" w:eastAsia="Arial" w:hAnsi="Arial"/>
          <w:sz w:val="18"/>
          <w:szCs w:val="18"/>
          <w:color w:val="auto"/>
        </w:rPr>
        <w:t>“We have begun 2019 with good momentum. Our success is based upon a strong culture of adopting rapidly changing technology to deliver valuable sustainable productivity to our clients. Our growth has been propelled through a focus on being the strategic digital transformation partner for our clients, as well as our Operations Management excellence and leadership position in Analytics. Digital Intelligence, our differentiated strategy and approach for digital transformation, represents the next step in our ability to improve revenue growth, profitability and end customer experience for our clients. We are positioned for a strong 2019 and beyond.”</w:t>
      </w:r>
    </w:p>
    <w:p>
      <w:pPr>
        <w:spacing w:after="0" w:line="229" w:lineRule="exact"/>
        <w:rPr>
          <w:sz w:val="20"/>
          <w:szCs w:val="20"/>
          <w:color w:val="auto"/>
        </w:rPr>
      </w:pPr>
    </w:p>
    <w:p>
      <w:pPr>
        <w:jc w:val="both"/>
        <w:spacing w:after="0" w:line="357" w:lineRule="auto"/>
        <w:rPr>
          <w:sz w:val="20"/>
          <w:szCs w:val="20"/>
          <w:color w:val="auto"/>
        </w:rPr>
      </w:pPr>
      <w:r>
        <w:rPr>
          <w:rFonts w:ascii="Arial" w:cs="Arial" w:eastAsia="Arial" w:hAnsi="Arial"/>
          <w:sz w:val="17"/>
          <w:szCs w:val="17"/>
          <w:color w:val="auto"/>
        </w:rPr>
        <w:t>On April 4, 2019, EXL announced it commenced the process of substantially winding down the operations of the Health Integrated business, which is reported within our Healthcare reportable segment. It is anticipated that the wind down process will be substantially completed by the end of 2019.</w:t>
      </w:r>
    </w:p>
    <w:p>
      <w:pPr>
        <w:spacing w:after="0" w:line="188" w:lineRule="exact"/>
        <w:rPr>
          <w:sz w:val="20"/>
          <w:szCs w:val="20"/>
          <w:color w:val="auto"/>
        </w:rPr>
      </w:pPr>
    </w:p>
    <w:p>
      <w:pPr>
        <w:jc w:val="both"/>
        <w:spacing w:after="0" w:line="325" w:lineRule="auto"/>
        <w:rPr>
          <w:sz w:val="20"/>
          <w:szCs w:val="20"/>
          <w:color w:val="auto"/>
        </w:rPr>
      </w:pPr>
      <w:r>
        <w:rPr>
          <w:rFonts w:ascii="Arial" w:cs="Arial" w:eastAsia="Arial" w:hAnsi="Arial"/>
          <w:sz w:val="17"/>
          <w:szCs w:val="17"/>
          <w:color w:val="auto"/>
        </w:rPr>
        <w:t>Vishal Chhibbar, Chief Financial Officer, said, “We are revising our revenue guidance for 2019 to $969 million - $996 million from $975 million - $1 billion to reflect the decrease in revenue from Health Integrated to $10 million - $14 million from our previous forecast of $16 million - $18 million. Our guidance represents annual revenue growth of 10% to 13% on a constant currency basis. Our adjusted diluted EPS guidance for 2019 is being revised to $2.83 - $2.98 to reflect the higher operating losses of Health Integrated of $0.23 - $0.27 from $0.16 - $0.20 and does not factor any wind-down expenses. Our balance sheet remains strong with cash and short-term investments of $303 million on March 31, 2019.”</w:t>
      </w:r>
    </w:p>
    <w:p>
      <w:pPr>
        <w:sectPr>
          <w:pgSz w:w="11900" w:h="16838" w:orient="portrait"/>
          <w:cols w:equalWidth="0" w:num="1">
            <w:col w:w="11420"/>
          </w:cols>
          <w:pgMar w:left="240" w:top="58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Financial Highlights: First Quarter 2019</w:t>
      </w:r>
    </w:p>
    <w:p>
      <w:pPr>
        <w:spacing w:after="0" w:line="189" w:lineRule="exact"/>
        <w:rPr>
          <w:sz w:val="20"/>
          <w:szCs w:val="20"/>
          <w:color w:val="auto"/>
        </w:rPr>
      </w:pPr>
    </w:p>
    <w:p>
      <w:pPr>
        <w:jc w:val="both"/>
        <w:spacing w:after="0" w:line="373" w:lineRule="auto"/>
        <w:rPr>
          <w:sz w:val="20"/>
          <w:szCs w:val="20"/>
          <w:color w:val="auto"/>
        </w:rPr>
      </w:pPr>
      <w:r>
        <w:rPr>
          <w:rFonts w:ascii="Arial" w:cs="Arial" w:eastAsia="Arial" w:hAnsi="Arial"/>
          <w:sz w:val="18"/>
          <w:szCs w:val="18"/>
          <w:i w:val="1"/>
          <w:iCs w:val="1"/>
          <w:color w:val="auto"/>
        </w:rPr>
        <w:t>We have six reportable segments: Insurance, Healthcare, Travel, Transportation &amp; Logistics, Finance &amp; Accounting, All Other (consisting of our Banking &amp; Financial Services, Utilities and Consulting operating segments) and Analytics. Reconciliations of adjusted (non-GAAP) financial measures to GAAP measures are included at the end of this release.</w:t>
      </w:r>
    </w:p>
    <w:p>
      <w:pPr>
        <w:spacing w:after="0" w:line="358" w:lineRule="exact"/>
        <w:rPr>
          <w:sz w:val="20"/>
          <w:szCs w:val="20"/>
          <w:color w:val="auto"/>
        </w:rPr>
      </w:pPr>
    </w:p>
    <w:p>
      <w:pPr>
        <w:jc w:val="both"/>
        <w:ind w:left="660" w:hanging="328"/>
        <w:spacing w:after="0" w:line="31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Revenues for the quarter ended March 31, 2019 increased to $239.6 million compared to $207.0 million for the first quarter of 2018, an increase of 15.8% on a reported basis and 17.5% on a constant currency basis from the first quarter of 2018, as well as an increase of 2.0% sequentially on a reported basis and 1.6% on a constant currency basis, from the fourth quarter of 2018.</w:t>
      </w:r>
    </w:p>
    <w:p>
      <w:pPr>
        <w:spacing w:after="0" w:line="114" w:lineRule="exact"/>
        <w:rPr>
          <w:sz w:val="20"/>
          <w:szCs w:val="20"/>
          <w:color w:val="auto"/>
        </w:rPr>
      </w:pPr>
    </w:p>
    <w:tbl>
      <w:tblPr>
        <w:tblLayout w:type="fixed"/>
        <w:tblInd w:w="660" w:type="dxa"/>
        <w:tblCellMar>
          <w:top w:w="0" w:type="dxa"/>
          <w:left w:w="0" w:type="dxa"/>
          <w:bottom w:w="0" w:type="dxa"/>
          <w:right w:w="0" w:type="dxa"/>
        </w:tblCellMar>
      </w:tblPr>
      <w:tr>
        <w:trPr>
          <w:trHeight w:val="210"/>
        </w:trPr>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3"/>
          </w:tcPr>
          <w:p>
            <w:pPr>
              <w:jc w:val="center"/>
              <w:ind w:left="639"/>
              <w:spacing w:after="0"/>
              <w:rPr>
                <w:sz w:val="20"/>
                <w:szCs w:val="20"/>
                <w:color w:val="auto"/>
              </w:rPr>
            </w:pPr>
            <w:r>
              <w:rPr>
                <w:rFonts w:ascii="Arial" w:cs="Arial" w:eastAsia="Arial" w:hAnsi="Arial"/>
                <w:sz w:val="16"/>
                <w:szCs w:val="16"/>
                <w:b w:val="1"/>
                <w:bCs w:val="1"/>
                <w:color w:val="auto"/>
                <w:w w:val="87"/>
              </w:rPr>
              <w:t>Revenues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3"/>
          </w:tcPr>
          <w:p>
            <w:pPr>
              <w:ind w:left="960"/>
              <w:spacing w:after="0"/>
              <w:rPr>
                <w:sz w:val="20"/>
                <w:szCs w:val="20"/>
                <w:color w:val="auto"/>
              </w:rPr>
            </w:pPr>
            <w:r>
              <w:rPr>
                <w:rFonts w:ascii="Arial" w:cs="Arial" w:eastAsia="Arial" w:hAnsi="Arial"/>
                <w:sz w:val="16"/>
                <w:szCs w:val="16"/>
                <w:b w:val="1"/>
                <w:bCs w:val="1"/>
                <w:color w:val="auto"/>
                <w:w w:val="94"/>
              </w:rPr>
              <w:t>Gross Margin</w:t>
            </w:r>
          </w:p>
        </w:tc>
        <w:tc>
          <w:tcPr>
            <w:tcW w:w="880" w:type="dxa"/>
            <w:vAlign w:val="bottom"/>
          </w:tcPr>
          <w:p>
            <w:pPr>
              <w:spacing w:after="0"/>
              <w:rPr>
                <w:sz w:val="18"/>
                <w:szCs w:val="18"/>
                <w:color w:val="auto"/>
              </w:rPr>
            </w:pPr>
          </w:p>
        </w:tc>
      </w:tr>
      <w:tr>
        <w:trPr>
          <w:trHeight w:val="33"/>
        </w:trPr>
        <w:tc>
          <w:tcPr>
            <w:tcW w:w="4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Borders>
              <w:bottom w:val="single" w:sz="8" w:color="auto"/>
            </w:tcBorders>
            <w:gridSpan w:val="4"/>
          </w:tcPr>
          <w:p>
            <w:pPr>
              <w:spacing w:after="0"/>
              <w:rPr>
                <w:sz w:val="2"/>
                <w:szCs w:val="2"/>
                <w:color w:val="auto"/>
              </w:rPr>
            </w:pPr>
          </w:p>
        </w:tc>
      </w:tr>
      <w:tr>
        <w:trPr>
          <w:trHeight w:val="217"/>
        </w:trPr>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8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1"/>
              </w:rPr>
              <w:t>Three months ended March 31,</w:t>
            </w:r>
          </w:p>
        </w:tc>
        <w:tc>
          <w:tcPr>
            <w:tcW w:w="2840" w:type="dxa"/>
            <w:vAlign w:val="bottom"/>
            <w:gridSpan w:val="4"/>
          </w:tcPr>
          <w:p>
            <w:pPr>
              <w:ind w:left="360"/>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438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4380" w:type="dxa"/>
            <w:vAlign w:val="bottom"/>
            <w:gridSpan w:val="2"/>
          </w:tcPr>
          <w:p>
            <w:pPr>
              <w:ind w:left="20"/>
              <w:spacing w:after="0"/>
              <w:rPr>
                <w:sz w:val="20"/>
                <w:szCs w:val="20"/>
                <w:color w:val="auto"/>
              </w:rPr>
            </w:pPr>
            <w:r>
              <w:rPr>
                <w:rFonts w:ascii="Arial" w:cs="Arial" w:eastAsia="Arial" w:hAnsi="Arial"/>
                <w:sz w:val="16"/>
                <w:szCs w:val="16"/>
                <w:b w:val="1"/>
                <w:bCs w:val="1"/>
                <w:color w:val="auto"/>
              </w:rPr>
              <w:t>Reportable Segments</w:t>
            </w:r>
          </w:p>
        </w:tc>
        <w:tc>
          <w:tcPr>
            <w:tcW w:w="200" w:type="dxa"/>
            <w:vAlign w:val="bottom"/>
          </w:tcPr>
          <w:p>
            <w:pPr>
              <w:spacing w:after="0"/>
              <w:rPr>
                <w:sz w:val="20"/>
                <w:szCs w:val="20"/>
                <w:color w:val="auto"/>
              </w:rPr>
            </w:pPr>
          </w:p>
        </w:tc>
        <w:tc>
          <w:tcPr>
            <w:tcW w:w="10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380" w:type="dxa"/>
            <w:vAlign w:val="bottom"/>
          </w:tcPr>
          <w:p>
            <w:pPr>
              <w:ind w:left="520"/>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ind w:left="40"/>
              <w:spacing w:after="0"/>
              <w:rPr>
                <w:sz w:val="20"/>
                <w:szCs w:val="20"/>
                <w:color w:val="auto"/>
              </w:rPr>
            </w:pPr>
            <w:r>
              <w:rPr>
                <w:rFonts w:ascii="Arial" w:cs="Arial" w:eastAsia="Arial" w:hAnsi="Arial"/>
                <w:sz w:val="16"/>
                <w:szCs w:val="16"/>
                <w:b w:val="1"/>
                <w:bCs w:val="1"/>
                <w:color w:val="auto"/>
              </w:rPr>
              <w:t>2018</w:t>
            </w:r>
          </w:p>
        </w:tc>
      </w:tr>
      <w:tr>
        <w:trPr>
          <w:trHeight w:val="33"/>
        </w:trPr>
        <w:tc>
          <w:tcPr>
            <w:tcW w:w="4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4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8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2"/>
              </w:rPr>
              <w:t>(dollars in millions)</w:t>
            </w: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4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Insurance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63.9</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w w:val="96"/>
              </w:rPr>
              <w:t>33.6%</w:t>
            </w:r>
          </w:p>
        </w:tc>
      </w:tr>
      <w:tr>
        <w:trPr>
          <w:trHeight w:val="237"/>
        </w:trPr>
        <w:tc>
          <w:tcPr>
            <w:tcW w:w="4380" w:type="dxa"/>
            <w:vAlign w:val="bottom"/>
            <w:gridSpan w:val="2"/>
          </w:tcPr>
          <w:p>
            <w:pPr>
              <w:ind w:left="20"/>
              <w:spacing w:after="0"/>
              <w:rPr>
                <w:sz w:val="20"/>
                <w:szCs w:val="20"/>
                <w:color w:val="auto"/>
              </w:rPr>
            </w:pPr>
            <w:r>
              <w:rPr>
                <w:rFonts w:ascii="Arial" w:cs="Arial" w:eastAsia="Arial" w:hAnsi="Arial"/>
                <w:sz w:val="16"/>
                <w:szCs w:val="16"/>
                <w:color w:val="auto"/>
              </w:rPr>
              <w:t>Healthcare</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22.8</w:t>
            </w:r>
          </w:p>
        </w:tc>
        <w:tc>
          <w:tcPr>
            <w:tcW w:w="100" w:type="dxa"/>
            <w:vAlign w:val="bottom"/>
          </w:tcPr>
          <w:p>
            <w:pPr>
              <w:spacing w:after="0"/>
              <w:rPr>
                <w:sz w:val="20"/>
                <w:szCs w:val="20"/>
                <w:color w:val="auto"/>
              </w:rPr>
            </w:pPr>
          </w:p>
        </w:tc>
        <w:tc>
          <w:tcPr>
            <w:tcW w:w="1380" w:type="dxa"/>
            <w:vAlign w:val="bottom"/>
          </w:tcPr>
          <w:p>
            <w:pPr>
              <w:ind w:left="900"/>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ind w:left="420"/>
              <w:spacing w:after="0"/>
              <w:rPr>
                <w:sz w:val="20"/>
                <w:szCs w:val="20"/>
                <w:color w:val="auto"/>
              </w:rPr>
            </w:pPr>
            <w:r>
              <w:rPr>
                <w:rFonts w:ascii="Arial" w:cs="Arial" w:eastAsia="Arial" w:hAnsi="Arial"/>
                <w:sz w:val="16"/>
                <w:szCs w:val="16"/>
                <w:color w:val="auto"/>
                <w:w w:val="96"/>
              </w:rPr>
              <w:t>24.4%</w:t>
            </w:r>
          </w:p>
        </w:tc>
      </w:tr>
      <w:tr>
        <w:trPr>
          <w:trHeight w:val="33"/>
        </w:trPr>
        <w:tc>
          <w:tcPr>
            <w:tcW w:w="4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Travel, Transportation &amp; Logistics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43.8%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w w:val="96"/>
              </w:rPr>
              <w:t>40.3%</w:t>
            </w:r>
          </w:p>
        </w:tc>
      </w:tr>
      <w:tr>
        <w:trPr>
          <w:trHeight w:val="237"/>
        </w:trPr>
        <w:tc>
          <w:tcPr>
            <w:tcW w:w="4380" w:type="dxa"/>
            <w:vAlign w:val="bottom"/>
            <w:gridSpan w:val="2"/>
          </w:tcPr>
          <w:p>
            <w:pPr>
              <w:ind w:left="20"/>
              <w:spacing w:after="0"/>
              <w:rPr>
                <w:sz w:val="20"/>
                <w:szCs w:val="20"/>
                <w:color w:val="auto"/>
              </w:rPr>
            </w:pPr>
            <w:r>
              <w:rPr>
                <w:rFonts w:ascii="Arial" w:cs="Arial" w:eastAsia="Arial" w:hAnsi="Arial"/>
                <w:sz w:val="16"/>
                <w:szCs w:val="16"/>
                <w:color w:val="auto"/>
              </w:rPr>
              <w:t>Finance &amp; Accounting</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20"/>
                <w:szCs w:val="20"/>
                <w:color w:val="auto"/>
              </w:rPr>
            </w:pPr>
          </w:p>
        </w:tc>
        <w:tc>
          <w:tcPr>
            <w:tcW w:w="1380" w:type="dxa"/>
            <w:vAlign w:val="bottom"/>
          </w:tcPr>
          <w:p>
            <w:pPr>
              <w:ind w:left="900"/>
              <w:spacing w:after="0"/>
              <w:rPr>
                <w:sz w:val="20"/>
                <w:szCs w:val="20"/>
                <w:color w:val="auto"/>
              </w:rPr>
            </w:pPr>
            <w:r>
              <w:rPr>
                <w:rFonts w:ascii="Arial" w:cs="Arial" w:eastAsia="Arial" w:hAnsi="Arial"/>
                <w:sz w:val="16"/>
                <w:szCs w:val="16"/>
                <w:color w:val="auto"/>
              </w:rPr>
              <w:t>44.5%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ind w:left="420"/>
              <w:spacing w:after="0"/>
              <w:rPr>
                <w:sz w:val="20"/>
                <w:szCs w:val="20"/>
                <w:color w:val="auto"/>
              </w:rPr>
            </w:pPr>
            <w:r>
              <w:rPr>
                <w:rFonts w:ascii="Arial" w:cs="Arial" w:eastAsia="Arial" w:hAnsi="Arial"/>
                <w:sz w:val="16"/>
                <w:szCs w:val="16"/>
                <w:color w:val="auto"/>
                <w:w w:val="96"/>
              </w:rPr>
              <w:t>38.6%</w:t>
            </w:r>
          </w:p>
        </w:tc>
      </w:tr>
      <w:tr>
        <w:trPr>
          <w:trHeight w:val="33"/>
        </w:trPr>
        <w:tc>
          <w:tcPr>
            <w:tcW w:w="4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All Other</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w w:val="96"/>
              </w:rPr>
              <w:t>30.0%</w:t>
            </w:r>
          </w:p>
        </w:tc>
      </w:tr>
      <w:tr>
        <w:trPr>
          <w:trHeight w:val="324"/>
        </w:trPr>
        <w:tc>
          <w:tcPr>
            <w:tcW w:w="4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0"/>
        </w:trPr>
        <w:tc>
          <w:tcPr>
            <w:tcW w:w="4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Analytics</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87.0</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57.1</w:t>
            </w: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34.6%</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w w:val="96"/>
              </w:rPr>
              <w:t>33.3%</w:t>
            </w:r>
          </w:p>
        </w:tc>
      </w:tr>
      <w:tr>
        <w:trPr>
          <w:trHeight w:val="244"/>
        </w:trPr>
        <w:tc>
          <w:tcPr>
            <w:tcW w:w="438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 revenues, net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239.6</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207.0</w:t>
            </w:r>
          </w:p>
        </w:tc>
        <w:tc>
          <w:tcPr>
            <w:tcW w:w="100" w:type="dxa"/>
            <w:vAlign w:val="bottom"/>
          </w:tcPr>
          <w:p>
            <w:pPr>
              <w:spacing w:after="0"/>
              <w:rPr>
                <w:sz w:val="21"/>
                <w:szCs w:val="21"/>
                <w:color w:val="auto"/>
              </w:rPr>
            </w:pPr>
          </w:p>
        </w:tc>
        <w:tc>
          <w:tcPr>
            <w:tcW w:w="138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6"/>
                <w:szCs w:val="16"/>
                <w:b w:val="1"/>
                <w:bCs w:val="1"/>
                <w:color w:val="auto"/>
              </w:rPr>
              <w:t>34.4%</w:t>
            </w:r>
          </w:p>
        </w:tc>
        <w:tc>
          <w:tcPr>
            <w:tcW w:w="100" w:type="dxa"/>
            <w:vAlign w:val="bottom"/>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6"/>
                <w:szCs w:val="16"/>
                <w:b w:val="1"/>
                <w:bCs w:val="1"/>
                <w:color w:val="auto"/>
                <w:w w:val="96"/>
              </w:rPr>
              <w:t>33.3%</w:t>
            </w:r>
          </w:p>
        </w:tc>
      </w:tr>
      <w:tr>
        <w:trPr>
          <w:trHeight w:val="20"/>
        </w:trPr>
        <w:tc>
          <w:tcPr>
            <w:tcW w:w="4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left="660" w:hanging="328"/>
        <w:spacing w:after="0" w:line="315"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Operating income margin for the quarter ended March 31, 2019 was 7.0%, compared to an operating income margin of 7.3% for the first quarter of 2018 and an operating loss margin of 0.9% for the fourth quarter of 2018. During the fourth quarter of 2018, we recorded an impairment charge</w:t>
      </w:r>
      <w:r>
        <w:rPr>
          <w:rFonts w:ascii="Arial" w:cs="Arial" w:eastAsia="Arial" w:hAnsi="Arial"/>
          <w:sz w:val="22"/>
          <w:szCs w:val="22"/>
          <w:color w:val="auto"/>
          <w:vertAlign w:val="superscript"/>
        </w:rPr>
        <w:t>(1)</w:t>
      </w:r>
      <w:r>
        <w:rPr>
          <w:rFonts w:ascii="Arial" w:cs="Arial" w:eastAsia="Arial" w:hAnsi="Arial"/>
          <w:sz w:val="16"/>
          <w:szCs w:val="16"/>
          <w:color w:val="auto"/>
        </w:rPr>
        <w:t xml:space="preserve"> of $20.1 million related to our Health Integrated business, which reduced our operating income margin by 850 basis points. Adjusted operating income margin for the quarter ended March 31, 2019 was 12.8% compared to 13.0% for the first quarter of 2018 and 13.1% for the fourth quarter of 2018.</w:t>
      </w:r>
    </w:p>
    <w:p>
      <w:pPr>
        <w:spacing w:after="0" w:line="226" w:lineRule="exact"/>
        <w:rPr>
          <w:rFonts w:ascii="Arial" w:cs="Arial" w:eastAsia="Arial" w:hAnsi="Arial"/>
          <w:sz w:val="16"/>
          <w:szCs w:val="16"/>
          <w:color w:val="auto"/>
        </w:rPr>
      </w:pPr>
    </w:p>
    <w:p>
      <w:pPr>
        <w:jc w:val="both"/>
        <w:ind w:left="660" w:hanging="328"/>
        <w:spacing w:after="0" w:line="30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Diluted earnings per share for the quarter ended March 31, 2019 was $0.42, compared to $0.66 for the first quarter of 2018 and diluted earnings per share of $0.11 for the fourth quarter of 2018. During the quarter ended December 31, 2018, the Health Integrated impairment charge described above reduced our GAAP diluted EPS by $0.49. Adjusted diluted earnings per share for the quarter ended March 31, 2019 was $0.71 compared to $0.65 for the first quarter of 2018 and $0.74 for the fourth quarter of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248" w:lineRule="exact"/>
        <w:rPr>
          <w:sz w:val="20"/>
          <w:szCs w:val="20"/>
          <w:color w:val="auto"/>
        </w:rPr>
      </w:pPr>
    </w:p>
    <w:p>
      <w:pPr>
        <w:jc w:val="both"/>
        <w:ind w:firstLine="8"/>
        <w:spacing w:after="0" w:line="451" w:lineRule="auto"/>
        <w:tabs>
          <w:tab w:leader="none" w:pos="178" w:val="left"/>
        </w:tabs>
        <w:numPr>
          <w:ilvl w:val="0"/>
          <w:numId w:val="5"/>
        </w:numPr>
        <w:rPr>
          <w:rFonts w:ascii="Arial" w:cs="Arial" w:eastAsia="Arial" w:hAnsi="Arial"/>
          <w:sz w:val="20"/>
          <w:szCs w:val="20"/>
          <w:color w:val="auto"/>
          <w:vertAlign w:val="superscript"/>
        </w:rPr>
      </w:pPr>
      <w:r>
        <w:rPr>
          <w:rFonts w:ascii="Arial" w:cs="Arial" w:eastAsia="Arial" w:hAnsi="Arial"/>
          <w:sz w:val="12"/>
          <w:szCs w:val="12"/>
          <w:color w:val="auto"/>
        </w:rPr>
        <w:t>Impairment charge refers to goodwill and intangible assets impairment related to our Health Integrated acquisition which we recorded during the quarter and year ended December 31, 2018. The primary factors contributing to an impairment charge were i) revenues and profitability for the Health Integrated business in 2018 were significantly lower than our budget and ii) significant changes to the Company’s estimated future cash flows and long-term growth assumptions driven by loss of customer contracts, cost pressures and the Company’s most recent views of the long-term outlook for the Health Integrated business.</w:t>
      </w:r>
    </w:p>
    <w:p>
      <w:pPr>
        <w:sectPr>
          <w:pgSz w:w="11900" w:h="16838" w:orient="portrait"/>
          <w:cols w:equalWidth="0" w:num="1">
            <w:col w:w="11420"/>
          </w:cols>
          <w:pgMar w:left="240" w:top="68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Business Highlights: First Quarter 2019</w:t>
      </w:r>
    </w:p>
    <w:p>
      <w:pPr>
        <w:spacing w:after="0" w:line="202" w:lineRule="exact"/>
        <w:rPr>
          <w:sz w:val="20"/>
          <w:szCs w:val="20"/>
          <w:color w:val="auto"/>
        </w:rPr>
      </w:pPr>
    </w:p>
    <w:p>
      <w:pPr>
        <w:ind w:left="340" w:hanging="264"/>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Won six new clients in Q1 including two in our operations management businesses and four in Analytics</w:t>
      </w:r>
    </w:p>
    <w:p>
      <w:pPr>
        <w:spacing w:after="0" w:line="211" w:lineRule="exact"/>
        <w:rPr>
          <w:rFonts w:ascii="Arial" w:cs="Arial" w:eastAsia="Arial" w:hAnsi="Arial"/>
          <w:sz w:val="18"/>
          <w:szCs w:val="18"/>
          <w:color w:val="auto"/>
        </w:rPr>
      </w:pPr>
    </w:p>
    <w:p>
      <w:pPr>
        <w:ind w:left="340" w:hanging="264"/>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Recognized as a Leader and Star Performer in the Everest Group Property and Casualty Insurance BPO Services PEAK Matrix™ Assessment 2019</w:t>
      </w:r>
    </w:p>
    <w:p>
      <w:pPr>
        <w:spacing w:after="0" w:line="207" w:lineRule="exact"/>
        <w:rPr>
          <w:rFonts w:ascii="Arial" w:cs="Arial" w:eastAsia="Arial" w:hAnsi="Arial"/>
          <w:sz w:val="16"/>
          <w:szCs w:val="16"/>
          <w:color w:val="auto"/>
        </w:rPr>
      </w:pPr>
    </w:p>
    <w:p>
      <w:pPr>
        <w:ind w:left="340" w:hanging="264"/>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Recognized as a leading service provider in the HFS Top 10 Healthcare Services 2018 report</w:t>
      </w:r>
    </w:p>
    <w:p>
      <w:pPr>
        <w:spacing w:after="0" w:line="198" w:lineRule="exact"/>
        <w:rPr>
          <w:rFonts w:ascii="Arial" w:cs="Arial" w:eastAsia="Arial" w:hAnsi="Arial"/>
          <w:sz w:val="18"/>
          <w:szCs w:val="18"/>
          <w:color w:val="auto"/>
        </w:rPr>
      </w:pPr>
    </w:p>
    <w:p>
      <w:pPr>
        <w:ind w:left="340" w:hanging="264"/>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Recognized as a Major Contender in the Everest Group Banking BPO Digital Capability Platform Solutions PEAK Matrix™ Assessment 2019</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Guidance</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Based on current visibility, and a U.S. Dollar to Indian Rupee exchange rate of 69.50, British Pound to U.S. Dollar exchange rate of 1.30, U.S. Dollar to the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Philippine Peso exchange rate of 52.0 and all other currencies at current exchange rates, we are providing the following guidance:</w:t>
      </w:r>
    </w:p>
    <w:p>
      <w:pPr>
        <w:spacing w:after="0" w:line="104" w:lineRule="exact"/>
        <w:rPr>
          <w:sz w:val="20"/>
          <w:szCs w:val="20"/>
          <w:color w:val="auto"/>
        </w:rPr>
      </w:pPr>
    </w:p>
    <w:p>
      <w:pPr>
        <w:ind w:left="340" w:hanging="264"/>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Revenue of $969 million to $996 million, representing an annual revenue growth rate of 10% to 13% on a constant currency basis.</w:t>
      </w:r>
    </w:p>
    <w:p>
      <w:pPr>
        <w:spacing w:after="0" w:line="103" w:lineRule="exact"/>
        <w:rPr>
          <w:rFonts w:ascii="Arial" w:cs="Arial" w:eastAsia="Arial" w:hAnsi="Arial"/>
          <w:sz w:val="18"/>
          <w:szCs w:val="18"/>
          <w:color w:val="auto"/>
        </w:rPr>
      </w:pPr>
    </w:p>
    <w:p>
      <w:pPr>
        <w:ind w:left="340" w:hanging="264"/>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diluted earnings per share of $2.83 to $2.98.</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Conference Call</w:t>
      </w:r>
    </w:p>
    <w:p>
      <w:pPr>
        <w:spacing w:after="0" w:line="158"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 xml:space="preserve">ExlService Holdings, Inc. will host a conference call on Tuesday, April 30, 2019 at 8:00 A.M. ET to discuss the Company’s quarterly operating and financial results. The conference call will be available live via the internet by accessing the investor relations section of EXL’s website at </w:t>
      </w:r>
      <w:r>
        <w:rPr>
          <w:rFonts w:ascii="Arial" w:cs="Arial" w:eastAsia="Arial" w:hAnsi="Arial"/>
          <w:sz w:val="18"/>
          <w:szCs w:val="18"/>
          <w:u w:val="single" w:color="auto"/>
          <w:color w:val="0000FF"/>
        </w:rPr>
        <w:t>ir.exlservice.com</w:t>
      </w:r>
      <w:r>
        <w:rPr>
          <w:rFonts w:ascii="Arial" w:cs="Arial" w:eastAsia="Arial" w:hAnsi="Arial"/>
          <w:sz w:val="18"/>
          <w:szCs w:val="18"/>
          <w:color w:val="auto"/>
        </w:rPr>
        <w:t>, where an accompanying investor-friendly spreadsheet of historical operating and financial data can also be accessed. Please access the website at least fifteen minutes prior to the call to register, download and install any necessary audio software.</w:t>
      </w:r>
    </w:p>
    <w:p>
      <w:pPr>
        <w:spacing w:after="0" w:line="79" w:lineRule="exact"/>
        <w:rPr>
          <w:sz w:val="20"/>
          <w:szCs w:val="20"/>
          <w:color w:val="auto"/>
        </w:rPr>
      </w:pPr>
    </w:p>
    <w:p>
      <w:pPr>
        <w:jc w:val="both"/>
        <w:ind w:right="20"/>
        <w:spacing w:after="0" w:line="357" w:lineRule="auto"/>
        <w:rPr>
          <w:sz w:val="20"/>
          <w:szCs w:val="20"/>
          <w:color w:val="auto"/>
        </w:rPr>
      </w:pPr>
      <w:r>
        <w:rPr>
          <w:rFonts w:ascii="Arial" w:cs="Arial" w:eastAsia="Arial" w:hAnsi="Arial"/>
          <w:sz w:val="17"/>
          <w:szCs w:val="17"/>
          <w:color w:val="auto"/>
        </w:rPr>
        <w:t xml:space="preserve">To listen to the conference call via phone, please dial 1-877-303-6384, or if dialing internationally, 1-224-357-2191 and an operator will assist you. For those who cannot access the live broadcast, a replay will be available on the EXL website </w:t>
      </w:r>
      <w:r>
        <w:rPr>
          <w:rFonts w:ascii="Arial" w:cs="Arial" w:eastAsia="Arial" w:hAnsi="Arial"/>
          <w:sz w:val="17"/>
          <w:szCs w:val="17"/>
          <w:u w:val="single" w:color="auto"/>
          <w:color w:val="0000FF"/>
        </w:rPr>
        <w:t>ir.exlservice.com</w:t>
      </w:r>
      <w:r>
        <w:rPr>
          <w:rFonts w:ascii="Arial" w:cs="Arial" w:eastAsia="Arial" w:hAnsi="Arial"/>
          <w:sz w:val="17"/>
          <w:szCs w:val="17"/>
          <w:color w:val="auto"/>
        </w:rPr>
        <w:t xml:space="preserve"> for a period of twelve months.</w:t>
      </w:r>
    </w:p>
    <w:p>
      <w:pPr>
        <w:sectPr>
          <w:pgSz w:w="11900" w:h="16838" w:orient="portrait"/>
          <w:cols w:equalWidth="0" w:num="1">
            <w:col w:w="11420"/>
          </w:cols>
          <w:pgMar w:left="240" w:top="796"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About ExlService Holdings, Inc.</w:t>
      </w:r>
    </w:p>
    <w:p>
      <w:pPr>
        <w:spacing w:after="0" w:line="189" w:lineRule="exact"/>
        <w:rPr>
          <w:sz w:val="20"/>
          <w:szCs w:val="20"/>
          <w:color w:val="auto"/>
        </w:rPr>
      </w:pPr>
    </w:p>
    <w:p>
      <w:pPr>
        <w:jc w:val="both"/>
        <w:spacing w:after="0" w:line="381" w:lineRule="auto"/>
        <w:rPr>
          <w:sz w:val="20"/>
          <w:szCs w:val="20"/>
          <w:color w:val="auto"/>
        </w:rPr>
      </w:pPr>
      <w:r>
        <w:rPr>
          <w:rFonts w:ascii="Arial" w:cs="Arial" w:eastAsia="Arial" w:hAnsi="Arial"/>
          <w:sz w:val="16"/>
          <w:szCs w:val="16"/>
          <w:color w:val="auto"/>
        </w:rPr>
        <w:t>EXL (NASDAQ: EXLS) is a leading operations management and analytics company that designs and enables agile, customer-centric operating models to help businesses enhance revenue growth and profitability. Our delivery model provides market-leading business outcomes using EXL’s proprietary Digital EXLerator Framework</w:t>
      </w:r>
      <w:r>
        <w:rPr>
          <w:rFonts w:ascii="Arial" w:cs="Arial" w:eastAsia="Arial" w:hAnsi="Arial"/>
          <w:sz w:val="22"/>
          <w:szCs w:val="22"/>
          <w:color w:val="auto"/>
          <w:vertAlign w:val="superscript"/>
        </w:rPr>
        <w:t>TM</w:t>
      </w:r>
      <w:r>
        <w:rPr>
          <w:rFonts w:ascii="Arial" w:cs="Arial" w:eastAsia="Arial" w:hAnsi="Arial"/>
          <w:sz w:val="16"/>
          <w:szCs w:val="16"/>
          <w:color w:val="auto"/>
        </w:rPr>
        <w:t>, cutting-edge analytics, digital transformation and domain expertise. At EXL, we look deeper to help companies improve global operations, enhance data-driven insights, increase customer satisfaction, and manage risk and compliance. EXL serves the insurance, healthcare, banking and financial services, utilities, travel, transportation and logistics industries. Headquartered in New York, New York, EXL has more than 29,000 professionals in locations throughout the United States, Europe, Asia (primarily India and Philippines), Latin America, Australia and South Africa. For more information, visit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www.exlservice.com.</w:t>
      </w:r>
    </w:p>
    <w:p>
      <w:pPr>
        <w:spacing w:after="0" w:line="397" w:lineRule="exact"/>
        <w:rPr>
          <w:sz w:val="20"/>
          <w:szCs w:val="20"/>
          <w:color w:val="auto"/>
        </w:rPr>
      </w:pPr>
    </w:p>
    <w:p>
      <w:pPr>
        <w:jc w:val="both"/>
        <w:spacing w:after="0" w:line="318" w:lineRule="auto"/>
        <w:rPr>
          <w:sz w:val="20"/>
          <w:szCs w:val="20"/>
          <w:color w:val="auto"/>
        </w:rPr>
      </w:pPr>
      <w:r>
        <w:rPr>
          <w:rFonts w:ascii="Arial" w:cs="Arial" w:eastAsia="Arial" w:hAnsi="Arial"/>
          <w:sz w:val="17"/>
          <w:szCs w:val="17"/>
          <w:b w:val="1"/>
          <w:bCs w:val="1"/>
          <w:color w:val="auto"/>
        </w:rPr>
        <w:t xml:space="preserve">Continuing Statement Regarding Forward-Looking Statements </w:t>
      </w:r>
      <w:r>
        <w:rPr>
          <w:rFonts w:ascii="Arial" w:cs="Arial" w:eastAsia="Arial" w:hAnsi="Arial"/>
          <w:sz w:val="17"/>
          <w:szCs w:val="17"/>
          <w:i w:val="1"/>
          <w:iCs w:val="1"/>
          <w:color w:val="auto"/>
        </w:rPr>
        <w:t>This press release contains forward-looking statements. You should not place undue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reliance on those statements because they are subject to numerous uncertainties and factors relating to EXL's operations and business environment, all of which are difficult to predict and many of which are beyond EXL’s control. Forward-looking statements include information concerning EXL’s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EXL believes that these forward-looking statements are based on reasonable assumptions, you should be aware that many factors could affect EXL’s actual financial results or results of operations and could cause actual results to differ materially from those in the forward-looking statements. These factors, which include our ability to successfully close and integrate strategic acquisitions, are discussed in more detail in EXL’s filings with the Securities and Exchange Commission, including EXL’s Annual Report on Form 10-K. These risks could cause actual results to differ materially from those implied by forward-looking statements in this release. You should keep in mind that any forward-looking statement made herein, or elsewhere, speaks only as of the date on which it is made. New risks and uncertainties come up from time to time, and it is impossible to predict these events or how they may affect EXL. EXL has no obligation to update any forward-looking statements after the date hereof, except as required by federal securities laws.</w:t>
      </w:r>
    </w:p>
    <w:p>
      <w:pPr>
        <w:sectPr>
          <w:pgSz w:w="11900" w:h="16838" w:orient="portrait"/>
          <w:cols w:equalWidth="0" w:num="1">
            <w:col w:w="11420"/>
          </w:cols>
          <w:pgMar w:left="240" w:top="607" w:right="239" w:bottom="1440" w:gutter="0" w:footer="0" w:header="0"/>
        </w:sectPr>
      </w:pPr>
    </w:p>
    <w:bookmarkStart w:id="7" w:name="page8"/>
    <w:bookmarkEnd w:id="7"/>
    <w:p>
      <w:pPr>
        <w:ind w:left="4392"/>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ind w:left="3172"/>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27" w:lineRule="exact"/>
        <w:rPr>
          <w:sz w:val="20"/>
          <w:szCs w:val="20"/>
          <w:color w:val="auto"/>
        </w:rPr>
      </w:pPr>
    </w:p>
    <w:p>
      <w:pPr>
        <w:jc w:val="center"/>
        <w:ind w:right="-351"/>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59" w:lineRule="exact"/>
        <w:rPr>
          <w:sz w:val="20"/>
          <w:szCs w:val="20"/>
          <w:color w:val="auto"/>
        </w:rPr>
      </w:pPr>
    </w:p>
    <w:tbl>
      <w:tblPr>
        <w:tblLayout w:type="fixed"/>
        <w:tblInd w:w="372" w:type="dxa"/>
        <w:tblCellMar>
          <w:top w:w="0" w:type="dxa"/>
          <w:left w:w="0" w:type="dxa"/>
          <w:bottom w:w="0" w:type="dxa"/>
          <w:right w:w="0" w:type="dxa"/>
        </w:tblCellMar>
      </w:tblPr>
      <w:tr>
        <w:trPr>
          <w:trHeight w:val="192"/>
        </w:trPr>
        <w:tc>
          <w:tcPr>
            <w:tcW w:w="75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5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239,573</w:t>
            </w: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206,973</w:t>
            </w:r>
          </w:p>
        </w:tc>
      </w:tr>
      <w:tr>
        <w:trPr>
          <w:trHeight w:val="270"/>
        </w:trPr>
        <w:tc>
          <w:tcPr>
            <w:tcW w:w="752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Cost of revenues</w:t>
            </w:r>
            <w:r>
              <w:rPr>
                <w:rFonts w:ascii="Arial" w:cs="Arial" w:eastAsia="Arial" w:hAnsi="Arial"/>
                <w:sz w:val="25"/>
                <w:szCs w:val="25"/>
                <w:color w:val="auto"/>
                <w:vertAlign w:val="superscript"/>
              </w:rPr>
              <w:t>(1)</w:t>
            </w: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157,240</w:t>
            </w:r>
          </w:p>
        </w:tc>
        <w:tc>
          <w:tcPr>
            <w:tcW w:w="18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138,101</w:t>
            </w:r>
          </w:p>
        </w:tc>
      </w:tr>
      <w:tr>
        <w:trPr>
          <w:trHeight w:val="264"/>
        </w:trPr>
        <w:tc>
          <w:tcPr>
            <w:tcW w:w="752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b w:val="1"/>
                <w:bCs w:val="1"/>
                <w:color w:val="auto"/>
              </w:rPr>
              <w:t>Gross profit</w:t>
            </w:r>
            <w:r>
              <w:rPr>
                <w:rFonts w:ascii="Arial" w:cs="Arial" w:eastAsia="Arial" w:hAnsi="Arial"/>
                <w:sz w:val="25"/>
                <w:szCs w:val="25"/>
                <w:b w:val="1"/>
                <w:bCs w:val="1"/>
                <w:color w:val="auto"/>
                <w:vertAlign w:val="superscript"/>
              </w:rPr>
              <w:t>(1)</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82,333</w:t>
            </w:r>
          </w:p>
        </w:tc>
        <w:tc>
          <w:tcPr>
            <w:tcW w:w="1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68,872</w:t>
            </w:r>
          </w:p>
        </w:tc>
      </w:tr>
      <w:tr>
        <w:trPr>
          <w:trHeight w:val="223"/>
        </w:trPr>
        <w:tc>
          <w:tcPr>
            <w:tcW w:w="75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1"/>
        </w:trPr>
        <w:tc>
          <w:tcPr>
            <w:tcW w:w="7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50"/>
        </w:trPr>
        <w:tc>
          <w:tcPr>
            <w:tcW w:w="75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General and administrative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32,531</w:t>
            </w: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29,266</w:t>
            </w:r>
          </w:p>
        </w:tc>
      </w:tr>
      <w:tr>
        <w:trPr>
          <w:trHeight w:val="243"/>
        </w:trPr>
        <w:tc>
          <w:tcPr>
            <w:tcW w:w="7520" w:type="dxa"/>
            <w:vAlign w:val="bottom"/>
          </w:tcPr>
          <w:p>
            <w:pPr>
              <w:ind w:left="460"/>
              <w:spacing w:after="0"/>
              <w:rPr>
                <w:sz w:val="20"/>
                <w:szCs w:val="20"/>
                <w:color w:val="auto"/>
              </w:rPr>
            </w:pPr>
            <w:r>
              <w:rPr>
                <w:rFonts w:ascii="Arial" w:cs="Arial" w:eastAsia="Arial" w:hAnsi="Arial"/>
                <w:sz w:val="18"/>
                <w:szCs w:val="18"/>
                <w:color w:val="auto"/>
              </w:rPr>
              <w:t>Selling and marketing expenses</w:t>
            </w: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18,047</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13,952</w:t>
            </w:r>
          </w:p>
        </w:tc>
      </w:tr>
      <w:tr>
        <w:trPr>
          <w:trHeight w:val="27"/>
        </w:trPr>
        <w:tc>
          <w:tcPr>
            <w:tcW w:w="7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13,667</w:t>
            </w: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10,504</w:t>
            </w:r>
          </w:p>
        </w:tc>
      </w:tr>
      <w:tr>
        <w:trPr>
          <w:trHeight w:val="243"/>
        </w:trPr>
        <w:tc>
          <w:tcPr>
            <w:tcW w:w="7520" w:type="dxa"/>
            <w:vAlign w:val="bottom"/>
          </w:tcPr>
          <w:p>
            <w:pPr>
              <w:ind w:left="480"/>
              <w:spacing w:after="0"/>
              <w:rPr>
                <w:sz w:val="20"/>
                <w:szCs w:val="20"/>
                <w:color w:val="auto"/>
              </w:rPr>
            </w:pPr>
            <w:r>
              <w:rPr>
                <w:rFonts w:ascii="Arial" w:cs="Arial" w:eastAsia="Arial" w:hAnsi="Arial"/>
                <w:sz w:val="18"/>
                <w:szCs w:val="18"/>
                <w:color w:val="auto"/>
              </w:rPr>
              <w:t>Impairment charges</w:t>
            </w: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1,227</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5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65,472</w:t>
            </w:r>
          </w:p>
        </w:tc>
        <w:tc>
          <w:tcPr>
            <w:tcW w:w="1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53,722</w:t>
            </w:r>
          </w:p>
        </w:tc>
      </w:tr>
      <w:tr>
        <w:trPr>
          <w:trHeight w:val="237"/>
        </w:trPr>
        <w:tc>
          <w:tcPr>
            <w:tcW w:w="7520" w:type="dxa"/>
            <w:vAlign w:val="bottom"/>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16,861</w:t>
            </w:r>
          </w:p>
        </w:tc>
        <w:tc>
          <w:tcPr>
            <w:tcW w:w="1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15,150</w:t>
            </w:r>
          </w:p>
        </w:tc>
      </w:tr>
      <w:tr>
        <w:trPr>
          <w:trHeight w:val="27"/>
        </w:trPr>
        <w:tc>
          <w:tcPr>
            <w:tcW w:w="7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exchange gain, net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1,260</w:t>
            </w: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615</w:t>
            </w:r>
          </w:p>
        </w:tc>
      </w:tr>
      <w:tr>
        <w:trPr>
          <w:trHeight w:val="243"/>
        </w:trPr>
        <w:tc>
          <w:tcPr>
            <w:tcW w:w="75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(3,582)</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(538)</w:t>
            </w:r>
          </w:p>
        </w:tc>
      </w:tr>
      <w:tr>
        <w:trPr>
          <w:trHeight w:val="27"/>
        </w:trPr>
        <w:tc>
          <w:tcPr>
            <w:tcW w:w="7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4,423</w:t>
            </w:r>
          </w:p>
        </w:tc>
        <w:tc>
          <w:tcPr>
            <w:tcW w:w="1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3,534</w:t>
            </w:r>
          </w:p>
        </w:tc>
      </w:tr>
      <w:tr>
        <w:trPr>
          <w:trHeight w:val="237"/>
        </w:trPr>
        <w:tc>
          <w:tcPr>
            <w:tcW w:w="752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 expense/(benefit) and earnings from equity affiliates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18,962</w:t>
            </w:r>
          </w:p>
        </w:tc>
        <w:tc>
          <w:tcPr>
            <w:tcW w:w="1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18,761</w:t>
            </w:r>
          </w:p>
        </w:tc>
      </w:tr>
      <w:tr>
        <w:trPr>
          <w:trHeight w:val="27"/>
        </w:trPr>
        <w:tc>
          <w:tcPr>
            <w:tcW w:w="7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expense/(benefit)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4,200</w:t>
            </w:r>
          </w:p>
        </w:tc>
        <w:tc>
          <w:tcPr>
            <w:tcW w:w="1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(4,453)</w:t>
            </w:r>
          </w:p>
        </w:tc>
      </w:tr>
      <w:tr>
        <w:trPr>
          <w:trHeight w:val="237"/>
        </w:trPr>
        <w:tc>
          <w:tcPr>
            <w:tcW w:w="7520" w:type="dxa"/>
            <w:vAlign w:val="bottom"/>
          </w:tcPr>
          <w:p>
            <w:pPr>
              <w:ind w:left="20"/>
              <w:spacing w:after="0"/>
              <w:rPr>
                <w:sz w:val="20"/>
                <w:szCs w:val="20"/>
                <w:color w:val="auto"/>
              </w:rPr>
            </w:pPr>
            <w:r>
              <w:rPr>
                <w:rFonts w:ascii="Arial" w:cs="Arial" w:eastAsia="Arial" w:hAnsi="Arial"/>
                <w:sz w:val="18"/>
                <w:szCs w:val="18"/>
                <w:b w:val="1"/>
                <w:bCs w:val="1"/>
                <w:color w:val="auto"/>
              </w:rPr>
              <w:t>Income before earnings from equity affiliates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14,762</w:t>
            </w:r>
          </w:p>
        </w:tc>
        <w:tc>
          <w:tcPr>
            <w:tcW w:w="1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23,214</w:t>
            </w:r>
          </w:p>
        </w:tc>
      </w:tr>
      <w:tr>
        <w:trPr>
          <w:trHeight w:val="27"/>
        </w:trPr>
        <w:tc>
          <w:tcPr>
            <w:tcW w:w="7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equity-method investment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w:t>
            </w:r>
          </w:p>
        </w:tc>
        <w:tc>
          <w:tcPr>
            <w:tcW w:w="1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w:t>
            </w:r>
          </w:p>
        </w:tc>
      </w:tr>
      <w:tr>
        <w:trPr>
          <w:trHeight w:val="237"/>
        </w:trPr>
        <w:tc>
          <w:tcPr>
            <w:tcW w:w="7520" w:type="dxa"/>
            <w:vAlign w:val="bottom"/>
          </w:tcPr>
          <w:p>
            <w:pPr>
              <w:ind w:left="20"/>
              <w:spacing w:after="0"/>
              <w:rPr>
                <w:sz w:val="20"/>
                <w:szCs w:val="20"/>
                <w:color w:val="auto"/>
              </w:rPr>
            </w:pPr>
            <w:r>
              <w:rPr>
                <w:rFonts w:ascii="Arial" w:cs="Arial" w:eastAsia="Arial" w:hAnsi="Arial"/>
                <w:sz w:val="18"/>
                <w:szCs w:val="18"/>
                <w:b w:val="1"/>
                <w:bCs w:val="1"/>
                <w:color w:val="auto"/>
              </w:rPr>
              <w:t>Net income attributable to ExlService Holdings, Inc. stockholders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14,695</w:t>
            </w:r>
          </w:p>
        </w:tc>
        <w:tc>
          <w:tcPr>
            <w:tcW w:w="18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23,158</w:t>
            </w:r>
          </w:p>
        </w:tc>
      </w:tr>
      <w:tr>
        <w:trPr>
          <w:trHeight w:val="67"/>
        </w:trPr>
        <w:tc>
          <w:tcPr>
            <w:tcW w:w="75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231"/>
        </w:trPr>
        <w:tc>
          <w:tcPr>
            <w:tcW w:w="75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Earnings per share attributable to ExlService Holdings, Inc. stockholders: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7520" w:type="dxa"/>
            <w:vAlign w:val="bottom"/>
          </w:tcPr>
          <w:p>
            <w:pPr>
              <w:ind w:left="38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0.43</w:t>
            </w:r>
          </w:p>
        </w:tc>
        <w:tc>
          <w:tcPr>
            <w:tcW w:w="1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0.67</w:t>
            </w:r>
          </w:p>
        </w:tc>
      </w:tr>
      <w:tr>
        <w:trPr>
          <w:trHeight w:val="27"/>
        </w:trPr>
        <w:tc>
          <w:tcPr>
            <w:tcW w:w="7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0.42</w:t>
            </w: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0.66</w:t>
            </w:r>
          </w:p>
        </w:tc>
      </w:tr>
      <w:tr>
        <w:trPr>
          <w:trHeight w:val="229"/>
        </w:trPr>
        <w:tc>
          <w:tcPr>
            <w:tcW w:w="7520" w:type="dxa"/>
            <w:vAlign w:val="bottom"/>
          </w:tcPr>
          <w:p>
            <w:pPr>
              <w:ind w:left="20"/>
              <w:spacing w:after="0"/>
              <w:rPr>
                <w:sz w:val="20"/>
                <w:szCs w:val="20"/>
                <w:color w:val="auto"/>
              </w:rPr>
            </w:pPr>
            <w:r>
              <w:rPr>
                <w:rFonts w:ascii="Arial" w:cs="Arial" w:eastAsia="Arial" w:hAnsi="Arial"/>
                <w:sz w:val="18"/>
                <w:szCs w:val="18"/>
                <w:color w:val="auto"/>
                <w:w w:val="93"/>
              </w:rPr>
              <w:t>Weighted-average number of shares used in computing earnings per share attributable to ExlService</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7520" w:type="dxa"/>
            <w:vAlign w:val="bottom"/>
          </w:tcPr>
          <w:p>
            <w:pPr>
              <w:ind w:left="20"/>
              <w:spacing w:after="0"/>
              <w:rPr>
                <w:sz w:val="20"/>
                <w:szCs w:val="20"/>
                <w:color w:val="auto"/>
              </w:rPr>
            </w:pPr>
            <w:r>
              <w:rPr>
                <w:rFonts w:ascii="Arial" w:cs="Arial" w:eastAsia="Arial" w:hAnsi="Arial"/>
                <w:sz w:val="18"/>
                <w:szCs w:val="18"/>
                <w:color w:val="auto"/>
              </w:rPr>
              <w:t>Holdings, Inc. stockholders: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7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34,374,815</w:t>
            </w: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34,446,265</w:t>
            </w:r>
          </w:p>
        </w:tc>
      </w:tr>
      <w:tr>
        <w:trPr>
          <w:trHeight w:val="243"/>
        </w:trPr>
        <w:tc>
          <w:tcPr>
            <w:tcW w:w="7520" w:type="dxa"/>
            <w:vAlign w:val="bottom"/>
          </w:tcPr>
          <w:p>
            <w:pPr>
              <w:ind w:left="38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34,833,435</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35,302,926</w:t>
            </w:r>
          </w:p>
        </w:tc>
      </w:tr>
    </w:tbl>
    <w:p>
      <w:pPr>
        <w:spacing w:after="0" w:line="206" w:lineRule="exact"/>
        <w:rPr>
          <w:sz w:val="20"/>
          <w:szCs w:val="20"/>
          <w:color w:val="auto"/>
        </w:rPr>
      </w:pPr>
    </w:p>
    <w:p>
      <w:pPr>
        <w:ind w:left="152" w:hanging="152"/>
        <w:spacing w:after="0"/>
        <w:tabs>
          <w:tab w:leader="none" w:pos="152"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Exclusive of depreciation and amortization.</w:t>
      </w:r>
    </w:p>
    <w:p>
      <w:pPr>
        <w:sectPr>
          <w:pgSz w:w="11900" w:h="16838" w:orient="portrait"/>
          <w:cols w:equalWidth="0" w:num="1">
            <w:col w:w="11052"/>
          </w:cols>
          <w:pgMar w:left="248" w:top="796" w:right="59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3"/>
          </w:tcPr>
          <w:p>
            <w:pPr>
              <w:jc w:val="right"/>
              <w:ind w:right="46"/>
              <w:spacing w:after="0"/>
              <w:rPr>
                <w:sz w:val="20"/>
                <w:szCs w:val="20"/>
                <w:color w:val="auto"/>
              </w:rPr>
            </w:pPr>
            <w:r>
              <w:rPr>
                <w:rFonts w:ascii="Arial" w:cs="Arial" w:eastAsia="Arial" w:hAnsi="Arial"/>
                <w:sz w:val="15"/>
                <w:szCs w:val="15"/>
                <w:b w:val="1"/>
                <w:bCs w:val="1"/>
                <w:color w:val="auto"/>
              </w:rPr>
              <w:t>As of</w:t>
            </w:r>
          </w:p>
        </w:tc>
        <w:tc>
          <w:tcPr>
            <w:tcW w:w="15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7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center"/>
              <w:ind w:right="186"/>
              <w:spacing w:after="0"/>
              <w:rPr>
                <w:sz w:val="20"/>
                <w:szCs w:val="20"/>
                <w:color w:val="auto"/>
              </w:rPr>
            </w:pPr>
            <w:r>
              <w:rPr>
                <w:rFonts w:ascii="Arial" w:cs="Arial" w:eastAsia="Arial" w:hAnsi="Arial"/>
                <w:sz w:val="15"/>
                <w:szCs w:val="15"/>
                <w:b w:val="1"/>
                <w:bCs w:val="1"/>
                <w:color w:val="auto"/>
                <w:w w:val="89"/>
              </w:rPr>
              <w:t>March 31, 2019</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b w:val="1"/>
                <w:bCs w:val="1"/>
                <w:color w:val="auto"/>
                <w:w w:val="91"/>
              </w:rPr>
              <w:t>December 31, 2018</w:t>
            </w:r>
          </w:p>
        </w:tc>
        <w:tc>
          <w:tcPr>
            <w:tcW w:w="0" w:type="dxa"/>
            <w:vAlign w:val="bottom"/>
          </w:tcPr>
          <w:p>
            <w:pPr>
              <w:spacing w:after="0"/>
              <w:rPr>
                <w:sz w:val="1"/>
                <w:szCs w:val="1"/>
                <w:color w:val="auto"/>
              </w:rPr>
            </w:pPr>
          </w:p>
        </w:tc>
      </w:tr>
      <w:tr>
        <w:trPr>
          <w:trHeight w:val="264"/>
        </w:trPr>
        <w:tc>
          <w:tcPr>
            <w:tcW w:w="7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0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91"/>
              </w:rPr>
              <w:t>(Unaudited)</w:t>
            </w:r>
          </w:p>
        </w:tc>
        <w:tc>
          <w:tcPr>
            <w:tcW w:w="1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77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4"/>
        </w:trPr>
        <w:tc>
          <w:tcPr>
            <w:tcW w:w="776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5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7760" w:type="dxa"/>
            <w:vAlign w:val="bottom"/>
          </w:tcPr>
          <w:p>
            <w:pPr>
              <w:ind w:left="20"/>
              <w:spacing w:after="0"/>
              <w:rPr>
                <w:sz w:val="20"/>
                <w:szCs w:val="20"/>
                <w:color w:val="auto"/>
              </w:rPr>
            </w:pPr>
            <w:r>
              <w:rPr>
                <w:rFonts w:ascii="Arial" w:cs="Arial" w:eastAsia="Arial" w:hAnsi="Arial"/>
                <w:sz w:val="15"/>
                <w:szCs w:val="15"/>
                <w:b w:val="1"/>
                <w:bCs w:val="1"/>
                <w:color w:val="auto"/>
              </w:rPr>
              <w:t>Current assets:</w:t>
            </w: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
        </w:trPr>
        <w:tc>
          <w:tcPr>
            <w:tcW w:w="7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77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Cash and cash equivalents</w:t>
            </w:r>
          </w:p>
        </w:tc>
        <w:tc>
          <w:tcPr>
            <w:tcW w:w="260" w:type="dxa"/>
            <w:vAlign w:val="bottom"/>
            <w:vMerge w:val="restart"/>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1580" w:type="dxa"/>
            <w:vAlign w:val="bottom"/>
            <w:vMerge w:val="restart"/>
            <w:shd w:val="clear" w:color="auto" w:fill="CCEEFF"/>
          </w:tcPr>
          <w:p>
            <w:pPr>
              <w:jc w:val="right"/>
              <w:ind w:right="46"/>
              <w:spacing w:after="0"/>
              <w:rPr>
                <w:sz w:val="20"/>
                <w:szCs w:val="20"/>
                <w:color w:val="auto"/>
              </w:rPr>
            </w:pPr>
            <w:r>
              <w:rPr>
                <w:rFonts w:ascii="Arial" w:cs="Arial" w:eastAsia="Arial" w:hAnsi="Arial"/>
                <w:sz w:val="15"/>
                <w:szCs w:val="15"/>
                <w:color w:val="auto"/>
              </w:rPr>
              <w:t>86,688</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520" w:type="dxa"/>
            <w:vAlign w:val="bottom"/>
            <w:vMerge w:val="restart"/>
            <w:shd w:val="clear" w:color="auto" w:fill="CCEEFF"/>
          </w:tcPr>
          <w:p>
            <w:pPr>
              <w:jc w:val="right"/>
              <w:ind w:right="46"/>
              <w:spacing w:after="0"/>
              <w:rPr>
                <w:sz w:val="20"/>
                <w:szCs w:val="20"/>
                <w:color w:val="auto"/>
              </w:rPr>
            </w:pPr>
            <w:r>
              <w:rPr>
                <w:rFonts w:ascii="Arial" w:cs="Arial" w:eastAsia="Arial" w:hAnsi="Arial"/>
                <w:sz w:val="15"/>
                <w:szCs w:val="15"/>
                <w:color w:val="auto"/>
              </w:rPr>
              <w:t>95,881</w:t>
            </w:r>
          </w:p>
        </w:tc>
        <w:tc>
          <w:tcPr>
            <w:tcW w:w="0" w:type="dxa"/>
            <w:vAlign w:val="bottom"/>
          </w:tcPr>
          <w:p>
            <w:pPr>
              <w:spacing w:after="0"/>
              <w:rPr>
                <w:sz w:val="1"/>
                <w:szCs w:val="1"/>
                <w:color w:val="auto"/>
              </w:rPr>
            </w:pPr>
          </w:p>
        </w:tc>
      </w:tr>
      <w:tr>
        <w:trPr>
          <w:trHeight w:val="64"/>
        </w:trPr>
        <w:tc>
          <w:tcPr>
            <w:tcW w:w="7760" w:type="dxa"/>
            <w:vAlign w:val="bottom"/>
            <w:shd w:val="clear" w:color="auto" w:fill="CCEEFF"/>
          </w:tcPr>
          <w:p>
            <w:pPr>
              <w:spacing w:after="0"/>
              <w:rPr>
                <w:sz w:val="5"/>
                <w:szCs w:val="5"/>
                <w:color w:val="auto"/>
              </w:rPr>
            </w:pPr>
          </w:p>
        </w:tc>
        <w:tc>
          <w:tcPr>
            <w:tcW w:w="260" w:type="dxa"/>
            <w:vAlign w:val="bottom"/>
            <w:vMerge w:val="continue"/>
            <w:shd w:val="clear" w:color="auto" w:fill="CCEEFF"/>
          </w:tcPr>
          <w:p>
            <w:pPr>
              <w:spacing w:after="0"/>
              <w:rPr>
                <w:sz w:val="5"/>
                <w:szCs w:val="5"/>
                <w:color w:val="auto"/>
              </w:rPr>
            </w:pPr>
          </w:p>
        </w:tc>
        <w:tc>
          <w:tcPr>
            <w:tcW w:w="15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7760" w:type="dxa"/>
            <w:vAlign w:val="bottom"/>
          </w:tcPr>
          <w:p>
            <w:pPr>
              <w:ind w:left="380"/>
              <w:spacing w:after="0"/>
              <w:rPr>
                <w:sz w:val="20"/>
                <w:szCs w:val="20"/>
                <w:color w:val="auto"/>
              </w:rPr>
            </w:pPr>
            <w:r>
              <w:rPr>
                <w:rFonts w:ascii="Arial" w:cs="Arial" w:eastAsia="Arial" w:hAnsi="Arial"/>
                <w:sz w:val="15"/>
                <w:szCs w:val="15"/>
                <w:color w:val="auto"/>
              </w:rPr>
              <w:t>Short-term investments</w:t>
            </w:r>
          </w:p>
        </w:tc>
        <w:tc>
          <w:tcPr>
            <w:tcW w:w="260" w:type="dxa"/>
            <w:vAlign w:val="bottom"/>
          </w:tcPr>
          <w:p>
            <w:pPr>
              <w:spacing w:after="0"/>
              <w:rPr>
                <w:sz w:val="17"/>
                <w:szCs w:val="17"/>
                <w:color w:val="auto"/>
              </w:rPr>
            </w:pPr>
          </w:p>
        </w:tc>
        <w:tc>
          <w:tcPr>
            <w:tcW w:w="1580" w:type="dxa"/>
            <w:vAlign w:val="bottom"/>
            <w:vMerge w:val="restart"/>
          </w:tcPr>
          <w:p>
            <w:pPr>
              <w:jc w:val="right"/>
              <w:ind w:right="46"/>
              <w:spacing w:after="0"/>
              <w:rPr>
                <w:sz w:val="20"/>
                <w:szCs w:val="20"/>
                <w:color w:val="auto"/>
              </w:rPr>
            </w:pPr>
            <w:r>
              <w:rPr>
                <w:rFonts w:ascii="Arial" w:cs="Arial" w:eastAsia="Arial" w:hAnsi="Arial"/>
                <w:sz w:val="15"/>
                <w:szCs w:val="15"/>
                <w:color w:val="auto"/>
              </w:rPr>
              <w:t>216,056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vMerge w:val="restart"/>
          </w:tcPr>
          <w:p>
            <w:pPr>
              <w:jc w:val="right"/>
              <w:ind w:right="46"/>
              <w:spacing w:after="0"/>
              <w:rPr>
                <w:sz w:val="20"/>
                <w:szCs w:val="20"/>
                <w:color w:val="auto"/>
              </w:rPr>
            </w:pPr>
            <w:r>
              <w:rPr>
                <w:rFonts w:ascii="Arial" w:cs="Arial" w:eastAsia="Arial" w:hAnsi="Arial"/>
                <w:sz w:val="15"/>
                <w:szCs w:val="15"/>
                <w:color w:val="auto"/>
              </w:rPr>
              <w:t>184,489</w:t>
            </w:r>
          </w:p>
        </w:tc>
        <w:tc>
          <w:tcPr>
            <w:tcW w:w="0" w:type="dxa"/>
            <w:vAlign w:val="bottom"/>
          </w:tcPr>
          <w:p>
            <w:pPr>
              <w:spacing w:after="0"/>
              <w:rPr>
                <w:sz w:val="1"/>
                <w:szCs w:val="1"/>
                <w:color w:val="auto"/>
              </w:rPr>
            </w:pPr>
          </w:p>
        </w:tc>
      </w:tr>
      <w:tr>
        <w:trPr>
          <w:trHeight w:val="59"/>
        </w:trPr>
        <w:tc>
          <w:tcPr>
            <w:tcW w:w="7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77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Restricted cash</w:t>
            </w:r>
          </w:p>
        </w:tc>
        <w:tc>
          <w:tcPr>
            <w:tcW w:w="260" w:type="dxa"/>
            <w:vAlign w:val="bottom"/>
            <w:shd w:val="clear" w:color="auto" w:fill="CCEEFF"/>
          </w:tcPr>
          <w:p>
            <w:pPr>
              <w:spacing w:after="0"/>
              <w:rPr>
                <w:sz w:val="18"/>
                <w:szCs w:val="18"/>
                <w:color w:val="auto"/>
              </w:rPr>
            </w:pPr>
          </w:p>
        </w:tc>
        <w:tc>
          <w:tcPr>
            <w:tcW w:w="1580" w:type="dxa"/>
            <w:vAlign w:val="bottom"/>
            <w:vMerge w:val="restart"/>
            <w:shd w:val="clear" w:color="auto" w:fill="CCEEFF"/>
          </w:tcPr>
          <w:p>
            <w:pPr>
              <w:jc w:val="right"/>
              <w:ind w:right="46"/>
              <w:spacing w:after="0"/>
              <w:rPr>
                <w:sz w:val="20"/>
                <w:szCs w:val="20"/>
                <w:color w:val="auto"/>
              </w:rPr>
            </w:pPr>
            <w:r>
              <w:rPr>
                <w:rFonts w:ascii="Arial" w:cs="Arial" w:eastAsia="Arial" w:hAnsi="Arial"/>
                <w:sz w:val="15"/>
                <w:szCs w:val="15"/>
                <w:color w:val="auto"/>
              </w:rPr>
              <w:t>5,364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46"/>
              <w:spacing w:after="0"/>
              <w:rPr>
                <w:sz w:val="20"/>
                <w:szCs w:val="20"/>
                <w:color w:val="auto"/>
              </w:rPr>
            </w:pPr>
            <w:r>
              <w:rPr>
                <w:rFonts w:ascii="Arial" w:cs="Arial" w:eastAsia="Arial" w:hAnsi="Arial"/>
                <w:sz w:val="15"/>
                <w:szCs w:val="15"/>
                <w:color w:val="auto"/>
              </w:rPr>
              <w:t>5,608</w:t>
            </w:r>
          </w:p>
        </w:tc>
        <w:tc>
          <w:tcPr>
            <w:tcW w:w="0" w:type="dxa"/>
            <w:vAlign w:val="bottom"/>
          </w:tcPr>
          <w:p>
            <w:pPr>
              <w:spacing w:after="0"/>
              <w:rPr>
                <w:sz w:val="1"/>
                <w:szCs w:val="1"/>
                <w:color w:val="auto"/>
              </w:rPr>
            </w:pPr>
          </w:p>
        </w:tc>
      </w:tr>
      <w:tr>
        <w:trPr>
          <w:trHeight w:val="64"/>
        </w:trPr>
        <w:tc>
          <w:tcPr>
            <w:tcW w:w="776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5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7760" w:type="dxa"/>
            <w:vAlign w:val="bottom"/>
          </w:tcPr>
          <w:p>
            <w:pPr>
              <w:ind w:left="380"/>
              <w:spacing w:after="0"/>
              <w:rPr>
                <w:sz w:val="20"/>
                <w:szCs w:val="20"/>
                <w:color w:val="auto"/>
              </w:rPr>
            </w:pPr>
            <w:r>
              <w:rPr>
                <w:rFonts w:ascii="Arial" w:cs="Arial" w:eastAsia="Arial" w:hAnsi="Arial"/>
                <w:sz w:val="15"/>
                <w:szCs w:val="15"/>
                <w:color w:val="auto"/>
              </w:rPr>
              <w:t>Accounts receivable, net</w:t>
            </w:r>
          </w:p>
        </w:tc>
        <w:tc>
          <w:tcPr>
            <w:tcW w:w="260" w:type="dxa"/>
            <w:vAlign w:val="bottom"/>
          </w:tcPr>
          <w:p>
            <w:pPr>
              <w:spacing w:after="0"/>
              <w:rPr>
                <w:sz w:val="17"/>
                <w:szCs w:val="17"/>
                <w:color w:val="auto"/>
              </w:rPr>
            </w:pPr>
          </w:p>
        </w:tc>
        <w:tc>
          <w:tcPr>
            <w:tcW w:w="1580" w:type="dxa"/>
            <w:vAlign w:val="bottom"/>
            <w:vMerge w:val="restart"/>
          </w:tcPr>
          <w:p>
            <w:pPr>
              <w:jc w:val="right"/>
              <w:ind w:right="46"/>
              <w:spacing w:after="0"/>
              <w:rPr>
                <w:sz w:val="20"/>
                <w:szCs w:val="20"/>
                <w:color w:val="auto"/>
              </w:rPr>
            </w:pPr>
            <w:r>
              <w:rPr>
                <w:rFonts w:ascii="Arial" w:cs="Arial" w:eastAsia="Arial" w:hAnsi="Arial"/>
                <w:sz w:val="15"/>
                <w:szCs w:val="15"/>
                <w:color w:val="auto"/>
              </w:rPr>
              <w:t>176,889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vMerge w:val="restart"/>
          </w:tcPr>
          <w:p>
            <w:pPr>
              <w:jc w:val="right"/>
              <w:ind w:right="46"/>
              <w:spacing w:after="0"/>
              <w:rPr>
                <w:sz w:val="20"/>
                <w:szCs w:val="20"/>
                <w:color w:val="auto"/>
              </w:rPr>
            </w:pPr>
            <w:r>
              <w:rPr>
                <w:rFonts w:ascii="Arial" w:cs="Arial" w:eastAsia="Arial" w:hAnsi="Arial"/>
                <w:sz w:val="15"/>
                <w:szCs w:val="15"/>
                <w:color w:val="auto"/>
              </w:rPr>
              <w:t>164,752</w:t>
            </w:r>
          </w:p>
        </w:tc>
        <w:tc>
          <w:tcPr>
            <w:tcW w:w="0" w:type="dxa"/>
            <w:vAlign w:val="bottom"/>
          </w:tcPr>
          <w:p>
            <w:pPr>
              <w:spacing w:after="0"/>
              <w:rPr>
                <w:sz w:val="1"/>
                <w:szCs w:val="1"/>
                <w:color w:val="auto"/>
              </w:rPr>
            </w:pPr>
          </w:p>
        </w:tc>
      </w:tr>
      <w:tr>
        <w:trPr>
          <w:trHeight w:val="59"/>
        </w:trPr>
        <w:tc>
          <w:tcPr>
            <w:tcW w:w="7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77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Prepaid expenses</w:t>
            </w:r>
          </w:p>
        </w:tc>
        <w:tc>
          <w:tcPr>
            <w:tcW w:w="260" w:type="dxa"/>
            <w:vAlign w:val="bottom"/>
            <w:shd w:val="clear" w:color="auto" w:fill="CCEEFF"/>
          </w:tcPr>
          <w:p>
            <w:pPr>
              <w:spacing w:after="0"/>
              <w:rPr>
                <w:sz w:val="18"/>
                <w:szCs w:val="18"/>
                <w:color w:val="auto"/>
              </w:rPr>
            </w:pPr>
          </w:p>
        </w:tc>
        <w:tc>
          <w:tcPr>
            <w:tcW w:w="1580" w:type="dxa"/>
            <w:vAlign w:val="bottom"/>
            <w:vMerge w:val="restart"/>
            <w:shd w:val="clear" w:color="auto" w:fill="CCEEFF"/>
          </w:tcPr>
          <w:p>
            <w:pPr>
              <w:jc w:val="right"/>
              <w:ind w:right="46"/>
              <w:spacing w:after="0"/>
              <w:rPr>
                <w:sz w:val="20"/>
                <w:szCs w:val="20"/>
                <w:color w:val="auto"/>
              </w:rPr>
            </w:pPr>
            <w:r>
              <w:rPr>
                <w:rFonts w:ascii="Arial" w:cs="Arial" w:eastAsia="Arial" w:hAnsi="Arial"/>
                <w:sz w:val="15"/>
                <w:szCs w:val="15"/>
                <w:color w:val="auto"/>
              </w:rPr>
              <w:t>13,145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46"/>
              <w:spacing w:after="0"/>
              <w:rPr>
                <w:sz w:val="20"/>
                <w:szCs w:val="20"/>
                <w:color w:val="auto"/>
              </w:rPr>
            </w:pPr>
            <w:r>
              <w:rPr>
                <w:rFonts w:ascii="Arial" w:cs="Arial" w:eastAsia="Arial" w:hAnsi="Arial"/>
                <w:sz w:val="15"/>
                <w:szCs w:val="15"/>
                <w:color w:val="auto"/>
              </w:rPr>
              <w:t>11,326</w:t>
            </w:r>
          </w:p>
        </w:tc>
        <w:tc>
          <w:tcPr>
            <w:tcW w:w="0" w:type="dxa"/>
            <w:vAlign w:val="bottom"/>
          </w:tcPr>
          <w:p>
            <w:pPr>
              <w:spacing w:after="0"/>
              <w:rPr>
                <w:sz w:val="1"/>
                <w:szCs w:val="1"/>
                <w:color w:val="auto"/>
              </w:rPr>
            </w:pPr>
          </w:p>
        </w:tc>
      </w:tr>
      <w:tr>
        <w:trPr>
          <w:trHeight w:val="64"/>
        </w:trPr>
        <w:tc>
          <w:tcPr>
            <w:tcW w:w="776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5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7760" w:type="dxa"/>
            <w:vAlign w:val="bottom"/>
          </w:tcPr>
          <w:p>
            <w:pPr>
              <w:ind w:left="380"/>
              <w:spacing w:after="0"/>
              <w:rPr>
                <w:sz w:val="20"/>
                <w:szCs w:val="20"/>
                <w:color w:val="auto"/>
              </w:rPr>
            </w:pPr>
            <w:r>
              <w:rPr>
                <w:rFonts w:ascii="Arial" w:cs="Arial" w:eastAsia="Arial" w:hAnsi="Arial"/>
                <w:sz w:val="15"/>
                <w:szCs w:val="15"/>
                <w:color w:val="auto"/>
              </w:rPr>
              <w:t>Advance income tax, net</w:t>
            </w:r>
          </w:p>
        </w:tc>
        <w:tc>
          <w:tcPr>
            <w:tcW w:w="260" w:type="dxa"/>
            <w:vAlign w:val="bottom"/>
          </w:tcPr>
          <w:p>
            <w:pPr>
              <w:spacing w:after="0"/>
              <w:rPr>
                <w:sz w:val="17"/>
                <w:szCs w:val="17"/>
                <w:color w:val="auto"/>
              </w:rPr>
            </w:pPr>
          </w:p>
        </w:tc>
        <w:tc>
          <w:tcPr>
            <w:tcW w:w="1580" w:type="dxa"/>
            <w:vAlign w:val="bottom"/>
            <w:vMerge w:val="restart"/>
          </w:tcPr>
          <w:p>
            <w:pPr>
              <w:jc w:val="right"/>
              <w:ind w:right="46"/>
              <w:spacing w:after="0"/>
              <w:rPr>
                <w:sz w:val="20"/>
                <w:szCs w:val="20"/>
                <w:color w:val="auto"/>
              </w:rPr>
            </w:pPr>
            <w:r>
              <w:rPr>
                <w:rFonts w:ascii="Arial" w:cs="Arial" w:eastAsia="Arial" w:hAnsi="Arial"/>
                <w:sz w:val="15"/>
                <w:szCs w:val="15"/>
                <w:color w:val="auto"/>
              </w:rPr>
              <w:t>11,334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vMerge w:val="restart"/>
          </w:tcPr>
          <w:p>
            <w:pPr>
              <w:jc w:val="right"/>
              <w:ind w:right="46"/>
              <w:spacing w:after="0"/>
              <w:rPr>
                <w:sz w:val="20"/>
                <w:szCs w:val="20"/>
                <w:color w:val="auto"/>
              </w:rPr>
            </w:pPr>
            <w:r>
              <w:rPr>
                <w:rFonts w:ascii="Arial" w:cs="Arial" w:eastAsia="Arial" w:hAnsi="Arial"/>
                <w:sz w:val="15"/>
                <w:szCs w:val="15"/>
                <w:color w:val="auto"/>
              </w:rPr>
              <w:t>9,639</w:t>
            </w:r>
          </w:p>
        </w:tc>
        <w:tc>
          <w:tcPr>
            <w:tcW w:w="0" w:type="dxa"/>
            <w:vAlign w:val="bottom"/>
          </w:tcPr>
          <w:p>
            <w:pPr>
              <w:spacing w:after="0"/>
              <w:rPr>
                <w:sz w:val="1"/>
                <w:szCs w:val="1"/>
                <w:color w:val="auto"/>
              </w:rPr>
            </w:pPr>
          </w:p>
        </w:tc>
      </w:tr>
      <w:tr>
        <w:trPr>
          <w:trHeight w:val="59"/>
        </w:trPr>
        <w:tc>
          <w:tcPr>
            <w:tcW w:w="7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77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Other current assets</w:t>
            </w:r>
          </w:p>
        </w:tc>
        <w:tc>
          <w:tcPr>
            <w:tcW w:w="260" w:type="dxa"/>
            <w:vAlign w:val="bottom"/>
            <w:shd w:val="clear" w:color="auto" w:fill="CCEEFF"/>
          </w:tcPr>
          <w:p>
            <w:pPr>
              <w:spacing w:after="0"/>
              <w:rPr>
                <w:sz w:val="18"/>
                <w:szCs w:val="18"/>
                <w:color w:val="auto"/>
              </w:rPr>
            </w:pPr>
          </w:p>
        </w:tc>
        <w:tc>
          <w:tcPr>
            <w:tcW w:w="1580" w:type="dxa"/>
            <w:vAlign w:val="bottom"/>
            <w:vMerge w:val="restart"/>
            <w:shd w:val="clear" w:color="auto" w:fill="CCEEFF"/>
          </w:tcPr>
          <w:p>
            <w:pPr>
              <w:jc w:val="right"/>
              <w:ind w:right="46"/>
              <w:spacing w:after="0"/>
              <w:rPr>
                <w:sz w:val="20"/>
                <w:szCs w:val="20"/>
                <w:color w:val="auto"/>
              </w:rPr>
            </w:pPr>
            <w:r>
              <w:rPr>
                <w:rFonts w:ascii="Arial" w:cs="Arial" w:eastAsia="Arial" w:hAnsi="Arial"/>
                <w:sz w:val="15"/>
                <w:szCs w:val="15"/>
                <w:color w:val="auto"/>
              </w:rPr>
              <w:t>26,582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46"/>
              <w:spacing w:after="0"/>
              <w:rPr>
                <w:sz w:val="20"/>
                <w:szCs w:val="20"/>
                <w:color w:val="auto"/>
              </w:rPr>
            </w:pPr>
            <w:r>
              <w:rPr>
                <w:rFonts w:ascii="Arial" w:cs="Arial" w:eastAsia="Arial" w:hAnsi="Arial"/>
                <w:sz w:val="15"/>
                <w:szCs w:val="15"/>
                <w:color w:val="auto"/>
              </w:rPr>
              <w:t>28,240</w:t>
            </w:r>
          </w:p>
        </w:tc>
        <w:tc>
          <w:tcPr>
            <w:tcW w:w="0" w:type="dxa"/>
            <w:vAlign w:val="bottom"/>
          </w:tcPr>
          <w:p>
            <w:pPr>
              <w:spacing w:after="0"/>
              <w:rPr>
                <w:sz w:val="1"/>
                <w:szCs w:val="1"/>
                <w:color w:val="auto"/>
              </w:rPr>
            </w:pPr>
          </w:p>
        </w:tc>
      </w:tr>
      <w:tr>
        <w:trPr>
          <w:trHeight w:val="64"/>
        </w:trPr>
        <w:tc>
          <w:tcPr>
            <w:tcW w:w="7760" w:type="dxa"/>
            <w:vAlign w:val="bottom"/>
            <w:shd w:val="clear" w:color="auto" w:fill="CCEEFF"/>
          </w:tcPr>
          <w:p>
            <w:pPr>
              <w:spacing w:after="0"/>
              <w:rPr>
                <w:sz w:val="5"/>
                <w:szCs w:val="5"/>
                <w:color w:val="auto"/>
              </w:rPr>
            </w:pPr>
          </w:p>
        </w:tc>
        <w:tc>
          <w:tcPr>
            <w:tcW w:w="260" w:type="dxa"/>
            <w:vAlign w:val="bottom"/>
            <w:tcBorders>
              <w:bottom w:val="single" w:sz="8" w:color="auto"/>
            </w:tcBorders>
            <w:shd w:val="clear" w:color="auto" w:fill="CCEEFF"/>
          </w:tcPr>
          <w:p>
            <w:pPr>
              <w:spacing w:after="0"/>
              <w:rPr>
                <w:sz w:val="5"/>
                <w:szCs w:val="5"/>
                <w:color w:val="auto"/>
              </w:rPr>
            </w:pPr>
          </w:p>
        </w:tc>
        <w:tc>
          <w:tcPr>
            <w:tcW w:w="15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15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7760" w:type="dxa"/>
            <w:vAlign w:val="bottom"/>
          </w:tcPr>
          <w:p>
            <w:pPr>
              <w:ind w:left="20"/>
              <w:spacing w:after="0"/>
              <w:rPr>
                <w:sz w:val="20"/>
                <w:szCs w:val="20"/>
                <w:color w:val="auto"/>
              </w:rPr>
            </w:pPr>
            <w:r>
              <w:rPr>
                <w:rFonts w:ascii="Arial" w:cs="Arial" w:eastAsia="Arial" w:hAnsi="Arial"/>
                <w:sz w:val="15"/>
                <w:szCs w:val="15"/>
                <w:b w:val="1"/>
                <w:bCs w:val="1"/>
                <w:color w:val="auto"/>
              </w:rPr>
              <w:t>Total current assets</w:t>
            </w:r>
          </w:p>
        </w:tc>
        <w:tc>
          <w:tcPr>
            <w:tcW w:w="260" w:type="dxa"/>
            <w:vAlign w:val="bottom"/>
          </w:tcPr>
          <w:p>
            <w:pPr>
              <w:spacing w:after="0"/>
              <w:rPr>
                <w:sz w:val="16"/>
                <w:szCs w:val="16"/>
                <w:color w:val="auto"/>
              </w:rPr>
            </w:pPr>
          </w:p>
        </w:tc>
        <w:tc>
          <w:tcPr>
            <w:tcW w:w="1580" w:type="dxa"/>
            <w:vAlign w:val="bottom"/>
            <w:vMerge w:val="restart"/>
          </w:tcPr>
          <w:p>
            <w:pPr>
              <w:jc w:val="right"/>
              <w:ind w:right="46"/>
              <w:spacing w:after="0"/>
              <w:rPr>
                <w:sz w:val="20"/>
                <w:szCs w:val="20"/>
                <w:color w:val="auto"/>
              </w:rPr>
            </w:pPr>
            <w:r>
              <w:rPr>
                <w:rFonts w:ascii="Arial" w:cs="Arial" w:eastAsia="Arial" w:hAnsi="Arial"/>
                <w:sz w:val="15"/>
                <w:szCs w:val="15"/>
                <w:b w:val="1"/>
                <w:bCs w:val="1"/>
                <w:color w:val="auto"/>
              </w:rPr>
              <w:t>536,058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vMerge w:val="restart"/>
          </w:tcPr>
          <w:p>
            <w:pPr>
              <w:jc w:val="right"/>
              <w:ind w:right="46"/>
              <w:spacing w:after="0"/>
              <w:rPr>
                <w:sz w:val="20"/>
                <w:szCs w:val="20"/>
                <w:color w:val="auto"/>
              </w:rPr>
            </w:pPr>
            <w:r>
              <w:rPr>
                <w:rFonts w:ascii="Arial" w:cs="Arial" w:eastAsia="Arial" w:hAnsi="Arial"/>
                <w:sz w:val="15"/>
                <w:szCs w:val="15"/>
                <w:b w:val="1"/>
                <w:bCs w:val="1"/>
                <w:color w:val="auto"/>
              </w:rPr>
              <w:t>499,935</w:t>
            </w:r>
          </w:p>
        </w:tc>
        <w:tc>
          <w:tcPr>
            <w:tcW w:w="0" w:type="dxa"/>
            <w:vAlign w:val="bottom"/>
          </w:tcPr>
          <w:p>
            <w:pPr>
              <w:spacing w:after="0"/>
              <w:rPr>
                <w:sz w:val="1"/>
                <w:szCs w:val="1"/>
                <w:color w:val="auto"/>
              </w:rPr>
            </w:pPr>
          </w:p>
        </w:tc>
      </w:tr>
      <w:tr>
        <w:trPr>
          <w:trHeight w:val="59"/>
        </w:trPr>
        <w:tc>
          <w:tcPr>
            <w:tcW w:w="77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7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Property and equipment, net</w:t>
            </w:r>
          </w:p>
        </w:tc>
        <w:tc>
          <w:tcPr>
            <w:tcW w:w="260" w:type="dxa"/>
            <w:vAlign w:val="bottom"/>
            <w:shd w:val="clear" w:color="auto" w:fill="CCEEFF"/>
          </w:tcPr>
          <w:p>
            <w:pPr>
              <w:spacing w:after="0"/>
              <w:rPr>
                <w:sz w:val="16"/>
                <w:szCs w:val="16"/>
                <w:color w:val="auto"/>
              </w:rPr>
            </w:pPr>
          </w:p>
        </w:tc>
        <w:tc>
          <w:tcPr>
            <w:tcW w:w="1580" w:type="dxa"/>
            <w:vAlign w:val="bottom"/>
            <w:vMerge w:val="restart"/>
            <w:shd w:val="clear" w:color="auto" w:fill="CCEEFF"/>
          </w:tcPr>
          <w:p>
            <w:pPr>
              <w:jc w:val="right"/>
              <w:ind w:right="46"/>
              <w:spacing w:after="0"/>
              <w:rPr>
                <w:sz w:val="20"/>
                <w:szCs w:val="20"/>
                <w:color w:val="auto"/>
              </w:rPr>
            </w:pPr>
            <w:r>
              <w:rPr>
                <w:rFonts w:ascii="Arial" w:cs="Arial" w:eastAsia="Arial" w:hAnsi="Arial"/>
                <w:sz w:val="15"/>
                <w:szCs w:val="15"/>
                <w:color w:val="auto"/>
              </w:rPr>
              <w:t>73,447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vMerge w:val="restart"/>
            <w:shd w:val="clear" w:color="auto" w:fill="CCEEFF"/>
          </w:tcPr>
          <w:p>
            <w:pPr>
              <w:jc w:val="right"/>
              <w:ind w:right="46"/>
              <w:spacing w:after="0"/>
              <w:rPr>
                <w:sz w:val="20"/>
                <w:szCs w:val="20"/>
                <w:color w:val="auto"/>
              </w:rPr>
            </w:pPr>
            <w:r>
              <w:rPr>
                <w:rFonts w:ascii="Arial" w:cs="Arial" w:eastAsia="Arial" w:hAnsi="Arial"/>
                <w:sz w:val="15"/>
                <w:szCs w:val="15"/>
                <w:color w:val="auto"/>
              </w:rPr>
              <w:t>73,510</w:t>
            </w:r>
          </w:p>
        </w:tc>
        <w:tc>
          <w:tcPr>
            <w:tcW w:w="0" w:type="dxa"/>
            <w:vAlign w:val="bottom"/>
          </w:tcPr>
          <w:p>
            <w:pPr>
              <w:spacing w:after="0"/>
              <w:rPr>
                <w:sz w:val="1"/>
                <w:szCs w:val="1"/>
                <w:color w:val="auto"/>
              </w:rPr>
            </w:pPr>
          </w:p>
        </w:tc>
      </w:tr>
      <w:tr>
        <w:trPr>
          <w:trHeight w:val="64"/>
        </w:trPr>
        <w:tc>
          <w:tcPr>
            <w:tcW w:w="776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5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7760" w:type="dxa"/>
            <w:vAlign w:val="bottom"/>
          </w:tcPr>
          <w:p>
            <w:pPr>
              <w:ind w:left="20"/>
              <w:spacing w:after="0"/>
              <w:rPr>
                <w:sz w:val="20"/>
                <w:szCs w:val="20"/>
                <w:color w:val="auto"/>
              </w:rPr>
            </w:pPr>
            <w:r>
              <w:rPr>
                <w:rFonts w:ascii="Arial" w:cs="Arial" w:eastAsia="Arial" w:hAnsi="Arial"/>
                <w:sz w:val="15"/>
                <w:szCs w:val="15"/>
                <w:color w:val="auto"/>
              </w:rPr>
              <w:t>Operating lease right-of-use assets</w:t>
            </w:r>
          </w:p>
        </w:tc>
        <w:tc>
          <w:tcPr>
            <w:tcW w:w="260" w:type="dxa"/>
            <w:vAlign w:val="bottom"/>
          </w:tcPr>
          <w:p>
            <w:pPr>
              <w:spacing w:after="0"/>
              <w:rPr>
                <w:sz w:val="17"/>
                <w:szCs w:val="17"/>
                <w:color w:val="auto"/>
              </w:rPr>
            </w:pPr>
          </w:p>
        </w:tc>
        <w:tc>
          <w:tcPr>
            <w:tcW w:w="1580" w:type="dxa"/>
            <w:vAlign w:val="bottom"/>
            <w:vMerge w:val="restart"/>
          </w:tcPr>
          <w:p>
            <w:pPr>
              <w:jc w:val="right"/>
              <w:ind w:right="46"/>
              <w:spacing w:after="0"/>
              <w:rPr>
                <w:sz w:val="20"/>
                <w:szCs w:val="20"/>
                <w:color w:val="auto"/>
              </w:rPr>
            </w:pPr>
            <w:r>
              <w:rPr>
                <w:rFonts w:ascii="Arial" w:cs="Arial" w:eastAsia="Arial" w:hAnsi="Arial"/>
                <w:sz w:val="15"/>
                <w:szCs w:val="15"/>
                <w:color w:val="auto"/>
              </w:rPr>
              <w:t>89,835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vMerge w:val="restart"/>
          </w:tcPr>
          <w:p>
            <w:pPr>
              <w:jc w:val="right"/>
              <w:ind w:right="4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9"/>
        </w:trPr>
        <w:tc>
          <w:tcPr>
            <w:tcW w:w="7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7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Restricted cash</w:t>
            </w:r>
          </w:p>
        </w:tc>
        <w:tc>
          <w:tcPr>
            <w:tcW w:w="260" w:type="dxa"/>
            <w:vAlign w:val="bottom"/>
            <w:shd w:val="clear" w:color="auto" w:fill="CCEEFF"/>
          </w:tcPr>
          <w:p>
            <w:pPr>
              <w:spacing w:after="0"/>
              <w:rPr>
                <w:sz w:val="18"/>
                <w:szCs w:val="18"/>
                <w:color w:val="auto"/>
              </w:rPr>
            </w:pPr>
          </w:p>
        </w:tc>
        <w:tc>
          <w:tcPr>
            <w:tcW w:w="1580" w:type="dxa"/>
            <w:vAlign w:val="bottom"/>
            <w:vMerge w:val="restart"/>
            <w:shd w:val="clear" w:color="auto" w:fill="CCEEFF"/>
          </w:tcPr>
          <w:p>
            <w:pPr>
              <w:jc w:val="right"/>
              <w:ind w:right="46"/>
              <w:spacing w:after="0"/>
              <w:rPr>
                <w:sz w:val="20"/>
                <w:szCs w:val="20"/>
                <w:color w:val="auto"/>
              </w:rPr>
            </w:pPr>
            <w:r>
              <w:rPr>
                <w:rFonts w:ascii="Arial" w:cs="Arial" w:eastAsia="Arial" w:hAnsi="Arial"/>
                <w:sz w:val="15"/>
                <w:szCs w:val="15"/>
                <w:color w:val="auto"/>
              </w:rPr>
              <w:t>2,575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46"/>
              <w:spacing w:after="0"/>
              <w:rPr>
                <w:sz w:val="20"/>
                <w:szCs w:val="20"/>
                <w:color w:val="auto"/>
              </w:rPr>
            </w:pPr>
            <w:r>
              <w:rPr>
                <w:rFonts w:ascii="Arial" w:cs="Arial" w:eastAsia="Arial" w:hAnsi="Arial"/>
                <w:sz w:val="15"/>
                <w:szCs w:val="15"/>
                <w:color w:val="auto"/>
              </w:rPr>
              <w:t>2,642</w:t>
            </w:r>
          </w:p>
        </w:tc>
        <w:tc>
          <w:tcPr>
            <w:tcW w:w="0" w:type="dxa"/>
            <w:vAlign w:val="bottom"/>
          </w:tcPr>
          <w:p>
            <w:pPr>
              <w:spacing w:after="0"/>
              <w:rPr>
                <w:sz w:val="1"/>
                <w:szCs w:val="1"/>
                <w:color w:val="auto"/>
              </w:rPr>
            </w:pPr>
          </w:p>
        </w:tc>
      </w:tr>
      <w:tr>
        <w:trPr>
          <w:trHeight w:val="64"/>
        </w:trPr>
        <w:tc>
          <w:tcPr>
            <w:tcW w:w="776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5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7760" w:type="dxa"/>
            <w:vAlign w:val="bottom"/>
          </w:tcPr>
          <w:p>
            <w:pPr>
              <w:ind w:left="20"/>
              <w:spacing w:after="0"/>
              <w:rPr>
                <w:sz w:val="20"/>
                <w:szCs w:val="20"/>
                <w:color w:val="auto"/>
              </w:rPr>
            </w:pPr>
            <w:r>
              <w:rPr>
                <w:rFonts w:ascii="Arial" w:cs="Arial" w:eastAsia="Arial" w:hAnsi="Arial"/>
                <w:sz w:val="15"/>
                <w:szCs w:val="15"/>
                <w:color w:val="auto"/>
              </w:rPr>
              <w:t>Deferred tax assets, net</w:t>
            </w:r>
          </w:p>
        </w:tc>
        <w:tc>
          <w:tcPr>
            <w:tcW w:w="260" w:type="dxa"/>
            <w:vAlign w:val="bottom"/>
          </w:tcPr>
          <w:p>
            <w:pPr>
              <w:spacing w:after="0"/>
              <w:rPr>
                <w:sz w:val="17"/>
                <w:szCs w:val="17"/>
                <w:color w:val="auto"/>
              </w:rPr>
            </w:pPr>
          </w:p>
        </w:tc>
        <w:tc>
          <w:tcPr>
            <w:tcW w:w="1580" w:type="dxa"/>
            <w:vAlign w:val="bottom"/>
            <w:vMerge w:val="restart"/>
          </w:tcPr>
          <w:p>
            <w:pPr>
              <w:jc w:val="right"/>
              <w:ind w:right="46"/>
              <w:spacing w:after="0"/>
              <w:rPr>
                <w:sz w:val="20"/>
                <w:szCs w:val="20"/>
                <w:color w:val="auto"/>
              </w:rPr>
            </w:pPr>
            <w:r>
              <w:rPr>
                <w:rFonts w:ascii="Arial" w:cs="Arial" w:eastAsia="Arial" w:hAnsi="Arial"/>
                <w:sz w:val="15"/>
                <w:szCs w:val="15"/>
                <w:color w:val="auto"/>
              </w:rPr>
              <w:t>4,570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vMerge w:val="restart"/>
          </w:tcPr>
          <w:p>
            <w:pPr>
              <w:jc w:val="right"/>
              <w:ind w:right="46"/>
              <w:spacing w:after="0"/>
              <w:rPr>
                <w:sz w:val="20"/>
                <w:szCs w:val="20"/>
                <w:color w:val="auto"/>
              </w:rPr>
            </w:pPr>
            <w:r>
              <w:rPr>
                <w:rFonts w:ascii="Arial" w:cs="Arial" w:eastAsia="Arial" w:hAnsi="Arial"/>
                <w:sz w:val="15"/>
                <w:szCs w:val="15"/>
                <w:color w:val="auto"/>
              </w:rPr>
              <w:t>6,602</w:t>
            </w:r>
          </w:p>
        </w:tc>
        <w:tc>
          <w:tcPr>
            <w:tcW w:w="0" w:type="dxa"/>
            <w:vAlign w:val="bottom"/>
          </w:tcPr>
          <w:p>
            <w:pPr>
              <w:spacing w:after="0"/>
              <w:rPr>
                <w:sz w:val="1"/>
                <w:szCs w:val="1"/>
                <w:color w:val="auto"/>
              </w:rPr>
            </w:pPr>
          </w:p>
        </w:tc>
      </w:tr>
      <w:tr>
        <w:trPr>
          <w:trHeight w:val="59"/>
        </w:trPr>
        <w:tc>
          <w:tcPr>
            <w:tcW w:w="7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7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Intangible assets, net</w:t>
            </w:r>
          </w:p>
        </w:tc>
        <w:tc>
          <w:tcPr>
            <w:tcW w:w="260" w:type="dxa"/>
            <w:vAlign w:val="bottom"/>
            <w:shd w:val="clear" w:color="auto" w:fill="CCEEFF"/>
          </w:tcPr>
          <w:p>
            <w:pPr>
              <w:spacing w:after="0"/>
              <w:rPr>
                <w:sz w:val="18"/>
                <w:szCs w:val="18"/>
                <w:color w:val="auto"/>
              </w:rPr>
            </w:pPr>
          </w:p>
        </w:tc>
        <w:tc>
          <w:tcPr>
            <w:tcW w:w="1580" w:type="dxa"/>
            <w:vAlign w:val="bottom"/>
            <w:vMerge w:val="restart"/>
            <w:shd w:val="clear" w:color="auto" w:fill="CCEEFF"/>
          </w:tcPr>
          <w:p>
            <w:pPr>
              <w:jc w:val="right"/>
              <w:ind w:right="46"/>
              <w:spacing w:after="0"/>
              <w:rPr>
                <w:sz w:val="20"/>
                <w:szCs w:val="20"/>
                <w:color w:val="auto"/>
              </w:rPr>
            </w:pPr>
            <w:r>
              <w:rPr>
                <w:rFonts w:ascii="Arial" w:cs="Arial" w:eastAsia="Arial" w:hAnsi="Arial"/>
                <w:sz w:val="15"/>
                <w:szCs w:val="15"/>
                <w:color w:val="auto"/>
              </w:rPr>
              <w:t>90,008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46"/>
              <w:spacing w:after="0"/>
              <w:rPr>
                <w:sz w:val="20"/>
                <w:szCs w:val="20"/>
                <w:color w:val="auto"/>
              </w:rPr>
            </w:pPr>
            <w:r>
              <w:rPr>
                <w:rFonts w:ascii="Arial" w:cs="Arial" w:eastAsia="Arial" w:hAnsi="Arial"/>
                <w:sz w:val="15"/>
                <w:szCs w:val="15"/>
                <w:color w:val="auto"/>
              </w:rPr>
              <w:t>95,495</w:t>
            </w:r>
          </w:p>
        </w:tc>
        <w:tc>
          <w:tcPr>
            <w:tcW w:w="0" w:type="dxa"/>
            <w:vAlign w:val="bottom"/>
          </w:tcPr>
          <w:p>
            <w:pPr>
              <w:spacing w:after="0"/>
              <w:rPr>
                <w:sz w:val="1"/>
                <w:szCs w:val="1"/>
                <w:color w:val="auto"/>
              </w:rPr>
            </w:pPr>
          </w:p>
        </w:tc>
      </w:tr>
      <w:tr>
        <w:trPr>
          <w:trHeight w:val="64"/>
        </w:trPr>
        <w:tc>
          <w:tcPr>
            <w:tcW w:w="776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5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7760" w:type="dxa"/>
            <w:vAlign w:val="bottom"/>
          </w:tcPr>
          <w:p>
            <w:pPr>
              <w:ind w:left="20"/>
              <w:spacing w:after="0"/>
              <w:rPr>
                <w:sz w:val="20"/>
                <w:szCs w:val="20"/>
                <w:color w:val="auto"/>
              </w:rPr>
            </w:pPr>
            <w:r>
              <w:rPr>
                <w:rFonts w:ascii="Arial" w:cs="Arial" w:eastAsia="Arial" w:hAnsi="Arial"/>
                <w:sz w:val="15"/>
                <w:szCs w:val="15"/>
                <w:color w:val="auto"/>
              </w:rPr>
              <w:t>Goodwill</w:t>
            </w:r>
          </w:p>
        </w:tc>
        <w:tc>
          <w:tcPr>
            <w:tcW w:w="260" w:type="dxa"/>
            <w:vAlign w:val="bottom"/>
          </w:tcPr>
          <w:p>
            <w:pPr>
              <w:spacing w:after="0"/>
              <w:rPr>
                <w:sz w:val="17"/>
                <w:szCs w:val="17"/>
                <w:color w:val="auto"/>
              </w:rPr>
            </w:pPr>
          </w:p>
        </w:tc>
        <w:tc>
          <w:tcPr>
            <w:tcW w:w="1580" w:type="dxa"/>
            <w:vAlign w:val="bottom"/>
            <w:vMerge w:val="restart"/>
          </w:tcPr>
          <w:p>
            <w:pPr>
              <w:jc w:val="right"/>
              <w:ind w:right="46"/>
              <w:spacing w:after="0"/>
              <w:rPr>
                <w:sz w:val="20"/>
                <w:szCs w:val="20"/>
                <w:color w:val="auto"/>
              </w:rPr>
            </w:pPr>
            <w:r>
              <w:rPr>
                <w:rFonts w:ascii="Arial" w:cs="Arial" w:eastAsia="Arial" w:hAnsi="Arial"/>
                <w:sz w:val="15"/>
                <w:szCs w:val="15"/>
                <w:color w:val="auto"/>
              </w:rPr>
              <w:t>350,239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vMerge w:val="restart"/>
          </w:tcPr>
          <w:p>
            <w:pPr>
              <w:jc w:val="right"/>
              <w:ind w:right="46"/>
              <w:spacing w:after="0"/>
              <w:rPr>
                <w:sz w:val="20"/>
                <w:szCs w:val="20"/>
                <w:color w:val="auto"/>
              </w:rPr>
            </w:pPr>
            <w:r>
              <w:rPr>
                <w:rFonts w:ascii="Arial" w:cs="Arial" w:eastAsia="Arial" w:hAnsi="Arial"/>
                <w:sz w:val="15"/>
                <w:szCs w:val="15"/>
                <w:color w:val="auto"/>
              </w:rPr>
              <w:t>349,984</w:t>
            </w:r>
          </w:p>
        </w:tc>
        <w:tc>
          <w:tcPr>
            <w:tcW w:w="0" w:type="dxa"/>
            <w:vAlign w:val="bottom"/>
          </w:tcPr>
          <w:p>
            <w:pPr>
              <w:spacing w:after="0"/>
              <w:rPr>
                <w:sz w:val="1"/>
                <w:szCs w:val="1"/>
                <w:color w:val="auto"/>
              </w:rPr>
            </w:pPr>
          </w:p>
        </w:tc>
      </w:tr>
      <w:tr>
        <w:trPr>
          <w:trHeight w:val="59"/>
        </w:trPr>
        <w:tc>
          <w:tcPr>
            <w:tcW w:w="7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7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assets</w:t>
            </w:r>
          </w:p>
        </w:tc>
        <w:tc>
          <w:tcPr>
            <w:tcW w:w="260" w:type="dxa"/>
            <w:vAlign w:val="bottom"/>
            <w:shd w:val="clear" w:color="auto" w:fill="CCEEFF"/>
          </w:tcPr>
          <w:p>
            <w:pPr>
              <w:spacing w:after="0"/>
              <w:rPr>
                <w:sz w:val="18"/>
                <w:szCs w:val="18"/>
                <w:color w:val="auto"/>
              </w:rPr>
            </w:pPr>
          </w:p>
        </w:tc>
        <w:tc>
          <w:tcPr>
            <w:tcW w:w="1580" w:type="dxa"/>
            <w:vAlign w:val="bottom"/>
            <w:vMerge w:val="restart"/>
            <w:shd w:val="clear" w:color="auto" w:fill="CCEEFF"/>
          </w:tcPr>
          <w:p>
            <w:pPr>
              <w:jc w:val="right"/>
              <w:ind w:right="46"/>
              <w:spacing w:after="0"/>
              <w:rPr>
                <w:sz w:val="20"/>
                <w:szCs w:val="20"/>
                <w:color w:val="auto"/>
              </w:rPr>
            </w:pPr>
            <w:r>
              <w:rPr>
                <w:rFonts w:ascii="Arial" w:cs="Arial" w:eastAsia="Arial" w:hAnsi="Arial"/>
                <w:sz w:val="15"/>
                <w:szCs w:val="15"/>
                <w:color w:val="auto"/>
              </w:rPr>
              <w:t>33,164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46"/>
              <w:spacing w:after="0"/>
              <w:rPr>
                <w:sz w:val="20"/>
                <w:szCs w:val="20"/>
                <w:color w:val="auto"/>
              </w:rPr>
            </w:pPr>
            <w:r>
              <w:rPr>
                <w:rFonts w:ascii="Arial" w:cs="Arial" w:eastAsia="Arial" w:hAnsi="Arial"/>
                <w:sz w:val="15"/>
                <w:szCs w:val="15"/>
                <w:color w:val="auto"/>
              </w:rPr>
              <w:t>31,015</w:t>
            </w:r>
          </w:p>
        </w:tc>
        <w:tc>
          <w:tcPr>
            <w:tcW w:w="0" w:type="dxa"/>
            <w:vAlign w:val="bottom"/>
          </w:tcPr>
          <w:p>
            <w:pPr>
              <w:spacing w:after="0"/>
              <w:rPr>
                <w:sz w:val="1"/>
                <w:szCs w:val="1"/>
                <w:color w:val="auto"/>
              </w:rPr>
            </w:pPr>
          </w:p>
        </w:tc>
      </w:tr>
      <w:tr>
        <w:trPr>
          <w:trHeight w:val="64"/>
        </w:trPr>
        <w:tc>
          <w:tcPr>
            <w:tcW w:w="776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5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7760" w:type="dxa"/>
            <w:vAlign w:val="bottom"/>
          </w:tcPr>
          <w:p>
            <w:pPr>
              <w:ind w:left="20"/>
              <w:spacing w:after="0"/>
              <w:rPr>
                <w:sz w:val="20"/>
                <w:szCs w:val="20"/>
                <w:color w:val="auto"/>
              </w:rPr>
            </w:pPr>
            <w:r>
              <w:rPr>
                <w:rFonts w:ascii="Arial" w:cs="Arial" w:eastAsia="Arial" w:hAnsi="Arial"/>
                <w:sz w:val="15"/>
                <w:szCs w:val="15"/>
                <w:color w:val="auto"/>
              </w:rPr>
              <w:t>Investment in equity affiliate</w:t>
            </w:r>
          </w:p>
        </w:tc>
        <w:tc>
          <w:tcPr>
            <w:tcW w:w="260" w:type="dxa"/>
            <w:vAlign w:val="bottom"/>
          </w:tcPr>
          <w:p>
            <w:pPr>
              <w:spacing w:after="0"/>
              <w:rPr>
                <w:sz w:val="17"/>
                <w:szCs w:val="17"/>
                <w:color w:val="auto"/>
              </w:rPr>
            </w:pPr>
          </w:p>
        </w:tc>
        <w:tc>
          <w:tcPr>
            <w:tcW w:w="1580" w:type="dxa"/>
            <w:vAlign w:val="bottom"/>
            <w:vMerge w:val="restart"/>
          </w:tcPr>
          <w:p>
            <w:pPr>
              <w:jc w:val="right"/>
              <w:ind w:right="46"/>
              <w:spacing w:after="0"/>
              <w:rPr>
                <w:sz w:val="20"/>
                <w:szCs w:val="20"/>
                <w:color w:val="auto"/>
              </w:rPr>
            </w:pPr>
            <w:r>
              <w:rPr>
                <w:rFonts w:ascii="Arial" w:cs="Arial" w:eastAsia="Arial" w:hAnsi="Arial"/>
                <w:sz w:val="15"/>
                <w:szCs w:val="15"/>
                <w:color w:val="auto"/>
              </w:rPr>
              <w:t>2,686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vMerge w:val="restart"/>
          </w:tcPr>
          <w:p>
            <w:pPr>
              <w:jc w:val="right"/>
              <w:ind w:right="46"/>
              <w:spacing w:after="0"/>
              <w:rPr>
                <w:sz w:val="20"/>
                <w:szCs w:val="20"/>
                <w:color w:val="auto"/>
              </w:rPr>
            </w:pPr>
            <w:r>
              <w:rPr>
                <w:rFonts w:ascii="Arial" w:cs="Arial" w:eastAsia="Arial" w:hAnsi="Arial"/>
                <w:sz w:val="15"/>
                <w:szCs w:val="15"/>
                <w:color w:val="auto"/>
              </w:rPr>
              <w:t>2,753</w:t>
            </w:r>
          </w:p>
        </w:tc>
        <w:tc>
          <w:tcPr>
            <w:tcW w:w="0" w:type="dxa"/>
            <w:vAlign w:val="bottom"/>
          </w:tcPr>
          <w:p>
            <w:pPr>
              <w:spacing w:after="0"/>
              <w:rPr>
                <w:sz w:val="1"/>
                <w:szCs w:val="1"/>
                <w:color w:val="auto"/>
              </w:rPr>
            </w:pPr>
          </w:p>
        </w:tc>
      </w:tr>
      <w:tr>
        <w:trPr>
          <w:trHeight w:val="59"/>
        </w:trPr>
        <w:tc>
          <w:tcPr>
            <w:tcW w:w="77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Total assets</w:t>
            </w:r>
          </w:p>
        </w:tc>
        <w:tc>
          <w:tcPr>
            <w:tcW w:w="26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95"/>
              </w:rPr>
              <w:t>$</w:t>
            </w:r>
          </w:p>
        </w:tc>
        <w:tc>
          <w:tcPr>
            <w:tcW w:w="15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b w:val="1"/>
                <w:bCs w:val="1"/>
                <w:color w:val="auto"/>
              </w:rPr>
              <w:t>1,182,582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15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b w:val="1"/>
                <w:bCs w:val="1"/>
                <w:color w:val="auto"/>
              </w:rPr>
              <w:t>1,061,936</w:t>
            </w:r>
          </w:p>
        </w:tc>
        <w:tc>
          <w:tcPr>
            <w:tcW w:w="0" w:type="dxa"/>
            <w:vAlign w:val="bottom"/>
          </w:tcPr>
          <w:p>
            <w:pPr>
              <w:spacing w:after="0"/>
              <w:rPr>
                <w:sz w:val="1"/>
                <w:szCs w:val="1"/>
                <w:color w:val="auto"/>
              </w:rPr>
            </w:pPr>
          </w:p>
        </w:tc>
      </w:tr>
      <w:tr>
        <w:trPr>
          <w:trHeight w:val="20"/>
        </w:trPr>
        <w:tc>
          <w:tcPr>
            <w:tcW w:w="776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Liabilities and equity</w:t>
            </w: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7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7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77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Current liabilities:</w:t>
            </w:r>
          </w:p>
        </w:tc>
        <w:tc>
          <w:tcPr>
            <w:tcW w:w="2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4"/>
        </w:trPr>
        <w:tc>
          <w:tcPr>
            <w:tcW w:w="776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5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7760" w:type="dxa"/>
            <w:vAlign w:val="bottom"/>
          </w:tcPr>
          <w:p>
            <w:pPr>
              <w:ind w:left="380"/>
              <w:spacing w:after="0"/>
              <w:rPr>
                <w:sz w:val="20"/>
                <w:szCs w:val="20"/>
                <w:color w:val="auto"/>
              </w:rPr>
            </w:pPr>
            <w:r>
              <w:rPr>
                <w:rFonts w:ascii="Arial" w:cs="Arial" w:eastAsia="Arial" w:hAnsi="Arial"/>
                <w:sz w:val="15"/>
                <w:szCs w:val="15"/>
                <w:color w:val="auto"/>
              </w:rPr>
              <w:t>Accounts payable</w:t>
            </w:r>
          </w:p>
        </w:tc>
        <w:tc>
          <w:tcPr>
            <w:tcW w:w="260" w:type="dxa"/>
            <w:vAlign w:val="bottom"/>
            <w:vMerge w:val="restart"/>
          </w:tcPr>
          <w:p>
            <w:pPr>
              <w:jc w:val="right"/>
              <w:ind w:right="86"/>
              <w:spacing w:after="0"/>
              <w:rPr>
                <w:sz w:val="20"/>
                <w:szCs w:val="20"/>
                <w:color w:val="auto"/>
              </w:rPr>
            </w:pPr>
            <w:r>
              <w:rPr>
                <w:rFonts w:ascii="Arial" w:cs="Arial" w:eastAsia="Arial" w:hAnsi="Arial"/>
                <w:sz w:val="15"/>
                <w:szCs w:val="15"/>
                <w:color w:val="auto"/>
                <w:w w:val="95"/>
              </w:rPr>
              <w:t>$</w:t>
            </w:r>
          </w:p>
        </w:tc>
        <w:tc>
          <w:tcPr>
            <w:tcW w:w="1580" w:type="dxa"/>
            <w:vAlign w:val="bottom"/>
            <w:vMerge w:val="restart"/>
          </w:tcPr>
          <w:p>
            <w:pPr>
              <w:jc w:val="right"/>
              <w:ind w:right="46"/>
              <w:spacing w:after="0"/>
              <w:rPr>
                <w:sz w:val="20"/>
                <w:szCs w:val="20"/>
                <w:color w:val="auto"/>
              </w:rPr>
            </w:pPr>
            <w:r>
              <w:rPr>
                <w:rFonts w:ascii="Arial" w:cs="Arial" w:eastAsia="Arial" w:hAnsi="Arial"/>
                <w:sz w:val="15"/>
                <w:szCs w:val="15"/>
                <w:color w:val="auto"/>
              </w:rPr>
              <w:t>4,560</w:t>
            </w:r>
          </w:p>
        </w:tc>
        <w:tc>
          <w:tcPr>
            <w:tcW w:w="120" w:type="dxa"/>
            <w:vAlign w:val="bottom"/>
          </w:tcPr>
          <w:p>
            <w:pPr>
              <w:spacing w:after="0"/>
              <w:rPr>
                <w:sz w:val="17"/>
                <w:szCs w:val="17"/>
                <w:color w:val="auto"/>
              </w:rPr>
            </w:pPr>
          </w:p>
        </w:tc>
        <w:tc>
          <w:tcPr>
            <w:tcW w:w="160" w:type="dxa"/>
            <w:vAlign w:val="bottom"/>
            <w:vMerge w:val="restart"/>
          </w:tcPr>
          <w:p>
            <w:pPr>
              <w:jc w:val="right"/>
              <w:ind w:right="6"/>
              <w:spacing w:after="0"/>
              <w:rPr>
                <w:sz w:val="20"/>
                <w:szCs w:val="20"/>
                <w:color w:val="auto"/>
              </w:rPr>
            </w:pPr>
            <w:r>
              <w:rPr>
                <w:rFonts w:ascii="Arial" w:cs="Arial" w:eastAsia="Arial" w:hAnsi="Arial"/>
                <w:sz w:val="15"/>
                <w:szCs w:val="15"/>
                <w:color w:val="auto"/>
                <w:w w:val="71"/>
              </w:rPr>
              <w:t>$</w:t>
            </w:r>
          </w:p>
        </w:tc>
        <w:tc>
          <w:tcPr>
            <w:tcW w:w="1520" w:type="dxa"/>
            <w:vAlign w:val="bottom"/>
            <w:vMerge w:val="restart"/>
          </w:tcPr>
          <w:p>
            <w:pPr>
              <w:jc w:val="right"/>
              <w:ind w:right="46"/>
              <w:spacing w:after="0"/>
              <w:rPr>
                <w:sz w:val="20"/>
                <w:szCs w:val="20"/>
                <w:color w:val="auto"/>
              </w:rPr>
            </w:pPr>
            <w:r>
              <w:rPr>
                <w:rFonts w:ascii="Arial" w:cs="Arial" w:eastAsia="Arial" w:hAnsi="Arial"/>
                <w:sz w:val="15"/>
                <w:szCs w:val="15"/>
                <w:color w:val="auto"/>
              </w:rPr>
              <w:t>5,653</w:t>
            </w:r>
          </w:p>
        </w:tc>
        <w:tc>
          <w:tcPr>
            <w:tcW w:w="0" w:type="dxa"/>
            <w:vAlign w:val="bottom"/>
          </w:tcPr>
          <w:p>
            <w:pPr>
              <w:spacing w:after="0"/>
              <w:rPr>
                <w:sz w:val="1"/>
                <w:szCs w:val="1"/>
                <w:color w:val="auto"/>
              </w:rPr>
            </w:pPr>
          </w:p>
        </w:tc>
      </w:tr>
      <w:tr>
        <w:trPr>
          <w:trHeight w:val="59"/>
        </w:trPr>
        <w:tc>
          <w:tcPr>
            <w:tcW w:w="776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1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77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Current portion of long-term borrowings</w:t>
            </w:r>
          </w:p>
        </w:tc>
        <w:tc>
          <w:tcPr>
            <w:tcW w:w="260" w:type="dxa"/>
            <w:vAlign w:val="bottom"/>
            <w:shd w:val="clear" w:color="auto" w:fill="CCEEFF"/>
          </w:tcPr>
          <w:p>
            <w:pPr>
              <w:spacing w:after="0"/>
              <w:rPr>
                <w:sz w:val="18"/>
                <w:szCs w:val="18"/>
                <w:color w:val="auto"/>
              </w:rPr>
            </w:pPr>
          </w:p>
        </w:tc>
        <w:tc>
          <w:tcPr>
            <w:tcW w:w="1580" w:type="dxa"/>
            <w:vAlign w:val="bottom"/>
            <w:vMerge w:val="restart"/>
            <w:shd w:val="clear" w:color="auto" w:fill="CCEEFF"/>
          </w:tcPr>
          <w:p>
            <w:pPr>
              <w:jc w:val="right"/>
              <w:ind w:right="46"/>
              <w:spacing w:after="0"/>
              <w:rPr>
                <w:sz w:val="20"/>
                <w:szCs w:val="20"/>
                <w:color w:val="auto"/>
              </w:rPr>
            </w:pPr>
            <w:r>
              <w:rPr>
                <w:rFonts w:ascii="Arial" w:cs="Arial" w:eastAsia="Arial" w:hAnsi="Arial"/>
                <w:sz w:val="15"/>
                <w:szCs w:val="15"/>
                <w:color w:val="auto"/>
              </w:rPr>
              <w:t>20,876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46"/>
              <w:spacing w:after="0"/>
              <w:rPr>
                <w:sz w:val="20"/>
                <w:szCs w:val="20"/>
                <w:color w:val="auto"/>
              </w:rPr>
            </w:pPr>
            <w:r>
              <w:rPr>
                <w:rFonts w:ascii="Arial" w:cs="Arial" w:eastAsia="Arial" w:hAnsi="Arial"/>
                <w:sz w:val="15"/>
                <w:szCs w:val="15"/>
                <w:color w:val="auto"/>
              </w:rPr>
              <w:t>21,423</w:t>
            </w:r>
          </w:p>
        </w:tc>
        <w:tc>
          <w:tcPr>
            <w:tcW w:w="0" w:type="dxa"/>
            <w:vAlign w:val="bottom"/>
          </w:tcPr>
          <w:p>
            <w:pPr>
              <w:spacing w:after="0"/>
              <w:rPr>
                <w:sz w:val="1"/>
                <w:szCs w:val="1"/>
                <w:color w:val="auto"/>
              </w:rPr>
            </w:pPr>
          </w:p>
        </w:tc>
      </w:tr>
      <w:tr>
        <w:trPr>
          <w:trHeight w:val="64"/>
        </w:trPr>
        <w:tc>
          <w:tcPr>
            <w:tcW w:w="776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5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7760" w:type="dxa"/>
            <w:vAlign w:val="bottom"/>
          </w:tcPr>
          <w:p>
            <w:pPr>
              <w:ind w:left="380"/>
              <w:spacing w:after="0"/>
              <w:rPr>
                <w:sz w:val="20"/>
                <w:szCs w:val="20"/>
                <w:color w:val="auto"/>
              </w:rPr>
            </w:pPr>
            <w:r>
              <w:rPr>
                <w:rFonts w:ascii="Arial" w:cs="Arial" w:eastAsia="Arial" w:hAnsi="Arial"/>
                <w:sz w:val="15"/>
                <w:szCs w:val="15"/>
                <w:color w:val="auto"/>
              </w:rPr>
              <w:t>Deferred revenue</w:t>
            </w:r>
          </w:p>
        </w:tc>
        <w:tc>
          <w:tcPr>
            <w:tcW w:w="260" w:type="dxa"/>
            <w:vAlign w:val="bottom"/>
          </w:tcPr>
          <w:p>
            <w:pPr>
              <w:spacing w:after="0"/>
              <w:rPr>
                <w:sz w:val="17"/>
                <w:szCs w:val="17"/>
                <w:color w:val="auto"/>
              </w:rPr>
            </w:pPr>
          </w:p>
        </w:tc>
        <w:tc>
          <w:tcPr>
            <w:tcW w:w="1580" w:type="dxa"/>
            <w:vAlign w:val="bottom"/>
            <w:vMerge w:val="restart"/>
          </w:tcPr>
          <w:p>
            <w:pPr>
              <w:jc w:val="right"/>
              <w:ind w:right="46"/>
              <w:spacing w:after="0"/>
              <w:rPr>
                <w:sz w:val="20"/>
                <w:szCs w:val="20"/>
                <w:color w:val="auto"/>
              </w:rPr>
            </w:pPr>
            <w:r>
              <w:rPr>
                <w:rFonts w:ascii="Arial" w:cs="Arial" w:eastAsia="Arial" w:hAnsi="Arial"/>
                <w:sz w:val="15"/>
                <w:szCs w:val="15"/>
                <w:color w:val="auto"/>
              </w:rPr>
              <w:t>11,132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vMerge w:val="restart"/>
          </w:tcPr>
          <w:p>
            <w:pPr>
              <w:jc w:val="right"/>
              <w:ind w:right="46"/>
              <w:spacing w:after="0"/>
              <w:rPr>
                <w:sz w:val="20"/>
                <w:szCs w:val="20"/>
                <w:color w:val="auto"/>
              </w:rPr>
            </w:pPr>
            <w:r>
              <w:rPr>
                <w:rFonts w:ascii="Arial" w:cs="Arial" w:eastAsia="Arial" w:hAnsi="Arial"/>
                <w:sz w:val="15"/>
                <w:szCs w:val="15"/>
                <w:color w:val="auto"/>
              </w:rPr>
              <w:t>7,722</w:t>
            </w:r>
          </w:p>
        </w:tc>
        <w:tc>
          <w:tcPr>
            <w:tcW w:w="0" w:type="dxa"/>
            <w:vAlign w:val="bottom"/>
          </w:tcPr>
          <w:p>
            <w:pPr>
              <w:spacing w:after="0"/>
              <w:rPr>
                <w:sz w:val="1"/>
                <w:szCs w:val="1"/>
                <w:color w:val="auto"/>
              </w:rPr>
            </w:pPr>
          </w:p>
        </w:tc>
      </w:tr>
      <w:tr>
        <w:trPr>
          <w:trHeight w:val="59"/>
        </w:trPr>
        <w:tc>
          <w:tcPr>
            <w:tcW w:w="7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77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Accrued employee costs</w:t>
            </w:r>
          </w:p>
        </w:tc>
        <w:tc>
          <w:tcPr>
            <w:tcW w:w="260" w:type="dxa"/>
            <w:vAlign w:val="bottom"/>
            <w:shd w:val="clear" w:color="auto" w:fill="CCEEFF"/>
          </w:tcPr>
          <w:p>
            <w:pPr>
              <w:spacing w:after="0"/>
              <w:rPr>
                <w:sz w:val="18"/>
                <w:szCs w:val="18"/>
                <w:color w:val="auto"/>
              </w:rPr>
            </w:pPr>
          </w:p>
        </w:tc>
        <w:tc>
          <w:tcPr>
            <w:tcW w:w="1580" w:type="dxa"/>
            <w:vAlign w:val="bottom"/>
            <w:vMerge w:val="restart"/>
            <w:shd w:val="clear" w:color="auto" w:fill="CCEEFF"/>
          </w:tcPr>
          <w:p>
            <w:pPr>
              <w:jc w:val="right"/>
              <w:ind w:right="46"/>
              <w:spacing w:after="0"/>
              <w:rPr>
                <w:sz w:val="20"/>
                <w:szCs w:val="20"/>
                <w:color w:val="auto"/>
              </w:rPr>
            </w:pPr>
            <w:r>
              <w:rPr>
                <w:rFonts w:ascii="Arial" w:cs="Arial" w:eastAsia="Arial" w:hAnsi="Arial"/>
                <w:sz w:val="15"/>
                <w:szCs w:val="15"/>
                <w:color w:val="auto"/>
              </w:rPr>
              <w:t>31,954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46"/>
              <w:spacing w:after="0"/>
              <w:rPr>
                <w:sz w:val="20"/>
                <w:szCs w:val="20"/>
                <w:color w:val="auto"/>
              </w:rPr>
            </w:pPr>
            <w:r>
              <w:rPr>
                <w:rFonts w:ascii="Arial" w:cs="Arial" w:eastAsia="Arial" w:hAnsi="Arial"/>
                <w:sz w:val="15"/>
                <w:szCs w:val="15"/>
                <w:color w:val="auto"/>
              </w:rPr>
              <w:t>54,893</w:t>
            </w:r>
          </w:p>
        </w:tc>
        <w:tc>
          <w:tcPr>
            <w:tcW w:w="0" w:type="dxa"/>
            <w:vAlign w:val="bottom"/>
          </w:tcPr>
          <w:p>
            <w:pPr>
              <w:spacing w:after="0"/>
              <w:rPr>
                <w:sz w:val="1"/>
                <w:szCs w:val="1"/>
                <w:color w:val="auto"/>
              </w:rPr>
            </w:pPr>
          </w:p>
        </w:tc>
      </w:tr>
      <w:tr>
        <w:trPr>
          <w:trHeight w:val="64"/>
        </w:trPr>
        <w:tc>
          <w:tcPr>
            <w:tcW w:w="776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5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7760" w:type="dxa"/>
            <w:vAlign w:val="bottom"/>
          </w:tcPr>
          <w:p>
            <w:pPr>
              <w:ind w:left="380"/>
              <w:spacing w:after="0"/>
              <w:rPr>
                <w:sz w:val="20"/>
                <w:szCs w:val="20"/>
                <w:color w:val="auto"/>
              </w:rPr>
            </w:pPr>
            <w:r>
              <w:rPr>
                <w:rFonts w:ascii="Arial" w:cs="Arial" w:eastAsia="Arial" w:hAnsi="Arial"/>
                <w:sz w:val="15"/>
                <w:szCs w:val="15"/>
                <w:color w:val="auto"/>
              </w:rPr>
              <w:t>Accrued expenses and other current liabilities</w:t>
            </w:r>
          </w:p>
        </w:tc>
        <w:tc>
          <w:tcPr>
            <w:tcW w:w="260" w:type="dxa"/>
            <w:vAlign w:val="bottom"/>
          </w:tcPr>
          <w:p>
            <w:pPr>
              <w:spacing w:after="0"/>
              <w:rPr>
                <w:sz w:val="17"/>
                <w:szCs w:val="17"/>
                <w:color w:val="auto"/>
              </w:rPr>
            </w:pPr>
          </w:p>
        </w:tc>
        <w:tc>
          <w:tcPr>
            <w:tcW w:w="1580" w:type="dxa"/>
            <w:vAlign w:val="bottom"/>
            <w:vMerge w:val="restart"/>
          </w:tcPr>
          <w:p>
            <w:pPr>
              <w:jc w:val="right"/>
              <w:ind w:right="46"/>
              <w:spacing w:after="0"/>
              <w:rPr>
                <w:sz w:val="20"/>
                <w:szCs w:val="20"/>
                <w:color w:val="auto"/>
              </w:rPr>
            </w:pPr>
            <w:r>
              <w:rPr>
                <w:rFonts w:ascii="Arial" w:cs="Arial" w:eastAsia="Arial" w:hAnsi="Arial"/>
                <w:sz w:val="15"/>
                <w:szCs w:val="15"/>
                <w:color w:val="auto"/>
              </w:rPr>
              <w:t>65,827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vMerge w:val="restart"/>
          </w:tcPr>
          <w:p>
            <w:pPr>
              <w:jc w:val="right"/>
              <w:ind w:right="46"/>
              <w:spacing w:after="0"/>
              <w:rPr>
                <w:sz w:val="20"/>
                <w:szCs w:val="20"/>
                <w:color w:val="auto"/>
              </w:rPr>
            </w:pPr>
            <w:r>
              <w:rPr>
                <w:rFonts w:ascii="Arial" w:cs="Arial" w:eastAsia="Arial" w:hAnsi="Arial"/>
                <w:sz w:val="15"/>
                <w:szCs w:val="15"/>
                <w:color w:val="auto"/>
              </w:rPr>
              <w:t>64,169</w:t>
            </w:r>
          </w:p>
        </w:tc>
        <w:tc>
          <w:tcPr>
            <w:tcW w:w="0" w:type="dxa"/>
            <w:vAlign w:val="bottom"/>
          </w:tcPr>
          <w:p>
            <w:pPr>
              <w:spacing w:after="0"/>
              <w:rPr>
                <w:sz w:val="1"/>
                <w:szCs w:val="1"/>
                <w:color w:val="auto"/>
              </w:rPr>
            </w:pPr>
          </w:p>
        </w:tc>
      </w:tr>
      <w:tr>
        <w:trPr>
          <w:trHeight w:val="59"/>
        </w:trPr>
        <w:tc>
          <w:tcPr>
            <w:tcW w:w="7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77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Current portion of operating lease liabilities</w:t>
            </w:r>
          </w:p>
        </w:tc>
        <w:tc>
          <w:tcPr>
            <w:tcW w:w="260" w:type="dxa"/>
            <w:vAlign w:val="bottom"/>
            <w:shd w:val="clear" w:color="auto" w:fill="CCEEFF"/>
          </w:tcPr>
          <w:p>
            <w:pPr>
              <w:spacing w:after="0"/>
              <w:rPr>
                <w:sz w:val="18"/>
                <w:szCs w:val="18"/>
                <w:color w:val="auto"/>
              </w:rPr>
            </w:pPr>
          </w:p>
        </w:tc>
        <w:tc>
          <w:tcPr>
            <w:tcW w:w="1580" w:type="dxa"/>
            <w:vAlign w:val="bottom"/>
            <w:vMerge w:val="restart"/>
            <w:shd w:val="clear" w:color="auto" w:fill="CCEEFF"/>
          </w:tcPr>
          <w:p>
            <w:pPr>
              <w:jc w:val="right"/>
              <w:ind w:right="46"/>
              <w:spacing w:after="0"/>
              <w:rPr>
                <w:sz w:val="20"/>
                <w:szCs w:val="20"/>
                <w:color w:val="auto"/>
              </w:rPr>
            </w:pPr>
            <w:r>
              <w:rPr>
                <w:rFonts w:ascii="Arial" w:cs="Arial" w:eastAsia="Arial" w:hAnsi="Arial"/>
                <w:sz w:val="15"/>
                <w:szCs w:val="15"/>
                <w:color w:val="auto"/>
              </w:rPr>
              <w:t>22,306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4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4"/>
        </w:trPr>
        <w:tc>
          <w:tcPr>
            <w:tcW w:w="776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5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7760" w:type="dxa"/>
            <w:vAlign w:val="bottom"/>
          </w:tcPr>
          <w:p>
            <w:pPr>
              <w:ind w:left="380"/>
              <w:spacing w:after="0"/>
              <w:rPr>
                <w:sz w:val="20"/>
                <w:szCs w:val="20"/>
                <w:color w:val="auto"/>
              </w:rPr>
            </w:pPr>
            <w:r>
              <w:rPr>
                <w:rFonts w:ascii="Arial" w:cs="Arial" w:eastAsia="Arial" w:hAnsi="Arial"/>
                <w:sz w:val="15"/>
                <w:szCs w:val="15"/>
                <w:color w:val="auto"/>
              </w:rPr>
              <w:t>Income taxes payable</w:t>
            </w:r>
          </w:p>
        </w:tc>
        <w:tc>
          <w:tcPr>
            <w:tcW w:w="260" w:type="dxa"/>
            <w:vAlign w:val="bottom"/>
          </w:tcPr>
          <w:p>
            <w:pPr>
              <w:spacing w:after="0"/>
              <w:rPr>
                <w:sz w:val="17"/>
                <w:szCs w:val="17"/>
                <w:color w:val="auto"/>
              </w:rPr>
            </w:pPr>
          </w:p>
        </w:tc>
        <w:tc>
          <w:tcPr>
            <w:tcW w:w="1580" w:type="dxa"/>
            <w:vAlign w:val="bottom"/>
            <w:vMerge w:val="restart"/>
          </w:tcPr>
          <w:p>
            <w:pPr>
              <w:jc w:val="right"/>
              <w:ind w:right="46"/>
              <w:spacing w:after="0"/>
              <w:rPr>
                <w:sz w:val="20"/>
                <w:szCs w:val="20"/>
                <w:color w:val="auto"/>
              </w:rPr>
            </w:pPr>
            <w:r>
              <w:rPr>
                <w:rFonts w:ascii="Arial" w:cs="Arial" w:eastAsia="Arial" w:hAnsi="Arial"/>
                <w:sz w:val="15"/>
                <w:szCs w:val="15"/>
                <w:color w:val="auto"/>
              </w:rPr>
              <w:t>595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vMerge w:val="restart"/>
          </w:tcPr>
          <w:p>
            <w:pPr>
              <w:jc w:val="right"/>
              <w:ind w:right="46"/>
              <w:spacing w:after="0"/>
              <w:rPr>
                <w:sz w:val="20"/>
                <w:szCs w:val="20"/>
                <w:color w:val="auto"/>
              </w:rPr>
            </w:pPr>
            <w:r>
              <w:rPr>
                <w:rFonts w:ascii="Arial" w:cs="Arial" w:eastAsia="Arial" w:hAnsi="Arial"/>
                <w:sz w:val="15"/>
                <w:szCs w:val="15"/>
                <w:color w:val="auto"/>
              </w:rPr>
              <w:t>1,012</w:t>
            </w:r>
          </w:p>
        </w:tc>
        <w:tc>
          <w:tcPr>
            <w:tcW w:w="0" w:type="dxa"/>
            <w:vAlign w:val="bottom"/>
          </w:tcPr>
          <w:p>
            <w:pPr>
              <w:spacing w:after="0"/>
              <w:rPr>
                <w:sz w:val="1"/>
                <w:szCs w:val="1"/>
                <w:color w:val="auto"/>
              </w:rPr>
            </w:pPr>
          </w:p>
        </w:tc>
      </w:tr>
      <w:tr>
        <w:trPr>
          <w:trHeight w:val="59"/>
        </w:trPr>
        <w:tc>
          <w:tcPr>
            <w:tcW w:w="7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77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Current portion of finance lease obligations</w:t>
            </w:r>
          </w:p>
        </w:tc>
        <w:tc>
          <w:tcPr>
            <w:tcW w:w="260" w:type="dxa"/>
            <w:vAlign w:val="bottom"/>
            <w:shd w:val="clear" w:color="auto" w:fill="CCEEFF"/>
          </w:tcPr>
          <w:p>
            <w:pPr>
              <w:spacing w:after="0"/>
              <w:rPr>
                <w:sz w:val="18"/>
                <w:szCs w:val="18"/>
                <w:color w:val="auto"/>
              </w:rPr>
            </w:pPr>
          </w:p>
        </w:tc>
        <w:tc>
          <w:tcPr>
            <w:tcW w:w="1580" w:type="dxa"/>
            <w:vAlign w:val="bottom"/>
            <w:vMerge w:val="restart"/>
            <w:shd w:val="clear" w:color="auto" w:fill="CCEEFF"/>
          </w:tcPr>
          <w:p>
            <w:pPr>
              <w:jc w:val="right"/>
              <w:ind w:right="46"/>
              <w:spacing w:after="0"/>
              <w:rPr>
                <w:sz w:val="20"/>
                <w:szCs w:val="20"/>
                <w:color w:val="auto"/>
              </w:rPr>
            </w:pPr>
            <w:r>
              <w:rPr>
                <w:rFonts w:ascii="Arial" w:cs="Arial" w:eastAsia="Arial" w:hAnsi="Arial"/>
                <w:sz w:val="15"/>
                <w:szCs w:val="15"/>
                <w:color w:val="auto"/>
              </w:rPr>
              <w:t>283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46"/>
              <w:spacing w:after="0"/>
              <w:rPr>
                <w:sz w:val="20"/>
                <w:szCs w:val="20"/>
                <w:color w:val="auto"/>
              </w:rPr>
            </w:pPr>
            <w:r>
              <w:rPr>
                <w:rFonts w:ascii="Arial" w:cs="Arial" w:eastAsia="Arial" w:hAnsi="Arial"/>
                <w:sz w:val="15"/>
                <w:szCs w:val="15"/>
                <w:color w:val="auto"/>
              </w:rPr>
              <w:t>223</w:t>
            </w:r>
          </w:p>
        </w:tc>
        <w:tc>
          <w:tcPr>
            <w:tcW w:w="0" w:type="dxa"/>
            <w:vAlign w:val="bottom"/>
          </w:tcPr>
          <w:p>
            <w:pPr>
              <w:spacing w:after="0"/>
              <w:rPr>
                <w:sz w:val="1"/>
                <w:szCs w:val="1"/>
                <w:color w:val="auto"/>
              </w:rPr>
            </w:pPr>
          </w:p>
        </w:tc>
      </w:tr>
      <w:tr>
        <w:trPr>
          <w:trHeight w:val="64"/>
        </w:trPr>
        <w:tc>
          <w:tcPr>
            <w:tcW w:w="7760" w:type="dxa"/>
            <w:vAlign w:val="bottom"/>
            <w:shd w:val="clear" w:color="auto" w:fill="CCEEFF"/>
          </w:tcPr>
          <w:p>
            <w:pPr>
              <w:spacing w:after="0"/>
              <w:rPr>
                <w:sz w:val="5"/>
                <w:szCs w:val="5"/>
                <w:color w:val="auto"/>
              </w:rPr>
            </w:pPr>
          </w:p>
        </w:tc>
        <w:tc>
          <w:tcPr>
            <w:tcW w:w="260" w:type="dxa"/>
            <w:vAlign w:val="bottom"/>
            <w:tcBorders>
              <w:bottom w:val="single" w:sz="8" w:color="auto"/>
            </w:tcBorders>
            <w:shd w:val="clear" w:color="auto" w:fill="CCEEFF"/>
          </w:tcPr>
          <w:p>
            <w:pPr>
              <w:spacing w:after="0"/>
              <w:rPr>
                <w:sz w:val="5"/>
                <w:szCs w:val="5"/>
                <w:color w:val="auto"/>
              </w:rPr>
            </w:pPr>
          </w:p>
        </w:tc>
        <w:tc>
          <w:tcPr>
            <w:tcW w:w="15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15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7760" w:type="dxa"/>
            <w:vAlign w:val="bottom"/>
          </w:tcPr>
          <w:p>
            <w:pPr>
              <w:ind w:left="20"/>
              <w:spacing w:after="0"/>
              <w:rPr>
                <w:sz w:val="20"/>
                <w:szCs w:val="20"/>
                <w:color w:val="auto"/>
              </w:rPr>
            </w:pPr>
            <w:r>
              <w:rPr>
                <w:rFonts w:ascii="Arial" w:cs="Arial" w:eastAsia="Arial" w:hAnsi="Arial"/>
                <w:sz w:val="15"/>
                <w:szCs w:val="15"/>
                <w:b w:val="1"/>
                <w:bCs w:val="1"/>
                <w:color w:val="auto"/>
              </w:rPr>
              <w:t>Total current liabilities</w:t>
            </w:r>
          </w:p>
        </w:tc>
        <w:tc>
          <w:tcPr>
            <w:tcW w:w="260" w:type="dxa"/>
            <w:vAlign w:val="bottom"/>
          </w:tcPr>
          <w:p>
            <w:pPr>
              <w:spacing w:after="0"/>
              <w:rPr>
                <w:sz w:val="16"/>
                <w:szCs w:val="16"/>
                <w:color w:val="auto"/>
              </w:rPr>
            </w:pPr>
          </w:p>
        </w:tc>
        <w:tc>
          <w:tcPr>
            <w:tcW w:w="1580" w:type="dxa"/>
            <w:vAlign w:val="bottom"/>
            <w:vMerge w:val="restart"/>
          </w:tcPr>
          <w:p>
            <w:pPr>
              <w:jc w:val="right"/>
              <w:ind w:right="46"/>
              <w:spacing w:after="0"/>
              <w:rPr>
                <w:sz w:val="20"/>
                <w:szCs w:val="20"/>
                <w:color w:val="auto"/>
              </w:rPr>
            </w:pPr>
            <w:r>
              <w:rPr>
                <w:rFonts w:ascii="Arial" w:cs="Arial" w:eastAsia="Arial" w:hAnsi="Arial"/>
                <w:sz w:val="15"/>
                <w:szCs w:val="15"/>
                <w:b w:val="1"/>
                <w:bCs w:val="1"/>
                <w:color w:val="auto"/>
              </w:rPr>
              <w:t>157,533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vMerge w:val="restart"/>
          </w:tcPr>
          <w:p>
            <w:pPr>
              <w:jc w:val="right"/>
              <w:ind w:right="46"/>
              <w:spacing w:after="0"/>
              <w:rPr>
                <w:sz w:val="20"/>
                <w:szCs w:val="20"/>
                <w:color w:val="auto"/>
              </w:rPr>
            </w:pPr>
            <w:r>
              <w:rPr>
                <w:rFonts w:ascii="Arial" w:cs="Arial" w:eastAsia="Arial" w:hAnsi="Arial"/>
                <w:sz w:val="15"/>
                <w:szCs w:val="15"/>
                <w:b w:val="1"/>
                <w:bCs w:val="1"/>
                <w:color w:val="auto"/>
              </w:rPr>
              <w:t>155,095</w:t>
            </w:r>
          </w:p>
        </w:tc>
        <w:tc>
          <w:tcPr>
            <w:tcW w:w="0" w:type="dxa"/>
            <w:vAlign w:val="bottom"/>
          </w:tcPr>
          <w:p>
            <w:pPr>
              <w:spacing w:after="0"/>
              <w:rPr>
                <w:sz w:val="1"/>
                <w:szCs w:val="1"/>
                <w:color w:val="auto"/>
              </w:rPr>
            </w:pPr>
          </w:p>
        </w:tc>
      </w:tr>
      <w:tr>
        <w:trPr>
          <w:trHeight w:val="59"/>
        </w:trPr>
        <w:tc>
          <w:tcPr>
            <w:tcW w:w="77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7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Long term borrowings</w:t>
            </w:r>
          </w:p>
        </w:tc>
        <w:tc>
          <w:tcPr>
            <w:tcW w:w="260" w:type="dxa"/>
            <w:vAlign w:val="bottom"/>
            <w:shd w:val="clear" w:color="auto" w:fill="CCEEFF"/>
          </w:tcPr>
          <w:p>
            <w:pPr>
              <w:spacing w:after="0"/>
              <w:rPr>
                <w:sz w:val="16"/>
                <w:szCs w:val="16"/>
                <w:color w:val="auto"/>
              </w:rPr>
            </w:pPr>
          </w:p>
        </w:tc>
        <w:tc>
          <w:tcPr>
            <w:tcW w:w="1580" w:type="dxa"/>
            <w:vAlign w:val="bottom"/>
            <w:vMerge w:val="restart"/>
            <w:shd w:val="clear" w:color="auto" w:fill="CCEEFF"/>
          </w:tcPr>
          <w:p>
            <w:pPr>
              <w:jc w:val="right"/>
              <w:ind w:right="46"/>
              <w:spacing w:after="0"/>
              <w:rPr>
                <w:sz w:val="20"/>
                <w:szCs w:val="20"/>
                <w:color w:val="auto"/>
              </w:rPr>
            </w:pPr>
            <w:r>
              <w:rPr>
                <w:rFonts w:ascii="Arial" w:cs="Arial" w:eastAsia="Arial" w:hAnsi="Arial"/>
                <w:sz w:val="15"/>
                <w:szCs w:val="15"/>
                <w:color w:val="auto"/>
              </w:rPr>
              <w:t>299,765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vMerge w:val="restart"/>
            <w:shd w:val="clear" w:color="auto" w:fill="CCEEFF"/>
          </w:tcPr>
          <w:p>
            <w:pPr>
              <w:jc w:val="right"/>
              <w:ind w:right="46"/>
              <w:spacing w:after="0"/>
              <w:rPr>
                <w:sz w:val="20"/>
                <w:szCs w:val="20"/>
                <w:color w:val="auto"/>
              </w:rPr>
            </w:pPr>
            <w:r>
              <w:rPr>
                <w:rFonts w:ascii="Arial" w:cs="Arial" w:eastAsia="Arial" w:hAnsi="Arial"/>
                <w:sz w:val="15"/>
                <w:szCs w:val="15"/>
                <w:color w:val="auto"/>
              </w:rPr>
              <w:t>263,241</w:t>
            </w:r>
          </w:p>
        </w:tc>
        <w:tc>
          <w:tcPr>
            <w:tcW w:w="0" w:type="dxa"/>
            <w:vAlign w:val="bottom"/>
          </w:tcPr>
          <w:p>
            <w:pPr>
              <w:spacing w:after="0"/>
              <w:rPr>
                <w:sz w:val="1"/>
                <w:szCs w:val="1"/>
                <w:color w:val="auto"/>
              </w:rPr>
            </w:pPr>
          </w:p>
        </w:tc>
      </w:tr>
      <w:tr>
        <w:trPr>
          <w:trHeight w:val="64"/>
        </w:trPr>
        <w:tc>
          <w:tcPr>
            <w:tcW w:w="776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5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7760" w:type="dxa"/>
            <w:vAlign w:val="bottom"/>
          </w:tcPr>
          <w:p>
            <w:pPr>
              <w:ind w:left="20"/>
              <w:spacing w:after="0"/>
              <w:rPr>
                <w:sz w:val="20"/>
                <w:szCs w:val="20"/>
                <w:color w:val="auto"/>
              </w:rPr>
            </w:pPr>
            <w:r>
              <w:rPr>
                <w:rFonts w:ascii="Arial" w:cs="Arial" w:eastAsia="Arial" w:hAnsi="Arial"/>
                <w:sz w:val="15"/>
                <w:szCs w:val="15"/>
                <w:color w:val="auto"/>
              </w:rPr>
              <w:t>Finance lease obligations, less current portion</w:t>
            </w:r>
          </w:p>
        </w:tc>
        <w:tc>
          <w:tcPr>
            <w:tcW w:w="260" w:type="dxa"/>
            <w:vAlign w:val="bottom"/>
          </w:tcPr>
          <w:p>
            <w:pPr>
              <w:spacing w:after="0"/>
              <w:rPr>
                <w:sz w:val="17"/>
                <w:szCs w:val="17"/>
                <w:color w:val="auto"/>
              </w:rPr>
            </w:pPr>
          </w:p>
        </w:tc>
        <w:tc>
          <w:tcPr>
            <w:tcW w:w="1580" w:type="dxa"/>
            <w:vAlign w:val="bottom"/>
            <w:vMerge w:val="restart"/>
          </w:tcPr>
          <w:p>
            <w:pPr>
              <w:jc w:val="right"/>
              <w:ind w:right="46"/>
              <w:spacing w:after="0"/>
              <w:rPr>
                <w:sz w:val="20"/>
                <w:szCs w:val="20"/>
                <w:color w:val="auto"/>
              </w:rPr>
            </w:pPr>
            <w:r>
              <w:rPr>
                <w:rFonts w:ascii="Arial" w:cs="Arial" w:eastAsia="Arial" w:hAnsi="Arial"/>
                <w:sz w:val="15"/>
                <w:szCs w:val="15"/>
                <w:color w:val="auto"/>
              </w:rPr>
              <w:t>492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vMerge w:val="restart"/>
          </w:tcPr>
          <w:p>
            <w:pPr>
              <w:jc w:val="right"/>
              <w:ind w:right="46"/>
              <w:spacing w:after="0"/>
              <w:rPr>
                <w:sz w:val="20"/>
                <w:szCs w:val="20"/>
                <w:color w:val="auto"/>
              </w:rPr>
            </w:pPr>
            <w:r>
              <w:rPr>
                <w:rFonts w:ascii="Arial" w:cs="Arial" w:eastAsia="Arial" w:hAnsi="Arial"/>
                <w:sz w:val="15"/>
                <w:szCs w:val="15"/>
                <w:color w:val="auto"/>
              </w:rPr>
              <w:t>315</w:t>
            </w:r>
          </w:p>
        </w:tc>
        <w:tc>
          <w:tcPr>
            <w:tcW w:w="0" w:type="dxa"/>
            <w:vAlign w:val="bottom"/>
          </w:tcPr>
          <w:p>
            <w:pPr>
              <w:spacing w:after="0"/>
              <w:rPr>
                <w:sz w:val="1"/>
                <w:szCs w:val="1"/>
                <w:color w:val="auto"/>
              </w:rPr>
            </w:pPr>
          </w:p>
        </w:tc>
      </w:tr>
      <w:tr>
        <w:trPr>
          <w:trHeight w:val="59"/>
        </w:trPr>
        <w:tc>
          <w:tcPr>
            <w:tcW w:w="7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7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Deferred tax liabilities, net</w:t>
            </w:r>
          </w:p>
        </w:tc>
        <w:tc>
          <w:tcPr>
            <w:tcW w:w="260" w:type="dxa"/>
            <w:vAlign w:val="bottom"/>
            <w:shd w:val="clear" w:color="auto" w:fill="CCEEFF"/>
          </w:tcPr>
          <w:p>
            <w:pPr>
              <w:spacing w:after="0"/>
              <w:rPr>
                <w:sz w:val="18"/>
                <w:szCs w:val="18"/>
                <w:color w:val="auto"/>
              </w:rPr>
            </w:pPr>
          </w:p>
        </w:tc>
        <w:tc>
          <w:tcPr>
            <w:tcW w:w="1580" w:type="dxa"/>
            <w:vAlign w:val="bottom"/>
            <w:vMerge w:val="restart"/>
            <w:shd w:val="clear" w:color="auto" w:fill="CCEEFF"/>
          </w:tcPr>
          <w:p>
            <w:pPr>
              <w:jc w:val="right"/>
              <w:ind w:right="46"/>
              <w:spacing w:after="0"/>
              <w:rPr>
                <w:sz w:val="20"/>
                <w:szCs w:val="20"/>
                <w:color w:val="auto"/>
              </w:rPr>
            </w:pPr>
            <w:r>
              <w:rPr>
                <w:rFonts w:ascii="Arial" w:cs="Arial" w:eastAsia="Arial" w:hAnsi="Arial"/>
                <w:sz w:val="15"/>
                <w:szCs w:val="15"/>
                <w:color w:val="auto"/>
              </w:rPr>
              <w:t>10,103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46"/>
              <w:spacing w:after="0"/>
              <w:rPr>
                <w:sz w:val="20"/>
                <w:szCs w:val="20"/>
                <w:color w:val="auto"/>
              </w:rPr>
            </w:pPr>
            <w:r>
              <w:rPr>
                <w:rFonts w:ascii="Arial" w:cs="Arial" w:eastAsia="Arial" w:hAnsi="Arial"/>
                <w:sz w:val="15"/>
                <w:szCs w:val="15"/>
                <w:color w:val="auto"/>
              </w:rPr>
              <w:t>8,445</w:t>
            </w:r>
          </w:p>
        </w:tc>
        <w:tc>
          <w:tcPr>
            <w:tcW w:w="0" w:type="dxa"/>
            <w:vAlign w:val="bottom"/>
          </w:tcPr>
          <w:p>
            <w:pPr>
              <w:spacing w:after="0"/>
              <w:rPr>
                <w:sz w:val="1"/>
                <w:szCs w:val="1"/>
                <w:color w:val="auto"/>
              </w:rPr>
            </w:pPr>
          </w:p>
        </w:tc>
      </w:tr>
      <w:tr>
        <w:trPr>
          <w:trHeight w:val="64"/>
        </w:trPr>
        <w:tc>
          <w:tcPr>
            <w:tcW w:w="776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5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7760" w:type="dxa"/>
            <w:vAlign w:val="bottom"/>
          </w:tcPr>
          <w:p>
            <w:pPr>
              <w:ind w:left="20"/>
              <w:spacing w:after="0"/>
              <w:rPr>
                <w:sz w:val="20"/>
                <w:szCs w:val="20"/>
                <w:color w:val="auto"/>
              </w:rPr>
            </w:pPr>
            <w:r>
              <w:rPr>
                <w:rFonts w:ascii="Arial" w:cs="Arial" w:eastAsia="Arial" w:hAnsi="Arial"/>
                <w:sz w:val="15"/>
                <w:szCs w:val="15"/>
                <w:color w:val="auto"/>
              </w:rPr>
              <w:t>Operating lease liabilities, less current portion</w:t>
            </w:r>
          </w:p>
        </w:tc>
        <w:tc>
          <w:tcPr>
            <w:tcW w:w="260" w:type="dxa"/>
            <w:vAlign w:val="bottom"/>
          </w:tcPr>
          <w:p>
            <w:pPr>
              <w:spacing w:after="0"/>
              <w:rPr>
                <w:sz w:val="17"/>
                <w:szCs w:val="17"/>
                <w:color w:val="auto"/>
              </w:rPr>
            </w:pPr>
          </w:p>
        </w:tc>
        <w:tc>
          <w:tcPr>
            <w:tcW w:w="1580" w:type="dxa"/>
            <w:vAlign w:val="bottom"/>
            <w:vMerge w:val="restart"/>
          </w:tcPr>
          <w:p>
            <w:pPr>
              <w:jc w:val="right"/>
              <w:ind w:right="46"/>
              <w:spacing w:after="0"/>
              <w:rPr>
                <w:sz w:val="20"/>
                <w:szCs w:val="20"/>
                <w:color w:val="auto"/>
              </w:rPr>
            </w:pPr>
            <w:r>
              <w:rPr>
                <w:rFonts w:ascii="Arial" w:cs="Arial" w:eastAsia="Arial" w:hAnsi="Arial"/>
                <w:sz w:val="15"/>
                <w:szCs w:val="15"/>
                <w:color w:val="auto"/>
              </w:rPr>
              <w:t>77,060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vMerge w:val="restart"/>
          </w:tcPr>
          <w:p>
            <w:pPr>
              <w:jc w:val="right"/>
              <w:ind w:right="4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9"/>
        </w:trPr>
        <w:tc>
          <w:tcPr>
            <w:tcW w:w="7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7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non-current liabilities</w:t>
            </w:r>
          </w:p>
        </w:tc>
        <w:tc>
          <w:tcPr>
            <w:tcW w:w="260" w:type="dxa"/>
            <w:vAlign w:val="bottom"/>
            <w:shd w:val="clear" w:color="auto" w:fill="CCEEFF"/>
          </w:tcPr>
          <w:p>
            <w:pPr>
              <w:spacing w:after="0"/>
              <w:rPr>
                <w:sz w:val="18"/>
                <w:szCs w:val="18"/>
                <w:color w:val="auto"/>
              </w:rPr>
            </w:pPr>
          </w:p>
        </w:tc>
        <w:tc>
          <w:tcPr>
            <w:tcW w:w="1580" w:type="dxa"/>
            <w:vAlign w:val="bottom"/>
            <w:vMerge w:val="restart"/>
            <w:shd w:val="clear" w:color="auto" w:fill="CCEEFF"/>
          </w:tcPr>
          <w:p>
            <w:pPr>
              <w:jc w:val="right"/>
              <w:ind w:right="46"/>
              <w:spacing w:after="0"/>
              <w:rPr>
                <w:sz w:val="20"/>
                <w:szCs w:val="20"/>
                <w:color w:val="auto"/>
              </w:rPr>
            </w:pPr>
            <w:r>
              <w:rPr>
                <w:rFonts w:ascii="Arial" w:cs="Arial" w:eastAsia="Arial" w:hAnsi="Arial"/>
                <w:sz w:val="15"/>
                <w:szCs w:val="15"/>
                <w:color w:val="auto"/>
              </w:rPr>
              <w:t>6,794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46"/>
              <w:spacing w:after="0"/>
              <w:rPr>
                <w:sz w:val="20"/>
                <w:szCs w:val="20"/>
                <w:color w:val="auto"/>
              </w:rPr>
            </w:pPr>
            <w:r>
              <w:rPr>
                <w:rFonts w:ascii="Arial" w:cs="Arial" w:eastAsia="Arial" w:hAnsi="Arial"/>
                <w:sz w:val="15"/>
                <w:szCs w:val="15"/>
                <w:color w:val="auto"/>
              </w:rPr>
              <w:t>16,521</w:t>
            </w:r>
          </w:p>
        </w:tc>
        <w:tc>
          <w:tcPr>
            <w:tcW w:w="0" w:type="dxa"/>
            <w:vAlign w:val="bottom"/>
          </w:tcPr>
          <w:p>
            <w:pPr>
              <w:spacing w:after="0"/>
              <w:rPr>
                <w:sz w:val="1"/>
                <w:szCs w:val="1"/>
                <w:color w:val="auto"/>
              </w:rPr>
            </w:pPr>
          </w:p>
        </w:tc>
      </w:tr>
      <w:tr>
        <w:trPr>
          <w:trHeight w:val="64"/>
        </w:trPr>
        <w:tc>
          <w:tcPr>
            <w:tcW w:w="7760" w:type="dxa"/>
            <w:vAlign w:val="bottom"/>
            <w:shd w:val="clear" w:color="auto" w:fill="CCEEFF"/>
          </w:tcPr>
          <w:p>
            <w:pPr>
              <w:spacing w:after="0"/>
              <w:rPr>
                <w:sz w:val="5"/>
                <w:szCs w:val="5"/>
                <w:color w:val="auto"/>
              </w:rPr>
            </w:pPr>
          </w:p>
        </w:tc>
        <w:tc>
          <w:tcPr>
            <w:tcW w:w="260" w:type="dxa"/>
            <w:vAlign w:val="bottom"/>
            <w:tcBorders>
              <w:bottom w:val="single" w:sz="8" w:color="auto"/>
            </w:tcBorders>
            <w:shd w:val="clear" w:color="auto" w:fill="CCEEFF"/>
          </w:tcPr>
          <w:p>
            <w:pPr>
              <w:spacing w:after="0"/>
              <w:rPr>
                <w:sz w:val="5"/>
                <w:szCs w:val="5"/>
                <w:color w:val="auto"/>
              </w:rPr>
            </w:pPr>
          </w:p>
        </w:tc>
        <w:tc>
          <w:tcPr>
            <w:tcW w:w="15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15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7760" w:type="dxa"/>
            <w:vAlign w:val="bottom"/>
          </w:tcPr>
          <w:p>
            <w:pPr>
              <w:ind w:left="20"/>
              <w:spacing w:after="0"/>
              <w:rPr>
                <w:sz w:val="20"/>
                <w:szCs w:val="20"/>
                <w:color w:val="auto"/>
              </w:rPr>
            </w:pPr>
            <w:r>
              <w:rPr>
                <w:rFonts w:ascii="Arial" w:cs="Arial" w:eastAsia="Arial" w:hAnsi="Arial"/>
                <w:sz w:val="15"/>
                <w:szCs w:val="15"/>
                <w:b w:val="1"/>
                <w:bCs w:val="1"/>
                <w:color w:val="auto"/>
              </w:rPr>
              <w:t>Total liabilities</w:t>
            </w:r>
          </w:p>
        </w:tc>
        <w:tc>
          <w:tcPr>
            <w:tcW w:w="260" w:type="dxa"/>
            <w:vAlign w:val="bottom"/>
          </w:tcPr>
          <w:p>
            <w:pPr>
              <w:spacing w:after="0"/>
              <w:rPr>
                <w:sz w:val="16"/>
                <w:szCs w:val="16"/>
                <w:color w:val="auto"/>
              </w:rPr>
            </w:pPr>
          </w:p>
        </w:tc>
        <w:tc>
          <w:tcPr>
            <w:tcW w:w="1580" w:type="dxa"/>
            <w:vAlign w:val="bottom"/>
            <w:vMerge w:val="restart"/>
          </w:tcPr>
          <w:p>
            <w:pPr>
              <w:jc w:val="right"/>
              <w:ind w:right="46"/>
              <w:spacing w:after="0"/>
              <w:rPr>
                <w:sz w:val="20"/>
                <w:szCs w:val="20"/>
                <w:color w:val="auto"/>
              </w:rPr>
            </w:pPr>
            <w:r>
              <w:rPr>
                <w:rFonts w:ascii="Arial" w:cs="Arial" w:eastAsia="Arial" w:hAnsi="Arial"/>
                <w:sz w:val="15"/>
                <w:szCs w:val="15"/>
                <w:b w:val="1"/>
                <w:bCs w:val="1"/>
                <w:color w:val="auto"/>
              </w:rPr>
              <w:t>551,747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vMerge w:val="restart"/>
          </w:tcPr>
          <w:p>
            <w:pPr>
              <w:jc w:val="right"/>
              <w:ind w:right="46"/>
              <w:spacing w:after="0"/>
              <w:rPr>
                <w:sz w:val="20"/>
                <w:szCs w:val="20"/>
                <w:color w:val="auto"/>
              </w:rPr>
            </w:pPr>
            <w:r>
              <w:rPr>
                <w:rFonts w:ascii="Arial" w:cs="Arial" w:eastAsia="Arial" w:hAnsi="Arial"/>
                <w:sz w:val="15"/>
                <w:szCs w:val="15"/>
                <w:b w:val="1"/>
                <w:bCs w:val="1"/>
                <w:color w:val="auto"/>
              </w:rPr>
              <w:t>443,617</w:t>
            </w:r>
          </w:p>
        </w:tc>
        <w:tc>
          <w:tcPr>
            <w:tcW w:w="0" w:type="dxa"/>
            <w:vAlign w:val="bottom"/>
          </w:tcPr>
          <w:p>
            <w:pPr>
              <w:spacing w:after="0"/>
              <w:rPr>
                <w:sz w:val="1"/>
                <w:szCs w:val="1"/>
                <w:color w:val="auto"/>
              </w:rPr>
            </w:pPr>
          </w:p>
        </w:tc>
      </w:tr>
      <w:tr>
        <w:trPr>
          <w:trHeight w:val="59"/>
        </w:trPr>
        <w:tc>
          <w:tcPr>
            <w:tcW w:w="77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7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Commitments and contingencies</w:t>
            </w:r>
          </w:p>
        </w:tc>
        <w:tc>
          <w:tcPr>
            <w:tcW w:w="26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776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5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7760" w:type="dxa"/>
            <w:vAlign w:val="bottom"/>
          </w:tcPr>
          <w:p>
            <w:pPr>
              <w:ind w:left="20"/>
              <w:spacing w:after="0"/>
              <w:rPr>
                <w:sz w:val="20"/>
                <w:szCs w:val="20"/>
                <w:color w:val="auto"/>
              </w:rPr>
            </w:pPr>
            <w:r>
              <w:rPr>
                <w:rFonts w:ascii="Arial" w:cs="Arial" w:eastAsia="Arial" w:hAnsi="Arial"/>
                <w:sz w:val="15"/>
                <w:szCs w:val="15"/>
                <w:color w:val="auto"/>
              </w:rPr>
              <w:t>Preferred stock, $0.001 par value; 15,000,000 shares authorized, none issued</w:t>
            </w:r>
          </w:p>
        </w:tc>
        <w:tc>
          <w:tcPr>
            <w:tcW w:w="260" w:type="dxa"/>
            <w:vAlign w:val="bottom"/>
          </w:tcPr>
          <w:p>
            <w:pPr>
              <w:spacing w:after="0"/>
              <w:rPr>
                <w:sz w:val="17"/>
                <w:szCs w:val="17"/>
                <w:color w:val="auto"/>
              </w:rPr>
            </w:pPr>
          </w:p>
        </w:tc>
        <w:tc>
          <w:tcPr>
            <w:tcW w:w="1700" w:type="dxa"/>
            <w:vAlign w:val="bottom"/>
            <w:gridSpan w:val="2"/>
            <w:vMerge w:val="restart"/>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520" w:type="dxa"/>
            <w:vAlign w:val="bottom"/>
            <w:vMerge w:val="restart"/>
          </w:tcPr>
          <w:p>
            <w:pPr>
              <w:jc w:val="right"/>
              <w:ind w:right="4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59"/>
        </w:trPr>
        <w:tc>
          <w:tcPr>
            <w:tcW w:w="7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7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77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ExlService Holdings, Inc. Stockholders’ equity:</w:t>
            </w:r>
          </w:p>
        </w:tc>
        <w:tc>
          <w:tcPr>
            <w:tcW w:w="2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4"/>
        </w:trPr>
        <w:tc>
          <w:tcPr>
            <w:tcW w:w="776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5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7760" w:type="dxa"/>
            <w:vAlign w:val="bottom"/>
          </w:tcPr>
          <w:p>
            <w:pPr>
              <w:ind w:left="380"/>
              <w:spacing w:after="0"/>
              <w:rPr>
                <w:sz w:val="20"/>
                <w:szCs w:val="20"/>
                <w:color w:val="auto"/>
              </w:rPr>
            </w:pPr>
            <w:r>
              <w:rPr>
                <w:rFonts w:ascii="Arial" w:cs="Arial" w:eastAsia="Arial" w:hAnsi="Arial"/>
                <w:sz w:val="15"/>
                <w:szCs w:val="15"/>
                <w:color w:val="auto"/>
                <w:w w:val="95"/>
              </w:rPr>
              <w:t>Common stock, $0.001 par value; 100,000,000 shares authorized, 38,256,036 shares issued and 34,365,437 shares</w:t>
            </w:r>
          </w:p>
        </w:tc>
        <w:tc>
          <w:tcPr>
            <w:tcW w:w="2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760" w:type="dxa"/>
            <w:vAlign w:val="bottom"/>
          </w:tcPr>
          <w:p>
            <w:pPr>
              <w:ind w:left="380"/>
              <w:spacing w:after="0" w:line="162" w:lineRule="exact"/>
              <w:rPr>
                <w:sz w:val="20"/>
                <w:szCs w:val="20"/>
                <w:color w:val="auto"/>
              </w:rPr>
            </w:pPr>
            <w:r>
              <w:rPr>
                <w:rFonts w:ascii="Arial" w:cs="Arial" w:eastAsia="Arial" w:hAnsi="Arial"/>
                <w:sz w:val="15"/>
                <w:szCs w:val="15"/>
                <w:color w:val="auto"/>
                <w:w w:val="91"/>
              </w:rPr>
              <w:t>outstanding as of March 31, 2019 and 37,850,544 shares issued and 34,222,476 shares outstanding as of December 31,</w:t>
            </w:r>
          </w:p>
        </w:tc>
        <w:tc>
          <w:tcPr>
            <w:tcW w:w="2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7760" w:type="dxa"/>
            <w:vAlign w:val="bottom"/>
          </w:tcPr>
          <w:p>
            <w:pPr>
              <w:ind w:left="380"/>
              <w:spacing w:after="0"/>
              <w:rPr>
                <w:sz w:val="20"/>
                <w:szCs w:val="20"/>
                <w:color w:val="auto"/>
              </w:rPr>
            </w:pPr>
            <w:r>
              <w:rPr>
                <w:rFonts w:ascii="Arial" w:cs="Arial" w:eastAsia="Arial" w:hAnsi="Arial"/>
                <w:sz w:val="15"/>
                <w:szCs w:val="15"/>
                <w:color w:val="auto"/>
              </w:rPr>
              <w:t>2018</w:t>
            </w:r>
          </w:p>
        </w:tc>
        <w:tc>
          <w:tcPr>
            <w:tcW w:w="260" w:type="dxa"/>
            <w:vAlign w:val="bottom"/>
          </w:tcPr>
          <w:p>
            <w:pPr>
              <w:spacing w:after="0"/>
              <w:rPr>
                <w:sz w:val="16"/>
                <w:szCs w:val="16"/>
                <w:color w:val="auto"/>
              </w:rPr>
            </w:pPr>
          </w:p>
        </w:tc>
        <w:tc>
          <w:tcPr>
            <w:tcW w:w="1580" w:type="dxa"/>
            <w:vAlign w:val="bottom"/>
          </w:tcPr>
          <w:p>
            <w:pPr>
              <w:jc w:val="right"/>
              <w:ind w:right="46"/>
              <w:spacing w:after="0"/>
              <w:rPr>
                <w:sz w:val="20"/>
                <w:szCs w:val="20"/>
                <w:color w:val="auto"/>
              </w:rPr>
            </w:pPr>
            <w:r>
              <w:rPr>
                <w:rFonts w:ascii="Arial" w:cs="Arial" w:eastAsia="Arial" w:hAnsi="Arial"/>
                <w:sz w:val="15"/>
                <w:szCs w:val="15"/>
                <w:color w:val="auto"/>
              </w:rPr>
              <w:t>38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ind w:right="46"/>
              <w:spacing w:after="0"/>
              <w:rPr>
                <w:sz w:val="20"/>
                <w:szCs w:val="20"/>
                <w:color w:val="auto"/>
              </w:rPr>
            </w:pPr>
            <w:r>
              <w:rPr>
                <w:rFonts w:ascii="Arial" w:cs="Arial" w:eastAsia="Arial" w:hAnsi="Arial"/>
                <w:sz w:val="15"/>
                <w:szCs w:val="15"/>
                <w:color w:val="auto"/>
              </w:rPr>
              <w:t>38</w:t>
            </w:r>
          </w:p>
        </w:tc>
        <w:tc>
          <w:tcPr>
            <w:tcW w:w="0" w:type="dxa"/>
            <w:vAlign w:val="bottom"/>
          </w:tcPr>
          <w:p>
            <w:pPr>
              <w:spacing w:after="0"/>
              <w:rPr>
                <w:sz w:val="1"/>
                <w:szCs w:val="1"/>
                <w:color w:val="auto"/>
              </w:rPr>
            </w:pPr>
          </w:p>
        </w:tc>
      </w:tr>
      <w:tr>
        <w:trPr>
          <w:trHeight w:val="211"/>
        </w:trPr>
        <w:tc>
          <w:tcPr>
            <w:tcW w:w="77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Additional paid-in capital</w:t>
            </w:r>
          </w:p>
        </w:tc>
        <w:tc>
          <w:tcPr>
            <w:tcW w:w="260" w:type="dxa"/>
            <w:vAlign w:val="bottom"/>
            <w:shd w:val="clear" w:color="auto" w:fill="CCEEFF"/>
          </w:tcPr>
          <w:p>
            <w:pPr>
              <w:spacing w:after="0"/>
              <w:rPr>
                <w:sz w:val="18"/>
                <w:szCs w:val="18"/>
                <w:color w:val="auto"/>
              </w:rPr>
            </w:pPr>
          </w:p>
        </w:tc>
        <w:tc>
          <w:tcPr>
            <w:tcW w:w="1580" w:type="dxa"/>
            <w:vAlign w:val="bottom"/>
            <w:vMerge w:val="restart"/>
            <w:shd w:val="clear" w:color="auto" w:fill="CCEEFF"/>
          </w:tcPr>
          <w:p>
            <w:pPr>
              <w:jc w:val="right"/>
              <w:ind w:right="46"/>
              <w:spacing w:after="0"/>
              <w:rPr>
                <w:sz w:val="20"/>
                <w:szCs w:val="20"/>
                <w:color w:val="auto"/>
              </w:rPr>
            </w:pPr>
            <w:r>
              <w:rPr>
                <w:rFonts w:ascii="Arial" w:cs="Arial" w:eastAsia="Arial" w:hAnsi="Arial"/>
                <w:sz w:val="15"/>
                <w:szCs w:val="15"/>
                <w:color w:val="auto"/>
              </w:rPr>
              <w:t>371,144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ind w:right="46"/>
              <w:spacing w:after="0"/>
              <w:rPr>
                <w:sz w:val="20"/>
                <w:szCs w:val="20"/>
                <w:color w:val="auto"/>
              </w:rPr>
            </w:pPr>
            <w:r>
              <w:rPr>
                <w:rFonts w:ascii="Arial" w:cs="Arial" w:eastAsia="Arial" w:hAnsi="Arial"/>
                <w:sz w:val="15"/>
                <w:szCs w:val="15"/>
                <w:color w:val="auto"/>
              </w:rPr>
              <w:t>364,179</w:t>
            </w:r>
          </w:p>
        </w:tc>
        <w:tc>
          <w:tcPr>
            <w:tcW w:w="0" w:type="dxa"/>
            <w:vAlign w:val="bottom"/>
          </w:tcPr>
          <w:p>
            <w:pPr>
              <w:spacing w:after="0"/>
              <w:rPr>
                <w:sz w:val="1"/>
                <w:szCs w:val="1"/>
                <w:color w:val="auto"/>
              </w:rPr>
            </w:pPr>
          </w:p>
        </w:tc>
      </w:tr>
      <w:tr>
        <w:trPr>
          <w:trHeight w:val="64"/>
        </w:trPr>
        <w:tc>
          <w:tcPr>
            <w:tcW w:w="776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5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5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7760" w:type="dxa"/>
            <w:vAlign w:val="bottom"/>
          </w:tcPr>
          <w:p>
            <w:pPr>
              <w:ind w:left="380"/>
              <w:spacing w:after="0"/>
              <w:rPr>
                <w:sz w:val="20"/>
                <w:szCs w:val="20"/>
                <w:color w:val="auto"/>
              </w:rPr>
            </w:pPr>
            <w:r>
              <w:rPr>
                <w:rFonts w:ascii="Arial" w:cs="Arial" w:eastAsia="Arial" w:hAnsi="Arial"/>
                <w:sz w:val="15"/>
                <w:szCs w:val="15"/>
                <w:color w:val="auto"/>
              </w:rPr>
              <w:t>Retained earnings</w:t>
            </w:r>
          </w:p>
        </w:tc>
        <w:tc>
          <w:tcPr>
            <w:tcW w:w="260" w:type="dxa"/>
            <w:vAlign w:val="bottom"/>
          </w:tcPr>
          <w:p>
            <w:pPr>
              <w:spacing w:after="0"/>
              <w:rPr>
                <w:sz w:val="17"/>
                <w:szCs w:val="17"/>
                <w:color w:val="auto"/>
              </w:rPr>
            </w:pPr>
          </w:p>
        </w:tc>
        <w:tc>
          <w:tcPr>
            <w:tcW w:w="1580" w:type="dxa"/>
            <w:vAlign w:val="bottom"/>
            <w:vMerge w:val="restart"/>
          </w:tcPr>
          <w:p>
            <w:pPr>
              <w:jc w:val="right"/>
              <w:ind w:right="46"/>
              <w:spacing w:after="0"/>
              <w:rPr>
                <w:sz w:val="20"/>
                <w:szCs w:val="20"/>
                <w:color w:val="auto"/>
              </w:rPr>
            </w:pPr>
            <w:r>
              <w:rPr>
                <w:rFonts w:ascii="Arial" w:cs="Arial" w:eastAsia="Arial" w:hAnsi="Arial"/>
                <w:sz w:val="15"/>
                <w:szCs w:val="15"/>
                <w:color w:val="auto"/>
              </w:rPr>
              <w:t>498,939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vMerge w:val="restart"/>
          </w:tcPr>
          <w:p>
            <w:pPr>
              <w:jc w:val="right"/>
              <w:ind w:right="46"/>
              <w:spacing w:after="0"/>
              <w:rPr>
                <w:sz w:val="20"/>
                <w:szCs w:val="20"/>
                <w:color w:val="auto"/>
              </w:rPr>
            </w:pPr>
            <w:r>
              <w:rPr>
                <w:rFonts w:ascii="Arial" w:cs="Arial" w:eastAsia="Arial" w:hAnsi="Arial"/>
                <w:sz w:val="15"/>
                <w:szCs w:val="15"/>
                <w:color w:val="auto"/>
              </w:rPr>
              <w:t>484,244</w:t>
            </w:r>
          </w:p>
        </w:tc>
        <w:tc>
          <w:tcPr>
            <w:tcW w:w="0" w:type="dxa"/>
            <w:vAlign w:val="bottom"/>
          </w:tcPr>
          <w:p>
            <w:pPr>
              <w:spacing w:after="0"/>
              <w:rPr>
                <w:sz w:val="1"/>
                <w:szCs w:val="1"/>
                <w:color w:val="auto"/>
              </w:rPr>
            </w:pPr>
          </w:p>
        </w:tc>
      </w:tr>
      <w:tr>
        <w:trPr>
          <w:trHeight w:val="59"/>
        </w:trPr>
        <w:tc>
          <w:tcPr>
            <w:tcW w:w="7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77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Accumulated other comprehensive loss</w:t>
            </w:r>
          </w:p>
        </w:tc>
        <w:tc>
          <w:tcPr>
            <w:tcW w:w="260" w:type="dxa"/>
            <w:vAlign w:val="bottom"/>
            <w:shd w:val="clear" w:color="auto" w:fill="CCEEFF"/>
          </w:tcPr>
          <w:p>
            <w:pPr>
              <w:spacing w:after="0"/>
              <w:rPr>
                <w:sz w:val="18"/>
                <w:szCs w:val="18"/>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(77,212)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(83,467)</w:t>
            </w:r>
          </w:p>
        </w:tc>
        <w:tc>
          <w:tcPr>
            <w:tcW w:w="0" w:type="dxa"/>
            <w:vAlign w:val="bottom"/>
          </w:tcPr>
          <w:p>
            <w:pPr>
              <w:spacing w:after="0"/>
              <w:rPr>
                <w:sz w:val="1"/>
                <w:szCs w:val="1"/>
                <w:color w:val="auto"/>
              </w:rPr>
            </w:pPr>
          </w:p>
        </w:tc>
      </w:tr>
      <w:tr>
        <w:trPr>
          <w:trHeight w:val="64"/>
        </w:trPr>
        <w:tc>
          <w:tcPr>
            <w:tcW w:w="7760" w:type="dxa"/>
            <w:vAlign w:val="bottom"/>
            <w:shd w:val="clear" w:color="auto" w:fill="CCEEFF"/>
          </w:tcPr>
          <w:p>
            <w:pPr>
              <w:spacing w:after="0"/>
              <w:rPr>
                <w:sz w:val="5"/>
                <w:szCs w:val="5"/>
                <w:color w:val="auto"/>
              </w:rPr>
            </w:pPr>
          </w:p>
        </w:tc>
        <w:tc>
          <w:tcPr>
            <w:tcW w:w="260" w:type="dxa"/>
            <w:vAlign w:val="bottom"/>
            <w:tcBorders>
              <w:bottom w:val="single" w:sz="8" w:color="auto"/>
            </w:tcBorders>
            <w:shd w:val="clear" w:color="auto" w:fill="CCEEFF"/>
          </w:tcPr>
          <w:p>
            <w:pPr>
              <w:spacing w:after="0"/>
              <w:rPr>
                <w:sz w:val="5"/>
                <w:szCs w:val="5"/>
                <w:color w:val="auto"/>
              </w:rPr>
            </w:pPr>
          </w:p>
        </w:tc>
        <w:tc>
          <w:tcPr>
            <w:tcW w:w="15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15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7760" w:type="dxa"/>
            <w:vAlign w:val="bottom"/>
          </w:tcPr>
          <w:p>
            <w:pPr>
              <w:ind w:left="20"/>
              <w:spacing w:after="0"/>
              <w:rPr>
                <w:sz w:val="20"/>
                <w:szCs w:val="20"/>
                <w:color w:val="auto"/>
              </w:rPr>
            </w:pPr>
            <w:r>
              <w:rPr>
                <w:rFonts w:ascii="Arial" w:cs="Arial" w:eastAsia="Arial" w:hAnsi="Arial"/>
                <w:sz w:val="15"/>
                <w:szCs w:val="15"/>
                <w:b w:val="1"/>
                <w:bCs w:val="1"/>
                <w:color w:val="auto"/>
              </w:rPr>
              <w:t>Total including shares held in treasury</w:t>
            </w:r>
          </w:p>
        </w:tc>
        <w:tc>
          <w:tcPr>
            <w:tcW w:w="260" w:type="dxa"/>
            <w:vAlign w:val="bottom"/>
          </w:tcPr>
          <w:p>
            <w:pPr>
              <w:spacing w:after="0"/>
              <w:rPr>
                <w:sz w:val="16"/>
                <w:szCs w:val="16"/>
                <w:color w:val="auto"/>
              </w:rPr>
            </w:pPr>
          </w:p>
        </w:tc>
        <w:tc>
          <w:tcPr>
            <w:tcW w:w="1580" w:type="dxa"/>
            <w:vAlign w:val="bottom"/>
            <w:vMerge w:val="restart"/>
          </w:tcPr>
          <w:p>
            <w:pPr>
              <w:jc w:val="right"/>
              <w:ind w:right="46"/>
              <w:spacing w:after="0"/>
              <w:rPr>
                <w:sz w:val="20"/>
                <w:szCs w:val="20"/>
                <w:color w:val="auto"/>
              </w:rPr>
            </w:pPr>
            <w:r>
              <w:rPr>
                <w:rFonts w:ascii="Arial" w:cs="Arial" w:eastAsia="Arial" w:hAnsi="Arial"/>
                <w:sz w:val="15"/>
                <w:szCs w:val="15"/>
                <w:b w:val="1"/>
                <w:bCs w:val="1"/>
                <w:color w:val="auto"/>
              </w:rPr>
              <w:t>792,909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vMerge w:val="restart"/>
          </w:tcPr>
          <w:p>
            <w:pPr>
              <w:jc w:val="right"/>
              <w:ind w:right="46"/>
              <w:spacing w:after="0"/>
              <w:rPr>
                <w:sz w:val="20"/>
                <w:szCs w:val="20"/>
                <w:color w:val="auto"/>
              </w:rPr>
            </w:pPr>
            <w:r>
              <w:rPr>
                <w:rFonts w:ascii="Arial" w:cs="Arial" w:eastAsia="Arial" w:hAnsi="Arial"/>
                <w:sz w:val="15"/>
                <w:szCs w:val="15"/>
                <w:b w:val="1"/>
                <w:bCs w:val="1"/>
                <w:color w:val="auto"/>
              </w:rPr>
              <w:t>764,994</w:t>
            </w:r>
          </w:p>
        </w:tc>
        <w:tc>
          <w:tcPr>
            <w:tcW w:w="0" w:type="dxa"/>
            <w:vAlign w:val="bottom"/>
          </w:tcPr>
          <w:p>
            <w:pPr>
              <w:spacing w:after="0"/>
              <w:rPr>
                <w:sz w:val="1"/>
                <w:szCs w:val="1"/>
                <w:color w:val="auto"/>
              </w:rPr>
            </w:pPr>
          </w:p>
        </w:tc>
      </w:tr>
      <w:tr>
        <w:trPr>
          <w:trHeight w:val="59"/>
        </w:trPr>
        <w:tc>
          <w:tcPr>
            <w:tcW w:w="776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7760" w:type="dxa"/>
            <w:vAlign w:val="bottom"/>
            <w:shd w:val="clear" w:color="auto" w:fill="CCEEFF"/>
          </w:tcPr>
          <w:p>
            <w:pPr>
              <w:ind w:left="20"/>
              <w:spacing w:after="0"/>
              <w:rPr>
                <w:sz w:val="20"/>
                <w:szCs w:val="20"/>
                <w:color w:val="auto"/>
              </w:rPr>
            </w:pPr>
            <w:r>
              <w:rPr>
                <w:rFonts w:ascii="Arial" w:cs="Arial" w:eastAsia="Arial" w:hAnsi="Arial"/>
                <w:sz w:val="15"/>
                <w:szCs w:val="15"/>
                <w:color w:val="auto"/>
                <w:w w:val="98"/>
              </w:rPr>
              <w:t>Less: 3,890,599 shares as of March 31, 2019 and 3,628,068 shares as of December 31, 2018, held in treasury, at cost</w:t>
            </w:r>
          </w:p>
        </w:tc>
        <w:tc>
          <w:tcPr>
            <w:tcW w:w="260" w:type="dxa"/>
            <w:vAlign w:val="bottom"/>
            <w:shd w:val="clear" w:color="auto" w:fill="CCEEFF"/>
          </w:tcPr>
          <w:p>
            <w:pPr>
              <w:spacing w:after="0"/>
              <w:rPr>
                <w:sz w:val="16"/>
                <w:szCs w:val="16"/>
                <w:color w:val="auto"/>
              </w:rPr>
            </w:pP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(162,333)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(146,925)</w:t>
            </w:r>
          </w:p>
        </w:tc>
        <w:tc>
          <w:tcPr>
            <w:tcW w:w="0" w:type="dxa"/>
            <w:vAlign w:val="bottom"/>
          </w:tcPr>
          <w:p>
            <w:pPr>
              <w:spacing w:after="0"/>
              <w:rPr>
                <w:sz w:val="1"/>
                <w:szCs w:val="1"/>
                <w:color w:val="auto"/>
              </w:rPr>
            </w:pPr>
          </w:p>
        </w:tc>
      </w:tr>
      <w:tr>
        <w:trPr>
          <w:trHeight w:val="64"/>
        </w:trPr>
        <w:tc>
          <w:tcPr>
            <w:tcW w:w="7760" w:type="dxa"/>
            <w:vAlign w:val="bottom"/>
            <w:shd w:val="clear" w:color="auto" w:fill="CCEEFF"/>
          </w:tcPr>
          <w:p>
            <w:pPr>
              <w:spacing w:after="0"/>
              <w:rPr>
                <w:sz w:val="5"/>
                <w:szCs w:val="5"/>
                <w:color w:val="auto"/>
              </w:rPr>
            </w:pPr>
          </w:p>
        </w:tc>
        <w:tc>
          <w:tcPr>
            <w:tcW w:w="260" w:type="dxa"/>
            <w:vAlign w:val="bottom"/>
            <w:tcBorders>
              <w:bottom w:val="single" w:sz="8" w:color="auto"/>
            </w:tcBorders>
            <w:shd w:val="clear" w:color="auto" w:fill="CCEEFF"/>
          </w:tcPr>
          <w:p>
            <w:pPr>
              <w:spacing w:after="0"/>
              <w:rPr>
                <w:sz w:val="5"/>
                <w:szCs w:val="5"/>
                <w:color w:val="auto"/>
              </w:rPr>
            </w:pPr>
          </w:p>
        </w:tc>
        <w:tc>
          <w:tcPr>
            <w:tcW w:w="15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15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7760" w:type="dxa"/>
            <w:vAlign w:val="bottom"/>
          </w:tcPr>
          <w:p>
            <w:pPr>
              <w:ind w:left="20"/>
              <w:spacing w:after="0"/>
              <w:rPr>
                <w:sz w:val="20"/>
                <w:szCs w:val="20"/>
                <w:color w:val="auto"/>
              </w:rPr>
            </w:pPr>
            <w:r>
              <w:rPr>
                <w:rFonts w:ascii="Arial" w:cs="Arial" w:eastAsia="Arial" w:hAnsi="Arial"/>
                <w:sz w:val="15"/>
                <w:szCs w:val="15"/>
                <w:b w:val="1"/>
                <w:bCs w:val="1"/>
                <w:color w:val="auto"/>
              </w:rPr>
              <w:t>Stockholders’ equity</w:t>
            </w:r>
          </w:p>
        </w:tc>
        <w:tc>
          <w:tcPr>
            <w:tcW w:w="260" w:type="dxa"/>
            <w:vAlign w:val="bottom"/>
          </w:tcPr>
          <w:p>
            <w:pPr>
              <w:spacing w:after="0"/>
              <w:rPr>
                <w:sz w:val="16"/>
                <w:szCs w:val="16"/>
                <w:color w:val="auto"/>
              </w:rPr>
            </w:pPr>
          </w:p>
        </w:tc>
        <w:tc>
          <w:tcPr>
            <w:tcW w:w="1580" w:type="dxa"/>
            <w:vAlign w:val="bottom"/>
            <w:vMerge w:val="restart"/>
          </w:tcPr>
          <w:p>
            <w:pPr>
              <w:jc w:val="right"/>
              <w:ind w:right="46"/>
              <w:spacing w:after="0"/>
              <w:rPr>
                <w:sz w:val="20"/>
                <w:szCs w:val="20"/>
                <w:color w:val="auto"/>
              </w:rPr>
            </w:pPr>
            <w:r>
              <w:rPr>
                <w:rFonts w:ascii="Arial" w:cs="Arial" w:eastAsia="Arial" w:hAnsi="Arial"/>
                <w:sz w:val="15"/>
                <w:szCs w:val="15"/>
                <w:b w:val="1"/>
                <w:bCs w:val="1"/>
                <w:color w:val="auto"/>
              </w:rPr>
              <w:t>630,576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vMerge w:val="restart"/>
          </w:tcPr>
          <w:p>
            <w:pPr>
              <w:jc w:val="right"/>
              <w:ind w:right="46"/>
              <w:spacing w:after="0"/>
              <w:rPr>
                <w:sz w:val="20"/>
                <w:szCs w:val="20"/>
                <w:color w:val="auto"/>
              </w:rPr>
            </w:pPr>
            <w:r>
              <w:rPr>
                <w:rFonts w:ascii="Arial" w:cs="Arial" w:eastAsia="Arial" w:hAnsi="Arial"/>
                <w:sz w:val="15"/>
                <w:szCs w:val="15"/>
                <w:b w:val="1"/>
                <w:bCs w:val="1"/>
                <w:color w:val="auto"/>
              </w:rPr>
              <w:t>618,069</w:t>
            </w:r>
          </w:p>
        </w:tc>
        <w:tc>
          <w:tcPr>
            <w:tcW w:w="0" w:type="dxa"/>
            <w:vAlign w:val="bottom"/>
          </w:tcPr>
          <w:p>
            <w:pPr>
              <w:spacing w:after="0"/>
              <w:rPr>
                <w:sz w:val="1"/>
                <w:szCs w:val="1"/>
                <w:color w:val="auto"/>
              </w:rPr>
            </w:pPr>
          </w:p>
        </w:tc>
      </w:tr>
      <w:tr>
        <w:trPr>
          <w:trHeight w:val="59"/>
        </w:trPr>
        <w:tc>
          <w:tcPr>
            <w:tcW w:w="7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7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Non-controlling interest</w:t>
            </w:r>
          </w:p>
        </w:tc>
        <w:tc>
          <w:tcPr>
            <w:tcW w:w="26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259</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rPr>
              <w:t>250</w:t>
            </w:r>
          </w:p>
        </w:tc>
        <w:tc>
          <w:tcPr>
            <w:tcW w:w="0" w:type="dxa"/>
            <w:vAlign w:val="bottom"/>
          </w:tcPr>
          <w:p>
            <w:pPr>
              <w:spacing w:after="0"/>
              <w:rPr>
                <w:sz w:val="1"/>
                <w:szCs w:val="1"/>
                <w:color w:val="auto"/>
              </w:rPr>
            </w:pPr>
          </w:p>
        </w:tc>
      </w:tr>
      <w:tr>
        <w:trPr>
          <w:trHeight w:val="250"/>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5"/>
                <w:szCs w:val="15"/>
                <w:b w:val="1"/>
                <w:bCs w:val="1"/>
                <w:color w:val="auto"/>
              </w:rPr>
              <w:t>Total equity</w:t>
            </w:r>
          </w:p>
        </w:tc>
        <w:tc>
          <w:tcPr>
            <w:tcW w:w="2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b w:val="1"/>
                <w:bCs w:val="1"/>
                <w:color w:val="auto"/>
              </w:rPr>
              <w:t>630,835</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b w:val="1"/>
                <w:bCs w:val="1"/>
                <w:color w:val="auto"/>
              </w:rPr>
              <w:t>618,319</w:t>
            </w:r>
          </w:p>
        </w:tc>
        <w:tc>
          <w:tcPr>
            <w:tcW w:w="0" w:type="dxa"/>
            <w:vAlign w:val="bottom"/>
          </w:tcPr>
          <w:p>
            <w:pPr>
              <w:spacing w:after="0"/>
              <w:rPr>
                <w:sz w:val="1"/>
                <w:szCs w:val="1"/>
                <w:color w:val="auto"/>
              </w:rPr>
            </w:pPr>
          </w:p>
        </w:tc>
      </w:tr>
      <w:tr>
        <w:trPr>
          <w:trHeight w:val="242"/>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Total liabilities and equity</w:t>
            </w:r>
          </w:p>
        </w:tc>
        <w:tc>
          <w:tcPr>
            <w:tcW w:w="26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b w:val="1"/>
                <w:bCs w:val="1"/>
                <w:color w:val="auto"/>
                <w:w w:val="95"/>
              </w:rPr>
              <w:t>$</w:t>
            </w:r>
          </w:p>
        </w:tc>
        <w:tc>
          <w:tcPr>
            <w:tcW w:w="158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b w:val="1"/>
                <w:bCs w:val="1"/>
                <w:color w:val="auto"/>
              </w:rPr>
              <w:t>1,182,582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152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b w:val="1"/>
                <w:bCs w:val="1"/>
                <w:color w:val="auto"/>
              </w:rPr>
              <w:t>1,061,936</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00"/>
          </w:cols>
          <w:pgMar w:left="260" w:top="580" w:right="239" w:bottom="495"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Financial Measures to GAAP Measures</w:t>
      </w:r>
    </w:p>
    <w:p>
      <w:pPr>
        <w:spacing w:after="0" w:line="256" w:lineRule="exact"/>
        <w:rPr>
          <w:sz w:val="20"/>
          <w:szCs w:val="20"/>
          <w:color w:val="auto"/>
        </w:rPr>
      </w:pPr>
    </w:p>
    <w:p>
      <w:pPr>
        <w:ind w:firstLine="405"/>
        <w:spacing w:after="0" w:line="324" w:lineRule="auto"/>
        <w:rPr>
          <w:sz w:val="20"/>
          <w:szCs w:val="20"/>
          <w:color w:val="auto"/>
        </w:rPr>
      </w:pPr>
      <w:r>
        <w:rPr>
          <w:rFonts w:ascii="Arial" w:cs="Arial" w:eastAsia="Arial" w:hAnsi="Arial"/>
          <w:sz w:val="18"/>
          <w:szCs w:val="18"/>
          <w:color w:val="auto"/>
        </w:rPr>
        <w:t>In addition to its reported operating results in accordance with U.S. generally accepted accounting principles (GAAP), EXL has included in this release certain financial measures that are considered non-GAAP financial measures, including the following:</w:t>
      </w:r>
    </w:p>
    <w:p>
      <w:pPr>
        <w:spacing w:after="0" w:line="116" w:lineRule="exact"/>
        <w:rPr>
          <w:sz w:val="20"/>
          <w:szCs w:val="20"/>
          <w:color w:val="auto"/>
        </w:rPr>
      </w:pPr>
    </w:p>
    <w:p>
      <w:pPr>
        <w:ind w:left="1480" w:hanging="500"/>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Adjusted operating income and adjusted operating income margin;</w:t>
      </w:r>
    </w:p>
    <w:p>
      <w:pPr>
        <w:spacing w:after="0" w:line="130" w:lineRule="exact"/>
        <w:rPr>
          <w:rFonts w:ascii="Arial" w:cs="Arial" w:eastAsia="Arial" w:hAnsi="Arial"/>
          <w:sz w:val="18"/>
          <w:szCs w:val="18"/>
          <w:color w:val="auto"/>
        </w:rPr>
      </w:pPr>
    </w:p>
    <w:p>
      <w:pPr>
        <w:ind w:left="1520" w:hanging="540"/>
        <w:spacing w:after="0"/>
        <w:tabs>
          <w:tab w:leader="none" w:pos="1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Adjusted EBITDA and adjusted EBITDA margin;</w:t>
      </w:r>
    </w:p>
    <w:p>
      <w:pPr>
        <w:spacing w:after="0" w:line="103" w:lineRule="exact"/>
        <w:rPr>
          <w:rFonts w:ascii="Arial" w:cs="Arial" w:eastAsia="Arial" w:hAnsi="Arial"/>
          <w:sz w:val="18"/>
          <w:szCs w:val="18"/>
          <w:color w:val="auto"/>
        </w:rPr>
      </w:pPr>
    </w:p>
    <w:p>
      <w:pPr>
        <w:ind w:left="1580" w:hanging="600"/>
        <w:spacing w:after="0"/>
        <w:tabs>
          <w:tab w:leader="none" w:pos="1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Adjusted net income and adjusted diluted earnings per share; and</w:t>
      </w:r>
    </w:p>
    <w:p>
      <w:pPr>
        <w:spacing w:after="0" w:line="103" w:lineRule="exact"/>
        <w:rPr>
          <w:rFonts w:ascii="Arial" w:cs="Arial" w:eastAsia="Arial" w:hAnsi="Arial"/>
          <w:sz w:val="18"/>
          <w:szCs w:val="18"/>
          <w:color w:val="auto"/>
        </w:rPr>
      </w:pPr>
    </w:p>
    <w:p>
      <w:pPr>
        <w:ind w:left="1560" w:hanging="580"/>
        <w:spacing w:after="0"/>
        <w:tabs>
          <w:tab w:leader="none" w:pos="1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Revenue growth on a constant currency basis.</w:t>
      </w:r>
    </w:p>
    <w:p>
      <w:pPr>
        <w:spacing w:after="0" w:line="333" w:lineRule="exact"/>
        <w:rPr>
          <w:sz w:val="20"/>
          <w:szCs w:val="20"/>
          <w:color w:val="auto"/>
        </w:rPr>
      </w:pPr>
    </w:p>
    <w:p>
      <w:pPr>
        <w:jc w:val="both"/>
        <w:ind w:firstLine="405"/>
        <w:spacing w:after="0" w:line="318" w:lineRule="auto"/>
        <w:rPr>
          <w:sz w:val="20"/>
          <w:szCs w:val="20"/>
          <w:color w:val="auto"/>
        </w:rPr>
      </w:pPr>
      <w:r>
        <w:rPr>
          <w:rFonts w:ascii="Arial" w:cs="Arial" w:eastAsia="Arial" w:hAnsi="Arial"/>
          <w:sz w:val="17"/>
          <w:szCs w:val="17"/>
          <w:color w:val="auto"/>
        </w:rPr>
        <w:t>These non-GAAP financial measures are not based on any comprehensive set of accounting rules or principles, should not be considered a substitute for, or superior to, financial measures calculated in accordance with GAAP, and may be different from non-GAAP financial measures used by other companies. Accordingly, the financial results calculated in accordance with GAAP and reconciliations from those financial statements should be carefully evaluated. EXL believes that providing these non-GAAP financial measures may help investors better understand EXL’s underlying financial performance. Management also believes that these non-GAAP financial measures, when read in conjunction with EXL’s reported results, can provide useful supplemental information for investors analyzing period-to-period comparisons of the Company’s results and comparisons of the Company’s results with the results of other companies. Additionally, management considers some of these non-GAAP financial measures to determine variable compensation of its employees. The Company believes that it is unreasonably difficult to provide its earnings per share financial guidance in accordance with GAAP for a number of reasons, including, without limitation, the Company’s inability to predict its future stock-based compensation expense under ASC Topic 718, the amortization of intangibles associated with further acquisitions and the currency fluctuations and associated tax impacts. As such, the Company presents guidance with respect to adjusted diluted earnings per share. The Company also incurs significant non-cash charges for depreciation that may not be indicative of the Company’s ability to generate cash flow.</w:t>
      </w:r>
    </w:p>
    <w:p>
      <w:pPr>
        <w:spacing w:after="0" w:line="228"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8"/>
          <w:szCs w:val="18"/>
          <w:color w:val="auto"/>
        </w:rPr>
        <w:t>EXL non-GAAP financial measures exclude, where applicable, stock-based compensation expense, provision for litigation settlement, non-cash interest expense on convertible senior notes and acquisition-related expenses. Acquisition-related expenses include, amortization of acquisition-related intangible assets, changes in the fair value of earn-out consideration liabilities, impairment charges of acquired intangible assets including goodwill and other acquisition-related costs and benefits such as external deal costs, integration expenses, direct and incremental travel costs and non-recurring benefits. In addition to excluding the above items, our adjusted net income and adjusted diluted EPS also excludes the effect of incremental income tax expense related to the U.S. Tax Cuts and Jobs Act of 2017 (the “Tax Reform Act”), non-recurring other tax adjustments and income tax impact of the above pre-tax items, as applicable. The income tax impact of each item is calculated by applying the statutory rate and local tax regulations in the jurisdiction in which the item was incurred.</w:t>
      </w:r>
    </w:p>
    <w:p>
      <w:pPr>
        <w:spacing w:after="0" w:line="233" w:lineRule="exact"/>
        <w:rPr>
          <w:sz w:val="20"/>
          <w:szCs w:val="20"/>
          <w:color w:val="auto"/>
        </w:rPr>
      </w:pPr>
    </w:p>
    <w:p>
      <w:pPr>
        <w:jc w:val="both"/>
        <w:ind w:firstLine="405"/>
        <w:spacing w:after="0" w:line="354" w:lineRule="auto"/>
        <w:rPr>
          <w:sz w:val="20"/>
          <w:szCs w:val="20"/>
          <w:color w:val="auto"/>
        </w:rPr>
      </w:pPr>
      <w:r>
        <w:rPr>
          <w:rFonts w:ascii="Arial" w:cs="Arial" w:eastAsia="Arial" w:hAnsi="Arial"/>
          <w:sz w:val="16"/>
          <w:szCs w:val="16"/>
          <w:color w:val="auto"/>
        </w:rPr>
        <w:t>A limitation of using non-GAAP financial measures versus financial measures calculated in accordance with GAAP is that non-GAAP financial measures do not reflect all of the amounts associated with our operating results as determined in accordance with GAAP and exclude costs that are recurring, namely stock-based compensation and amortization of acquisition-related intangible assets. EXL compensates for these limitations by providing specific information regarding the GAAP amounts excluded from non-GAAP financial measures to allow investors to evaluate such non-GAAP financial measures.</w:t>
      </w:r>
    </w:p>
    <w:p>
      <w:pPr>
        <w:spacing w:after="0" w:line="197" w:lineRule="exact"/>
        <w:rPr>
          <w:sz w:val="20"/>
          <w:szCs w:val="20"/>
          <w:color w:val="auto"/>
        </w:rPr>
      </w:pPr>
    </w:p>
    <w:p>
      <w:pPr>
        <w:jc w:val="both"/>
        <w:ind w:firstLine="405"/>
        <w:spacing w:after="0" w:line="346" w:lineRule="auto"/>
        <w:rPr>
          <w:sz w:val="20"/>
          <w:szCs w:val="20"/>
          <w:color w:val="auto"/>
        </w:rPr>
      </w:pPr>
      <w:r>
        <w:rPr>
          <w:rFonts w:ascii="Arial" w:cs="Arial" w:eastAsia="Arial" w:hAnsi="Arial"/>
          <w:sz w:val="16"/>
          <w:szCs w:val="16"/>
          <w:color w:val="auto"/>
        </w:rPr>
        <w:t>Effective second quarter of 2018, EXL excludes other acquisition-related costs such as external deal costs, integration expenses and direct and incremental travel costs pertaining to successful acquisitions from its non-GAAP financial measures, wherever applicable. Considering EXL’s frequent acquisitions of varying scale and size, and the difficulty in predicting expenses relating to acquisitions, EXL’s management believes that providing non-GAAP financial measures that exclude such expenses allows investors to make additional comparisons from period-to-period and between EXL’s operating results and those of other companies. Other acquisition-related costs are excluded in the period in which an acquisition is consummated. To facilitate comparison, the previously reported periods presented have been adjusted with the effects of the exclusion of these other acquisition-related costs.</w:t>
      </w:r>
    </w:p>
    <w:p>
      <w:pPr>
        <w:sectPr>
          <w:pgSz w:w="11900" w:h="16838" w:orient="portrait"/>
          <w:cols w:equalWidth="0" w:num="1">
            <w:col w:w="11420"/>
          </w:cols>
          <w:pgMar w:left="240" w:top="702" w:right="239" w:bottom="1440" w:gutter="0" w:footer="0" w:header="0"/>
        </w:sectPr>
      </w:pPr>
    </w:p>
    <w:bookmarkStart w:id="10" w:name="page11"/>
    <w:bookmarkEnd w:id="10"/>
    <w:p>
      <w:pPr>
        <w:jc w:val="both"/>
        <w:ind w:firstLine="405"/>
        <w:spacing w:after="0" w:line="301" w:lineRule="auto"/>
        <w:rPr>
          <w:sz w:val="20"/>
          <w:szCs w:val="20"/>
          <w:color w:val="auto"/>
        </w:rPr>
      </w:pPr>
      <w:r>
        <w:rPr>
          <w:rFonts w:ascii="Arial" w:cs="Arial" w:eastAsia="Arial" w:hAnsi="Arial"/>
          <w:sz w:val="18"/>
          <w:szCs w:val="18"/>
          <w:color w:val="auto"/>
        </w:rPr>
        <w:t>The information provided on a constant currency basis reflects a comparison of current period results translated at the prior period currency rates. This information is provided because EXL believes that it provides useful comparative incremental information to investors regarding EXL’s true operating performance. EXL’s primary exchange rate exposure is with the Indian Rupee, the U.K. pound sterling and the Philippine Peso. The average exchange rate of the U.S. Dollar against the Indian Rupee increased from 64.64 during the quarter ended March 31, 2018 to 70.32 during the quarter ended March 31, 2019, representing a depreciation of 8.8%. The average exchange rate of the U.S. Dollar against the Philippine Peso increased from 51.85 during the quarter ended March 31, 2018 to 52.11 during the quarter ended March 31, 2019, representing a depreciation of 0.5%. The average exchange rate of the British Pound against the U.S. Dollar decreased from 1.40 during the quarter ended March 31, 2018 to 1.32 during the quarter ended March 31, 2019, representing a depreciation of 6.1%.</w:t>
      </w:r>
    </w:p>
    <w:p>
      <w:pPr>
        <w:spacing w:after="0" w:line="233" w:lineRule="exact"/>
        <w:rPr>
          <w:sz w:val="20"/>
          <w:szCs w:val="20"/>
          <w:color w:val="auto"/>
        </w:rPr>
      </w:pPr>
    </w:p>
    <w:p>
      <w:pPr>
        <w:jc w:val="both"/>
        <w:ind w:firstLine="405"/>
        <w:spacing w:after="0" w:line="324" w:lineRule="auto"/>
        <w:rPr>
          <w:sz w:val="20"/>
          <w:szCs w:val="20"/>
          <w:color w:val="auto"/>
        </w:rPr>
      </w:pPr>
      <w:r>
        <w:rPr>
          <w:rFonts w:ascii="Arial" w:cs="Arial" w:eastAsia="Arial" w:hAnsi="Arial"/>
          <w:sz w:val="18"/>
          <w:szCs w:val="18"/>
          <w:color w:val="auto"/>
        </w:rPr>
        <w:t>The following table shows the reconciliation of these non-GAAP financial measures for the three months ended March 31, 2019 and March 31, 2018, and the three months ended December 31, 2018:</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Operating Income and Adjusted EBITDA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157" w:lineRule="exact"/>
        <w:rPr>
          <w:sz w:val="20"/>
          <w:szCs w:val="20"/>
          <w:color w:val="auto"/>
        </w:rPr>
      </w:pPr>
    </w:p>
    <w:tbl>
      <w:tblPr>
        <w:tblLayout w:type="fixed"/>
        <w:tblInd w:w="240" w:type="dxa"/>
        <w:tblCellMar>
          <w:top w:w="0" w:type="dxa"/>
          <w:left w:w="0" w:type="dxa"/>
          <w:bottom w:w="0" w:type="dxa"/>
          <w:right w:w="0" w:type="dxa"/>
        </w:tblCellMar>
      </w:tblPr>
      <w:tr>
        <w:trPr>
          <w:trHeight w:val="210"/>
        </w:trPr>
        <w:tc>
          <w:tcPr>
            <w:tcW w:w="6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4"/>
          </w:tcPr>
          <w:p>
            <w:pPr>
              <w:spacing w:after="0"/>
              <w:rPr>
                <w:sz w:val="20"/>
                <w:szCs w:val="20"/>
                <w:color w:val="auto"/>
              </w:rPr>
            </w:pPr>
            <w:r>
              <w:rPr>
                <w:rFonts w:ascii="Arial" w:cs="Arial" w:eastAsia="Arial" w:hAnsi="Arial"/>
                <w:sz w:val="16"/>
                <w:szCs w:val="16"/>
                <w:b w:val="1"/>
                <w:bCs w:val="1"/>
                <w:color w:val="auto"/>
                <w:w w:val="92"/>
              </w:rPr>
              <w:t>Three Months Ended</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658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gridSpan w:val="3"/>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gridSpan w:val="3"/>
          </w:tcPr>
          <w:p>
            <w:pPr>
              <w:ind w:left="760"/>
              <w:spacing w:after="0"/>
              <w:rPr>
                <w:sz w:val="20"/>
                <w:szCs w:val="20"/>
                <w:color w:val="auto"/>
              </w:rPr>
            </w:pPr>
            <w:r>
              <w:rPr>
                <w:rFonts w:ascii="Arial" w:cs="Arial" w:eastAsia="Arial" w:hAnsi="Arial"/>
                <w:sz w:val="16"/>
                <w:szCs w:val="16"/>
                <w:b w:val="1"/>
                <w:bCs w:val="1"/>
                <w:color w:val="auto"/>
              </w:rPr>
              <w:t>March 31,</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b w:val="1"/>
                <w:bCs w:val="1"/>
                <w:color w:val="auto"/>
                <w:w w:val="96"/>
              </w:rPr>
              <w:t>December 31,</w:t>
            </w:r>
          </w:p>
        </w:tc>
        <w:tc>
          <w:tcPr>
            <w:tcW w:w="0" w:type="dxa"/>
            <w:vAlign w:val="bottom"/>
          </w:tcPr>
          <w:p>
            <w:pPr>
              <w:spacing w:after="0"/>
              <w:rPr>
                <w:sz w:val="1"/>
                <w:szCs w:val="1"/>
                <w:color w:val="auto"/>
              </w:rPr>
            </w:pPr>
          </w:p>
        </w:tc>
      </w:tr>
      <w:tr>
        <w:trPr>
          <w:trHeight w:val="47"/>
        </w:trPr>
        <w:tc>
          <w:tcPr>
            <w:tcW w:w="658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47"/>
        </w:trPr>
        <w:tc>
          <w:tcPr>
            <w:tcW w:w="65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Net Income (GAAP)</w:t>
            </w:r>
          </w:p>
        </w:tc>
        <w:tc>
          <w:tcPr>
            <w:tcW w:w="3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580" w:type="dxa"/>
            <w:vAlign w:val="bottom"/>
            <w:vMerge w:val="continue"/>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ind w:right="79"/>
              <w:spacing w:after="0"/>
              <w:rPr>
                <w:sz w:val="20"/>
                <w:szCs w:val="20"/>
                <w:color w:val="auto"/>
              </w:rPr>
            </w:pPr>
            <w:r>
              <w:rPr>
                <w:rFonts w:ascii="Arial" w:cs="Arial" w:eastAsia="Arial" w:hAnsi="Arial"/>
                <w:sz w:val="16"/>
                <w:szCs w:val="16"/>
                <w:b w:val="1"/>
                <w:bCs w:val="1"/>
                <w:color w:val="auto"/>
              </w:rPr>
              <w:t>14,695</w:t>
            </w:r>
          </w:p>
        </w:tc>
        <w:tc>
          <w:tcPr>
            <w:tcW w:w="120" w:type="dxa"/>
            <w:vAlign w:val="bottom"/>
          </w:tcPr>
          <w:p>
            <w:pPr>
              <w:spacing w:after="0"/>
              <w:rPr>
                <w:sz w:val="18"/>
                <w:szCs w:val="18"/>
                <w:color w:val="auto"/>
              </w:rPr>
            </w:pPr>
          </w:p>
        </w:tc>
        <w:tc>
          <w:tcPr>
            <w:tcW w:w="40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23,158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Pr>
          <w:p>
            <w:pPr>
              <w:jc w:val="right"/>
              <w:ind w:right="79"/>
              <w:spacing w:after="0"/>
              <w:rPr>
                <w:sz w:val="20"/>
                <w:szCs w:val="20"/>
                <w:color w:val="auto"/>
              </w:rPr>
            </w:pPr>
            <w:r>
              <w:rPr>
                <w:rFonts w:ascii="Arial" w:cs="Arial" w:eastAsia="Arial" w:hAnsi="Arial"/>
                <w:sz w:val="16"/>
                <w:szCs w:val="16"/>
                <w:b w:val="1"/>
                <w:bCs w:val="1"/>
                <w:color w:val="auto"/>
              </w:rPr>
              <w:t>3,857</w:t>
            </w:r>
          </w:p>
        </w:tc>
        <w:tc>
          <w:tcPr>
            <w:tcW w:w="0" w:type="dxa"/>
            <w:vAlign w:val="bottom"/>
          </w:tcPr>
          <w:p>
            <w:pPr>
              <w:spacing w:after="0"/>
              <w:rPr>
                <w:sz w:val="1"/>
                <w:szCs w:val="1"/>
                <w:color w:val="auto"/>
              </w:rPr>
            </w:pPr>
          </w:p>
        </w:tc>
      </w:tr>
      <w:tr>
        <w:trPr>
          <w:trHeight w:val="33"/>
        </w:trPr>
        <w:tc>
          <w:tcPr>
            <w:tcW w:w="6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add: Income tax expense/(benefit)</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4,200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(4,453)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(3,399)</w:t>
            </w:r>
          </w:p>
        </w:tc>
        <w:tc>
          <w:tcPr>
            <w:tcW w:w="0" w:type="dxa"/>
            <w:vAlign w:val="bottom"/>
          </w:tcPr>
          <w:p>
            <w:pPr>
              <w:spacing w:after="0"/>
              <w:rPr>
                <w:sz w:val="1"/>
                <w:szCs w:val="1"/>
                <w:color w:val="auto"/>
              </w:rPr>
            </w:pPr>
          </w:p>
        </w:tc>
      </w:tr>
      <w:tr>
        <w:trPr>
          <w:trHeight w:val="220"/>
        </w:trPr>
        <w:tc>
          <w:tcPr>
            <w:tcW w:w="6580" w:type="dxa"/>
            <w:vAlign w:val="bottom"/>
          </w:tcPr>
          <w:p>
            <w:pPr>
              <w:ind w:left="360"/>
              <w:spacing w:after="0"/>
              <w:rPr>
                <w:sz w:val="20"/>
                <w:szCs w:val="20"/>
                <w:color w:val="auto"/>
              </w:rPr>
            </w:pPr>
            <w:r>
              <w:rPr>
                <w:rFonts w:ascii="Arial" w:cs="Arial" w:eastAsia="Arial" w:hAnsi="Arial"/>
                <w:sz w:val="16"/>
                <w:szCs w:val="16"/>
                <w:color w:val="auto"/>
                <w:w w:val="96"/>
              </w:rPr>
              <w:t>subtract: Interest expense, foreign exchange gain, net, loss from equity-method investment</w:t>
            </w:r>
          </w:p>
        </w:tc>
        <w:tc>
          <w:tcPr>
            <w:tcW w:w="300" w:type="dxa"/>
            <w:vAlign w:val="bottom"/>
          </w:tcPr>
          <w:p>
            <w:pPr>
              <w:spacing w:after="0"/>
              <w:rPr>
                <w:sz w:val="19"/>
                <w:szCs w:val="19"/>
                <w:color w:val="auto"/>
              </w:rPr>
            </w:pPr>
          </w:p>
        </w:tc>
        <w:tc>
          <w:tcPr>
            <w:tcW w:w="1040" w:type="dxa"/>
            <w:vAlign w:val="bottom"/>
            <w:vMerge w:val="restart"/>
          </w:tcPr>
          <w:p>
            <w:pPr>
              <w:jc w:val="right"/>
              <w:ind w:right="19"/>
              <w:spacing w:after="0"/>
              <w:rPr>
                <w:sz w:val="20"/>
                <w:szCs w:val="20"/>
                <w:color w:val="auto"/>
              </w:rPr>
            </w:pPr>
            <w:r>
              <w:rPr>
                <w:rFonts w:ascii="Arial" w:cs="Arial" w:eastAsia="Arial" w:hAnsi="Arial"/>
                <w:sz w:val="16"/>
                <w:szCs w:val="16"/>
                <w:color w:val="auto"/>
              </w:rPr>
              <w:t>(2,034)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vMerge w:val="restart"/>
          </w:tcPr>
          <w:p>
            <w:pPr>
              <w:jc w:val="right"/>
              <w:ind w:right="39"/>
              <w:spacing w:after="0"/>
              <w:rPr>
                <w:sz w:val="20"/>
                <w:szCs w:val="20"/>
                <w:color w:val="auto"/>
              </w:rPr>
            </w:pPr>
            <w:r>
              <w:rPr>
                <w:rFonts w:ascii="Arial" w:cs="Arial" w:eastAsia="Arial" w:hAnsi="Arial"/>
                <w:sz w:val="16"/>
                <w:szCs w:val="16"/>
                <w:color w:val="auto"/>
              </w:rPr>
              <w:t>(3,555)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vMerge w:val="restart"/>
          </w:tcPr>
          <w:p>
            <w:pPr>
              <w:jc w:val="right"/>
              <w:ind w:right="39"/>
              <w:spacing w:after="0"/>
              <w:rPr>
                <w:sz w:val="20"/>
                <w:szCs w:val="20"/>
                <w:color w:val="auto"/>
              </w:rPr>
            </w:pPr>
            <w:r>
              <w:rPr>
                <w:rFonts w:ascii="Arial" w:cs="Arial" w:eastAsia="Arial" w:hAnsi="Arial"/>
                <w:sz w:val="16"/>
                <w:szCs w:val="16"/>
                <w:color w:val="auto"/>
              </w:rPr>
              <w:t>(2,551)</w:t>
            </w:r>
          </w:p>
        </w:tc>
        <w:tc>
          <w:tcPr>
            <w:tcW w:w="0" w:type="dxa"/>
            <w:vAlign w:val="bottom"/>
          </w:tcPr>
          <w:p>
            <w:pPr>
              <w:spacing w:after="0"/>
              <w:rPr>
                <w:sz w:val="1"/>
                <w:szCs w:val="1"/>
                <w:color w:val="auto"/>
              </w:rPr>
            </w:pPr>
          </w:p>
        </w:tc>
      </w:tr>
      <w:tr>
        <w:trPr>
          <w:trHeight w:val="98"/>
        </w:trPr>
        <w:tc>
          <w:tcPr>
            <w:tcW w:w="6580" w:type="dxa"/>
            <w:vAlign w:val="bottom"/>
            <w:vMerge w:val="restart"/>
          </w:tcPr>
          <w:p>
            <w:pPr>
              <w:ind w:left="360"/>
              <w:spacing w:after="0"/>
              <w:rPr>
                <w:sz w:val="20"/>
                <w:szCs w:val="20"/>
                <w:color w:val="auto"/>
              </w:rPr>
            </w:pPr>
            <w:r>
              <w:rPr>
                <w:rFonts w:ascii="Arial" w:cs="Arial" w:eastAsia="Arial" w:hAnsi="Arial"/>
                <w:sz w:val="16"/>
                <w:szCs w:val="16"/>
                <w:color w:val="auto"/>
              </w:rPr>
              <w:t>and other income, net</w:t>
            </w:r>
          </w:p>
        </w:tc>
        <w:tc>
          <w:tcPr>
            <w:tcW w:w="30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6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6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Income/(loss) from operations (GAAP)</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16,861</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15,150</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(2,093)</w:t>
            </w:r>
          </w:p>
        </w:tc>
        <w:tc>
          <w:tcPr>
            <w:tcW w:w="0" w:type="dxa"/>
            <w:vAlign w:val="bottom"/>
          </w:tcPr>
          <w:p>
            <w:pPr>
              <w:spacing w:after="0"/>
              <w:rPr>
                <w:sz w:val="1"/>
                <w:szCs w:val="1"/>
                <w:color w:val="auto"/>
              </w:rPr>
            </w:pPr>
          </w:p>
        </w:tc>
      </w:tr>
      <w:tr>
        <w:trPr>
          <w:trHeight w:val="224"/>
        </w:trPr>
        <w:tc>
          <w:tcPr>
            <w:tcW w:w="6580" w:type="dxa"/>
            <w:vAlign w:val="bottom"/>
          </w:tcPr>
          <w:p>
            <w:pPr>
              <w:ind w:left="360"/>
              <w:spacing w:after="0"/>
              <w:rPr>
                <w:sz w:val="20"/>
                <w:szCs w:val="20"/>
                <w:color w:val="auto"/>
              </w:rPr>
            </w:pPr>
            <w:r>
              <w:rPr>
                <w:rFonts w:ascii="Arial" w:cs="Arial" w:eastAsia="Arial" w:hAnsi="Arial"/>
                <w:sz w:val="16"/>
                <w:szCs w:val="16"/>
                <w:color w:val="auto"/>
              </w:rPr>
              <w:t>add: Stock-based compensation expense</w:t>
            </w:r>
          </w:p>
        </w:tc>
        <w:tc>
          <w:tcPr>
            <w:tcW w:w="300" w:type="dxa"/>
            <w:vAlign w:val="bottom"/>
          </w:tcPr>
          <w:p>
            <w:pPr>
              <w:spacing w:after="0"/>
              <w:rPr>
                <w:sz w:val="19"/>
                <w:szCs w:val="19"/>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6,956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5,074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6,590</w:t>
            </w:r>
          </w:p>
        </w:tc>
        <w:tc>
          <w:tcPr>
            <w:tcW w:w="0" w:type="dxa"/>
            <w:vAlign w:val="bottom"/>
          </w:tcPr>
          <w:p>
            <w:pPr>
              <w:spacing w:after="0"/>
              <w:rPr>
                <w:sz w:val="1"/>
                <w:szCs w:val="1"/>
                <w:color w:val="auto"/>
              </w:rPr>
            </w:pPr>
          </w:p>
        </w:tc>
      </w:tr>
      <w:tr>
        <w:trPr>
          <w:trHeight w:val="47"/>
        </w:trPr>
        <w:tc>
          <w:tcPr>
            <w:tcW w:w="6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add: Amortization of acquisition-related intangibles</w:t>
            </w: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5,528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3,947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5,951</w:t>
            </w:r>
          </w:p>
        </w:tc>
        <w:tc>
          <w:tcPr>
            <w:tcW w:w="0" w:type="dxa"/>
            <w:vAlign w:val="bottom"/>
          </w:tcPr>
          <w:p>
            <w:pPr>
              <w:spacing w:after="0"/>
              <w:rPr>
                <w:sz w:val="1"/>
                <w:szCs w:val="1"/>
                <w:color w:val="auto"/>
              </w:rPr>
            </w:pPr>
          </w:p>
        </w:tc>
      </w:tr>
      <w:tr>
        <w:trPr>
          <w:trHeight w:val="224"/>
        </w:trPr>
        <w:tc>
          <w:tcPr>
            <w:tcW w:w="6580" w:type="dxa"/>
            <w:vAlign w:val="bottom"/>
          </w:tcPr>
          <w:p>
            <w:pPr>
              <w:ind w:left="360"/>
              <w:spacing w:after="0"/>
              <w:rPr>
                <w:sz w:val="20"/>
                <w:szCs w:val="20"/>
                <w:color w:val="auto"/>
              </w:rPr>
            </w:pPr>
            <w:r>
              <w:rPr>
                <w:rFonts w:ascii="Arial" w:cs="Arial" w:eastAsia="Arial" w:hAnsi="Arial"/>
                <w:sz w:val="16"/>
                <w:szCs w:val="16"/>
                <w:color w:val="auto"/>
              </w:rPr>
              <w:t>add: Impairment of goodwill, intangibles and long-lived assets (a)</w:t>
            </w:r>
          </w:p>
        </w:tc>
        <w:tc>
          <w:tcPr>
            <w:tcW w:w="300" w:type="dxa"/>
            <w:vAlign w:val="bottom"/>
          </w:tcPr>
          <w:p>
            <w:pPr>
              <w:spacing w:after="0"/>
              <w:rPr>
                <w:sz w:val="19"/>
                <w:szCs w:val="19"/>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1,227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20,056</w:t>
            </w:r>
          </w:p>
        </w:tc>
        <w:tc>
          <w:tcPr>
            <w:tcW w:w="0" w:type="dxa"/>
            <w:vAlign w:val="bottom"/>
          </w:tcPr>
          <w:p>
            <w:pPr>
              <w:spacing w:after="0"/>
              <w:rPr>
                <w:sz w:val="1"/>
                <w:szCs w:val="1"/>
                <w:color w:val="auto"/>
              </w:rPr>
            </w:pPr>
          </w:p>
        </w:tc>
      </w:tr>
      <w:tr>
        <w:trPr>
          <w:trHeight w:val="47"/>
        </w:trPr>
        <w:tc>
          <w:tcPr>
            <w:tcW w:w="6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add: Provision for litigation settlement (b)</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2,400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6580" w:type="dxa"/>
            <w:vAlign w:val="bottom"/>
          </w:tcPr>
          <w:p>
            <w:pPr>
              <w:ind w:left="360"/>
              <w:spacing w:after="0"/>
              <w:rPr>
                <w:sz w:val="20"/>
                <w:szCs w:val="20"/>
                <w:color w:val="auto"/>
              </w:rPr>
            </w:pPr>
            <w:r>
              <w:rPr>
                <w:rFonts w:ascii="Arial" w:cs="Arial" w:eastAsia="Arial" w:hAnsi="Arial"/>
                <w:sz w:val="16"/>
                <w:szCs w:val="16"/>
                <w:color w:val="auto"/>
              </w:rPr>
              <w:t>add: Acquisition-related expenses (c)</w:t>
            </w:r>
          </w:p>
        </w:tc>
        <w:tc>
          <w:tcPr>
            <w:tcW w:w="30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363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47"/>
        </w:trPr>
        <w:tc>
          <w:tcPr>
            <w:tcW w:w="65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operating income (Non-GAAP)</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30,572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26,934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30,740</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i w:val="1"/>
                <w:iCs w:val="1"/>
                <w:color w:val="auto"/>
              </w:rPr>
              <w:t>Adjusted operating income margin as a % of Revenues (Non-GAAP)</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5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i w:val="1"/>
                <w:iCs w:val="1"/>
                <w:color w:val="auto"/>
              </w:rPr>
              <w:t>12.8%</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i w:val="1"/>
                <w:iCs w:val="1"/>
                <w:color w:val="auto"/>
              </w:rPr>
              <w:t>13.0%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i w:val="1"/>
                <w:iCs w:val="1"/>
                <w:color w:val="auto"/>
              </w:rPr>
              <w:t>13.1%</w:t>
            </w:r>
          </w:p>
        </w:tc>
        <w:tc>
          <w:tcPr>
            <w:tcW w:w="0" w:type="dxa"/>
            <w:vAlign w:val="bottom"/>
          </w:tcPr>
          <w:p>
            <w:pPr>
              <w:spacing w:after="0"/>
              <w:rPr>
                <w:sz w:val="1"/>
                <w:szCs w:val="1"/>
                <w:color w:val="auto"/>
              </w:rPr>
            </w:pPr>
          </w:p>
        </w:tc>
      </w:tr>
      <w:tr>
        <w:trPr>
          <w:trHeight w:val="33"/>
        </w:trPr>
        <w:tc>
          <w:tcPr>
            <w:tcW w:w="6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add: Depreciation</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8,139</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6,557</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7,430</w:t>
            </w:r>
          </w:p>
        </w:tc>
        <w:tc>
          <w:tcPr>
            <w:tcW w:w="0" w:type="dxa"/>
            <w:vAlign w:val="bottom"/>
          </w:tcPr>
          <w:p>
            <w:pPr>
              <w:spacing w:after="0"/>
              <w:rPr>
                <w:sz w:val="1"/>
                <w:szCs w:val="1"/>
                <w:color w:val="auto"/>
              </w:rPr>
            </w:pPr>
          </w:p>
        </w:tc>
      </w:tr>
      <w:tr>
        <w:trPr>
          <w:trHeight w:val="217"/>
        </w:trPr>
        <w:tc>
          <w:tcPr>
            <w:tcW w:w="6580" w:type="dxa"/>
            <w:vAlign w:val="bottom"/>
          </w:tcPr>
          <w:p>
            <w:pPr>
              <w:ind w:left="20"/>
              <w:spacing w:after="0"/>
              <w:rPr>
                <w:sz w:val="20"/>
                <w:szCs w:val="20"/>
                <w:color w:val="auto"/>
              </w:rPr>
            </w:pPr>
            <w:r>
              <w:rPr>
                <w:rFonts w:ascii="Arial" w:cs="Arial" w:eastAsia="Arial" w:hAnsi="Arial"/>
                <w:sz w:val="16"/>
                <w:szCs w:val="16"/>
                <w:b w:val="1"/>
                <w:bCs w:val="1"/>
                <w:color w:val="auto"/>
              </w:rPr>
              <w:t>Adjusted EBITDA (Non-GAAP)</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38,711</w:t>
            </w:r>
          </w:p>
        </w:tc>
        <w:tc>
          <w:tcPr>
            <w:tcW w:w="120" w:type="dxa"/>
            <w:vAlign w:val="bottom"/>
          </w:tcPr>
          <w:p>
            <w:pPr>
              <w:spacing w:after="0"/>
              <w:rPr>
                <w:sz w:val="18"/>
                <w:szCs w:val="18"/>
                <w:color w:val="auto"/>
              </w:rPr>
            </w:pPr>
          </w:p>
        </w:tc>
        <w:tc>
          <w:tcPr>
            <w:tcW w:w="4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33,491</w:t>
            </w: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38,170</w:t>
            </w:r>
          </w:p>
        </w:tc>
        <w:tc>
          <w:tcPr>
            <w:tcW w:w="0" w:type="dxa"/>
            <w:vAlign w:val="bottom"/>
          </w:tcPr>
          <w:p>
            <w:pPr>
              <w:spacing w:after="0"/>
              <w:rPr>
                <w:sz w:val="1"/>
                <w:szCs w:val="1"/>
                <w:color w:val="auto"/>
              </w:rPr>
            </w:pPr>
          </w:p>
        </w:tc>
      </w:tr>
      <w:tr>
        <w:trPr>
          <w:trHeight w:val="73"/>
        </w:trPr>
        <w:tc>
          <w:tcPr>
            <w:tcW w:w="658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Adjusted EBITDA margin as a % of revenue (Non-GAAP)</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16.2%</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16.2%</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16.2%</w:t>
            </w:r>
          </w:p>
        </w:tc>
        <w:tc>
          <w:tcPr>
            <w:tcW w:w="0" w:type="dxa"/>
            <w:vAlign w:val="bottom"/>
          </w:tcPr>
          <w:p>
            <w:pPr>
              <w:spacing w:after="0"/>
              <w:rPr>
                <w:sz w:val="1"/>
                <w:szCs w:val="1"/>
                <w:color w:val="auto"/>
              </w:rPr>
            </w:pPr>
          </w:p>
        </w:tc>
      </w:tr>
      <w:tr>
        <w:trPr>
          <w:trHeight w:val="33"/>
        </w:trPr>
        <w:tc>
          <w:tcPr>
            <w:tcW w:w="65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240" w:hanging="232"/>
        <w:spacing w:after="0"/>
        <w:tabs>
          <w:tab w:leader="none" w:pos="24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To exclude impairment charges on acquisiti</w:t>
      </w:r>
      <w:r>
        <w:rPr>
          <w:rFonts w:ascii="Arial" w:cs="Arial" w:eastAsia="Arial" w:hAnsi="Arial"/>
          <w:sz w:val="18"/>
          <w:szCs w:val="18"/>
          <w:i w:val="1"/>
          <w:iCs w:val="1"/>
          <w:color w:val="auto"/>
        </w:rPr>
        <w:t>on</w:t>
      </w:r>
      <w:r>
        <w:rPr>
          <w:rFonts w:ascii="Arial" w:cs="Arial" w:eastAsia="Arial" w:hAnsi="Arial"/>
          <w:sz w:val="16"/>
          <w:szCs w:val="16"/>
          <w:i w:val="1"/>
          <w:iCs w:val="1"/>
          <w:color w:val="auto"/>
        </w:rPr>
        <w:t>-related goodwill, intangibles and long-lived assets.</w:t>
      </w:r>
    </w:p>
    <w:p>
      <w:pPr>
        <w:spacing w:after="0" w:line="121" w:lineRule="exact"/>
        <w:rPr>
          <w:rFonts w:ascii="Arial" w:cs="Arial" w:eastAsia="Arial" w:hAnsi="Arial"/>
          <w:sz w:val="16"/>
          <w:szCs w:val="16"/>
          <w:i w:val="1"/>
          <w:iCs w:val="1"/>
          <w:color w:val="auto"/>
        </w:rPr>
      </w:pPr>
    </w:p>
    <w:p>
      <w:pPr>
        <w:ind w:left="240" w:hanging="232"/>
        <w:spacing w:after="0"/>
        <w:tabs>
          <w:tab w:leader="none" w:pos="24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To exclude provision for litigation settlement recorded during the three months ended March 31, 2018.</w:t>
      </w:r>
    </w:p>
    <w:p>
      <w:pPr>
        <w:spacing w:after="0" w:line="113" w:lineRule="exact"/>
        <w:rPr>
          <w:rFonts w:ascii="Arial" w:cs="Arial" w:eastAsia="Arial" w:hAnsi="Arial"/>
          <w:sz w:val="16"/>
          <w:szCs w:val="16"/>
          <w:i w:val="1"/>
          <w:iCs w:val="1"/>
          <w:color w:val="auto"/>
        </w:rPr>
      </w:pPr>
    </w:p>
    <w:p>
      <w:pPr>
        <w:ind w:left="220" w:hanging="212"/>
        <w:spacing w:after="0"/>
        <w:tabs>
          <w:tab w:leader="none" w:pos="22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To exclude acquisition-related expenses. See descriptions above for more information.</w:t>
      </w:r>
    </w:p>
    <w:p>
      <w:pPr>
        <w:sectPr>
          <w:pgSz w:w="11900" w:h="16838" w:orient="portrait"/>
          <w:cols w:equalWidth="0" w:num="1">
            <w:col w:w="11420"/>
          </w:cols>
          <w:pgMar w:left="240" w:top="868"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Reconciliation of Adjusted Net Income and Adjusted Diluted Earnings Per Share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w:t>
      </w:r>
    </w:p>
    <w:p>
      <w:pPr>
        <w:spacing w:after="0" w:line="157" w:lineRule="exact"/>
        <w:rPr>
          <w:sz w:val="20"/>
          <w:szCs w:val="20"/>
          <w:color w:val="auto"/>
        </w:rPr>
      </w:pPr>
    </w:p>
    <w:tbl>
      <w:tblPr>
        <w:tblLayout w:type="fixed"/>
        <w:tblInd w:w="360" w:type="dxa"/>
        <w:tblCellMar>
          <w:top w:w="0" w:type="dxa"/>
          <w:left w:w="0" w:type="dxa"/>
          <w:bottom w:w="0" w:type="dxa"/>
          <w:right w:w="0" w:type="dxa"/>
        </w:tblCellMar>
      </w:tblPr>
      <w:tr>
        <w:trPr>
          <w:trHeight w:val="210"/>
        </w:trPr>
        <w:tc>
          <w:tcPr>
            <w:tcW w:w="6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80" w:type="dxa"/>
            <w:vAlign w:val="bottom"/>
            <w:gridSpan w:val="4"/>
          </w:tcPr>
          <w:p>
            <w:pPr>
              <w:ind w:left="40"/>
              <w:spacing w:after="0"/>
              <w:rPr>
                <w:sz w:val="20"/>
                <w:szCs w:val="20"/>
                <w:color w:val="auto"/>
              </w:rPr>
            </w:pPr>
            <w:r>
              <w:rPr>
                <w:rFonts w:ascii="Arial" w:cs="Arial" w:eastAsia="Arial" w:hAnsi="Arial"/>
                <w:sz w:val="16"/>
                <w:szCs w:val="16"/>
                <w:b w:val="1"/>
                <w:bCs w:val="1"/>
                <w:color w:val="auto"/>
                <w:w w:val="96"/>
              </w:rPr>
              <w:t>Three Months Ended</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634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3"/>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6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March 31,</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139"/>
              <w:spacing w:after="0"/>
              <w:rPr>
                <w:sz w:val="20"/>
                <w:szCs w:val="20"/>
                <w:color w:val="auto"/>
              </w:rPr>
            </w:pPr>
            <w:r>
              <w:rPr>
                <w:rFonts w:ascii="Arial" w:cs="Arial" w:eastAsia="Arial" w:hAnsi="Arial"/>
                <w:sz w:val="16"/>
                <w:szCs w:val="16"/>
                <w:b w:val="1"/>
                <w:bCs w:val="1"/>
                <w:color w:val="auto"/>
                <w:w w:val="94"/>
              </w:rPr>
              <w:t>December 31,</w:t>
            </w:r>
          </w:p>
        </w:tc>
        <w:tc>
          <w:tcPr>
            <w:tcW w:w="0" w:type="dxa"/>
            <w:vAlign w:val="bottom"/>
          </w:tcPr>
          <w:p>
            <w:pPr>
              <w:spacing w:after="0"/>
              <w:rPr>
                <w:sz w:val="1"/>
                <w:szCs w:val="1"/>
                <w:color w:val="auto"/>
              </w:rPr>
            </w:pPr>
          </w:p>
        </w:tc>
      </w:tr>
      <w:tr>
        <w:trPr>
          <w:trHeight w:val="47"/>
        </w:trPr>
        <w:tc>
          <w:tcPr>
            <w:tcW w:w="634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ind w:right="4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45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47"/>
        </w:trPr>
        <w:tc>
          <w:tcPr>
            <w:tcW w:w="63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Net income (GAAP)</w:t>
            </w:r>
          </w:p>
        </w:tc>
        <w:tc>
          <w:tcPr>
            <w:tcW w:w="8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340" w:type="dxa"/>
            <w:vAlign w:val="bottom"/>
            <w:vMerge w:val="continue"/>
          </w:tcPr>
          <w:p>
            <w:pPr>
              <w:spacing w:after="0"/>
              <w:rPr>
                <w:sz w:val="18"/>
                <w:szCs w:val="18"/>
                <w:color w:val="auto"/>
              </w:rPr>
            </w:pPr>
          </w:p>
        </w:tc>
        <w:tc>
          <w:tcPr>
            <w:tcW w:w="860" w:type="dxa"/>
            <w:vAlign w:val="bottom"/>
          </w:tcPr>
          <w:p>
            <w:pPr>
              <w:jc w:val="right"/>
              <w:ind w:right="67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Pr>
          <w:p>
            <w:pPr>
              <w:jc w:val="right"/>
              <w:ind w:right="39"/>
              <w:spacing w:after="0"/>
              <w:rPr>
                <w:sz w:val="20"/>
                <w:szCs w:val="20"/>
                <w:color w:val="auto"/>
              </w:rPr>
            </w:pPr>
            <w:r>
              <w:rPr>
                <w:rFonts w:ascii="Arial" w:cs="Arial" w:eastAsia="Arial" w:hAnsi="Arial"/>
                <w:sz w:val="16"/>
                <w:szCs w:val="16"/>
                <w:b w:val="1"/>
                <w:bCs w:val="1"/>
                <w:color w:val="auto"/>
                <w:w w:val="85"/>
              </w:rPr>
              <w:t>14,695</w:t>
            </w:r>
          </w:p>
        </w:tc>
        <w:tc>
          <w:tcPr>
            <w:tcW w:w="500" w:type="dxa"/>
            <w:vAlign w:val="bottom"/>
            <w:gridSpan w:val="2"/>
          </w:tcPr>
          <w:p>
            <w:pPr>
              <w:jc w:val="right"/>
              <w:ind w:right="219"/>
              <w:spacing w:after="0"/>
              <w:rPr>
                <w:sz w:val="20"/>
                <w:szCs w:val="20"/>
                <w:color w:val="auto"/>
              </w:rPr>
            </w:pPr>
            <w:r>
              <w:rPr>
                <w:rFonts w:ascii="Arial" w:cs="Arial" w:eastAsia="Arial" w:hAnsi="Arial"/>
                <w:sz w:val="16"/>
                <w:szCs w:val="16"/>
                <w:b w:val="1"/>
                <w:bCs w:val="1"/>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b w:val="1"/>
                <w:bCs w:val="1"/>
                <w:color w:val="auto"/>
              </w:rPr>
              <w:t>23,158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3,857</w:t>
            </w:r>
          </w:p>
        </w:tc>
        <w:tc>
          <w:tcPr>
            <w:tcW w:w="0" w:type="dxa"/>
            <w:vAlign w:val="bottom"/>
          </w:tcPr>
          <w:p>
            <w:pPr>
              <w:spacing w:after="0"/>
              <w:rPr>
                <w:sz w:val="1"/>
                <w:szCs w:val="1"/>
                <w:color w:val="auto"/>
              </w:rPr>
            </w:pPr>
          </w:p>
        </w:tc>
      </w:tr>
      <w:tr>
        <w:trPr>
          <w:trHeight w:val="33"/>
        </w:trPr>
        <w:tc>
          <w:tcPr>
            <w:tcW w:w="6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add: Stock-based compensation expense</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6,956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6,590</w:t>
            </w:r>
          </w:p>
        </w:tc>
        <w:tc>
          <w:tcPr>
            <w:tcW w:w="0" w:type="dxa"/>
            <w:vAlign w:val="bottom"/>
          </w:tcPr>
          <w:p>
            <w:pPr>
              <w:spacing w:after="0"/>
              <w:rPr>
                <w:sz w:val="1"/>
                <w:szCs w:val="1"/>
                <w:color w:val="auto"/>
              </w:rPr>
            </w:pPr>
          </w:p>
        </w:tc>
      </w:tr>
      <w:tr>
        <w:trPr>
          <w:trHeight w:val="224"/>
        </w:trPr>
        <w:tc>
          <w:tcPr>
            <w:tcW w:w="6340" w:type="dxa"/>
            <w:vAlign w:val="bottom"/>
          </w:tcPr>
          <w:p>
            <w:pPr>
              <w:ind w:left="260"/>
              <w:spacing w:after="0"/>
              <w:rPr>
                <w:sz w:val="20"/>
                <w:szCs w:val="20"/>
                <w:color w:val="auto"/>
              </w:rPr>
            </w:pPr>
            <w:r>
              <w:rPr>
                <w:rFonts w:ascii="Arial" w:cs="Arial" w:eastAsia="Arial" w:hAnsi="Arial"/>
                <w:sz w:val="16"/>
                <w:szCs w:val="16"/>
                <w:color w:val="auto"/>
              </w:rPr>
              <w:t>add: Amortization of acquisition-related intangibles</w:t>
            </w:r>
          </w:p>
        </w:tc>
        <w:tc>
          <w:tcPr>
            <w:tcW w:w="860" w:type="dxa"/>
            <w:vAlign w:val="bottom"/>
          </w:tcPr>
          <w:p>
            <w:pPr>
              <w:spacing w:after="0"/>
              <w:rPr>
                <w:sz w:val="19"/>
                <w:szCs w:val="19"/>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5,528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3,947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5,951</w:t>
            </w:r>
          </w:p>
        </w:tc>
        <w:tc>
          <w:tcPr>
            <w:tcW w:w="0" w:type="dxa"/>
            <w:vAlign w:val="bottom"/>
          </w:tcPr>
          <w:p>
            <w:pPr>
              <w:spacing w:after="0"/>
              <w:rPr>
                <w:sz w:val="1"/>
                <w:szCs w:val="1"/>
                <w:color w:val="auto"/>
              </w:rPr>
            </w:pPr>
          </w:p>
        </w:tc>
      </w:tr>
      <w:tr>
        <w:trPr>
          <w:trHeight w:val="47"/>
        </w:trPr>
        <w:tc>
          <w:tcPr>
            <w:tcW w:w="6340" w:type="dxa"/>
            <w:vAlign w:val="bottom"/>
          </w:tcPr>
          <w:p>
            <w:pPr>
              <w:spacing w:after="0"/>
              <w:rPr>
                <w:sz w:val="4"/>
                <w:szCs w:val="4"/>
                <w:color w:val="auto"/>
              </w:rPr>
            </w:pPr>
          </w:p>
        </w:tc>
        <w:tc>
          <w:tcPr>
            <w:tcW w:w="8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add: Impairment of goodwill, intangibles and long-lived assets (a)</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20,056</w:t>
            </w:r>
          </w:p>
        </w:tc>
        <w:tc>
          <w:tcPr>
            <w:tcW w:w="0" w:type="dxa"/>
            <w:vAlign w:val="bottom"/>
          </w:tcPr>
          <w:p>
            <w:pPr>
              <w:spacing w:after="0"/>
              <w:rPr>
                <w:sz w:val="1"/>
                <w:szCs w:val="1"/>
                <w:color w:val="auto"/>
              </w:rPr>
            </w:pPr>
          </w:p>
        </w:tc>
      </w:tr>
      <w:tr>
        <w:trPr>
          <w:trHeight w:val="224"/>
        </w:trPr>
        <w:tc>
          <w:tcPr>
            <w:tcW w:w="6340" w:type="dxa"/>
            <w:vAlign w:val="bottom"/>
          </w:tcPr>
          <w:p>
            <w:pPr>
              <w:ind w:left="260"/>
              <w:spacing w:after="0"/>
              <w:rPr>
                <w:sz w:val="20"/>
                <w:szCs w:val="20"/>
                <w:color w:val="auto"/>
              </w:rPr>
            </w:pPr>
            <w:r>
              <w:rPr>
                <w:rFonts w:ascii="Arial" w:cs="Arial" w:eastAsia="Arial" w:hAnsi="Arial"/>
                <w:sz w:val="16"/>
                <w:szCs w:val="16"/>
                <w:color w:val="auto"/>
              </w:rPr>
              <w:t>add: Provision for litigation settlement (b)</w:t>
            </w:r>
          </w:p>
        </w:tc>
        <w:tc>
          <w:tcPr>
            <w:tcW w:w="860" w:type="dxa"/>
            <w:vAlign w:val="bottom"/>
          </w:tcPr>
          <w:p>
            <w:pPr>
              <w:spacing w:after="0"/>
              <w:rPr>
                <w:sz w:val="19"/>
                <w:szCs w:val="19"/>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2,400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6340" w:type="dxa"/>
            <w:vAlign w:val="bottom"/>
          </w:tcPr>
          <w:p>
            <w:pPr>
              <w:spacing w:after="0"/>
              <w:rPr>
                <w:sz w:val="4"/>
                <w:szCs w:val="4"/>
                <w:color w:val="auto"/>
              </w:rPr>
            </w:pPr>
          </w:p>
        </w:tc>
        <w:tc>
          <w:tcPr>
            <w:tcW w:w="8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add: Acquisition-related expenses/(benefits) (c)</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(1,014)</w:t>
            </w:r>
          </w:p>
        </w:tc>
        <w:tc>
          <w:tcPr>
            <w:tcW w:w="0" w:type="dxa"/>
            <w:vAlign w:val="bottom"/>
          </w:tcPr>
          <w:p>
            <w:pPr>
              <w:spacing w:after="0"/>
              <w:rPr>
                <w:sz w:val="1"/>
                <w:szCs w:val="1"/>
                <w:color w:val="auto"/>
              </w:rPr>
            </w:pPr>
          </w:p>
        </w:tc>
      </w:tr>
      <w:tr>
        <w:trPr>
          <w:trHeight w:val="224"/>
        </w:trPr>
        <w:tc>
          <w:tcPr>
            <w:tcW w:w="6340" w:type="dxa"/>
            <w:vAlign w:val="bottom"/>
          </w:tcPr>
          <w:p>
            <w:pPr>
              <w:ind w:left="260"/>
              <w:spacing w:after="0"/>
              <w:rPr>
                <w:sz w:val="20"/>
                <w:szCs w:val="20"/>
                <w:color w:val="auto"/>
              </w:rPr>
            </w:pPr>
            <w:r>
              <w:rPr>
                <w:rFonts w:ascii="Arial" w:cs="Arial" w:eastAsia="Arial" w:hAnsi="Arial"/>
                <w:sz w:val="16"/>
                <w:szCs w:val="16"/>
                <w:color w:val="auto"/>
              </w:rPr>
              <w:t>add: Non-cash interest expense related to convertible senior notes (d)</w:t>
            </w:r>
          </w:p>
        </w:tc>
        <w:tc>
          <w:tcPr>
            <w:tcW w:w="860" w:type="dxa"/>
            <w:vAlign w:val="bottom"/>
          </w:tcPr>
          <w:p>
            <w:pPr>
              <w:spacing w:after="0"/>
              <w:rPr>
                <w:sz w:val="19"/>
                <w:szCs w:val="19"/>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47"/>
        </w:trPr>
        <w:tc>
          <w:tcPr>
            <w:tcW w:w="6340" w:type="dxa"/>
            <w:vAlign w:val="bottom"/>
          </w:tcPr>
          <w:p>
            <w:pPr>
              <w:spacing w:after="0"/>
              <w:rPr>
                <w:sz w:val="4"/>
                <w:szCs w:val="4"/>
                <w:color w:val="auto"/>
              </w:rPr>
            </w:pPr>
          </w:p>
        </w:tc>
        <w:tc>
          <w:tcPr>
            <w:tcW w:w="8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subtract: Effect of Tax Reform Act and other one-time tax expenses/(benefits) (e)</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(2,974)</w:t>
            </w:r>
          </w:p>
        </w:tc>
        <w:tc>
          <w:tcPr>
            <w:tcW w:w="0" w:type="dxa"/>
            <w:vAlign w:val="bottom"/>
          </w:tcPr>
          <w:p>
            <w:pPr>
              <w:spacing w:after="0"/>
              <w:rPr>
                <w:sz w:val="1"/>
                <w:szCs w:val="1"/>
                <w:color w:val="auto"/>
              </w:rPr>
            </w:pPr>
          </w:p>
        </w:tc>
      </w:tr>
      <w:tr>
        <w:trPr>
          <w:trHeight w:val="224"/>
        </w:trPr>
        <w:tc>
          <w:tcPr>
            <w:tcW w:w="6340" w:type="dxa"/>
            <w:vAlign w:val="bottom"/>
          </w:tcPr>
          <w:p>
            <w:pPr>
              <w:ind w:left="260"/>
              <w:spacing w:after="0"/>
              <w:rPr>
                <w:sz w:val="20"/>
                <w:szCs w:val="20"/>
                <w:color w:val="auto"/>
              </w:rPr>
            </w:pPr>
            <w:r>
              <w:rPr>
                <w:rFonts w:ascii="Arial" w:cs="Arial" w:eastAsia="Arial" w:hAnsi="Arial"/>
                <w:sz w:val="16"/>
                <w:szCs w:val="16"/>
                <w:color w:val="auto"/>
              </w:rPr>
              <w:t>subtract: Tax impact on stock-based compensation expense (f)</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4"/>
              </w:rPr>
              <w:t>(2,481)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(5,913)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(2,837)</w:t>
            </w:r>
          </w:p>
        </w:tc>
        <w:tc>
          <w:tcPr>
            <w:tcW w:w="0" w:type="dxa"/>
            <w:vAlign w:val="bottom"/>
          </w:tcPr>
          <w:p>
            <w:pPr>
              <w:spacing w:after="0"/>
              <w:rPr>
                <w:sz w:val="1"/>
                <w:szCs w:val="1"/>
                <w:color w:val="auto"/>
              </w:rPr>
            </w:pPr>
          </w:p>
        </w:tc>
      </w:tr>
      <w:tr>
        <w:trPr>
          <w:trHeight w:val="47"/>
        </w:trPr>
        <w:tc>
          <w:tcPr>
            <w:tcW w:w="6340" w:type="dxa"/>
            <w:vAlign w:val="bottom"/>
          </w:tcPr>
          <w:p>
            <w:pPr>
              <w:spacing w:after="0"/>
              <w:rPr>
                <w:sz w:val="4"/>
                <w:szCs w:val="4"/>
                <w:color w:val="auto"/>
              </w:rPr>
            </w:pPr>
          </w:p>
        </w:tc>
        <w:tc>
          <w:tcPr>
            <w:tcW w:w="8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subtract: Tax impact on amortization of acquisition-related intangibles</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4"/>
              </w:rPr>
              <w:t>(1,193)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(1,511)</w:t>
            </w:r>
          </w:p>
        </w:tc>
        <w:tc>
          <w:tcPr>
            <w:tcW w:w="0" w:type="dxa"/>
            <w:vAlign w:val="bottom"/>
          </w:tcPr>
          <w:p>
            <w:pPr>
              <w:spacing w:after="0"/>
              <w:rPr>
                <w:sz w:val="1"/>
                <w:szCs w:val="1"/>
                <w:color w:val="auto"/>
              </w:rPr>
            </w:pPr>
          </w:p>
        </w:tc>
      </w:tr>
      <w:tr>
        <w:trPr>
          <w:trHeight w:val="224"/>
        </w:trPr>
        <w:tc>
          <w:tcPr>
            <w:tcW w:w="6340" w:type="dxa"/>
            <w:vAlign w:val="bottom"/>
          </w:tcPr>
          <w:p>
            <w:pPr>
              <w:ind w:left="260"/>
              <w:spacing w:after="0"/>
              <w:rPr>
                <w:sz w:val="20"/>
                <w:szCs w:val="20"/>
                <w:color w:val="auto"/>
              </w:rPr>
            </w:pPr>
            <w:r>
              <w:rPr>
                <w:rFonts w:ascii="Arial" w:cs="Arial" w:eastAsia="Arial" w:hAnsi="Arial"/>
                <w:sz w:val="16"/>
                <w:szCs w:val="16"/>
                <w:color w:val="auto"/>
              </w:rPr>
              <w:t>subtract: Tax impact on impairment of goodwill, intangibles and long-lived assets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(301)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(3,072)</w:t>
            </w:r>
          </w:p>
        </w:tc>
        <w:tc>
          <w:tcPr>
            <w:tcW w:w="0" w:type="dxa"/>
            <w:vAlign w:val="bottom"/>
          </w:tcPr>
          <w:p>
            <w:pPr>
              <w:spacing w:after="0"/>
              <w:rPr>
                <w:sz w:val="1"/>
                <w:szCs w:val="1"/>
                <w:color w:val="auto"/>
              </w:rPr>
            </w:pPr>
          </w:p>
        </w:tc>
      </w:tr>
      <w:tr>
        <w:trPr>
          <w:trHeight w:val="47"/>
        </w:trPr>
        <w:tc>
          <w:tcPr>
            <w:tcW w:w="6340" w:type="dxa"/>
            <w:vAlign w:val="bottom"/>
          </w:tcPr>
          <w:p>
            <w:pPr>
              <w:spacing w:after="0"/>
              <w:rPr>
                <w:sz w:val="4"/>
                <w:szCs w:val="4"/>
                <w:color w:val="auto"/>
              </w:rPr>
            </w:pPr>
          </w:p>
        </w:tc>
        <w:tc>
          <w:tcPr>
            <w:tcW w:w="8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subtract: Tax impact on provision for litigation settlement</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6340" w:type="dxa"/>
            <w:vAlign w:val="bottom"/>
          </w:tcPr>
          <w:p>
            <w:pPr>
              <w:ind w:left="260"/>
              <w:spacing w:after="0"/>
              <w:rPr>
                <w:sz w:val="20"/>
                <w:szCs w:val="20"/>
                <w:color w:val="auto"/>
              </w:rPr>
            </w:pPr>
            <w:r>
              <w:rPr>
                <w:rFonts w:ascii="Arial" w:cs="Arial" w:eastAsia="Arial" w:hAnsi="Arial"/>
                <w:sz w:val="16"/>
                <w:szCs w:val="16"/>
                <w:color w:val="auto"/>
              </w:rPr>
              <w:t>subtract: Tax impact on acquisition-related expenses/(benefits)</w:t>
            </w:r>
          </w:p>
        </w:tc>
        <w:tc>
          <w:tcPr>
            <w:tcW w:w="860" w:type="dxa"/>
            <w:vAlign w:val="bottom"/>
          </w:tcPr>
          <w:p>
            <w:pPr>
              <w:spacing w:after="0"/>
              <w:rPr>
                <w:sz w:val="19"/>
                <w:szCs w:val="19"/>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47"/>
        </w:trPr>
        <w:tc>
          <w:tcPr>
            <w:tcW w:w="6340" w:type="dxa"/>
            <w:vAlign w:val="bottom"/>
          </w:tcPr>
          <w:p>
            <w:pPr>
              <w:spacing w:after="0"/>
              <w:rPr>
                <w:sz w:val="4"/>
                <w:szCs w:val="4"/>
                <w:color w:val="auto"/>
              </w:rPr>
            </w:pPr>
          </w:p>
        </w:tc>
        <w:tc>
          <w:tcPr>
            <w:tcW w:w="8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6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subtract: Tax impact on non-cash interest expense related to convertible senior notes</w:t>
            </w:r>
          </w:p>
        </w:tc>
        <w:tc>
          <w:tcPr>
            <w:tcW w:w="8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17"/>
        </w:trPr>
        <w:tc>
          <w:tcPr>
            <w:tcW w:w="6340" w:type="dxa"/>
            <w:vAlign w:val="bottom"/>
          </w:tcPr>
          <w:p>
            <w:pPr>
              <w:ind w:left="20"/>
              <w:spacing w:after="0"/>
              <w:rPr>
                <w:sz w:val="20"/>
                <w:szCs w:val="20"/>
                <w:color w:val="auto"/>
              </w:rPr>
            </w:pPr>
            <w:r>
              <w:rPr>
                <w:rFonts w:ascii="Arial" w:cs="Arial" w:eastAsia="Arial" w:hAnsi="Arial"/>
                <w:sz w:val="16"/>
                <w:szCs w:val="16"/>
                <w:b w:val="1"/>
                <w:bCs w:val="1"/>
                <w:color w:val="auto"/>
              </w:rPr>
              <w:t>Adjusted net income (Non-GAAP)</w:t>
            </w:r>
          </w:p>
        </w:tc>
        <w:tc>
          <w:tcPr>
            <w:tcW w:w="860" w:type="dxa"/>
            <w:vAlign w:val="bottom"/>
            <w:tcBorders>
              <w:top w:val="single" w:sz="8" w:color="auto"/>
            </w:tcBorders>
          </w:tcPr>
          <w:p>
            <w:pPr>
              <w:jc w:val="right"/>
              <w:ind w:right="67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5"/>
              </w:rPr>
              <w:t>24,884</w:t>
            </w:r>
          </w:p>
        </w:tc>
        <w:tc>
          <w:tcPr>
            <w:tcW w:w="10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22,817</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25,749</w:t>
            </w:r>
          </w:p>
        </w:tc>
        <w:tc>
          <w:tcPr>
            <w:tcW w:w="0" w:type="dxa"/>
            <w:vAlign w:val="bottom"/>
          </w:tcPr>
          <w:p>
            <w:pPr>
              <w:spacing w:after="0"/>
              <w:rPr>
                <w:sz w:val="1"/>
                <w:szCs w:val="1"/>
                <w:color w:val="auto"/>
              </w:rPr>
            </w:pPr>
          </w:p>
        </w:tc>
      </w:tr>
      <w:tr>
        <w:trPr>
          <w:trHeight w:val="73"/>
        </w:trPr>
        <w:tc>
          <w:tcPr>
            <w:tcW w:w="6340" w:type="dxa"/>
            <w:vAlign w:val="bottom"/>
            <w:tcBorders>
              <w:bottom w:val="single" w:sz="8" w:color="CCEEFF"/>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Adjusted diluted earnings per share (Non-GAAP)</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6"/>
                <w:szCs w:val="16"/>
                <w:b w:val="1"/>
                <w:bCs w:val="1"/>
                <w:color w:val="auto"/>
                <w:w w:val="89"/>
              </w:rPr>
              <w:t>$</w:t>
            </w: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0.71</w:t>
            </w:r>
          </w:p>
        </w:tc>
        <w:tc>
          <w:tcPr>
            <w:tcW w:w="50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0.65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0.74</w:t>
            </w:r>
          </w:p>
        </w:tc>
        <w:tc>
          <w:tcPr>
            <w:tcW w:w="0" w:type="dxa"/>
            <w:vAlign w:val="bottom"/>
          </w:tcPr>
          <w:p>
            <w:pPr>
              <w:spacing w:after="0"/>
              <w:rPr>
                <w:sz w:val="1"/>
                <w:szCs w:val="1"/>
                <w:color w:val="auto"/>
              </w:rPr>
            </w:pPr>
          </w:p>
        </w:tc>
      </w:tr>
      <w:tr>
        <w:trPr>
          <w:trHeight w:val="33"/>
        </w:trPr>
        <w:tc>
          <w:tcPr>
            <w:tcW w:w="63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ind w:left="240" w:hanging="232"/>
        <w:spacing w:after="0"/>
        <w:tabs>
          <w:tab w:leader="none" w:pos="24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To exclude impairment charges on acquisition-related goodwill, intangibles and long-lived assets.</w:t>
      </w:r>
    </w:p>
    <w:p>
      <w:pPr>
        <w:spacing w:after="0" w:line="221" w:lineRule="exact"/>
        <w:rPr>
          <w:rFonts w:ascii="Arial" w:cs="Arial" w:eastAsia="Arial" w:hAnsi="Arial"/>
          <w:sz w:val="16"/>
          <w:szCs w:val="16"/>
          <w:i w:val="1"/>
          <w:iCs w:val="1"/>
          <w:color w:val="auto"/>
        </w:rPr>
      </w:pPr>
    </w:p>
    <w:p>
      <w:pPr>
        <w:ind w:left="240" w:hanging="232"/>
        <w:spacing w:after="0"/>
        <w:tabs>
          <w:tab w:leader="none" w:pos="24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To exclude provision for litigation settlement recorded during the three months ended March 31, 2018.</w:t>
      </w:r>
    </w:p>
    <w:p>
      <w:pPr>
        <w:spacing w:after="0" w:line="221" w:lineRule="exact"/>
        <w:rPr>
          <w:rFonts w:ascii="Arial" w:cs="Arial" w:eastAsia="Arial" w:hAnsi="Arial"/>
          <w:sz w:val="16"/>
          <w:szCs w:val="16"/>
          <w:i w:val="1"/>
          <w:iCs w:val="1"/>
          <w:color w:val="auto"/>
        </w:rPr>
      </w:pPr>
    </w:p>
    <w:p>
      <w:pPr>
        <w:ind w:left="220" w:hanging="212"/>
        <w:spacing w:after="0"/>
        <w:tabs>
          <w:tab w:leader="none" w:pos="22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To exclude acquisition-related expenses and one-time benefits. See descriptions above for more information.</w:t>
      </w:r>
    </w:p>
    <w:p>
      <w:pPr>
        <w:spacing w:after="0" w:line="221" w:lineRule="exact"/>
        <w:rPr>
          <w:rFonts w:ascii="Arial" w:cs="Arial" w:eastAsia="Arial" w:hAnsi="Arial"/>
          <w:sz w:val="16"/>
          <w:szCs w:val="16"/>
          <w:i w:val="1"/>
          <w:iCs w:val="1"/>
          <w:color w:val="auto"/>
        </w:rPr>
      </w:pPr>
    </w:p>
    <w:p>
      <w:pPr>
        <w:ind w:left="240" w:hanging="232"/>
        <w:spacing w:after="0"/>
        <w:tabs>
          <w:tab w:leader="none" w:pos="24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To exclude non-cash interest expense related to convertible senior notes.</w:t>
      </w:r>
    </w:p>
    <w:p>
      <w:pPr>
        <w:spacing w:after="0" w:line="221" w:lineRule="exact"/>
        <w:rPr>
          <w:rFonts w:ascii="Arial" w:cs="Arial" w:eastAsia="Arial" w:hAnsi="Arial"/>
          <w:sz w:val="16"/>
          <w:szCs w:val="16"/>
          <w:i w:val="1"/>
          <w:iCs w:val="1"/>
          <w:color w:val="auto"/>
        </w:rPr>
      </w:pPr>
    </w:p>
    <w:p>
      <w:pPr>
        <w:jc w:val="both"/>
        <w:ind w:firstLine="8"/>
        <w:spacing w:after="0" w:line="253" w:lineRule="auto"/>
        <w:tabs>
          <w:tab w:leader="none" w:pos="23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To exclude impact related to the Tax Reform Act and other one-time tax expenses/(benefits). In 2017, the Company recognized a one-time income tax expense of $29,185 during the three months and year ended December 31, 2017 in connection with the Tax Reform Act. In 2018, the Company finalized its transition tax expense under the Tax Reform Act and recorded an adjustment of $5,012 and $176 during the three months ended and year ended December 31, 2018, respectively. The Company also recorded a one-time tax benefit of $6,274 with respect to its unused 2018 foreign branch income tax credits under IRC regulations issued in December 2018 and certain deferred tax assets of $1,712 during the three months ended and year ended December 31, 2018.</w:t>
      </w:r>
    </w:p>
    <w:p>
      <w:pPr>
        <w:spacing w:after="0" w:line="191" w:lineRule="exact"/>
        <w:rPr>
          <w:rFonts w:ascii="Arial" w:cs="Arial" w:eastAsia="Arial" w:hAnsi="Arial"/>
          <w:sz w:val="16"/>
          <w:szCs w:val="16"/>
          <w:i w:val="1"/>
          <w:iCs w:val="1"/>
          <w:color w:val="auto"/>
        </w:rPr>
      </w:pPr>
    </w:p>
    <w:p>
      <w:pPr>
        <w:ind w:firstLine="8"/>
        <w:spacing w:after="0" w:line="275" w:lineRule="auto"/>
        <w:tabs>
          <w:tab w:leader="none" w:pos="207"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Tax impact includes $1,015 and $4,827 during the three months ended March 31, 2019 and 2018 respectively, and $1,789 during the three months ended December 31, 2018 related to discrete benefit recognized in income tax expense on adoption of ASU No. 2016-09, Compensation - Stock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Contact: Steven N. Barlow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ind w:right="10060" w:firstLine="8"/>
        <w:spacing w:after="0" w:line="323" w:lineRule="auto"/>
        <w:tabs>
          <w:tab w:leader="none" w:pos="435"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624-5913 </w:t>
      </w:r>
      <w:r>
        <w:rPr>
          <w:rFonts w:ascii="Arial" w:cs="Arial" w:eastAsia="Arial" w:hAnsi="Arial"/>
          <w:sz w:val="16"/>
          <w:szCs w:val="16"/>
          <w:u w:val="single" w:color="auto"/>
          <w:color w:val="0000FF"/>
        </w:rPr>
        <w:t>ir@exlservice.com</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o"/>
      <w:numFmt w:val="bullet"/>
      <w:start w:val="1"/>
    </w:lvl>
  </w:abstractNum>
  <w:abstractNum w:abstractNumId="1">
    <w:nsid w:val="41B71EFB"/>
    <w:multiLevelType w:val="hybridMultilevel"/>
    <w:lvl w:ilvl="0">
      <w:lvlJc w:val="left"/>
      <w:lvlText w:val="o"/>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lowerRoman"/>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2019-12-28T13:20:53Z</dcterms:created>
  <dcterms:modified xsi:type="dcterms:W3CDTF">2019-12-28T13:20:53Z</dcterms:modified>
</cp:coreProperties>
</file>