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Maurizio Nicolelli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ExlService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 Park Avenue, 29th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ExlService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001-33089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Nicolelli: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of Financial Condition and Results of Operations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Activities, page 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here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34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in your Form 10-Q for the fiscal period ended September 30,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appears to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emphasize how cash provided by operating activities was derived for each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31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instruction 4 to Item 303(a) and instruction 3 to Item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303(b) of Regulation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34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S-K, it should be a comparative analysis of material changes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cash flows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4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between periods. Please note your analysis should discuss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reasons underlying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31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variance factors cited. Refer to section IV.B.1 of SEC Release No.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 for guidance,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quantify all variance factors cited pursuant to section 501.04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859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</w:t>
        <w:tab/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Codification of Financial Reporting Releases.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that the company and its management are responsible for the Maurizio Nicolelli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ExlService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Theresa Brillant at 202-551-3307 or Doug Jones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202-551-3309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LastNameMaurizio Nicolelli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NameExlService Holdings, Inc.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19,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sectPr>
      <w:pgSz w:w="11900" w:h="16838" w:orient="portrait"/>
      <w:cols w:equalWidth="0" w:num="2">
        <w:col w:w="5400" w:space="720"/>
        <w:col w:w="401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2021-08-15T20:23:23Z</dcterms:created>
  <dcterms:modified xsi:type="dcterms:W3CDTF">2021-08-15T20:23:23Z</dcterms:modified>
</cp:coreProperties>
</file>