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984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166370</wp:posOffset>
            </wp:positionV>
            <wp:extent cx="699516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208915</wp:posOffset>
            </wp:positionV>
            <wp:extent cx="699516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984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444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2760345</wp:posOffset>
            </wp:positionH>
            <wp:positionV relativeFrom="paragraph">
              <wp:posOffset>171450</wp:posOffset>
            </wp:positionV>
            <wp:extent cx="147447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1" w:lineRule="exact"/>
        <w:rPr>
          <w:sz w:val="24"/>
          <w:szCs w:val="24"/>
          <w:color w:val="auto"/>
        </w:rPr>
      </w:pPr>
    </w:p>
    <w:p>
      <w:pPr>
        <w:jc w:val="center"/>
        <w:ind w:right="-984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32"/>
          <w:szCs w:val="32"/>
          <w:b w:val="1"/>
          <w:bCs w:val="1"/>
          <w:color w:val="auto"/>
        </w:rPr>
        <w:t>SCHEDULE 14A</w:t>
      </w:r>
    </w:p>
    <w:p>
      <w:pPr>
        <w:spacing w:after="0" w:line="122" w:lineRule="exact"/>
        <w:rPr>
          <w:sz w:val="24"/>
          <w:szCs w:val="24"/>
          <w:color w:val="auto"/>
        </w:rPr>
      </w:pPr>
    </w:p>
    <w:p>
      <w:pPr>
        <w:jc w:val="center"/>
        <w:ind w:right="-984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2"/>
          <w:szCs w:val="22"/>
          <w:b w:val="1"/>
          <w:bCs w:val="1"/>
          <w:color w:val="auto"/>
        </w:rPr>
        <w:t>Proxy Statement Pursuant to Secton 14(a) of the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984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2"/>
          <w:szCs w:val="22"/>
          <w:b w:val="1"/>
          <w:bCs w:val="1"/>
          <w:color w:val="auto"/>
        </w:rPr>
        <w:t>Securites Exchange Act of 1934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2760345</wp:posOffset>
            </wp:positionH>
            <wp:positionV relativeFrom="paragraph">
              <wp:posOffset>163830</wp:posOffset>
            </wp:positionV>
            <wp:extent cx="147447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4"/>
        <w:spacing w:after="0" w:line="225" w:lineRule="exact"/>
        <w:tabs>
          <w:tab w:leader="none" w:pos="2044" w:val="left"/>
          <w:tab w:leader="none" w:pos="2224" w:val="left"/>
          <w:tab w:leader="none" w:pos="2404" w:val="left"/>
          <w:tab w:leader="none" w:pos="2584" w:val="left"/>
          <w:tab w:leader="none" w:pos="2764" w:val="left"/>
          <w:tab w:leader="none" w:pos="2944" w:val="left"/>
          <w:tab w:leader="none" w:pos="3164" w:val="left"/>
        </w:tabs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18"/>
          <w:szCs w:val="18"/>
          <w:color w:val="auto"/>
        </w:rPr>
        <w:t xml:space="preserve">Filed by the Registrant  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rFonts w:ascii="Calibri" w:cs="Calibri" w:eastAsia="Calibri" w:hAnsi="Calibri"/>
          <w:sz w:val="18"/>
          <w:szCs w:val="18"/>
          <w:color w:val="auto"/>
        </w:rPr>
        <w:t xml:space="preserve"> </w:t>
        <w:tab/>
        <w:t> </w:t>
        <w:tab/>
        <w:t> </w:t>
        <w:tab/>
        <w:t> </w:t>
        <w:tab/>
        <w:t> </w:t>
        <w:tab/>
        <w:t> </w:t>
        <w:tab/>
        <w:t> </w:t>
      </w:r>
      <w:r>
        <w:rPr>
          <w:sz w:val="20"/>
          <w:szCs w:val="20"/>
          <w:color w:val="auto"/>
        </w:rPr>
        <w:tab/>
      </w:r>
      <w:r>
        <w:rPr>
          <w:rFonts w:ascii="Calibri" w:cs="Calibri" w:eastAsia="Calibri" w:hAnsi="Calibri"/>
          <w:sz w:val="17"/>
          <w:szCs w:val="17"/>
          <w:color w:val="auto"/>
        </w:rPr>
        <w:t xml:space="preserve">Filed by a party other than the Registrant  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☐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18"/>
          <w:szCs w:val="18"/>
          <w:color w:val="auto"/>
        </w:rPr>
        <w:t>Check the appropriate box: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ind w:left="544" w:hanging="544"/>
        <w:spacing w:after="0"/>
        <w:tabs>
          <w:tab w:leader="none" w:pos="54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Calibri" w:cs="Calibri" w:eastAsia="Calibri" w:hAnsi="Calibri"/>
          <w:sz w:val="18"/>
          <w:szCs w:val="18"/>
          <w:color w:val="auto"/>
        </w:rPr>
        <w:t>Preliminary Proxy Statement</w:t>
      </w:r>
    </w:p>
    <w:p>
      <w:pPr>
        <w:spacing w:after="0" w:line="104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544" w:hanging="544"/>
        <w:spacing w:after="0"/>
        <w:tabs>
          <w:tab w:leader="none" w:pos="54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Calibri" w:cs="Calibri" w:eastAsia="Calibri" w:hAnsi="Calibri"/>
          <w:sz w:val="18"/>
          <w:szCs w:val="18"/>
          <w:color w:val="auto"/>
        </w:rPr>
        <w:t>Confdental, for Use of the Commission Only (as permited by Rule 14a-6(e)(2))</w:t>
      </w:r>
    </w:p>
    <w:p>
      <w:pPr>
        <w:spacing w:after="0" w:line="104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544" w:hanging="544"/>
        <w:spacing w:after="0"/>
        <w:tabs>
          <w:tab w:leader="none" w:pos="54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Calibri" w:cs="Calibri" w:eastAsia="Calibri" w:hAnsi="Calibri"/>
          <w:sz w:val="18"/>
          <w:szCs w:val="18"/>
          <w:color w:val="auto"/>
        </w:rPr>
        <w:t>Defnitve Proxy Statement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544" w:hanging="544"/>
        <w:spacing w:after="0"/>
        <w:tabs>
          <w:tab w:leader="none" w:pos="544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Calibri" w:cs="Calibri" w:eastAsia="Calibri" w:hAnsi="Calibri"/>
          <w:sz w:val="18"/>
          <w:szCs w:val="18"/>
          <w:color w:val="auto"/>
        </w:rPr>
        <w:t>Defnitve Additonal Materials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544" w:hanging="544"/>
        <w:spacing w:after="0"/>
        <w:tabs>
          <w:tab w:leader="none" w:pos="544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Calibri" w:cs="Calibri" w:eastAsia="Calibri" w:hAnsi="Calibri"/>
          <w:sz w:val="18"/>
          <w:szCs w:val="18"/>
          <w:color w:val="auto"/>
        </w:rPr>
        <w:t>Solicitng Material Under Rule 240.14a-12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jc w:val="center"/>
        <w:ind w:right="-984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40"/>
          <w:szCs w:val="40"/>
          <w:b w:val="1"/>
          <w:bCs w:val="1"/>
          <w:color w:val="auto"/>
        </w:rPr>
        <w:t>ExlService Holdings, Inc.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-984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18"/>
          <w:szCs w:val="18"/>
          <w:b w:val="1"/>
          <w:bCs w:val="1"/>
          <w:color w:val="auto"/>
        </w:rPr>
        <w:t>(Name of Registrant as Specifed In Its Charter)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p>
      <w:pPr>
        <w:ind w:left="3384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14"/>
          <w:szCs w:val="14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18"/>
          <w:szCs w:val="18"/>
          <w:color w:val="auto"/>
        </w:rPr>
        <w:t>Payment of Filing Fee (Check the appropriate box):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ind w:left="564" w:hanging="564"/>
        <w:spacing w:after="0"/>
        <w:tabs>
          <w:tab w:leader="none" w:pos="564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Calibri" w:cs="Calibri" w:eastAsia="Calibri" w:hAnsi="Calibri"/>
          <w:sz w:val="18"/>
          <w:szCs w:val="18"/>
          <w:color w:val="auto"/>
        </w:rPr>
        <w:t>No fee required.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564" w:hanging="564"/>
        <w:spacing w:after="0"/>
        <w:tabs>
          <w:tab w:leader="none" w:pos="56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Calibri" w:cs="Calibri" w:eastAsia="Calibri" w:hAnsi="Calibri"/>
          <w:sz w:val="18"/>
          <w:szCs w:val="18"/>
          <w:color w:val="auto"/>
        </w:rPr>
        <w:t>Fee paid previously with preliminary materials.</w:t>
      </w:r>
    </w:p>
    <w:p>
      <w:pPr>
        <w:spacing w:after="0" w:line="51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564" w:hanging="564"/>
        <w:spacing w:after="0" w:line="238" w:lineRule="auto"/>
        <w:tabs>
          <w:tab w:leader="none" w:pos="56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Calibri" w:cs="Calibri" w:eastAsia="Calibri" w:hAnsi="Calibri"/>
          <w:sz w:val="18"/>
          <w:szCs w:val="18"/>
          <w:color w:val="auto"/>
        </w:rPr>
        <w:t>Fee computed on table in exhibit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100965</wp:posOffset>
            </wp:positionV>
            <wp:extent cx="69951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144145</wp:posOffset>
            </wp:positionV>
            <wp:extent cx="69951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023"/>
          </w:cols>
          <w:pgMar w:left="436" w:top="409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832358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8323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832358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8323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2025-04-29T13:22:52Z</dcterms:created>
  <dcterms:modified xsi:type="dcterms:W3CDTF">2025-04-29T13:22:52Z</dcterms:modified>
</cp:coreProperties>
</file>