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22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Kapoor Rohit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President and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8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8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 Direct (D)</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Indirect (I)</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(Instr. 5)</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2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right="139"/>
              <w:spacing w:after="0"/>
              <w:rPr>
                <w:sz w:val="20"/>
                <w:szCs w:val="20"/>
                <w:color w:val="auto"/>
              </w:rPr>
            </w:pPr>
            <w:r>
              <w:rPr>
                <w:rFonts w:ascii="Arial" w:cs="Arial" w:eastAsia="Arial" w:hAnsi="Arial"/>
                <w:sz w:val="18"/>
                <w:szCs w:val="18"/>
                <w:color w:val="0000FF"/>
                <w:w w:val="89"/>
              </w:rPr>
              <w:t>1,518,072</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2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jc w:val="center"/>
              <w:ind w:right="139"/>
              <w:spacing w:after="0"/>
              <w:rPr>
                <w:sz w:val="20"/>
                <w:szCs w:val="20"/>
                <w:color w:val="auto"/>
              </w:rPr>
            </w:pPr>
            <w:r>
              <w:rPr>
                <w:rFonts w:ascii="Arial" w:cs="Arial" w:eastAsia="Arial" w:hAnsi="Arial"/>
                <w:sz w:val="18"/>
                <w:szCs w:val="18"/>
                <w:color w:val="0000FF"/>
                <w:w w:val="87"/>
              </w:rPr>
              <w:t>84,000</w:t>
            </w:r>
          </w:p>
        </w:tc>
        <w:tc>
          <w:tcPr>
            <w:tcW w:w="800" w:type="dxa"/>
            <w:vAlign w:val="bottom"/>
            <w:tcBorders>
              <w:bottom w:val="single" w:sz="8" w:color="2C2C2C"/>
            </w:tcBorders>
          </w:tcPr>
          <w:p>
            <w:pPr>
              <w:ind w:left="5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8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w w:val="97"/>
              </w:rPr>
              <w:t>By Shikha Kapoor 2005 Family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80" w:type="dxa"/>
            <w:vAlign w:val="bottom"/>
            <w:vMerge w:val="restart"/>
          </w:tcPr>
          <w:p>
            <w:pPr>
              <w:jc w:val="center"/>
              <w:ind w:right="139"/>
              <w:spacing w:after="0"/>
              <w:rPr>
                <w:sz w:val="20"/>
                <w:szCs w:val="20"/>
                <w:color w:val="auto"/>
              </w:rPr>
            </w:pPr>
            <w:r>
              <w:rPr>
                <w:rFonts w:ascii="Arial" w:cs="Arial" w:eastAsia="Arial" w:hAnsi="Arial"/>
                <w:sz w:val="18"/>
                <w:szCs w:val="18"/>
                <w:color w:val="0000FF"/>
                <w:w w:val="87"/>
              </w:rPr>
              <w:t>84,000</w:t>
            </w:r>
          </w:p>
        </w:tc>
        <w:tc>
          <w:tcPr>
            <w:tcW w:w="800" w:type="dxa"/>
            <w:vAlign w:val="bottom"/>
            <w:vMerge w:val="restart"/>
          </w:tcPr>
          <w:p>
            <w:pPr>
              <w:ind w:left="5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8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By Rohit Kapoor 2005 Spousal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4"/>
            <w:vMerge w:val="restart"/>
          </w:tcPr>
          <w:p>
            <w:pPr>
              <w:ind w:left="120"/>
              <w:spacing w:after="0"/>
              <w:rPr>
                <w:sz w:val="20"/>
                <w:szCs w:val="20"/>
                <w:color w:val="auto"/>
              </w:rPr>
            </w:pPr>
            <w:r>
              <w:rPr>
                <w:rFonts w:ascii="Arial" w:cs="Arial" w:eastAsia="Arial" w:hAnsi="Arial"/>
                <w:sz w:val="18"/>
                <w:szCs w:val="18"/>
                <w:color w:val="0000FF"/>
              </w:rPr>
              <w:t>Lifetime Access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w w:val="86"/>
              </w:rPr>
              <w:t>Common Stock, par value $0.001 per share</w:t>
            </w:r>
            <w:r>
              <w:rPr>
                <w:rFonts w:ascii="Arial" w:cs="Arial" w:eastAsia="Arial" w:hAnsi="Arial"/>
                <w:sz w:val="22"/>
                <w:szCs w:val="22"/>
                <w:color w:val="008000"/>
                <w:w w:val="86"/>
                <w:vertAlign w:val="superscript"/>
              </w:rPr>
              <w:t>(1)</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80" w:type="dxa"/>
            <w:vAlign w:val="bottom"/>
            <w:vMerge w:val="restart"/>
          </w:tcPr>
          <w:p>
            <w:pPr>
              <w:jc w:val="center"/>
              <w:ind w:right="139"/>
              <w:spacing w:after="0"/>
              <w:rPr>
                <w:sz w:val="20"/>
                <w:szCs w:val="20"/>
                <w:color w:val="auto"/>
              </w:rPr>
            </w:pPr>
            <w:r>
              <w:rPr>
                <w:rFonts w:ascii="Arial" w:cs="Arial" w:eastAsia="Arial" w:hAnsi="Arial"/>
                <w:sz w:val="18"/>
                <w:szCs w:val="18"/>
                <w:color w:val="0000FF"/>
                <w:w w:val="86"/>
              </w:rPr>
              <w:t>420,000</w:t>
            </w:r>
          </w:p>
        </w:tc>
        <w:tc>
          <w:tcPr>
            <w:tcW w:w="800" w:type="dxa"/>
            <w:vAlign w:val="bottom"/>
            <w:vMerge w:val="restart"/>
          </w:tcPr>
          <w:p>
            <w:pPr>
              <w:ind w:left="5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w:t>
            </w:r>
          </w:p>
        </w:tc>
        <w:tc>
          <w:tcPr>
            <w:tcW w:w="38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By Rohit Kapoor 2005 Grantor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20" w:type="dxa"/>
            <w:vAlign w:val="bottom"/>
            <w:gridSpan w:val="4"/>
            <w:vMerge w:val="restart"/>
          </w:tcPr>
          <w:p>
            <w:pPr>
              <w:ind w:left="120"/>
              <w:spacing w:after="0"/>
              <w:rPr>
                <w:sz w:val="20"/>
                <w:szCs w:val="20"/>
                <w:color w:val="auto"/>
              </w:rPr>
            </w:pPr>
            <w:r>
              <w:rPr>
                <w:rFonts w:ascii="Arial" w:cs="Arial" w:eastAsia="Arial" w:hAnsi="Arial"/>
                <w:sz w:val="18"/>
                <w:szCs w:val="18"/>
                <w:color w:val="0000FF"/>
              </w:rPr>
              <w:t>Retained Annuity 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1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r>
              <w:rPr>
                <w:rFonts w:ascii="Arial" w:cs="Arial" w:eastAsia="Arial" w:hAnsi="Arial"/>
                <w:sz w:val="22"/>
                <w:szCs w:val="22"/>
                <w:color w:val="008000"/>
                <w:vertAlign w:val="superscript"/>
              </w:rPr>
              <w:t>(1)</w:t>
            </w:r>
          </w:p>
        </w:tc>
        <w:tc>
          <w:tcPr>
            <w:tcW w:w="11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ind w:left="80"/>
              <w:spacing w:after="0"/>
              <w:rPr>
                <w:sz w:val="20"/>
                <w:szCs w:val="20"/>
                <w:color w:val="auto"/>
              </w:rPr>
            </w:pPr>
            <w:r>
              <w:rPr>
                <w:rFonts w:ascii="Arial" w:cs="Arial" w:eastAsia="Arial" w:hAnsi="Arial"/>
                <w:sz w:val="14"/>
                <w:szCs w:val="14"/>
                <w:color w:val="0000FF"/>
                <w:w w:val="99"/>
              </w:rPr>
              <w:t>07/27/2016</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Common Stock, par value</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0000FF"/>
                <w:w w:val="95"/>
              </w:rPr>
              <w:t>150,000</w:t>
            </w:r>
          </w:p>
        </w:tc>
        <w:tc>
          <w:tcPr>
            <w:tcW w:w="880" w:type="dxa"/>
            <w:vAlign w:val="bottom"/>
            <w:gridSpan w:val="2"/>
            <w:vMerge w:val="restart"/>
          </w:tcPr>
          <w:p>
            <w:pPr>
              <w:ind w:left="240"/>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0000FF"/>
                <w:w w:val="86"/>
              </w:rPr>
              <w:t>$0.001 per share</w:t>
            </w:r>
          </w:p>
        </w:tc>
        <w:tc>
          <w:tcPr>
            <w:tcW w:w="8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30" w:lineRule="exact"/>
        <w:rPr>
          <w:rFonts w:ascii="Arial" w:cs="Arial" w:eastAsia="Arial" w:hAnsi="Arial"/>
          <w:sz w:val="14"/>
          <w:szCs w:val="14"/>
          <w:color w:val="008000"/>
        </w:rPr>
      </w:pPr>
    </w:p>
    <w:p>
      <w:pPr>
        <w:ind w:left="40" w:right="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spouse and children. The reporting person and the reporting person's child are the trustees of the Shikha Kapoor 2005 Family Trust. The reporting person's wife and child are the trustees of the Rohit Kapoor 2005 Spousal Lifetime Access Trust. The reporting person is the sole trustee of the Rohit Kapoor 2005 Grantor Retained Annuity Trust.</w:t>
      </w:r>
    </w:p>
    <w:p>
      <w:pPr>
        <w:ind w:left="40" w:right="4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25 percent of the options vest on November 14, 2006, 25 percent of the options vest on November 14, 2007, 25 percent of the options vest on November 14, 2008 and 25 percent of the options vest on November 14, 2009. Upon vesting, options are immediately exerciseable.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9"/>
              </w:rPr>
              <w:t>/s/ Rohit Kapoor</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10/19/2006</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Rohit Kapoor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Rohit Kapoor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0"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2019-12-16T14:56:49Z</dcterms:created>
  <dcterms:modified xsi:type="dcterms:W3CDTF">2019-12-16T14:56:49Z</dcterms:modified>
</cp:coreProperties>
</file>