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installments, beginning on February 20, 2026. Vesting will be accelerated upon certain termination of employment events and upon a "Change in Control" (as defined in the ExlService Holdings, Inc. 2025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Note: On June 17, 2025 the reporting person was also granted performance-based restricted stock units that are subject to material conditions beyond the reporting person's control, and, therefore, are not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considered derivative securities for purposes of Section 16 of the Securities Exchange Act of 1934, as amended, and are excluded from this report. Remarks: Mr. Ayyappan is the Company's General Counsel.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8124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2025-06-17T17:26:25Z</dcterms:created>
  <dcterms:modified xsi:type="dcterms:W3CDTF">2025-06-17T17:26:25Z</dcterms:modified>
</cp:coreProperties>
</file>