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June 17,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56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001-33089</w:t>
            </w:r>
          </w:p>
        </w:tc>
        <w:tc>
          <w:tcPr>
            <w:tcW w:w="174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82-0572194</w:t>
            </w:r>
          </w:p>
        </w:tc>
      </w:tr>
      <w:tr>
        <w:trPr>
          <w:trHeight w:val="216"/>
        </w:trPr>
        <w:tc>
          <w:tcPr>
            <w:tcW w:w="22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(State or other jurisdiction</w:t>
            </w:r>
          </w:p>
        </w:tc>
        <w:tc>
          <w:tcPr>
            <w:tcW w:w="56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40" w:type="dxa"/>
            <w:vAlign w:val="bottom"/>
          </w:tcPr>
          <w:p>
            <w:pPr>
              <w:jc w:val="center"/>
              <w:ind w:left="2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of incorporation)</w:t>
            </w:r>
          </w:p>
        </w:tc>
        <w:tc>
          <w:tcPr>
            <w:tcW w:w="56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4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200" w:type="dxa"/>
            <w:vAlign w:val="bottom"/>
          </w:tcPr>
          <w:p>
            <w:pPr>
              <w:spacing w:after="0"/>
              <w:rPr>
                <w:sz w:val="24"/>
                <w:szCs w:val="24"/>
                <w:color w:val="auto"/>
              </w:rPr>
            </w:pPr>
          </w:p>
        </w:tc>
        <w:tc>
          <w:tcPr>
            <w:tcW w:w="56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280 Park Avenue, 38th Floor</w:t>
            </w:r>
          </w:p>
        </w:tc>
        <w:tc>
          <w:tcPr>
            <w:tcW w:w="174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4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74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74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60" w:type="dxa"/>
            <w:vAlign w:val="bottom"/>
          </w:tcPr>
          <w:p>
            <w:pPr>
              <w:jc w:val="center"/>
              <w:ind w:right="50"/>
              <w:spacing w:after="0"/>
              <w:rPr>
                <w:sz w:val="20"/>
                <w:szCs w:val="20"/>
                <w:color w:val="auto"/>
              </w:rPr>
            </w:pPr>
            <w:r>
              <w:rPr>
                <w:rFonts w:ascii="Arial" w:cs="Arial" w:eastAsia="Arial" w:hAnsi="Arial"/>
                <w:sz w:val="18"/>
                <w:szCs w:val="18"/>
                <w:b w:val="1"/>
                <w:bCs w:val="1"/>
                <w:color w:val="auto"/>
              </w:rPr>
              <w:t>NOT APPLICABLE</w:t>
            </w:r>
          </w:p>
        </w:tc>
        <w:tc>
          <w:tcPr>
            <w:tcW w:w="174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(Former name or address, if changed since last report)</w:t>
            </w:r>
          </w:p>
        </w:tc>
        <w:tc>
          <w:tcPr>
            <w:tcW w:w="17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247" w:right="7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20" w:firstLine="311"/>
        <w:spacing w:after="0" w:line="259" w:lineRule="auto"/>
        <w:rPr>
          <w:sz w:val="20"/>
          <w:szCs w:val="20"/>
          <w:color w:val="auto"/>
        </w:rPr>
      </w:pPr>
      <w:r>
        <w:rPr>
          <w:rFonts w:ascii="Arial" w:cs="Arial" w:eastAsia="Arial" w:hAnsi="Arial"/>
          <w:sz w:val="18"/>
          <w:szCs w:val="18"/>
          <w:color w:val="auto"/>
        </w:rPr>
        <w:t>On June 17, 2016, at the Annual Meeting of Stockholders of ExlService Holdings, Inc. (the “Company”), the Company’s stockholders voted on the following items: (1) the election of two Class I members of the board of directors of the Company, (2) the ratification of the selection of Ernst &amp; Young LLP as the independent registered public accounting firm of the Company for fiscal year 2016 and (3) the approval of the compensation of the named executive officers of the Company.</w:t>
      </w:r>
    </w:p>
    <w:p>
      <w:pPr>
        <w:spacing w:after="0" w:line="187" w:lineRule="exact"/>
        <w:rPr>
          <w:sz w:val="20"/>
          <w:szCs w:val="20"/>
          <w:color w:val="auto"/>
        </w:rPr>
      </w:pPr>
    </w:p>
    <w:p>
      <w:pPr>
        <w:ind w:right="80" w:firstLine="311"/>
        <w:spacing w:after="0" w:line="342" w:lineRule="auto"/>
        <w:rPr>
          <w:sz w:val="20"/>
          <w:szCs w:val="20"/>
          <w:color w:val="auto"/>
        </w:rPr>
      </w:pPr>
      <w:r>
        <w:rPr>
          <w:rFonts w:ascii="Arial" w:cs="Arial" w:eastAsia="Arial" w:hAnsi="Arial"/>
          <w:sz w:val="16"/>
          <w:szCs w:val="16"/>
          <w:color w:val="auto"/>
        </w:rPr>
        <w:t>Each of the two nominees for election to the board of directors was duly elected to serve as a director until the annual meeting of stockholders in 2019 or until his or her successor is duly elected and qualified in accordance with the by-laws of the Company. The final results of the voting were as follows: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340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3660" w:type="dxa"/>
            <w:vAlign w:val="bottom"/>
          </w:tcPr>
          <w:p>
            <w:pPr>
              <w:jc w:val="right"/>
              <w:ind w:right="650"/>
              <w:spacing w:after="0"/>
              <w:rPr>
                <w:sz w:val="20"/>
                <w:szCs w:val="20"/>
                <w:color w:val="auto"/>
              </w:rPr>
            </w:pPr>
            <w:r>
              <w:rPr>
                <w:rFonts w:ascii="Arial" w:cs="Arial" w:eastAsia="Arial" w:hAnsi="Arial"/>
                <w:sz w:val="18"/>
                <w:szCs w:val="18"/>
                <w:b w:val="1"/>
                <w:bCs w:val="1"/>
                <w:color w:val="auto"/>
              </w:rPr>
              <w:t>For</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Withhold</w:t>
            </w: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Rohit Kapoor</w:t>
            </w:r>
          </w:p>
        </w:tc>
        <w:tc>
          <w:tcPr>
            <w:tcW w:w="3660" w:type="dxa"/>
            <w:vAlign w:val="bottom"/>
          </w:tcPr>
          <w:p>
            <w:pPr>
              <w:jc w:val="right"/>
              <w:ind w:right="330"/>
              <w:spacing w:after="0"/>
              <w:rPr>
                <w:sz w:val="20"/>
                <w:szCs w:val="20"/>
                <w:color w:val="auto"/>
              </w:rPr>
            </w:pPr>
            <w:r>
              <w:rPr>
                <w:rFonts w:ascii="Arial" w:cs="Arial" w:eastAsia="Arial" w:hAnsi="Arial"/>
                <w:sz w:val="18"/>
                <w:szCs w:val="18"/>
                <w:color w:val="auto"/>
              </w:rPr>
              <w:t>30,740,174</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313,939</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1,029,436</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Anne Minto</w:t>
            </w:r>
          </w:p>
        </w:tc>
        <w:tc>
          <w:tcPr>
            <w:tcW w:w="3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30,746,002</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308,111</w:t>
            </w:r>
          </w:p>
        </w:tc>
        <w:tc>
          <w:tcPr>
            <w:tcW w:w="1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1,029,436</w:t>
            </w:r>
          </w:p>
        </w:tc>
      </w:tr>
    </w:tbl>
    <w:p>
      <w:pPr>
        <w:spacing w:after="0" w:line="202" w:lineRule="exact"/>
        <w:rPr>
          <w:sz w:val="20"/>
          <w:szCs w:val="20"/>
          <w:color w:val="auto"/>
        </w:rPr>
      </w:pPr>
    </w:p>
    <w:p>
      <w:pPr>
        <w:ind w:right="100" w:firstLine="311"/>
        <w:spacing w:after="0" w:line="277" w:lineRule="auto"/>
        <w:rPr>
          <w:sz w:val="20"/>
          <w:szCs w:val="20"/>
          <w:color w:val="auto"/>
        </w:rPr>
      </w:pPr>
      <w:r>
        <w:rPr>
          <w:rFonts w:ascii="Arial" w:cs="Arial" w:eastAsia="Arial" w:hAnsi="Arial"/>
          <w:sz w:val="18"/>
          <w:szCs w:val="18"/>
          <w:color w:val="auto"/>
        </w:rPr>
        <w:t>The proposal to ratify the selection of Ernst &amp; Young LLP as the independent registered public accounting firm of the Company for fiscal year 2016 was approved. The final results of the voting were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For</w:t>
            </w:r>
          </w:p>
        </w:tc>
        <w:tc>
          <w:tcPr>
            <w:tcW w:w="3700" w:type="dxa"/>
            <w:vAlign w:val="bottom"/>
          </w:tcPr>
          <w:p>
            <w:pPr>
              <w:jc w:val="right"/>
              <w:ind w:right="470"/>
              <w:spacing w:after="0"/>
              <w:rPr>
                <w:sz w:val="20"/>
                <w:szCs w:val="20"/>
                <w:color w:val="auto"/>
              </w:rPr>
            </w:pPr>
            <w:r>
              <w:rPr>
                <w:rFonts w:ascii="Arial" w:cs="Arial" w:eastAsia="Arial" w:hAnsi="Arial"/>
                <w:sz w:val="18"/>
                <w:szCs w:val="18"/>
                <w:b w:val="1"/>
                <w:bCs w:val="1"/>
                <w:color w:val="auto"/>
              </w:rPr>
              <w:t>Against</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Abstain</w:t>
            </w:r>
          </w:p>
        </w:tc>
        <w:tc>
          <w:tcPr>
            <w:tcW w:w="1820" w:type="dxa"/>
            <w:vAlign w:val="bottom"/>
          </w:tcPr>
          <w:p>
            <w:pPr>
              <w:ind w:left="300"/>
              <w:spacing w:after="0"/>
              <w:rPr>
                <w:sz w:val="20"/>
                <w:szCs w:val="20"/>
                <w:color w:val="auto"/>
              </w:rPr>
            </w:pPr>
            <w:r>
              <w:rPr>
                <w:rFonts w:ascii="Arial" w:cs="Arial" w:eastAsia="Arial" w:hAnsi="Arial"/>
                <w:sz w:val="18"/>
                <w:szCs w:val="18"/>
                <w:b w:val="1"/>
                <w:bCs w:val="1"/>
                <w:color w:val="auto"/>
                <w:w w:val="97"/>
              </w:rPr>
              <w:t>Broker Non-Votes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31,605,957</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477,182</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410</w:t>
            </w:r>
          </w:p>
        </w:tc>
        <w:tc>
          <w:tcPr>
            <w:tcW w:w="18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proposal to approve the compensation of the named executive officers of the Company was approved. The final results of the voting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ind w:left="580"/>
              <w:spacing w:after="0"/>
              <w:rPr>
                <w:sz w:val="20"/>
                <w:szCs w:val="20"/>
                <w:color w:val="auto"/>
              </w:rPr>
            </w:pPr>
            <w:r>
              <w:rPr>
                <w:rFonts w:ascii="Arial" w:cs="Arial" w:eastAsia="Arial" w:hAnsi="Arial"/>
                <w:sz w:val="18"/>
                <w:szCs w:val="18"/>
                <w:b w:val="1"/>
                <w:bCs w:val="1"/>
                <w:color w:val="auto"/>
              </w:rPr>
              <w:t>For</w:t>
            </w:r>
          </w:p>
        </w:tc>
        <w:tc>
          <w:tcPr>
            <w:tcW w:w="3680" w:type="dxa"/>
            <w:vAlign w:val="bottom"/>
          </w:tcPr>
          <w:p>
            <w:pPr>
              <w:jc w:val="right"/>
              <w:ind w:right="450"/>
              <w:spacing w:after="0"/>
              <w:rPr>
                <w:sz w:val="20"/>
                <w:szCs w:val="20"/>
                <w:color w:val="auto"/>
              </w:rPr>
            </w:pPr>
            <w:r>
              <w:rPr>
                <w:rFonts w:ascii="Arial" w:cs="Arial" w:eastAsia="Arial" w:hAnsi="Arial"/>
                <w:sz w:val="18"/>
                <w:szCs w:val="18"/>
                <w:b w:val="1"/>
                <w:bCs w:val="1"/>
                <w:color w:val="auto"/>
              </w:rPr>
              <w:t>Against</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Abstain</w:t>
            </w:r>
          </w:p>
        </w:tc>
        <w:tc>
          <w:tcPr>
            <w:tcW w:w="1820" w:type="dxa"/>
            <w:vAlign w:val="bottom"/>
          </w:tcPr>
          <w:p>
            <w:pPr>
              <w:jc w:val="right"/>
              <w:ind w:right="30"/>
              <w:spacing w:after="0"/>
              <w:rPr>
                <w:sz w:val="20"/>
                <w:szCs w:val="20"/>
                <w:color w:val="auto"/>
              </w:rPr>
            </w:pPr>
            <w:r>
              <w:rPr>
                <w:rFonts w:ascii="Arial" w:cs="Arial" w:eastAsia="Arial" w:hAnsi="Arial"/>
                <w:sz w:val="18"/>
                <w:szCs w:val="18"/>
                <w:b w:val="1"/>
                <w:bCs w:val="1"/>
                <w:color w:val="auto"/>
              </w:rPr>
              <w:t>Broker Non-Votes</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30,953,390</w:t>
            </w:r>
          </w:p>
        </w:tc>
        <w:tc>
          <w:tcPr>
            <w:tcW w:w="3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96,146</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4,577</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1,029,436</w:t>
            </w:r>
          </w:p>
        </w:tc>
        <w:tc>
          <w:tcPr>
            <w:tcW w:w="560" w:type="dxa"/>
            <w:vAlign w:val="bottom"/>
          </w:tcPr>
          <w:p>
            <w:pPr>
              <w:spacing w:after="0"/>
              <w:rPr>
                <w:sz w:val="18"/>
                <w:szCs w:val="18"/>
                <w:color w:val="auto"/>
              </w:rPr>
            </w:pPr>
          </w:p>
        </w:tc>
      </w:tr>
      <w:tr>
        <w:trPr>
          <w:trHeight w:val="1161"/>
        </w:trPr>
        <w:tc>
          <w:tcPr>
            <w:tcW w:w="5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820" w:firstLine="311"/>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820" w:type="dxa"/>
            <w:vAlign w:val="bottom"/>
            <w:gridSpan w:val="2"/>
          </w:tcPr>
          <w:p>
            <w:pPr>
              <w:ind w:left="216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600" w:type="dxa"/>
            <w:vAlign w:val="bottom"/>
          </w:tcPr>
          <w:p>
            <w:pPr>
              <w:spacing w:after="0"/>
              <w:rPr>
                <w:sz w:val="20"/>
                <w:szCs w:val="20"/>
                <w:color w:val="auto"/>
              </w:rPr>
            </w:pPr>
          </w:p>
        </w:tc>
        <w:tc>
          <w:tcPr>
            <w:tcW w:w="7820" w:type="dxa"/>
            <w:vAlign w:val="bottom"/>
            <w:gridSpan w:val="2"/>
          </w:tcPr>
          <w:p>
            <w:pPr>
              <w:ind w:left="2160"/>
              <w:spacing w:after="0"/>
              <w:rPr>
                <w:sz w:val="20"/>
                <w:szCs w:val="20"/>
                <w:color w:val="auto"/>
              </w:rPr>
            </w:pPr>
            <w:r>
              <w:rPr>
                <w:rFonts w:ascii="Arial" w:cs="Arial" w:eastAsia="Arial" w:hAnsi="Arial"/>
                <w:sz w:val="18"/>
                <w:szCs w:val="18"/>
                <w:color w:val="auto"/>
              </w:rPr>
              <w:t>(Registrant)</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June 20, 2016</w:t>
            </w: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Nancy Saltzman</w:t>
            </w:r>
          </w:p>
        </w:tc>
      </w:tr>
      <w:tr>
        <w:trPr>
          <w:trHeight w:val="195"/>
        </w:trPr>
        <w:tc>
          <w:tcPr>
            <w:tcW w:w="3600" w:type="dxa"/>
            <w:vAlign w:val="bottom"/>
          </w:tcPr>
          <w:p>
            <w:pPr>
              <w:spacing w:after="0"/>
              <w:rPr>
                <w:sz w:val="16"/>
                <w:szCs w:val="16"/>
                <w:color w:val="auto"/>
              </w:rPr>
            </w:pPr>
          </w:p>
        </w:tc>
        <w:tc>
          <w:tcPr>
            <w:tcW w:w="272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ind w:left="120"/>
              <w:spacing w:after="0" w:line="195" w:lineRule="exact"/>
              <w:rPr>
                <w:sz w:val="20"/>
                <w:szCs w:val="20"/>
                <w:color w:val="auto"/>
              </w:rPr>
            </w:pPr>
            <w:r>
              <w:rPr>
                <w:rFonts w:ascii="Arial" w:cs="Arial" w:eastAsia="Arial" w:hAnsi="Arial"/>
                <w:sz w:val="18"/>
                <w:szCs w:val="18"/>
                <w:color w:val="auto"/>
              </w:rPr>
              <w:t>Nancy Saltzman</w:t>
            </w:r>
          </w:p>
        </w:tc>
      </w:tr>
      <w:tr>
        <w:trPr>
          <w:trHeight w:val="216"/>
        </w:trPr>
        <w:tc>
          <w:tcPr>
            <w:tcW w:w="3600" w:type="dxa"/>
            <w:vAlign w:val="bottom"/>
          </w:tcPr>
          <w:p>
            <w:pPr>
              <w:spacing w:after="0"/>
              <w:rPr>
                <w:sz w:val="18"/>
                <w:szCs w:val="18"/>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Title:</w:t>
            </w:r>
          </w:p>
        </w:tc>
        <w:tc>
          <w:tcPr>
            <w:tcW w:w="51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r>
        <w:trPr>
          <w:trHeight w:val="230"/>
        </w:trPr>
        <w:tc>
          <w:tcPr>
            <w:tcW w:w="3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General Counsel and Secretary</w:t>
            </w:r>
          </w:p>
        </w:tc>
      </w:tr>
      <w:tr>
        <w:trPr>
          <w:trHeight w:val="2377"/>
        </w:trPr>
        <w:tc>
          <w:tcPr>
            <w:tcW w:w="36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2019-12-08T02:05:35Z</dcterms:created>
  <dcterms:modified xsi:type="dcterms:W3CDTF">2019-12-08T02:05:35Z</dcterms:modified>
</cp:coreProperties>
</file>