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4540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45401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Bhalla Vikas</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5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02/13/2018</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603"/>
        <w:spacing w:after="0"/>
        <w:rPr>
          <w:sz w:val="20"/>
          <w:szCs w:val="20"/>
          <w:color w:val="auto"/>
        </w:rPr>
      </w:pPr>
      <w:r>
        <w:rPr>
          <w:rFonts w:ascii="Arial" w:cs="Arial" w:eastAsia="Arial" w:hAnsi="Arial"/>
          <w:sz w:val="18"/>
          <w:szCs w:val="18"/>
          <w:color w:val="0000FF"/>
        </w:rPr>
        <w:t>EVP &amp; Head of Outsourcing.</w:t>
      </w:r>
    </w:p>
    <w:p>
      <w:pPr>
        <w:spacing w:after="0" w:line="315"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10017</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44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540" w:type="dxa"/>
            <w:vAlign w:val="bottom"/>
          </w:tcPr>
          <w:p>
            <w:pPr>
              <w:spacing w:after="0"/>
              <w:rPr>
                <w:sz w:val="14"/>
                <w:szCs w:val="14"/>
                <w:color w:val="auto"/>
              </w:rPr>
            </w:pPr>
          </w:p>
        </w:tc>
        <w:tc>
          <w:tcPr>
            <w:tcW w:w="1260" w:type="dxa"/>
            <w:vAlign w:val="bottom"/>
            <w:gridSpan w:val="2"/>
          </w:tcPr>
          <w:p>
            <w:pPr>
              <w:ind w:left="18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4"/>
                <w:szCs w:val="14"/>
                <w:color w:val="auto"/>
              </w:rPr>
            </w:pPr>
          </w:p>
        </w:tc>
        <w:tc>
          <w:tcPr>
            <w:tcW w:w="180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ind w:left="180"/>
              <w:spacing w:after="0" w:line="133"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9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6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6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(Month/Day/Year)</w:t>
            </w:r>
          </w:p>
        </w:tc>
        <w:tc>
          <w:tcPr>
            <w:tcW w:w="9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spacing w:after="0" w:line="135"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78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660" w:type="dxa"/>
            <w:vAlign w:val="bottom"/>
            <w:vMerge w:val="restart"/>
          </w:tcPr>
          <w:p>
            <w:pPr>
              <w:jc w:val="right"/>
              <w:ind w:right="134"/>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220" w:type="dxa"/>
            <w:vAlign w:val="bottom"/>
            <w:tcBorders>
              <w:bottom w:val="single" w:sz="8" w:color="2C2C2C"/>
            </w:tcBorders>
            <w:gridSpan w:val="4"/>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220" w:type="dxa"/>
            <w:vAlign w:val="bottom"/>
            <w:gridSpan w:val="4"/>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260" w:type="dxa"/>
            <w:vAlign w:val="bottom"/>
            <w:gridSpan w:val="2"/>
          </w:tcPr>
          <w:p>
            <w:pPr>
              <w:jc w:val="right"/>
              <w:ind w:right="118"/>
              <w:spacing w:after="0"/>
              <w:rPr>
                <w:sz w:val="20"/>
                <w:szCs w:val="20"/>
                <w:color w:val="auto"/>
              </w:rPr>
            </w:pPr>
            <w:r>
              <w:rPr>
                <w:rFonts w:ascii="Arial" w:cs="Arial" w:eastAsia="Arial" w:hAnsi="Arial"/>
                <w:sz w:val="18"/>
                <w:szCs w:val="18"/>
                <w:color w:val="0000FF"/>
              </w:rPr>
              <w:t>02/13/2018</w:t>
            </w:r>
          </w:p>
        </w:tc>
        <w:tc>
          <w:tcPr>
            <w:tcW w:w="1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jc w:val="center"/>
              <w:ind w:right="117"/>
              <w:spacing w:after="0"/>
              <w:rPr>
                <w:sz w:val="20"/>
                <w:szCs w:val="20"/>
                <w:color w:val="auto"/>
              </w:rPr>
            </w:pPr>
            <w:r>
              <w:rPr>
                <w:rFonts w:ascii="Arial" w:cs="Arial" w:eastAsia="Arial" w:hAnsi="Arial"/>
                <w:sz w:val="14"/>
                <w:szCs w:val="14"/>
                <w:color w:val="0000FF"/>
              </w:rPr>
              <w:t>M</w:t>
            </w:r>
          </w:p>
        </w:tc>
        <w:tc>
          <w:tcPr>
            <w:tcW w:w="22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0000FF"/>
              </w:rPr>
              <w:t>2,400</w:t>
            </w:r>
          </w:p>
        </w:tc>
        <w:tc>
          <w:tcPr>
            <w:tcW w:w="660" w:type="dxa"/>
            <w:vAlign w:val="bottom"/>
          </w:tcPr>
          <w:p>
            <w:pPr>
              <w:ind w:left="400"/>
              <w:spacing w:after="0"/>
              <w:rPr>
                <w:sz w:val="20"/>
                <w:szCs w:val="20"/>
                <w:color w:val="auto"/>
              </w:rPr>
            </w:pPr>
            <w:r>
              <w:rPr>
                <w:rFonts w:ascii="Arial" w:cs="Arial" w:eastAsia="Arial" w:hAnsi="Arial"/>
                <w:sz w:val="18"/>
                <w:szCs w:val="18"/>
                <w:color w:val="0000FF"/>
              </w:rPr>
              <w:t>A</w:t>
            </w:r>
          </w:p>
        </w:tc>
        <w:tc>
          <w:tcPr>
            <w:tcW w:w="540" w:type="dxa"/>
            <w:vAlign w:val="bottom"/>
          </w:tcPr>
          <w:p>
            <w:pPr>
              <w:jc w:val="right"/>
              <w:spacing w:after="0"/>
              <w:rPr>
                <w:sz w:val="20"/>
                <w:szCs w:val="20"/>
                <w:color w:val="auto"/>
              </w:rPr>
            </w:pPr>
            <w:r>
              <w:rPr>
                <w:rFonts w:ascii="Arial" w:cs="Arial" w:eastAsia="Arial" w:hAnsi="Arial"/>
                <w:sz w:val="11"/>
                <w:szCs w:val="11"/>
                <w:color w:val="008000"/>
              </w:rPr>
              <w:t>(1)</w:t>
            </w: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20" w:type="dxa"/>
            <w:vAlign w:val="bottom"/>
            <w:gridSpan w:val="2"/>
          </w:tcPr>
          <w:p>
            <w:pPr>
              <w:ind w:left="400"/>
              <w:spacing w:after="0"/>
              <w:rPr>
                <w:sz w:val="20"/>
                <w:szCs w:val="20"/>
                <w:color w:val="auto"/>
              </w:rPr>
            </w:pPr>
            <w:r>
              <w:rPr>
                <w:rFonts w:ascii="Arial" w:cs="Arial" w:eastAsia="Arial" w:hAnsi="Arial"/>
                <w:sz w:val="18"/>
                <w:szCs w:val="18"/>
                <w:color w:val="0000FF"/>
              </w:rPr>
              <w:t>8,783</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220" w:type="dxa"/>
            <w:vAlign w:val="bottom"/>
            <w:tcBorders>
              <w:bottom w:val="single" w:sz="8" w:color="2C2C2C"/>
            </w:tcBorders>
            <w:gridSpan w:val="4"/>
          </w:tcPr>
          <w:p>
            <w:pPr>
              <w:spacing w:after="0"/>
              <w:rPr>
                <w:sz w:val="5"/>
                <w:szCs w:val="5"/>
                <w:color w:val="auto"/>
              </w:rPr>
            </w:pPr>
          </w:p>
        </w:tc>
        <w:tc>
          <w:tcPr>
            <w:tcW w:w="1260" w:type="dxa"/>
            <w:vAlign w:val="bottom"/>
            <w:tcBorders>
              <w:bottom w:val="single" w:sz="8" w:color="2C2C2C"/>
            </w:tcBorders>
            <w:gridSpan w:val="2"/>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gridSpan w:val="2"/>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260" w:type="dxa"/>
            <w:vAlign w:val="bottom"/>
            <w:tcBorders>
              <w:bottom w:val="single" w:sz="8" w:color="2C2C2C"/>
            </w:tcBorders>
            <w:gridSpan w:val="2"/>
          </w:tcPr>
          <w:p>
            <w:pPr>
              <w:jc w:val="right"/>
              <w:ind w:right="118"/>
              <w:spacing w:after="0"/>
              <w:rPr>
                <w:sz w:val="20"/>
                <w:szCs w:val="20"/>
                <w:color w:val="auto"/>
              </w:rPr>
            </w:pPr>
            <w:r>
              <w:rPr>
                <w:rFonts w:ascii="Arial" w:cs="Arial" w:eastAsia="Arial" w:hAnsi="Arial"/>
                <w:sz w:val="18"/>
                <w:szCs w:val="18"/>
                <w:color w:val="0000FF"/>
              </w:rPr>
              <w:t>02/13/2018</w:t>
            </w:r>
          </w:p>
        </w:tc>
        <w:tc>
          <w:tcPr>
            <w:tcW w:w="1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117"/>
              <w:spacing w:after="0"/>
              <w:rPr>
                <w:sz w:val="20"/>
                <w:szCs w:val="20"/>
                <w:color w:val="auto"/>
              </w:rPr>
            </w:pPr>
            <w:r>
              <w:rPr>
                <w:rFonts w:ascii="Arial" w:cs="Arial" w:eastAsia="Arial" w:hAnsi="Arial"/>
                <w:sz w:val="14"/>
                <w:szCs w:val="14"/>
                <w:color w:val="0000FF"/>
                <w:w w:val="92"/>
              </w:rPr>
              <w:t>F</w:t>
            </w:r>
          </w:p>
        </w:tc>
        <w:tc>
          <w:tcPr>
            <w:tcW w:w="2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jc w:val="right"/>
              <w:ind w:right="12"/>
              <w:spacing w:after="0"/>
              <w:rPr>
                <w:sz w:val="20"/>
                <w:szCs w:val="20"/>
                <w:color w:val="auto"/>
              </w:rPr>
            </w:pPr>
            <w:r>
              <w:rPr>
                <w:rFonts w:ascii="Arial" w:cs="Arial" w:eastAsia="Arial" w:hAnsi="Arial"/>
                <w:sz w:val="18"/>
                <w:szCs w:val="18"/>
                <w:color w:val="0000FF"/>
              </w:rPr>
              <w:t>853</w:t>
            </w:r>
          </w:p>
        </w:tc>
        <w:tc>
          <w:tcPr>
            <w:tcW w:w="66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3"/>
          </w:tcPr>
          <w:p>
            <w:pPr>
              <w:ind w:left="140"/>
              <w:spacing w:after="0"/>
              <w:rPr>
                <w:sz w:val="20"/>
                <w:szCs w:val="20"/>
                <w:color w:val="auto"/>
              </w:rPr>
            </w:pPr>
            <w:r>
              <w:rPr>
                <w:rFonts w:ascii="Arial" w:cs="Arial" w:eastAsia="Arial" w:hAnsi="Arial"/>
                <w:sz w:val="18"/>
                <w:szCs w:val="18"/>
                <w:color w:val="auto"/>
                <w:w w:val="92"/>
              </w:rPr>
              <w:t>$</w:t>
            </w:r>
            <w:r>
              <w:rPr>
                <w:rFonts w:ascii="Arial" w:cs="Arial" w:eastAsia="Arial" w:hAnsi="Arial"/>
                <w:sz w:val="18"/>
                <w:szCs w:val="18"/>
                <w:color w:val="0000FF"/>
                <w:w w:val="92"/>
              </w:rPr>
              <w:t>57.6</w:t>
            </w:r>
            <w:r>
              <w:rPr>
                <w:rFonts w:ascii="Arial" w:cs="Arial" w:eastAsia="Arial" w:hAnsi="Arial"/>
                <w:sz w:val="22"/>
                <w:szCs w:val="22"/>
                <w:color w:val="008000"/>
                <w:w w:val="92"/>
                <w:vertAlign w:val="superscript"/>
              </w:rPr>
              <w:t>(2)</w:t>
            </w:r>
          </w:p>
        </w:tc>
        <w:tc>
          <w:tcPr>
            <w:tcW w:w="1220" w:type="dxa"/>
            <w:vAlign w:val="bottom"/>
            <w:tcBorders>
              <w:bottom w:val="single" w:sz="8" w:color="2C2C2C"/>
            </w:tcBorders>
            <w:gridSpan w:val="2"/>
          </w:tcPr>
          <w:p>
            <w:pPr>
              <w:ind w:left="400"/>
              <w:spacing w:after="0"/>
              <w:rPr>
                <w:sz w:val="20"/>
                <w:szCs w:val="20"/>
                <w:color w:val="auto"/>
              </w:rPr>
            </w:pPr>
            <w:r>
              <w:rPr>
                <w:rFonts w:ascii="Arial" w:cs="Arial" w:eastAsia="Arial" w:hAnsi="Arial"/>
                <w:sz w:val="18"/>
                <w:szCs w:val="18"/>
                <w:color w:val="0000FF"/>
              </w:rPr>
              <w:t>7,930</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420" w:type="dxa"/>
            <w:vAlign w:val="bottom"/>
            <w:tcBorders>
              <w:top w:val="single" w:sz="8" w:color="2C2C2C"/>
            </w:tcBorders>
            <w:gridSpan w:val="15"/>
          </w:tcPr>
          <w:p>
            <w:pPr>
              <w:jc w:val="center"/>
              <w:ind w:left="91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060" w:type="dxa"/>
            <w:vAlign w:val="bottom"/>
            <w:gridSpan w:val="11"/>
          </w:tcPr>
          <w:p>
            <w:pPr>
              <w:jc w:val="center"/>
              <w:ind w:right="2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4"/>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8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0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6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Derivative Security</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60" w:type="dxa"/>
            <w:vAlign w:val="bottom"/>
          </w:tcPr>
          <w:p>
            <w:pPr>
              <w:ind w:left="20"/>
              <w:spacing w:after="0"/>
              <w:rPr>
                <w:sz w:val="20"/>
                <w:szCs w:val="20"/>
                <w:color w:val="auto"/>
              </w:rPr>
            </w:pPr>
            <w:r>
              <w:rPr>
                <w:rFonts w:ascii="Arial" w:cs="Arial" w:eastAsia="Arial" w:hAnsi="Arial"/>
                <w:sz w:val="14"/>
                <w:szCs w:val="14"/>
                <w:color w:val="0000FF"/>
              </w:rPr>
              <w:t>Common</w:t>
            </w: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Restricted</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0" w:type="dxa"/>
            <w:vAlign w:val="bottom"/>
            <w:gridSpan w:val="2"/>
            <w:vMerge w:val="restart"/>
          </w:tcPr>
          <w:p>
            <w:pPr>
              <w:jc w:val="center"/>
              <w:spacing w:after="0"/>
              <w:rPr>
                <w:sz w:val="20"/>
                <w:szCs w:val="20"/>
                <w:color w:val="auto"/>
              </w:rPr>
            </w:pPr>
            <w:r>
              <w:rPr>
                <w:rFonts w:ascii="Arial" w:cs="Arial" w:eastAsia="Arial" w:hAnsi="Arial"/>
                <w:sz w:val="11"/>
                <w:szCs w:val="11"/>
                <w:color w:val="008000"/>
              </w:rPr>
              <w:t>(3)</w:t>
            </w:r>
          </w:p>
        </w:tc>
        <w:tc>
          <w:tcPr>
            <w:tcW w:w="220" w:type="dxa"/>
            <w:vAlign w:val="bottom"/>
          </w:tcPr>
          <w:p>
            <w:pPr>
              <w:spacing w:after="0"/>
              <w:rPr>
                <w:sz w:val="12"/>
                <w:szCs w:val="12"/>
                <w:color w:val="auto"/>
              </w:rPr>
            </w:pPr>
          </w:p>
        </w:tc>
        <w:tc>
          <w:tcPr>
            <w:tcW w:w="560" w:type="dxa"/>
            <w:vAlign w:val="bottom"/>
            <w:vMerge w:val="restart"/>
          </w:tcPr>
          <w:p>
            <w:pPr>
              <w:ind w:left="60"/>
              <w:spacing w:after="0"/>
              <w:rPr>
                <w:sz w:val="20"/>
                <w:szCs w:val="20"/>
                <w:color w:val="auto"/>
              </w:rPr>
            </w:pPr>
            <w:r>
              <w:rPr>
                <w:rFonts w:ascii="Arial" w:cs="Arial" w:eastAsia="Arial" w:hAnsi="Arial"/>
                <w:sz w:val="11"/>
                <w:szCs w:val="11"/>
                <w:color w:val="008000"/>
              </w:rPr>
              <w:t>(3)</w:t>
            </w:r>
          </w:p>
        </w:tc>
        <w:tc>
          <w:tcPr>
            <w:tcW w:w="660" w:type="dxa"/>
            <w:vAlign w:val="bottom"/>
          </w:tcPr>
          <w:p>
            <w:pPr>
              <w:jc w:val="right"/>
              <w:ind w:right="154"/>
              <w:spacing w:after="0" w:line="149" w:lineRule="exact"/>
              <w:rPr>
                <w:sz w:val="20"/>
                <w:szCs w:val="20"/>
                <w:color w:val="auto"/>
              </w:rPr>
            </w:pPr>
            <w:r>
              <w:rPr>
                <w:rFonts w:ascii="Arial" w:cs="Arial" w:eastAsia="Arial" w:hAnsi="Arial"/>
                <w:sz w:val="14"/>
                <w:szCs w:val="14"/>
                <w:color w:val="0000FF"/>
              </w:rPr>
              <w:t>Stock,</w:t>
            </w:r>
          </w:p>
        </w:tc>
        <w:tc>
          <w:tcPr>
            <w:tcW w:w="540" w:type="dxa"/>
            <w:vAlign w:val="bottom"/>
            <w:vMerge w:val="restart"/>
          </w:tcPr>
          <w:p>
            <w:pPr>
              <w:jc w:val="right"/>
              <w:ind w:right="34"/>
              <w:spacing w:after="0"/>
              <w:rPr>
                <w:sz w:val="20"/>
                <w:szCs w:val="20"/>
                <w:color w:val="auto"/>
              </w:rPr>
            </w:pPr>
            <w:r>
              <w:rPr>
                <w:rFonts w:ascii="Arial" w:cs="Arial" w:eastAsia="Arial" w:hAnsi="Arial"/>
                <w:sz w:val="18"/>
                <w:szCs w:val="18"/>
                <w:color w:val="0000FF"/>
                <w:w w:val="93"/>
              </w:rPr>
              <w:t>2,400</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12"/>
                <w:szCs w:val="12"/>
                <w:color w:val="auto"/>
              </w:rPr>
            </w:pPr>
          </w:p>
        </w:tc>
        <w:tc>
          <w:tcPr>
            <w:tcW w:w="1140" w:type="dxa"/>
            <w:vAlign w:val="bottom"/>
          </w:tcPr>
          <w:p>
            <w:pPr>
              <w:jc w:val="right"/>
              <w:ind w:right="192"/>
              <w:spacing w:after="0" w:line="149" w:lineRule="exact"/>
              <w:rPr>
                <w:sz w:val="20"/>
                <w:szCs w:val="20"/>
                <w:color w:val="auto"/>
              </w:rPr>
            </w:pPr>
            <w:r>
              <w:rPr>
                <w:rFonts w:ascii="Arial" w:cs="Arial" w:eastAsia="Arial" w:hAnsi="Arial"/>
                <w:sz w:val="14"/>
                <w:szCs w:val="14"/>
                <w:color w:val="0000FF"/>
              </w:rPr>
              <w:t>02/13/2018</w:t>
            </w: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60" w:type="dxa"/>
            <w:vAlign w:val="bottom"/>
          </w:tcPr>
          <w:p>
            <w:pPr>
              <w:ind w:left="160"/>
              <w:spacing w:after="0" w:line="149" w:lineRule="exact"/>
              <w:rPr>
                <w:sz w:val="20"/>
                <w:szCs w:val="20"/>
                <w:color w:val="auto"/>
              </w:rPr>
            </w:pPr>
            <w:r>
              <w:rPr>
                <w:rFonts w:ascii="Arial" w:cs="Arial" w:eastAsia="Arial" w:hAnsi="Arial"/>
                <w:sz w:val="14"/>
                <w:szCs w:val="14"/>
                <w:color w:val="0000FF"/>
              </w:rPr>
              <w:t>M</w:t>
            </w:r>
          </w:p>
        </w:tc>
        <w:tc>
          <w:tcPr>
            <w:tcW w:w="160" w:type="dxa"/>
            <w:vAlign w:val="bottom"/>
          </w:tcPr>
          <w:p>
            <w:pPr>
              <w:spacing w:after="0"/>
              <w:rPr>
                <w:sz w:val="12"/>
                <w:szCs w:val="12"/>
                <w:color w:val="auto"/>
              </w:rPr>
            </w:pPr>
          </w:p>
        </w:tc>
        <w:tc>
          <w:tcPr>
            <w:tcW w:w="820" w:type="dxa"/>
            <w:vAlign w:val="bottom"/>
          </w:tcPr>
          <w:p>
            <w:pPr>
              <w:ind w:left="400"/>
              <w:spacing w:after="0" w:line="149" w:lineRule="exact"/>
              <w:rPr>
                <w:sz w:val="20"/>
                <w:szCs w:val="20"/>
                <w:color w:val="auto"/>
              </w:rPr>
            </w:pPr>
            <w:r>
              <w:rPr>
                <w:rFonts w:ascii="Arial" w:cs="Arial" w:eastAsia="Arial" w:hAnsi="Arial"/>
                <w:sz w:val="14"/>
                <w:szCs w:val="14"/>
                <w:color w:val="0000FF"/>
              </w:rPr>
              <w:t>2,400</w:t>
            </w:r>
          </w:p>
        </w:tc>
        <w:tc>
          <w:tcPr>
            <w:tcW w:w="8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660" w:type="dxa"/>
            <w:vAlign w:val="bottom"/>
          </w:tcPr>
          <w:p>
            <w:pPr>
              <w:ind w:left="20"/>
              <w:spacing w:after="0" w:line="149" w:lineRule="exact"/>
              <w:rPr>
                <w:sz w:val="20"/>
                <w:szCs w:val="20"/>
                <w:color w:val="auto"/>
              </w:rPr>
            </w:pPr>
            <w:r>
              <w:rPr>
                <w:rFonts w:ascii="Arial" w:cs="Arial" w:eastAsia="Arial" w:hAnsi="Arial"/>
                <w:sz w:val="14"/>
                <w:szCs w:val="14"/>
                <w:color w:val="0000FF"/>
              </w:rPr>
              <w:t>par value</w:t>
            </w:r>
          </w:p>
        </w:tc>
        <w:tc>
          <w:tcPr>
            <w:tcW w:w="5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ind w:left="1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700" w:type="dxa"/>
            <w:vAlign w:val="bottom"/>
          </w:tcPr>
          <w:p>
            <w:pPr>
              <w:ind w:left="460"/>
              <w:spacing w:after="0" w:line="149" w:lineRule="exact"/>
              <w:rPr>
                <w:sz w:val="20"/>
                <w:szCs w:val="20"/>
                <w:color w:val="auto"/>
              </w:rPr>
            </w:pPr>
            <w:r>
              <w:rPr>
                <w:rFonts w:ascii="Arial" w:cs="Arial" w:eastAsia="Arial" w:hAnsi="Arial"/>
                <w:sz w:val="14"/>
                <w:szCs w:val="14"/>
                <w:color w:val="0000FF"/>
              </w:rPr>
              <w:t>0</w:t>
            </w:r>
          </w:p>
        </w:tc>
        <w:tc>
          <w:tcPr>
            <w:tcW w:w="280" w:type="dxa"/>
            <w:vAlign w:val="bottom"/>
          </w:tcPr>
          <w:p>
            <w:pPr>
              <w:spacing w:after="0"/>
              <w:rPr>
                <w:sz w:val="12"/>
                <w:szCs w:val="12"/>
                <w:color w:val="auto"/>
              </w:rPr>
            </w:pPr>
          </w:p>
        </w:tc>
        <w:tc>
          <w:tcPr>
            <w:tcW w:w="700" w:type="dxa"/>
            <w:vAlign w:val="bottom"/>
          </w:tcPr>
          <w:p>
            <w:pPr>
              <w:ind w:left="340"/>
              <w:spacing w:after="0" w:line="149"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60" w:type="dxa"/>
            <w:vAlign w:val="bottom"/>
          </w:tcPr>
          <w:p>
            <w:pPr>
              <w:jc w:val="right"/>
              <w:ind w:right="134"/>
              <w:spacing w:after="0" w:line="149" w:lineRule="exact"/>
              <w:rPr>
                <w:sz w:val="20"/>
                <w:szCs w:val="20"/>
                <w:color w:val="auto"/>
              </w:rPr>
            </w:pPr>
            <w:r>
              <w:rPr>
                <w:rFonts w:ascii="Arial" w:cs="Arial" w:eastAsia="Arial" w:hAnsi="Arial"/>
                <w:sz w:val="14"/>
                <w:szCs w:val="14"/>
                <w:color w:val="0000FF"/>
              </w:rPr>
              <w:t>$0.001</w:t>
            </w: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ind w:left="20"/>
              <w:spacing w:after="0"/>
              <w:rPr>
                <w:sz w:val="20"/>
                <w:szCs w:val="20"/>
                <w:color w:val="auto"/>
              </w:rPr>
            </w:pPr>
            <w:r>
              <w:rPr>
                <w:rFonts w:ascii="Arial" w:cs="Arial" w:eastAsia="Arial" w:hAnsi="Arial"/>
                <w:sz w:val="14"/>
                <w:szCs w:val="14"/>
                <w:color w:val="0000FF"/>
              </w:rPr>
              <w:t>per share</w:t>
            </w: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Restricted stock units of ExlService Holdings, Inc. (the "Company") convert into common stock, par value $0.001 per share (the "Common Stock") on a one-for-one basis.</w:t>
      </w:r>
    </w:p>
    <w:p>
      <w:pPr>
        <w:spacing w:after="0" w:line="41" w:lineRule="exact"/>
        <w:rPr>
          <w:rFonts w:ascii="Arial" w:cs="Arial" w:eastAsia="Arial" w:hAnsi="Arial"/>
          <w:sz w:val="14"/>
          <w:szCs w:val="14"/>
          <w:color w:val="008000"/>
        </w:rPr>
      </w:pPr>
    </w:p>
    <w:p>
      <w:pPr>
        <w:ind w:left="40" w:right="42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reporting person's restricted stock units reported in this report vested on February 13, 2018. Pursuant to the Company's 2006 Omnibus Award Plan, pursuant to which such restricted stock units were granted, the average of the high and low sale prices of the Common Stock on the Nasdaq Global Select Market on the preceding day is used for purposes of computing tax reporting and withholding.</w:t>
      </w:r>
    </w:p>
    <w:p>
      <w:pPr>
        <w:ind w:left="40" w:right="14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On February 13, 2014, the reporting person was granted 6,000 restricted stock units, 10 percent of the restricted stock units became vested on February 13, 2015, an additional 20 percent of the restricted stock units became vested on February 13, 2016, an additional 30 percent of the restricted stock units became vested on February 13, 2017, and the remaining balance of 2,400 shares of the restricted stock units became vested February 13, 2018.</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02/15/2018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73633"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2019-12-04T01:51:00Z</dcterms:created>
  <dcterms:modified xsi:type="dcterms:W3CDTF">2019-12-04T01:51:00Z</dcterms:modified>
</cp:coreProperties>
</file>