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038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SAWHNEY MOHANBIR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05/21/2013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2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05/21/2013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15,000</w:t>
            </w:r>
          </w:p>
        </w:tc>
        <w:tc>
          <w:tcPr>
            <w:tcW w:w="58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11.875</w:t>
            </w:r>
          </w:p>
        </w:tc>
        <w:tc>
          <w:tcPr>
            <w:tcW w:w="1360" w:type="dxa"/>
            <w:vAlign w:val="bottom"/>
            <w:gridSpan w:val="3"/>
            <w:vMerge w:val="restart"/>
          </w:tcPr>
          <w:p>
            <w:pPr>
              <w:jc w:val="right"/>
              <w:ind w:right="317"/>
              <w:spacing w:after="0"/>
              <w:rPr>
                <w:sz w:val="20"/>
                <w:szCs w:val="20"/>
                <w:color w:val="auto"/>
              </w:rPr>
            </w:pPr>
            <w:r>
              <w:rPr>
                <w:rFonts w:ascii="Arial" w:cs="Arial" w:eastAsia="Arial" w:hAnsi="Arial"/>
                <w:sz w:val="17"/>
                <w:szCs w:val="17"/>
                <w:color w:val="0000FF"/>
              </w:rPr>
              <w:t>15,000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05/21/2013</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15,000</w:t>
            </w:r>
          </w:p>
        </w:tc>
        <w:tc>
          <w:tcPr>
            <w:tcW w:w="58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29.9116</w:t>
            </w:r>
            <w:r>
              <w:rPr>
                <w:rFonts w:ascii="Arial" w:cs="Arial" w:eastAsia="Arial" w:hAnsi="Arial"/>
                <w:sz w:val="22"/>
                <w:szCs w:val="22"/>
                <w:color w:val="008000"/>
                <w:w w:val="87"/>
                <w:vertAlign w:val="superscript"/>
              </w:rPr>
              <w:t>(2)</w:t>
            </w:r>
          </w:p>
        </w:tc>
        <w:tc>
          <w:tcPr>
            <w:tcW w:w="500" w:type="dxa"/>
            <w:vAlign w:val="bottom"/>
          </w:tcPr>
          <w:p>
            <w:pPr>
              <w:spacing w:after="0"/>
              <w:rPr>
                <w:sz w:val="22"/>
                <w:szCs w:val="22"/>
                <w:color w:val="auto"/>
              </w:rPr>
            </w:pPr>
          </w:p>
        </w:tc>
        <w:tc>
          <w:tcPr>
            <w:tcW w:w="720" w:type="dxa"/>
            <w:vAlign w:val="bottom"/>
            <w:vMerge w:val="restart"/>
          </w:tcPr>
          <w:p>
            <w:pPr>
              <w:jc w:val="right"/>
              <w:ind w:right="517"/>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76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15,000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p>
        </w:tc>
        <w:tc>
          <w:tcPr>
            <w:tcW w:w="1180" w:type="dxa"/>
            <w:vAlign w:val="bottom"/>
          </w:tcPr>
          <w:p>
            <w:pPr>
              <w:ind w:left="260"/>
              <w:spacing w:after="0" w:line="148" w:lineRule="exact"/>
              <w:rPr>
                <w:sz w:val="20"/>
                <w:szCs w:val="20"/>
                <w:color w:val="auto"/>
              </w:rPr>
            </w:pPr>
            <w:r>
              <w:rPr>
                <w:rFonts w:ascii="Arial" w:cs="Arial" w:eastAsia="Arial" w:hAnsi="Arial"/>
                <w:sz w:val="13"/>
                <w:szCs w:val="13"/>
                <w:color w:val="0000FF"/>
              </w:rPr>
              <w:t>05/21/2013</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15,000</w:t>
            </w:r>
          </w:p>
        </w:tc>
        <w:tc>
          <w:tcPr>
            <w:tcW w:w="840" w:type="dxa"/>
            <w:vAlign w:val="bottom"/>
            <w:vMerge w:val="continue"/>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3"/>
                <w:szCs w:val="13"/>
                <w:color w:val="0000FF"/>
                <w:w w:val="92"/>
              </w:rPr>
              <w:t>11/07/2015</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0000FF"/>
                <w:w w:val="93"/>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80"/>
              <w:spacing w:after="0" w:line="148" w:lineRule="exact"/>
              <w:rPr>
                <w:sz w:val="20"/>
                <w:szCs w:val="20"/>
                <w:color w:val="auto"/>
              </w:rPr>
            </w:pPr>
            <w:r>
              <w:rPr>
                <w:rFonts w:ascii="Arial" w:cs="Arial" w:eastAsia="Arial" w:hAnsi="Arial"/>
                <w:sz w:val="13"/>
                <w:szCs w:val="13"/>
                <w:color w:val="0000FF"/>
                <w:w w:val="98"/>
              </w:rPr>
              <w:t>3,446</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May 21, 2013 the reporting person exercised previously issued options to purchase an aggregate of 15,000 shares of common stock of ExlService Holdings, Inc.</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$29.85 to $29.99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representing a right to purchase a total of 18,446 shares of common stock, became exercisable in four equal installments beginning on November 8, 2006, which was the first anniversary of the date on which the options were granted.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05/23/2013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2019-12-16T15:30:31Z</dcterms:created>
  <dcterms:modified xsi:type="dcterms:W3CDTF">2019-12-16T15:30:31Z</dcterms:modified>
</cp:coreProperties>
</file>