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919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194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Mahon Anita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40"/>
        <w:spacing w:after="0" w:line="327"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EVP &amp; Chief Growth Officer</w:t>
      </w:r>
    </w:p>
    <w:p>
      <w:pPr>
        <w:spacing w:after="0" w:line="436"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00" w:type="dxa"/>
            <w:vAlign w:val="bottom"/>
            <w:gridSpan w:val="10"/>
          </w:tcPr>
          <w:p>
            <w:pPr>
              <w:ind w:left="3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1,589</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3,410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499</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123.04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2,911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jc w:val="right"/>
              <w:ind w:right="94"/>
              <w:spacing w:after="0"/>
              <w:rPr>
                <w:sz w:val="20"/>
                <w:szCs w:val="20"/>
                <w:color w:val="auto"/>
              </w:rPr>
            </w:pPr>
            <w:r>
              <w:rPr>
                <w:rFonts w:ascii="Arial" w:cs="Arial" w:eastAsia="Arial" w:hAnsi="Arial"/>
                <w:sz w:val="17"/>
                <w:szCs w:val="17"/>
                <w:color w:val="0000FF"/>
              </w:rPr>
              <w:t>498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03/02/2022</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jc w:val="right"/>
              <w:ind w:right="81"/>
              <w:spacing w:after="0" w:line="143" w:lineRule="exact"/>
              <w:rPr>
                <w:sz w:val="20"/>
                <w:szCs w:val="20"/>
                <w:color w:val="auto"/>
              </w:rPr>
            </w:pPr>
            <w:r>
              <w:rPr>
                <w:rFonts w:ascii="Arial" w:cs="Arial" w:eastAsia="Arial" w:hAnsi="Arial"/>
                <w:sz w:val="13"/>
                <w:szCs w:val="13"/>
                <w:color w:val="0000FF"/>
              </w:rPr>
              <w:t>498</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20"/>
              <w:spacing w:after="0" w:line="143" w:lineRule="exact"/>
              <w:rPr>
                <w:sz w:val="20"/>
                <w:szCs w:val="20"/>
                <w:color w:val="auto"/>
              </w:rPr>
            </w:pPr>
            <w:r>
              <w:rPr>
                <w:rFonts w:ascii="Arial" w:cs="Arial" w:eastAsia="Arial" w:hAnsi="Arial"/>
                <w:sz w:val="13"/>
                <w:szCs w:val="13"/>
                <w:color w:val="0000FF"/>
              </w:rPr>
              <w:t>996</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jc w:val="right"/>
              <w:ind w:right="34"/>
              <w:spacing w:after="0"/>
              <w:rPr>
                <w:sz w:val="20"/>
                <w:szCs w:val="20"/>
                <w:color w:val="auto"/>
              </w:rPr>
            </w:pPr>
            <w:r>
              <w:rPr>
                <w:rFonts w:ascii="Arial" w:cs="Arial" w:eastAsia="Arial" w:hAnsi="Arial"/>
                <w:sz w:val="17"/>
                <w:szCs w:val="17"/>
                <w:color w:val="0000FF"/>
              </w:rPr>
              <w:t>1,091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03/02/2022</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jc w:val="right"/>
              <w:ind w:right="41"/>
              <w:spacing w:after="0" w:line="143" w:lineRule="exact"/>
              <w:rPr>
                <w:sz w:val="20"/>
                <w:szCs w:val="20"/>
                <w:color w:val="auto"/>
              </w:rPr>
            </w:pPr>
            <w:r>
              <w:rPr>
                <w:rFonts w:ascii="Arial" w:cs="Arial" w:eastAsia="Arial" w:hAnsi="Arial"/>
                <w:sz w:val="13"/>
                <w:szCs w:val="13"/>
                <w:color w:val="0000FF"/>
              </w:rPr>
              <w:t>1,091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0000FF"/>
              </w:rPr>
              <w:t>2,183</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-2827020</wp:posOffset>
            </wp:positionV>
            <wp:extent cx="29210" cy="283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21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2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March 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1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 2020, the reporting person was granted 1,992 restricted stock units, vesting in four annual installments beginning on the first anniversary of the grant date. 25 percent of the restricted stock units became vested on March 2, 2021, an additional twenty-five percent of the restricted stock units became vested on March 2, 2022, an additional twenty-five percent of the restricted stock units will vest on March 2, 2023; and the remaining balance of twenty-five percent of the restricted stock units will vest on March 2, 2024.</w:t>
      </w:r>
    </w:p>
    <w:p>
      <w:pPr>
        <w:spacing w:after="0" w:line="30"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 2020, the reporting person was granted 4,365 restricted stock units, vesting in four annual installments beginning on the first anniversary of the grant date. 25 percent of the restricted stock units became vested on March 2, 2021, an additional twenty-five percent of the restricted stock units became vested on March 2, 2022, an additional twenty-five percent of the restricted stock units will vest on March 2, 2023; and the remaining balance of twenty-five percent of the restricted stock units will vest on March 2,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2022-03-04T16:09:47Z</dcterms:created>
  <dcterms:modified xsi:type="dcterms:W3CDTF">2022-03-04T16:09:47Z</dcterms:modified>
</cp:coreProperties>
</file>