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AYYAPPAN AJAY</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56"/>
        <w:spacing w:after="0"/>
        <w:rPr>
          <w:sz w:val="20"/>
          <w:szCs w:val="20"/>
          <w:color w:val="auto"/>
        </w:rPr>
      </w:pPr>
      <w:r>
        <w:rPr>
          <w:rFonts w:ascii="Arial" w:cs="Arial" w:eastAsia="Arial" w:hAnsi="Arial"/>
          <w:sz w:val="16"/>
          <w:szCs w:val="16"/>
          <w:color w:val="0000FF"/>
        </w:rPr>
        <w:t>SVP &amp; Gen Counsel/Corp Sect'y</w:t>
      </w:r>
    </w:p>
    <w:p>
      <w:pPr>
        <w:spacing w:after="0" w:line="325"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153670</wp:posOffset>
            </wp:positionV>
            <wp:extent cx="6967220" cy="1530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30985"/>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02/23/2021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00" w:type="dxa"/>
            <w:vAlign w:val="bottom"/>
            <w:tcBorders>
              <w:bottom w:val="single" w:sz="8" w:color="2C2C2C"/>
            </w:tcBorders>
          </w:tcPr>
          <w:p>
            <w:pPr>
              <w:jc w:val="right"/>
              <w:ind w:right="108"/>
              <w:spacing w:after="0"/>
              <w:rPr>
                <w:sz w:val="20"/>
                <w:szCs w:val="20"/>
                <w:color w:val="auto"/>
              </w:rPr>
            </w:pPr>
            <w:r>
              <w:rPr>
                <w:rFonts w:ascii="Arial" w:cs="Arial" w:eastAsia="Arial" w:hAnsi="Arial"/>
                <w:sz w:val="17"/>
                <w:szCs w:val="17"/>
                <w:color w:val="0000FF"/>
              </w:rPr>
              <w:t>308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79.33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901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Pr>
          <w:p>
            <w:pPr>
              <w:jc w:val="center"/>
              <w:spacing w:after="0"/>
              <w:rPr>
                <w:sz w:val="20"/>
                <w:szCs w:val="20"/>
                <w:color w:val="auto"/>
              </w:rPr>
            </w:pPr>
            <w:r>
              <w:rPr>
                <w:rFonts w:ascii="Arial" w:cs="Arial" w:eastAsia="Arial" w:hAnsi="Arial"/>
                <w:sz w:val="17"/>
                <w:szCs w:val="17"/>
                <w:color w:val="0000FF"/>
                <w:w w:val="91"/>
              </w:rPr>
              <w:t>02/23/2021</w:t>
            </w:r>
          </w:p>
        </w:tc>
        <w:tc>
          <w:tcPr>
            <w:tcW w:w="110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ind w:right="108"/>
              <w:spacing w:after="0"/>
              <w:rPr>
                <w:sz w:val="20"/>
                <w:szCs w:val="20"/>
                <w:color w:val="auto"/>
              </w:rPr>
            </w:pPr>
            <w:r>
              <w:rPr>
                <w:rFonts w:ascii="Arial" w:cs="Arial" w:eastAsia="Arial" w:hAnsi="Arial"/>
                <w:sz w:val="17"/>
                <w:szCs w:val="17"/>
                <w:color w:val="0000FF"/>
              </w:rPr>
              <w:t>810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120" w:type="dxa"/>
            <w:vAlign w:val="bottom"/>
          </w:tcPr>
          <w:p>
            <w:pPr>
              <w:jc w:val="center"/>
              <w:spacing w:after="0"/>
              <w:rPr>
                <w:sz w:val="20"/>
                <w:szCs w:val="20"/>
                <w:color w:val="auto"/>
              </w:rPr>
            </w:pPr>
            <w:r>
              <w:rPr>
                <w:rFonts w:ascii="Arial" w:cs="Arial" w:eastAsia="Arial" w:hAnsi="Arial"/>
                <w:sz w:val="17"/>
                <w:szCs w:val="17"/>
                <w:color w:val="0000FF"/>
                <w:w w:val="84"/>
              </w:rPr>
              <w:t>1,711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02/23/2021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108"/>
              <w:spacing w:after="0"/>
              <w:rPr>
                <w:sz w:val="20"/>
                <w:szCs w:val="20"/>
                <w:color w:val="auto"/>
              </w:rPr>
            </w:pPr>
            <w:r>
              <w:rPr>
                <w:rFonts w:ascii="Arial" w:cs="Arial" w:eastAsia="Arial" w:hAnsi="Arial"/>
                <w:sz w:val="17"/>
                <w:szCs w:val="17"/>
                <w:color w:val="0000FF"/>
              </w:rPr>
              <w:t>391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80.46</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1,320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9171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810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Arial" w:cs="Arial" w:eastAsia="Arial" w:hAnsi="Arial"/>
                <w:sz w:val="13"/>
                <w:szCs w:val="13"/>
                <w:color w:val="0000FF"/>
              </w:rPr>
              <w:t>02/23/2021</w:t>
            </w:r>
          </w:p>
        </w:tc>
        <w:tc>
          <w:tcPr>
            <w:tcW w:w="1100" w:type="dxa"/>
            <w:vAlign w:val="bottom"/>
          </w:tcPr>
          <w:p>
            <w:pPr>
              <w:spacing w:after="0"/>
              <w:rPr>
                <w:sz w:val="12"/>
                <w:szCs w:val="12"/>
                <w:color w:val="auto"/>
              </w:rPr>
            </w:pPr>
          </w:p>
        </w:tc>
        <w:tc>
          <w:tcPr>
            <w:tcW w:w="8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tcPr>
          <w:p>
            <w:pPr>
              <w:ind w:left="440"/>
              <w:spacing w:after="0" w:line="144" w:lineRule="exact"/>
              <w:rPr>
                <w:sz w:val="20"/>
                <w:szCs w:val="20"/>
                <w:color w:val="auto"/>
              </w:rPr>
            </w:pPr>
            <w:r>
              <w:rPr>
                <w:rFonts w:ascii="Arial" w:cs="Arial" w:eastAsia="Arial" w:hAnsi="Arial"/>
                <w:sz w:val="13"/>
                <w:szCs w:val="13"/>
                <w:color w:val="0000FF"/>
              </w:rPr>
              <w:t>810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440"/>
              <w:spacing w:after="0" w:line="144" w:lineRule="exact"/>
              <w:rPr>
                <w:sz w:val="20"/>
                <w:szCs w:val="20"/>
                <w:color w:val="auto"/>
              </w:rPr>
            </w:pPr>
            <w:r>
              <w:rPr>
                <w:rFonts w:ascii="Arial" w:cs="Arial" w:eastAsia="Arial" w:hAnsi="Arial"/>
                <w:sz w:val="13"/>
                <w:szCs w:val="13"/>
                <w:color w:val="0000FF"/>
              </w:rPr>
              <w:t>0</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23, 2021. Pursuant to the ExlService Holdings, Inc. 2016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3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2017, the reporting person was granted 3,240 restricted stock units, 25 percent of the restricted stock units became vested on February 23, 2018, an additional 25 percent of the restricted stock units became vested on February 23, 2019, an additional 25 percent of the restricted stock units became vested February 23, 2020, and the remaining balance of 25 percent of the restricted stock units became vested on February 23, 2021.</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2021-02-25T17:06:44Z</dcterms:created>
  <dcterms:modified xsi:type="dcterms:W3CDTF">2021-02-25T17:06:44Z</dcterms:modified>
</cp:coreProperties>
</file>