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39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4"/>
                <w:szCs w:val="4"/>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390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3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ind w:left="160"/>
              <w:spacing w:after="0" w:line="189" w:lineRule="exact"/>
              <w:rPr>
                <w:sz w:val="20"/>
                <w:szCs w:val="20"/>
                <w:color w:val="auto"/>
              </w:rPr>
            </w:pPr>
            <w:r>
              <w:rPr>
                <w:rFonts w:ascii="Arial" w:cs="Arial" w:eastAsia="Arial" w:hAnsi="Arial"/>
                <w:sz w:val="18"/>
                <w:szCs w:val="18"/>
                <w:color w:val="0000FF"/>
              </w:rPr>
              <w:t>02/05/2014</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300" w:type="dxa"/>
            <w:vAlign w:val="bottom"/>
            <w:tcBorders>
              <w:bottom w:val="single" w:sz="8" w:color="2C2C2C"/>
            </w:tcBorders>
            <w:gridSpan w:val="3"/>
          </w:tcPr>
          <w:p>
            <w:pPr>
              <w:jc w:val="right"/>
              <w:ind w:right="94"/>
              <w:spacing w:after="0"/>
              <w:rPr>
                <w:sz w:val="20"/>
                <w:szCs w:val="20"/>
                <w:color w:val="auto"/>
              </w:rPr>
            </w:pPr>
            <w:r>
              <w:rPr>
                <w:rFonts w:ascii="Arial" w:cs="Arial" w:eastAsia="Arial" w:hAnsi="Arial"/>
                <w:sz w:val="18"/>
                <w:szCs w:val="18"/>
                <w:color w:val="0000FF"/>
              </w:rPr>
              <w:t>02/03/2014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4,547</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(1)</w:t>
            </w:r>
          </w:p>
        </w:tc>
        <w:tc>
          <w:tcPr>
            <w:tcW w:w="15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74,326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7"/>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2014, ExlService Holdings, Inc. (the "Company") issued 4,547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Form 4 filed on February 5, 2014 inadvertently overstated the amount of shares of Common Stock directly held by the reporting person by 27,000, which amount was also included in the subsequent Forms 4 filed by the reporting person.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purpose of this Form 4/A is to amend the reporting person's original Form 4, as more particularly described in footnote 2 above. Mr. Oseni is the Company's Head of Administration and Accounts.</w:t>
      </w:r>
    </w:p>
    <w:p>
      <w:pPr>
        <w:ind w:left="6860"/>
        <w:spacing w:after="0" w:line="193"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02/04/2015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2019-12-08T12:13:53Z</dcterms:created>
  <dcterms:modified xsi:type="dcterms:W3CDTF">2019-12-08T12:13:53Z</dcterms:modified>
</cp:coreProperties>
</file>