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48263d1_8k.htm"/>
      <w:bookmarkStart w:id="1" w:name="kstm248263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403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Sections 13 or 15(d) of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rPr>
        <w:t>March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E_edei--EntityRegistrantName_c2024"/>
      <w:bookmarkEnd w:id="4"/>
      <w:r>
        <w:rPr>
          <w:rFonts w:ascii="Times New Roman;Times;Serif" w:hAnsi="Times New Roman;Times;Serif"/>
          <w:b/>
          <w:i w:val="false"/>
          <w:caps w:val="false"/>
          <w:smallCaps w:val="false"/>
          <w:sz w:val="48"/>
        </w:rPr>
        <w:t>EXLSERVICE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660" w:type="dxa"/>
        <w:jc w:val="left"/>
        <w:tblInd w:w="0" w:type="dxa"/>
        <w:tblLayout w:type="fixed"/>
        <w:tblCellMar>
          <w:top w:w="0" w:type="dxa"/>
          <w:left w:w="0" w:type="dxa"/>
          <w:bottom w:w="0" w:type="dxa"/>
          <w:right w:w="0" w:type="dxa"/>
        </w:tblCellMar>
      </w:tblPr>
      <w:tblGrid>
        <w:gridCol w:w="2705"/>
        <w:gridCol w:w="60"/>
        <w:gridCol w:w="2255"/>
        <w:gridCol w:w="60"/>
        <w:gridCol w:w="1580"/>
      </w:tblGrid>
      <w:tr>
        <w:trPr/>
        <w:tc>
          <w:tcPr>
            <w:tcW w:w="2705" w:type="dxa"/>
            <w:tcBorders/>
            <w:vAlign w:val="center"/>
          </w:tcPr>
          <w:p>
            <w:pPr>
              <w:pStyle w:val="TableContents"/>
              <w:bidi w:val="0"/>
              <w:spacing w:before="0" w:after="283"/>
              <w:jc w:val="center"/>
              <w:rPr>
                <w:b/>
              </w:rPr>
            </w:pPr>
            <w:bookmarkStart w:id="5" w:name="xdx_906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center"/>
              <w:rPr>
                <w:b/>
              </w:rPr>
            </w:pPr>
            <w:bookmarkStart w:id="6" w:name="xdx_904_edei--EntityFileNumber_c20240301"/>
            <w:bookmarkEnd w:id="6"/>
            <w:r>
              <w:rPr>
                <w:b/>
              </w:rPr>
              <w:t>001-33089</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b/>
              </w:rPr>
            </w:pPr>
            <w:bookmarkStart w:id="7" w:name="xdx_909_edei--EntityTaxIdentificationNum"/>
            <w:bookmarkEnd w:id="7"/>
            <w:r>
              <w:rPr>
                <w:b/>
              </w:rPr>
              <w:t>82-0572194</w:t>
            </w:r>
          </w:p>
        </w:tc>
      </w:tr>
      <w:tr>
        <w:trPr/>
        <w:tc>
          <w:tcPr>
            <w:tcW w:w="270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 </w:t>
            </w:r>
          </w:p>
        </w:tc>
      </w:tr>
    </w:tbl>
    <w:p>
      <w:pPr>
        <w:pStyle w:val="TextBody"/>
        <w:bidi w:val="0"/>
        <w:spacing w:before="0" w:after="0"/>
        <w:ind w:left="0" w:right="0" w:hanging="0"/>
        <w:jc w:val="center"/>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60"/>
        <w:gridCol w:w="3740"/>
        <w:gridCol w:w="60"/>
        <w:gridCol w:w="875"/>
      </w:tblGrid>
      <w:tr>
        <w:trPr/>
        <w:tc>
          <w:tcPr>
            <w:tcW w:w="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320 Park Avenue, </w:t>
            </w:r>
            <w:bookmarkStart w:id="9" w:name="xdx_90D_edei--EntityAddressAddressLine2_"/>
            <w:bookmarkEnd w:id="9"/>
            <w:r>
              <w:rPr>
                <w:rFonts w:ascii="Times New Roman;Times;Serif" w:hAnsi="Times New Roman;Times;Serif"/>
                <w:b/>
                <w:i w:val="false"/>
                <w:caps w:val="false"/>
                <w:smallCaps w:val="false"/>
                <w:sz w:val="20"/>
              </w:rPr>
              <w:t>29th Floor,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New York, </w:t>
            </w:r>
            <w:bookmarkStart w:id="11" w:name="xdx_90A_edei--EntityAddressStateOrProvin"/>
            <w:bookmarkEnd w:id="11"/>
            <w:r>
              <w:rPr>
                <w:rFonts w:ascii="Times New Roman;Times;Serif" w:hAnsi="Times New Roman;Times;Serif"/>
                <w:b/>
                <w:i w:val="false"/>
                <w:caps w:val="false"/>
                <w:smallCaps w:val="false"/>
                <w:sz w:val="20"/>
              </w:rPr>
              <w:t>New York</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3_edei--EntityAddressPostalZipCode"/>
            <w:bookmarkEnd w:id="12"/>
            <w:r>
              <w:rPr>
                <w:rFonts w:ascii="Times New Roman;Times;Serif" w:hAnsi="Times New Roman;Times;Serif"/>
                <w:b/>
                <w:i w:val="false"/>
                <w:caps w:val="false"/>
                <w:smallCaps w:val="false"/>
                <w:sz w:val="20"/>
              </w:rPr>
              <w:t>10022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40" w:type="dxa"/>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4_edei--CityAreaCode_c20240301__20"/>
      <w:bookmarkEnd w:id="13"/>
      <w:r>
        <w:rPr>
          <w:rFonts w:ascii="Times New Roman;Times;Serif" w:hAnsi="Times New Roman;Times;Serif"/>
          <w:b/>
          <w:i w:val="false"/>
          <w:caps w:val="false"/>
          <w:smallCaps w:val="false"/>
          <w:sz w:val="20"/>
        </w:rPr>
        <w:t xml:space="preserve">212) </w:t>
      </w:r>
      <w:bookmarkStart w:id="14" w:name="xdx_90C_edei--LocalPhoneNumber_c20240301"/>
      <w:bookmarkEnd w:id="14"/>
      <w:r>
        <w:rPr>
          <w:rFonts w:ascii="Times New Roman;Times;Serif" w:hAnsi="Times New Roman;Times;Serif"/>
          <w:b/>
          <w:i w:val="false"/>
          <w:caps w:val="false"/>
          <w:smallCaps w:val="false"/>
          <w:sz w:val="20"/>
        </w:rPr>
        <w:t>277-7100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3_edei--WrittenCommunications_c202"/>
            <w:bookmarkEnd w:id="15"/>
            <w:r>
              <w:rPr/>
              <w:t>☐</w:t>
            </w:r>
          </w:p>
        </w:tc>
        <w:tc>
          <w:tcPr>
            <w:tcW w:w="9960" w:type="dxa"/>
            <w:tcBorders/>
            <w:vAlign w:val="center"/>
          </w:tcPr>
          <w:p>
            <w:pPr>
              <w:pStyle w:val="TableContents"/>
              <w:bidi w:val="0"/>
              <w:spacing w:before="0" w:after="283"/>
              <w:jc w:val="left"/>
              <w:rPr/>
            </w:pPr>
            <w:r>
              <w:rPr/>
              <w:t>Written communication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F_edei--SolicitingMaterial_c202403"/>
            <w:bookmarkEnd w:id="16"/>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5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9" w:name="xdx_900_edei--EntityEmergingGrowthCompan"/>
            <w:bookmarkEnd w:id="19"/>
            <w:r>
              <w:rPr/>
              <w:t>☐</w:t>
            </w:r>
          </w:p>
        </w:tc>
        <w:tc>
          <w:tcPr>
            <w:tcW w:w="9960" w:type="dxa"/>
            <w:tcBorders/>
            <w:vAlign w:val="center"/>
          </w:tcPr>
          <w:p>
            <w:pPr>
              <w:pStyle w:val="TableContents"/>
              <w:bidi w:val="0"/>
              <w:spacing w:before="0" w:after="283"/>
              <w:jc w:val="left"/>
              <w:rPr>
                <w:sz w:val="20"/>
              </w:rPr>
            </w:pPr>
            <w:r>
              <w:rPr>
                <w:sz w:val="20"/>
              </w:rPr>
              <w:t>Emerging growth company</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10" w:type="dxa"/>
        <w:tblLayout w:type="fixed"/>
        <w:tblCellMar>
          <w:top w:w="40" w:type="dxa"/>
          <w:left w:w="28" w:type="dxa"/>
          <w:bottom w:w="0" w:type="dxa"/>
          <w:right w:w="28" w:type="dxa"/>
        </w:tblCellMar>
      </w:tblPr>
      <w:tblGrid>
        <w:gridCol w:w="3515"/>
        <w:gridCol w:w="1610"/>
        <w:gridCol w:w="3710"/>
      </w:tblGrid>
      <w:tr>
        <w:trPr/>
        <w:tc>
          <w:tcPr>
            <w:tcW w:w="8835" w:type="dxa"/>
            <w:gridSpan w:val="3"/>
            <w:tcBorders>
              <w:top w:val="single" w:sz="8" w:space="0" w:color="000000"/>
              <w:left w:val="single" w:sz="8" w:space="0" w:color="000000"/>
              <w:right w:val="single" w:sz="8" w:space="0" w:color="000000"/>
            </w:tcBorders>
            <w:vAlign w:val="center"/>
          </w:tcPr>
          <w:p>
            <w:pPr>
              <w:pStyle w:val="TableContents"/>
              <w:bidi w:val="0"/>
              <w:spacing w:before="0" w:after="283"/>
              <w:jc w:val="center"/>
              <w:rPr>
                <w:b/>
                <w:sz w:val="20"/>
              </w:rPr>
            </w:pPr>
            <w:r>
              <w:rPr>
                <w:b/>
                <w:sz w:val="20"/>
              </w:rPr>
              <w:t>Securities registered pursuant to Section 12(b) of the Act:</w:t>
            </w:r>
          </w:p>
        </w:tc>
      </w:tr>
      <w:tr>
        <w:trPr/>
        <w:tc>
          <w:tcPr>
            <w:tcW w:w="3515" w:type="dxa"/>
            <w:tcBorders>
              <w:top w:val="single" w:sz="8" w:space="0" w:color="000000"/>
              <w:left w:val="single" w:sz="8" w:space="0" w:color="000000"/>
            </w:tcBorders>
            <w:tcMar>
              <w:righ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1610" w:type="dxa"/>
            <w:tcBorders>
              <w:top w:val="single" w:sz="8" w:space="0" w:color="000000"/>
              <w:left w:val="single" w:sz="8" w:space="0" w:color="000000"/>
            </w:tcBorders>
            <w:tcMar>
              <w:righ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3710" w:type="dxa"/>
            <w:tcBorders>
              <w:top w:val="single" w:sz="8" w:space="0" w:color="000000"/>
              <w:left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top w:val="single" w:sz="8" w:space="0" w:color="000000"/>
              <w:left w:val="single" w:sz="8" w:space="0" w:color="000000"/>
              <w:bottom w:val="single" w:sz="8" w:space="0" w:color="000000"/>
            </w:tcBorders>
            <w:tcMar>
              <w:bottom w:w="40" w:type="dxa"/>
              <w:righ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0" w:name="xdx_90E_edei--Security12bTitle_c20240301"/>
            <w:bookmarkEnd w:id="20"/>
            <w:r>
              <w:rPr>
                <w:rFonts w:ascii="Times New Roman;Times;Serif" w:hAnsi="Times New Roman;Times;Serif"/>
                <w:b w:val="false"/>
                <w:i w:val="false"/>
                <w:caps w:val="false"/>
                <w:smallCaps w:val="false"/>
                <w:sz w:val="20"/>
              </w:rPr>
              <w:t>Common Stock, $0.001 par value per share</w:t>
            </w:r>
          </w:p>
        </w:tc>
        <w:tc>
          <w:tcPr>
            <w:tcW w:w="1610" w:type="dxa"/>
            <w:tcBorders>
              <w:top w:val="single" w:sz="8" w:space="0" w:color="000000"/>
              <w:left w:val="single" w:sz="8" w:space="0" w:color="000000"/>
              <w:bottom w:val="single" w:sz="8" w:space="0" w:color="000000"/>
            </w:tcBorders>
            <w:tcMar>
              <w:bottom w:w="40" w:type="dxa"/>
              <w:right w:w="0" w:type="dxa"/>
            </w:tcMar>
            <w:vAlign w:val="center"/>
          </w:tcPr>
          <w:p>
            <w:pPr>
              <w:pStyle w:val="TableContents"/>
              <w:bidi w:val="0"/>
              <w:spacing w:before="0" w:after="283"/>
              <w:jc w:val="center"/>
              <w:rPr>
                <w:sz w:val="20"/>
              </w:rPr>
            </w:pPr>
            <w:bookmarkStart w:id="21" w:name="xdx_906_edei--TradingSymbol_c20240301__2"/>
            <w:bookmarkEnd w:id="21"/>
            <w:r>
              <w:rPr>
                <w:sz w:val="20"/>
              </w:rPr>
              <w:t>EXLS</w:t>
            </w:r>
          </w:p>
        </w:tc>
        <w:tc>
          <w:tcPr>
            <w:tcW w:w="3710" w:type="dxa"/>
            <w:tcBorders>
              <w:top w:val="single" w:sz="8" w:space="0" w:color="000000"/>
              <w:left w:val="single" w:sz="8" w:space="0" w:color="000000"/>
              <w:bottom w:val="single" w:sz="8" w:space="0" w:color="000000"/>
              <w:right w:val="single" w:sz="8" w:space="0" w:color="000000"/>
            </w:tcBorders>
            <w:tcMar>
              <w:bottom w:w="4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2" w:name="xdx_904_edei--SecurityExchangeName_c2024"/>
            <w:bookmarkEnd w:id="22"/>
            <w:r>
              <w:rPr>
                <w:rFonts w:ascii="Times New Roman;Times;Serif" w:hAnsi="Times New Roman;Times;Serif"/>
                <w:b w:val="false"/>
                <w:i w:val="false"/>
                <w:caps w:val="false"/>
                <w:smallCaps w:val="false"/>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Retirement of Som Mittal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2024, Som Mittal, a member of the Board of Directors (the “Board”) of ExlService Holdings, Inc. (the “Company”), notified the Board that he has decided not to stand for re-election at the Company’s 2024 annual meeting of stockholders (the “Annual Meeting”), at which time he will resign from the Board and the committees on which he currently serves. Mr. Mittal’s decision not to stand for re-election at the Annual Meeting did not arise from any disagreement with the Company, the Company’s management or the Board on any matters relating to the Company’s operations, policies or practices.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Election of Thomas Bartlett as Director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effective as of March 6, 2024, on recommendation of the Nominating and Governance Committee (“NGC”) of the Board, the Board has expanded the size of the Board from eight directors to nine directors and elected Thomas Bartlett to fill the new director position, to serve until his successor is duly elected and qualified or his earlier death, disability, resignation or removal. Concurrent with his election as director, Mr. Bartlett was appointed to the Board’s Audit Committee and the NGC.</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Bartlett has been determined to be an independent director under rules and regulations of the Securities and Exchange Commission (the “SEC”) and the listing requirements of The Nasdaq Stock Market LLC. There are no arrangements or understandings between Mr. Bartlett and any other persons pursuant to which he was selected as a director. Additionally, there are no transactions involving the Company and Mr. Bartlett that the Company would be required to report pursuant to Item 404(a) of Regulation S-K.</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Bartlett will be compensated for his service as a director consistent with the compensation provided to other non-employee directors as described in the Company’s most recent proxy statement on Schedule 14A, filed with the SEC on April 28, 2023 , except that for 2024, non-executive directors are eligible to receive $215,000 in equity valued at the time of grant. New non-employee directors who join the Board during a calendar quarter are eligible to receive the full cash fee for such calendar quarter and a pro-rated equity grant. Accordingly, on March 6, 2024, Mr. Bartlett was granted 1,973 restricted stock units pursuant to the Company’s 2018 Omnibus Incentive Plan, consistent with the previously disclosed terms of such securities granted to the Company’s non-employee directors.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announcing Mr. Bartlett’s appointment and Mr. Mittal’s retirement is attached hereto as Exhibit 99.1 to this Current Report on Form 8-K and is hereby incorporated by reference.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herewith: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41"/>
        <w:gridCol w:w="111"/>
        <w:gridCol w:w="9153"/>
      </w:tblGrid>
      <w:tr>
        <w:trPr/>
        <w:tc>
          <w:tcPr>
            <w:tcW w:w="941" w:type="dxa"/>
            <w:tcBorders>
              <w:bottom w:val="single" w:sz="8" w:space="0" w:color="000000"/>
            </w:tcBorders>
            <w:vAlign w:val="center"/>
          </w:tcPr>
          <w:p>
            <w:pPr>
              <w:pStyle w:val="TableContents"/>
              <w:bidi w:val="0"/>
              <w:spacing w:before="0" w:after="283"/>
              <w:jc w:val="left"/>
              <w:rPr/>
            </w:pPr>
            <w:r>
              <w:rPr>
                <w:b/>
              </w:rPr>
              <w:t>Number</w:t>
            </w:r>
            <w:r>
              <w:rPr/>
              <w:t xml:space="preserve"> </w:t>
            </w:r>
          </w:p>
        </w:tc>
        <w:tc>
          <w:tcPr>
            <w:tcW w:w="111" w:type="dxa"/>
            <w:tcBorders/>
            <w:tcMar>
              <w:bottom w:w="0" w:type="dxa"/>
            </w:tcMar>
            <w:vAlign w:val="center"/>
          </w:tcPr>
          <w:p>
            <w:pPr>
              <w:pStyle w:val="TableContents"/>
              <w:bidi w:val="0"/>
              <w:spacing w:before="0" w:after="283"/>
              <w:jc w:val="left"/>
              <w:rPr/>
            </w:pPr>
            <w:r>
              <w:rPr/>
              <w:t xml:space="preserve">  </w:t>
            </w:r>
          </w:p>
        </w:tc>
        <w:tc>
          <w:tcPr>
            <w:tcW w:w="9153" w:type="dxa"/>
            <w:tcBorders>
              <w:bottom w:val="single" w:sz="8" w:space="0" w:color="000000"/>
            </w:tcBorders>
            <w:vAlign w:val="center"/>
          </w:tcPr>
          <w:p>
            <w:pPr>
              <w:pStyle w:val="TableContents"/>
              <w:bidi w:val="0"/>
              <w:spacing w:before="0" w:after="283"/>
              <w:jc w:val="center"/>
              <w:rPr/>
            </w:pPr>
            <w:r>
              <w:rPr>
                <w:b/>
              </w:rPr>
              <w:t>Description</w:t>
            </w:r>
            <w:r>
              <w:rPr/>
              <w:t xml:space="preserve">  </w:t>
            </w:r>
          </w:p>
        </w:tc>
      </w:tr>
      <w:tr>
        <w:trPr/>
        <w:tc>
          <w:tcPr>
            <w:tcW w:w="941" w:type="dxa"/>
            <w:tcBorders/>
            <w:tcMar>
              <w:bottom w:w="0" w:type="dxa"/>
            </w:tcMar>
            <w:vAlign w:val="center"/>
          </w:tcPr>
          <w:p>
            <w:pPr>
              <w:pStyle w:val="TableContents"/>
              <w:bidi w:val="0"/>
              <w:spacing w:before="0" w:after="283"/>
              <w:jc w:val="center"/>
              <w:rPr/>
            </w:pPr>
            <w:hyperlink w:anchor="tm248263d1_ex99-1.htm">
              <w:r>
                <w:rPr>
                  <w:rStyle w:val="InternetLink"/>
                  <w:sz w:val="20"/>
                </w:rPr>
                <w:t>99.1</w:t>
              </w:r>
            </w:hyperlink>
          </w:p>
        </w:tc>
        <w:tc>
          <w:tcPr>
            <w:tcW w:w="111" w:type="dxa"/>
            <w:tcBorders/>
            <w:tcMar>
              <w:bottom w:w="0" w:type="dxa"/>
            </w:tcMar>
            <w:vAlign w:val="center"/>
          </w:tcPr>
          <w:p>
            <w:pPr>
              <w:pStyle w:val="TableContents"/>
              <w:bidi w:val="0"/>
              <w:spacing w:before="0" w:after="283"/>
              <w:jc w:val="left"/>
              <w:rPr/>
            </w:pPr>
            <w:r>
              <w:rPr/>
              <w:t> </w:t>
            </w:r>
          </w:p>
        </w:tc>
        <w:tc>
          <w:tcPr>
            <w:tcW w:w="9153" w:type="dxa"/>
            <w:tcBorders/>
            <w:tcMar>
              <w:bottom w:w="0" w:type="dxa"/>
            </w:tcMar>
            <w:vAlign w:val="center"/>
          </w:tcPr>
          <w:p>
            <w:pPr>
              <w:pStyle w:val="TableContents"/>
              <w:bidi w:val="0"/>
              <w:spacing w:before="0" w:after="283"/>
              <w:jc w:val="left"/>
              <w:rPr/>
            </w:pPr>
            <w:hyperlink w:anchor="tm248263d1_ex99-1.htm">
              <w:r>
                <w:rPr>
                  <w:rStyle w:val="InternetLink"/>
                  <w:sz w:val="20"/>
                </w:rPr>
                <w:t>Press Release, dated March 7, 2024</w:t>
              </w:r>
            </w:hyperlink>
          </w:p>
        </w:tc>
      </w:tr>
      <w:tr>
        <w:trPr/>
        <w:tc>
          <w:tcPr>
            <w:tcW w:w="941" w:type="dxa"/>
            <w:tcBorders/>
            <w:tcMar>
              <w:bottom w:w="0" w:type="dxa"/>
            </w:tcMar>
            <w:vAlign w:val="center"/>
          </w:tcPr>
          <w:p>
            <w:pPr>
              <w:pStyle w:val="TableContents"/>
              <w:bidi w:val="0"/>
              <w:spacing w:before="0" w:after="283"/>
              <w:jc w:val="center"/>
              <w:rPr>
                <w:sz w:val="20"/>
              </w:rPr>
            </w:pPr>
            <w:r>
              <w:rPr>
                <w:sz w:val="20"/>
              </w:rPr>
              <w:t>104</w:t>
            </w:r>
          </w:p>
        </w:tc>
        <w:tc>
          <w:tcPr>
            <w:tcW w:w="111" w:type="dxa"/>
            <w:tcBorders/>
            <w:tcMar>
              <w:bottom w:w="0" w:type="dxa"/>
            </w:tcMar>
            <w:vAlign w:val="center"/>
          </w:tcPr>
          <w:p>
            <w:pPr>
              <w:pStyle w:val="TableContents"/>
              <w:bidi w:val="0"/>
              <w:spacing w:before="0" w:after="283"/>
              <w:jc w:val="left"/>
              <w:rPr/>
            </w:pPr>
            <w:r>
              <w:rPr/>
              <w:t> </w:t>
            </w:r>
          </w:p>
        </w:tc>
        <w:tc>
          <w:tcPr>
            <w:tcW w:w="9153" w:type="dxa"/>
            <w:tcBorders/>
            <w:tcMar>
              <w:bottom w:w="0" w:type="dxa"/>
            </w:tcMar>
            <w:vAlign w:val="center"/>
          </w:tcPr>
          <w:p>
            <w:pPr>
              <w:pStyle w:val="TableContents"/>
              <w:bidi w:val="0"/>
              <w:spacing w:before="0" w:after="283"/>
              <w:jc w:val="left"/>
              <w:rPr/>
            </w:pPr>
            <w:r>
              <w:rPr/>
              <w:t>Cover Page Interactive Data File (the cover page XBRL tags are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345"/>
        <w:jc w:val="left"/>
        <w:rPr>
          <w:caps w:val="false"/>
          <w:smallCaps w:val="false"/>
        </w:rPr>
      </w:pPr>
      <w:r>
        <w:rPr>
          <w:caps w:val="false"/>
          <w:smallCaps w:val="false"/>
        </w:rPr>
        <w:t> </w:t>
      </w:r>
    </w:p>
    <w:p>
      <w:pPr>
        <w:pStyle w:val="TextBody"/>
        <w:bidi w:val="0"/>
        <w:spacing w:before="0" w:after="0"/>
        <w:ind w:left="0" w:right="0" w:firstLine="34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630" w:type="dxa"/>
        <w:jc w:val="left"/>
        <w:tblInd w:w="0" w:type="dxa"/>
        <w:tblLayout w:type="fixed"/>
        <w:tblCellMar>
          <w:top w:w="0" w:type="dxa"/>
          <w:left w:w="0" w:type="dxa"/>
          <w:bottom w:w="0" w:type="dxa"/>
          <w:right w:w="0" w:type="dxa"/>
        </w:tblCellMar>
      </w:tblPr>
      <w:tblGrid>
        <w:gridCol w:w="2000"/>
        <w:gridCol w:w="650"/>
        <w:gridCol w:w="3980"/>
      </w:tblGrid>
      <w:tr>
        <w:trPr/>
        <w:tc>
          <w:tcPr>
            <w:tcW w:w="2000"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283"/>
              <w:jc w:val="left"/>
              <w:rPr/>
            </w:pPr>
            <w:r>
              <w:rPr>
                <w:b/>
              </w:rPr>
              <w:t>EXLSERVICE HOLDINGS, INC.</w:t>
              <w:br/>
            </w:r>
            <w:r>
              <w:rPr/>
              <w:t xml:space="preserve">(Registrant) </w:t>
            </w:r>
          </w:p>
        </w:tc>
      </w:tr>
      <w:tr>
        <w:trPr/>
        <w:tc>
          <w:tcPr>
            <w:tcW w:w="2000"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Date: March 7, 2024</w:t>
            </w:r>
          </w:p>
        </w:tc>
        <w:tc>
          <w:tcPr>
            <w:tcW w:w="650" w:type="dxa"/>
            <w:tcBorders/>
            <w:vAlign w:val="center"/>
          </w:tcPr>
          <w:p>
            <w:pPr>
              <w:pStyle w:val="TableContents"/>
              <w:bidi w:val="0"/>
              <w:spacing w:before="0" w:after="283"/>
              <w:jc w:val="left"/>
              <w:rPr/>
            </w:pPr>
            <w:r>
              <w:rPr/>
              <w:t>By:</w:t>
            </w:r>
          </w:p>
        </w:tc>
        <w:tc>
          <w:tcPr>
            <w:tcW w:w="3980" w:type="dxa"/>
            <w:tcBorders>
              <w:bottom w:val="single" w:sz="8" w:space="0" w:color="000000"/>
            </w:tcBorders>
            <w:tcMar>
              <w:bottom w:w="28" w:type="dxa"/>
            </w:tcMar>
            <w:vAlign w:val="center"/>
          </w:tcPr>
          <w:p>
            <w:pPr>
              <w:pStyle w:val="TableContents"/>
              <w:bidi w:val="0"/>
              <w:spacing w:before="0" w:after="283"/>
              <w:jc w:val="left"/>
              <w:rPr/>
            </w:pPr>
            <w:r>
              <w:rPr/>
              <w:t>/s/ Ajay Ayyappan</w:t>
            </w:r>
          </w:p>
        </w:tc>
      </w:tr>
      <w:tr>
        <w:trPr/>
        <w:tc>
          <w:tcPr>
            <w:tcW w:w="200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980" w:type="dxa"/>
            <w:tcBorders/>
            <w:vAlign w:val="center"/>
          </w:tcPr>
          <w:p>
            <w:pPr>
              <w:pStyle w:val="TableContents"/>
              <w:bidi w:val="0"/>
              <w:spacing w:before="0" w:after="283"/>
              <w:jc w:val="left"/>
              <w:rPr/>
            </w:pPr>
            <w:r>
              <w:rPr/>
              <w:t>Ajay Ayyappan</w:t>
            </w:r>
          </w:p>
        </w:tc>
      </w:tr>
      <w:tr>
        <w:trPr/>
        <w:tc>
          <w:tcPr>
            <w:tcW w:w="200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980" w:type="dxa"/>
            <w:tcBorders/>
            <w:vAlign w:val="center"/>
          </w:tcPr>
          <w:p>
            <w:pPr>
              <w:pStyle w:val="TableContents"/>
              <w:bidi w:val="0"/>
              <w:spacing w:before="0" w:after="283"/>
              <w:jc w:val="left"/>
              <w:rPr/>
            </w:pPr>
            <w:r>
              <w:rPr/>
              <w:t xml:space="preserve">Executive Vice President, </w:t>
              <w:br/>
              <w:t>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tm248263d1_ex99-1.htm"/>
      <w:bookmarkStart w:id="24" w:name="kstm248263d1_ex991"/>
      <w:bookmarkEnd w:id="23"/>
      <w:bookmarkEnd w:id="24"/>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EXL Announces Appointment of Thomas Bartlett to Board of Directors and Retirement of Board Member Som Mittal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Bartlett Brings Decades of Executive Leadership Experience; Mittal Completes 10+ Year Service to EXL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March 7, 2024</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shd w:fill="FFFFFF" w:val="clear"/>
        </w:rPr>
        <w:t xml:space="preserve">EXL [NASDAQ: EXLS], a leading data analytics and digital operations and solutions company, </w:t>
      </w:r>
      <w:r>
        <w:rPr>
          <w:rFonts w:ascii="Times New Roman;Times;Serif" w:hAnsi="Times New Roman;Times;Serif"/>
          <w:b w:val="false"/>
          <w:i w:val="false"/>
          <w:caps w:val="false"/>
          <w:smallCaps w:val="false"/>
          <w:sz w:val="20"/>
        </w:rPr>
        <w:t>announced today that Thomas Bartlett has been appointed to EXL’s board of directors as an independent director, effective March 6, 2024. Bartlett will serve on the board’s audit committee and nominating and governance committee. The company also announced that Som Mittal has notified the board that he will not stand for re-election at EXL’s 2024 annual meeting of stockholders and therefore will be retiring from the board in June 2024.</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excited to welcome Tom to the board,” said Board Chair Vikram Pandit. “Tom brings a tremendous amount of experience in running a large, high-growth technology-focused organization and we look forward to the insights he will bring.”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and Board Vice Chair Rohit Kapoor, said, “Tom has deep expertise in scaling growth as demonstrated in the expansion of American Tower from around $10 billion to $100 billion in market capitalization under his leadership. His perspective will be immensely valuable as EXL pursues its mission to be the AI and data-led partner of choice for our clients.”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EXL is at the forefront of combining data, AI and domain knowledge to create true value for clients,” said Bartlett. “I am excited to join the board of directors and look forward to helping the management team continue EXL’s amazing growth.”</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Bartlett joined American Tower in 2009 as executive vice president and chief financial officer and served as its chief executive officer from 2020 to 2024. Prior to joining American Tower, Bartlett had a 25-year career at Verizon Communications. He also serves as a director of Otis Worldwide Corporation (NYSE: OTIS) where he is a member of the audit committee and the compensation committee. He is a member of the World Economic Forum’s Information and Communications Technologies (ICT) Board of Governors, the National Association of Real Estate Investment Trust (NAREIT) Executive Committee, and the Business Roundtable.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On behalf of EXL and its board of directors, I would also like to thank Som for the wisdom and insights he has contributed since joining the board in 2013,” said Pandit. “Som’s deep knowledge of industry in India and his unique perspective of the technology sector were invaluable to EXL’s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Kapoor added, “Som’s contributions to EXL over the years have been extremely impactful. His clarity of thought and wealth of knowledge have served EXL well. I am thankful for Som’s service to EXL and wish him and his family all the best.”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have truly enjoyed being a member of the board and being part of what has been an incredible journey over the last 10 years,” said Mittal. “EXL is well positioned to take advantage of the coming AI economy, and I look forward to following its continued success.”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About EXL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EXL (NASDAQ: EXLS) is a leading data analytics and digital operations and solutions company. We partner with clients using a data and AI-led approach to reinvent business models, drive better business outcomes and unlock growth with speed. EXL harnesses the power of data, analytics, AI, and deep industry knowledge to transform operations for the world’s leading corporations in industries including insurance, healthcare, banking and financial services, media and retail, among others. EXL was founded in 1999 with the core values of innovation, collaboration, excellence, integrity and respect. We are headquartered in New York and have more than 54,000 employees spanning six continents. For more information, visit </w:t>
      </w:r>
      <w:r>
        <w:rPr>
          <w:rFonts w:ascii="Times New Roman;Times;Serif" w:hAnsi="Times New Roman;Times;Serif"/>
          <w:b w:val="false"/>
          <w:i w:val="false"/>
          <w:caps w:val="false"/>
          <w:smallCaps w:val="false"/>
          <w:sz w:val="20"/>
          <w:u w:val="single"/>
        </w:rPr>
        <w:t>www.exlservice.com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within the meaning of the 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our ability to hire and retain sufficiently trained employees, and our ability to accurately estimate and/or manage costs, rising interest rates, rising inflation and recessionary economic trends,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2024 ExlService Holdings, Inc. All rights reserved. For more information go to </w:t>
      </w:r>
      <w:r>
        <w:rPr>
          <w:rFonts w:ascii="Times New Roman;Times;Serif" w:hAnsi="Times New Roman;Times;Serif"/>
          <w:b w:val="false"/>
          <w:i w:val="false"/>
          <w:caps w:val="false"/>
          <w:smallCaps w:val="false"/>
          <w:sz w:val="20"/>
          <w:u w:val="single"/>
        </w:rPr>
        <w:t>www.exlservice.com/legal-disclaimer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Media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Keith Little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+1 703-598-0980</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media.relations@exlservice.com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Kristoff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+1 212 209 4613</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IR@exlservice.com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1823</Words>
  <Characters>10037</Characters>
  <CharactersWithSpaces>11878</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