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37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374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Harrison Pamela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820"/>
        <w:spacing w:after="0" w:line="328" w:lineRule="auto"/>
        <w:rPr>
          <w:sz w:val="20"/>
          <w:szCs w:val="20"/>
          <w:color w:val="auto"/>
        </w:rPr>
      </w:pPr>
      <w:r>
        <w:rPr>
          <w:rFonts w:ascii="Times New Roman" w:cs="Times New Roman" w:eastAsia="Times New Roman" w:hAnsi="Times New Roman"/>
          <w:sz w:val="16"/>
          <w:szCs w:val="16"/>
          <w:color w:val="0000FF"/>
        </w:rPr>
        <w:t>EXLSERVICE HOLDINGS INC 320 PARK AVENUE, 29TH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37"/>
        <w:spacing w:after="0"/>
        <w:rPr>
          <w:sz w:val="20"/>
          <w:szCs w:val="20"/>
          <w:color w:val="auto"/>
        </w:rPr>
      </w:pPr>
      <w:r>
        <w:rPr>
          <w:rFonts w:ascii="Times New Roman" w:cs="Times New Roman" w:eastAsia="Times New Roman" w:hAnsi="Times New Roman"/>
          <w:sz w:val="16"/>
          <w:szCs w:val="16"/>
          <w:color w:val="0000FF"/>
        </w:rPr>
        <w:t>CHIEF HUMAN RESOURCES OFFICER</w:t>
      </w:r>
    </w:p>
    <w:p>
      <w:pPr>
        <w:spacing w:after="0" w:line="449"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8"/>
          </w:tcPr>
          <w:p>
            <w:pPr>
              <w:jc w:val="center"/>
              <w:ind w:right="39"/>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12,644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06/17/2025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12,644</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12,644</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-2192655</wp:posOffset>
            </wp:positionV>
            <wp:extent cx="29210" cy="2197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4"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20, 2026. Vesting will be accelerated upon certain termination of employment events and upon a "Change in Control" (as defined in the ExlService Holdings, Inc. 2025 Omnibus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600"/>
        <w:spacing w:after="0" w:line="297" w:lineRule="auto"/>
        <w:rPr>
          <w:sz w:val="20"/>
          <w:szCs w:val="20"/>
          <w:color w:val="auto"/>
        </w:rPr>
      </w:pPr>
      <w:r>
        <w:rPr>
          <w:rFonts w:ascii="Times New Roman" w:cs="Times New Roman" w:eastAsia="Times New Roman" w:hAnsi="Times New Roman"/>
          <w:sz w:val="12"/>
          <w:szCs w:val="12"/>
          <w:color w:val="008000"/>
        </w:rPr>
        <w:t>Note: On June 17, 2025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Ayyappan is the Company's General Counsel.</w:t>
      </w:r>
    </w:p>
    <w:p>
      <w:pPr>
        <w:spacing w:after="0" w:line="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06/17/2025</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6929"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2025-06-17T17:28:10Z</dcterms:created>
  <dcterms:modified xsi:type="dcterms:W3CDTF">2025-06-17T17:28:10Z</dcterms:modified>
</cp:coreProperties>
</file>