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5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 Sections 13 or 15(d)</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Report (Date of earliest event reported): April 28, 2016</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57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5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0860"/>
          </w:cols>
          <w:pgMar w:left="240" w:top="742" w:right="79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1980"/>
          </w:cols>
          <w:pgMar w:left="240" w:top="742" w:right="799" w:bottom="1440" w:gutter="0" w:footer="0" w:header="0"/>
          <w:type w:val="continuous"/>
        </w:sectPr>
      </w:pPr>
    </w:p>
    <w:p>
      <w:pPr>
        <w:spacing w:after="0" w:line="236"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(Address of principal executive offices)</w:t>
      </w:r>
    </w:p>
    <w:p>
      <w:pPr>
        <w:spacing w:after="0" w:line="27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8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color w:val="auto"/>
        </w:rPr>
        <w:t>(Former name or address, if changed since last report)</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____________________________________________</w:t>
      </w:r>
    </w:p>
    <w:p>
      <w:pPr>
        <w:sectPr>
          <w:pgSz w:w="11900" w:h="16838" w:orient="portrait"/>
          <w:cols w:equalWidth="0" w:num="1">
            <w:col w:w="10860"/>
          </w:cols>
          <w:pgMar w:left="240" w:top="742" w:right="799" w:bottom="1440" w:gutter="0" w:footer="0" w:header="0"/>
          <w:type w:val="continuous"/>
        </w:sectPr>
      </w:pPr>
    </w:p>
    <w:p>
      <w:pPr>
        <w:spacing w:after="0" w:line="25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373"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742"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April 28, 2016, ExlService Holdings, Inc. (the “Company”) reported its results of operations for the three months ended March 31, 2016.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76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53"/>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w w:val="89"/>
              </w:rPr>
              <w:t>Press Release, dated April 28, 2016 (furnished pursuant to Item 2.02).</w:t>
            </w:r>
          </w:p>
        </w:tc>
      </w:tr>
    </w:tbl>
    <w:p>
      <w:pPr>
        <w:sectPr>
          <w:pgSz w:w="11900" w:h="16838" w:orient="portrait"/>
          <w:cols w:equalWidth="0" w:num="1">
            <w:col w:w="11400"/>
          </w:cols>
          <w:pgMar w:left="240" w:top="37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260" w:type="dxa"/>
            <w:vAlign w:val="bottom"/>
          </w:tcPr>
          <w:p>
            <w:pPr>
              <w:spacing w:after="0"/>
              <w:rPr>
                <w:sz w:val="19"/>
                <w:szCs w:val="19"/>
                <w:color w:val="auto"/>
              </w:rPr>
            </w:pPr>
          </w:p>
        </w:tc>
        <w:tc>
          <w:tcPr>
            <w:tcW w:w="8120" w:type="dxa"/>
            <w:vAlign w:val="bottom"/>
            <w:gridSpan w:val="2"/>
          </w:tcPr>
          <w:p>
            <w:pPr>
              <w:ind w:left="176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260" w:type="dxa"/>
            <w:vAlign w:val="bottom"/>
          </w:tcPr>
          <w:p>
            <w:pPr>
              <w:spacing w:after="0"/>
              <w:rPr>
                <w:sz w:val="20"/>
                <w:szCs w:val="20"/>
                <w:color w:val="auto"/>
              </w:rPr>
            </w:pPr>
          </w:p>
        </w:tc>
        <w:tc>
          <w:tcPr>
            <w:tcW w:w="3100" w:type="dxa"/>
            <w:vAlign w:val="bottom"/>
          </w:tcPr>
          <w:p>
            <w:pPr>
              <w:ind w:left="176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260" w:type="dxa"/>
            <w:vAlign w:val="bottom"/>
          </w:tcPr>
          <w:p>
            <w:pPr>
              <w:spacing w:after="0"/>
              <w:rPr>
                <w:sz w:val="20"/>
                <w:szCs w:val="20"/>
                <w:color w:val="auto"/>
              </w:rPr>
            </w:pPr>
            <w:r>
              <w:rPr>
                <w:rFonts w:ascii="Arial" w:cs="Arial" w:eastAsia="Arial" w:hAnsi="Arial"/>
                <w:sz w:val="18"/>
                <w:szCs w:val="18"/>
                <w:color w:val="auto"/>
              </w:rPr>
              <w:t>Date: April 28, 2016</w:t>
            </w:r>
          </w:p>
        </w:tc>
        <w:tc>
          <w:tcPr>
            <w:tcW w:w="3100" w:type="dxa"/>
            <w:vAlign w:val="bottom"/>
          </w:tcPr>
          <w:p>
            <w:pPr>
              <w:ind w:left="176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Nancy Saltzman</w:t>
            </w:r>
          </w:p>
        </w:tc>
      </w:tr>
      <w:tr>
        <w:trPr>
          <w:trHeight w:val="41"/>
        </w:trPr>
        <w:tc>
          <w:tcPr>
            <w:tcW w:w="3260" w:type="dxa"/>
            <w:vAlign w:val="bottom"/>
          </w:tcPr>
          <w:p>
            <w:pPr>
              <w:spacing w:after="0"/>
              <w:rPr>
                <w:sz w:val="3"/>
                <w:szCs w:val="3"/>
                <w:color w:val="auto"/>
              </w:rPr>
            </w:pPr>
          </w:p>
        </w:tc>
        <w:tc>
          <w:tcPr>
            <w:tcW w:w="310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260" w:type="dxa"/>
            <w:vAlign w:val="bottom"/>
          </w:tcPr>
          <w:p>
            <w:pPr>
              <w:spacing w:after="0"/>
              <w:rPr>
                <w:sz w:val="21"/>
                <w:szCs w:val="21"/>
                <w:color w:val="auto"/>
              </w:rPr>
            </w:pPr>
          </w:p>
        </w:tc>
        <w:tc>
          <w:tcPr>
            <w:tcW w:w="3100" w:type="dxa"/>
            <w:vAlign w:val="bottom"/>
          </w:tcPr>
          <w:p>
            <w:pPr>
              <w:ind w:left="176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Nancy Saltzman</w:t>
            </w:r>
          </w:p>
        </w:tc>
      </w:tr>
      <w:tr>
        <w:trPr>
          <w:trHeight w:val="256"/>
        </w:trPr>
        <w:tc>
          <w:tcPr>
            <w:tcW w:w="3260" w:type="dxa"/>
            <w:vAlign w:val="bottom"/>
          </w:tcPr>
          <w:p>
            <w:pPr>
              <w:spacing w:after="0"/>
              <w:rPr>
                <w:sz w:val="22"/>
                <w:szCs w:val="22"/>
                <w:color w:val="auto"/>
              </w:rPr>
            </w:pPr>
          </w:p>
        </w:tc>
        <w:tc>
          <w:tcPr>
            <w:tcW w:w="3100" w:type="dxa"/>
            <w:vAlign w:val="bottom"/>
          </w:tcPr>
          <w:p>
            <w:pPr>
              <w:ind w:left="176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30"/>
        </w:trPr>
        <w:tc>
          <w:tcPr>
            <w:tcW w:w="3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36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80" w:type="dxa"/>
            <w:vAlign w:val="bottom"/>
          </w:tcPr>
          <w:p>
            <w:pPr>
              <w:ind w:left="2520"/>
              <w:spacing w:after="0"/>
              <w:rPr>
                <w:sz w:val="20"/>
                <w:szCs w:val="20"/>
                <w:color w:val="auto"/>
              </w:rPr>
            </w:pPr>
            <w:r>
              <w:rPr>
                <w:rFonts w:ascii="Arial" w:cs="Arial" w:eastAsia="Arial" w:hAnsi="Arial"/>
                <w:sz w:val="22"/>
                <w:szCs w:val="22"/>
                <w:b w:val="1"/>
                <w:bCs w:val="1"/>
                <w:color w:val="auto"/>
              </w:rPr>
              <w:t>EXHIBIT INDEX</w:t>
            </w:r>
          </w:p>
        </w:tc>
      </w:tr>
      <w:tr>
        <w:trPr>
          <w:trHeight w:val="422"/>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9"/>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w w:val="89"/>
              </w:rPr>
              <w:t>Press Release, dated April 28, 2016 (furnished pursuant to Item 2.02).</w:t>
            </w:r>
          </w:p>
        </w:tc>
      </w:tr>
    </w:tbl>
    <w:p>
      <w:pPr>
        <w:sectPr>
          <w:pgSz w:w="11900" w:h="16838" w:orient="portrait"/>
          <w:cols w:equalWidth="0" w:num="1">
            <w:col w:w="10219"/>
          </w:cols>
          <w:pgMar w:left="240" w:top="369" w:right="1440" w:bottom="1440" w:gutter="0" w:footer="0" w:header="0"/>
        </w:sectPr>
      </w:pPr>
    </w:p>
    <w:bookmarkStart w:id="4" w:name="page5"/>
    <w:bookmarkEnd w:id="4"/>
    <w:p>
      <w:pPr>
        <w:ind w:left="7780"/>
        <w:spacing w:after="0"/>
        <w:rPr>
          <w:sz w:val="20"/>
          <w:szCs w:val="20"/>
          <w:color w:val="auto"/>
        </w:rPr>
      </w:pPr>
      <w:r>
        <w:rPr>
          <w:rFonts w:ascii="Arial" w:cs="Arial" w:eastAsia="Arial" w:hAnsi="Arial"/>
          <w:sz w:val="18"/>
          <w:szCs w:val="18"/>
          <w:b w:val="1"/>
          <w:bCs w:val="1"/>
          <w:color w:val="auto"/>
        </w:rPr>
        <w:t>Exhibit 99.1</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EXL REPORTS 2016 FIRST QUARTER RESULTS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2016 First Quarter Revenues of $167.0 Million, up 16.4% year over year</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Diluted EPS (GAAP) of $0.40, up from $0.28 in Q1 of 2015</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Adjusted Diluted EPS (Non-GAAP) of $0.56, up from $0.41 in Q1 of 2015</w:t>
      </w:r>
    </w:p>
    <w:p>
      <w:pPr>
        <w:spacing w:after="0" w:line="200" w:lineRule="exact"/>
        <w:rPr>
          <w:sz w:val="20"/>
          <w:szCs w:val="20"/>
          <w:color w:val="auto"/>
        </w:rPr>
      </w:pPr>
    </w:p>
    <w:p>
      <w:pPr>
        <w:spacing w:after="0" w:line="25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New York, NY – April 28, 2016 – ExlService Holdings, Inc. (NASDAQ: EXLS), a leading provider of operations management and analytics services, today announced its financial results for the quarter ended March 31, 2016.</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Rohit Kapoor, Vice Chairman and CEO, commented, “EXL delivered strong revenue growth and profitability in the first quarter of 2016 driven by demand from our existing clients and ramp-up of recent wins. Revenues grew 16.4% year-over-year, or 18.4% on a constant currency basis. Revenue growth was driven by Analytics, Healthcare, Travel, Transportation &amp; Logistics and Banking &amp; Financial Services in the quarter.”</w:t>
      </w:r>
    </w:p>
    <w:p>
      <w:pPr>
        <w:spacing w:after="0" w:line="5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Analytics business continues on its growth trajectory as clients increasingly rely on data-driven insights generated from our proprietary models. In Operations Management our investments in automation, technology-enabled solutions, and the Business EXLerator Framework™ are resonating in the market. Our pipeline in both of our operating segments remains strong.”</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Vishal Chhibbar, EXL’s CFO, commented, “Our adjusted EPS was up 37% year-over year to $0.56 due to higher volumes, operating leverage and the impact of an acquisition. Our balance sheet remains strong with cash and short-term investments of $192.9 million.</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updated our guidance for 2016 to $694 million - $706 million from $690 million - $706 million to reflect better performance in the first quarter and stronger exchange rates versus the U.S. dollar. Our guidance represents annual revenue growth of 12-14% on a constant currency basis. Our adjusted diluted EPS guidance for 2016 is unchanged.”</w:t>
      </w:r>
    </w:p>
    <w:p>
      <w:pPr>
        <w:sectPr>
          <w:pgSz w:w="11900" w:h="16838" w:orient="portrait"/>
          <w:cols w:equalWidth="0" w:num="1">
            <w:col w:w="11320"/>
          </w:cols>
          <w:pgMar w:left="240" w:top="37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Highlights: First Quarter 2016</w:t>
      </w:r>
    </w:p>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Our business is divided into two reporting segments: Operations Management and Analytics. Reconciliations of adjusted financial measures to GAAP are included at the end of this release.</w:t>
      </w:r>
    </w:p>
    <w:p>
      <w:pPr>
        <w:spacing w:after="0" w:line="170" w:lineRule="exact"/>
        <w:rPr>
          <w:sz w:val="20"/>
          <w:szCs w:val="20"/>
          <w:color w:val="auto"/>
        </w:rPr>
      </w:pPr>
    </w:p>
    <w:p>
      <w:pPr>
        <w:ind w:left="340" w:right="460" w:hanging="251"/>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increased to $167.0 million compared to $143.5 million, up 16.4% from the first quarter of 2015 and up 0.7% sequentially from the prior quarter.</w:t>
      </w:r>
    </w:p>
    <w:p>
      <w:pPr>
        <w:spacing w:after="0" w:line="170" w:lineRule="exact"/>
        <w:rPr>
          <w:rFonts w:ascii="Arial" w:cs="Arial" w:eastAsia="Arial" w:hAnsi="Arial"/>
          <w:sz w:val="18"/>
          <w:szCs w:val="18"/>
          <w:color w:val="auto"/>
        </w:rPr>
      </w:pPr>
    </w:p>
    <w:p>
      <w:pPr>
        <w:ind w:left="980" w:right="60" w:hanging="405"/>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Operations Management revenues increased 3.4% to $128.1 million (5.6% on constant currency) compared to $123.9 million in the first quarter of 2015 and decreased 1.0% sequentially from the prior quarter.</w:t>
      </w:r>
    </w:p>
    <w:p>
      <w:pPr>
        <w:spacing w:after="0" w:line="170" w:lineRule="exact"/>
        <w:rPr>
          <w:rFonts w:ascii="Arial" w:cs="Arial" w:eastAsia="Arial" w:hAnsi="Arial"/>
          <w:sz w:val="18"/>
          <w:szCs w:val="18"/>
          <w:color w:val="auto"/>
        </w:rPr>
      </w:pPr>
    </w:p>
    <w:p>
      <w:pPr>
        <w:ind w:left="980" w:right="200" w:hanging="405"/>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Analytics revenues increased 98.2% to $39.0 million (99.7% on constant currency) compared to $19.7 million in the first quarter of 2015, and increased 6.9% sequentially from the prior quarter.</w:t>
      </w:r>
    </w:p>
    <w:p>
      <w:pPr>
        <w:spacing w:after="0" w:line="170" w:lineRule="exact"/>
        <w:rPr>
          <w:rFonts w:ascii="Arial" w:cs="Arial" w:eastAsia="Arial" w:hAnsi="Arial"/>
          <w:sz w:val="18"/>
          <w:szCs w:val="18"/>
          <w:color w:val="auto"/>
        </w:rPr>
      </w:pPr>
    </w:p>
    <w:p>
      <w:pPr>
        <w:ind w:left="340" w:hanging="251"/>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margin for the quarter ended March 31, 2016 was 9.8% compared to 9.4% in the first quarter of 2015 and 10.8% for the quarter ended December 31, 2015. Adjusted operating margin was 15.0% compared to 13.8% in the first quarter of 2015 and 14.7% for the quarter ended December 31, 2015.</w:t>
      </w:r>
    </w:p>
    <w:p>
      <w:pPr>
        <w:spacing w:after="0" w:line="181" w:lineRule="exact"/>
        <w:rPr>
          <w:rFonts w:ascii="Arial" w:cs="Arial" w:eastAsia="Arial" w:hAnsi="Arial"/>
          <w:sz w:val="18"/>
          <w:szCs w:val="18"/>
          <w:color w:val="auto"/>
        </w:rPr>
      </w:pPr>
    </w:p>
    <w:p>
      <w:pPr>
        <w:ind w:left="340" w:right="20" w:hanging="251"/>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Diluted earnings per share for the quarter ended March 31, 2016 was $0.40 compared to $0.28 in the first quarter of 2015 and $0.43 for the quarter ended December 31, 2015. Adjusted diluted earnings per share was $0.56 compared to $0.41 in the first quarter of 2015 and $0.56 for the quarter ended December 31,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First Quarter 2016</w:t>
      </w:r>
    </w:p>
    <w:p>
      <w:pPr>
        <w:spacing w:after="0" w:line="243" w:lineRule="exact"/>
        <w:rPr>
          <w:sz w:val="20"/>
          <w:szCs w:val="20"/>
          <w:color w:val="auto"/>
        </w:rPr>
      </w:pPr>
    </w:p>
    <w:p>
      <w:pPr>
        <w:ind w:left="340" w:hanging="251"/>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Won 11 new clients in the quarter ended March 31, 2016, consisting of eight new clients in Operations Management and three new clients in Analytics.</w:t>
      </w:r>
    </w:p>
    <w:p>
      <w:pPr>
        <w:spacing w:after="0" w:line="248" w:lineRule="exact"/>
        <w:rPr>
          <w:rFonts w:ascii="Arial" w:cs="Arial" w:eastAsia="Arial" w:hAnsi="Arial"/>
          <w:sz w:val="16"/>
          <w:szCs w:val="16"/>
          <w:color w:val="auto"/>
        </w:rPr>
      </w:pPr>
    </w:p>
    <w:p>
      <w:pPr>
        <w:ind w:left="340" w:hanging="25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Positioned as a “Leader” in “NelsonHall Healthcare Payer NEAT” report.</w:t>
      </w:r>
    </w:p>
    <w:p>
      <w:pPr>
        <w:spacing w:after="0" w:line="225" w:lineRule="exact"/>
        <w:rPr>
          <w:rFonts w:ascii="Arial" w:cs="Arial" w:eastAsia="Arial" w:hAnsi="Arial"/>
          <w:sz w:val="18"/>
          <w:szCs w:val="18"/>
          <w:color w:val="auto"/>
        </w:rPr>
      </w:pPr>
    </w:p>
    <w:p>
      <w:pPr>
        <w:ind w:left="340" w:hanging="25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Positioned in the “As-a-Service Winner’s Circle” in “HfS Blueprint Report: BFS Analytics Services”.</w:t>
      </w:r>
    </w:p>
    <w:p>
      <w:pPr>
        <w:spacing w:after="0" w:line="225" w:lineRule="exact"/>
        <w:rPr>
          <w:rFonts w:ascii="Arial" w:cs="Arial" w:eastAsia="Arial" w:hAnsi="Arial"/>
          <w:sz w:val="18"/>
          <w:szCs w:val="18"/>
          <w:color w:val="auto"/>
        </w:rPr>
      </w:pPr>
    </w:p>
    <w:p>
      <w:pPr>
        <w:ind w:left="340" w:hanging="25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multiple Operations Management relationships, including migrating 34 new processes in the first quarter of 2016.</w:t>
      </w:r>
    </w:p>
    <w:p>
      <w:pPr>
        <w:spacing w:after="0" w:line="225" w:lineRule="exact"/>
        <w:rPr>
          <w:rFonts w:ascii="Arial" w:cs="Arial" w:eastAsia="Arial" w:hAnsi="Arial"/>
          <w:sz w:val="18"/>
          <w:szCs w:val="18"/>
          <w:color w:val="auto"/>
        </w:rPr>
      </w:pPr>
    </w:p>
    <w:p>
      <w:pPr>
        <w:ind w:left="340" w:right="500" w:hanging="251"/>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Care Radius Version 3.1, our cloud-based total population health platform that integrates data from multiple sources for health plans and practitioners.</w:t>
      </w:r>
    </w:p>
    <w:p>
      <w:pPr>
        <w:spacing w:after="0" w:line="170" w:lineRule="exact"/>
        <w:rPr>
          <w:rFonts w:ascii="Arial" w:cs="Arial" w:eastAsia="Arial" w:hAnsi="Arial"/>
          <w:sz w:val="18"/>
          <w:szCs w:val="18"/>
          <w:color w:val="auto"/>
        </w:rPr>
      </w:pPr>
    </w:p>
    <w:p>
      <w:pPr>
        <w:ind w:left="340" w:hanging="25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Entered into a strategic partnership with Automation Anywhere to accelerate robotic process automation initiatives.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Guidance</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current visibility and an Indian rupee to U.S. dollar exchange rate of 67, Philippine peso to U.S. dollar exchange rate of 47.5 and all other currencies at current exchange rates, the Company is providing the following guidance for the calendar year 2016:</w:t>
      </w:r>
    </w:p>
    <w:p>
      <w:pPr>
        <w:spacing w:after="0" w:line="170" w:lineRule="exact"/>
        <w:rPr>
          <w:sz w:val="20"/>
          <w:szCs w:val="20"/>
          <w:color w:val="auto"/>
        </w:rPr>
      </w:pPr>
    </w:p>
    <w:p>
      <w:pPr>
        <w:ind w:left="340" w:hanging="251"/>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of $694 million to $706 million, representing annual revenue growth 12% to 14% on a constant currency basis.</w:t>
      </w:r>
    </w:p>
    <w:p>
      <w:pPr>
        <w:spacing w:after="0" w:line="225" w:lineRule="exact"/>
        <w:rPr>
          <w:rFonts w:ascii="Arial" w:cs="Arial" w:eastAsia="Arial" w:hAnsi="Arial"/>
          <w:sz w:val="18"/>
          <w:szCs w:val="18"/>
          <w:color w:val="auto"/>
        </w:rPr>
      </w:pPr>
    </w:p>
    <w:p>
      <w:pPr>
        <w:ind w:left="340" w:right="120" w:hanging="251"/>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of $2.25 to $2.35, representing an increase of 11% to 16%.</w:t>
      </w:r>
    </w:p>
    <w:p>
      <w:pPr>
        <w:sectPr>
          <w:pgSz w:w="11900" w:h="16838" w:orient="portrait"/>
          <w:cols w:equalWidth="0" w:num="1">
            <w:col w:w="11400"/>
          </w:cols>
          <w:pgMar w:left="240" w:top="44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3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ExlService Holdings, Inc. will host a conference call on Thursday, April 28, 2016 at 4:30 P.M.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106"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21"/>
          <w:szCs w:val="21"/>
          <w:u w:val="single" w:color="auto"/>
          <w:color w:val="0000FF"/>
        </w:rPr>
        <w:t>ir.exlservice.com</w:t>
      </w: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48" w:lineRule="exact"/>
        <w:rPr>
          <w:sz w:val="20"/>
          <w:szCs w:val="20"/>
          <w:color w:val="auto"/>
        </w:rPr>
      </w:pPr>
    </w:p>
    <w:p>
      <w:pPr>
        <w:spacing w:after="0" w:line="330" w:lineRule="auto"/>
        <w:rPr>
          <w:sz w:val="20"/>
          <w:szCs w:val="20"/>
          <w:color w:val="auto"/>
        </w:rPr>
      </w:pPr>
      <w:r>
        <w:rPr>
          <w:rFonts w:ascii="Arial" w:cs="Arial" w:eastAsia="Arial" w:hAnsi="Arial"/>
          <w:sz w:val="16"/>
          <w:szCs w:val="16"/>
          <w:color w:val="auto"/>
        </w:rPr>
        <w:t>EXL (NASDAQ: EXLS) is a leading operations management and analytics company that helps businesses enhance growth and profitability in the face of relentless competition and continuous disruption. Using our proprietary award-winning Business EXLerator Framework™, which integrate analytics, automation, benchmarking, BPO, consulting, industry best practices and technology platforms, EXL looks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24,000 professionals in locations throughout the United States, Europe, Asia (primarily India and Philippines), Latin America, Australia and South Africa. For more information, visit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www.exlservice.com</w:t>
      </w:r>
      <w:r>
        <w:rPr>
          <w:rFonts w:ascii="Arial" w:cs="Arial" w:eastAsia="Arial" w:hAnsi="Arial"/>
          <w:sz w:val="18"/>
          <w:szCs w:val="18"/>
          <w:u w:val="single" w:color="auto"/>
          <w:color w:val="0000FF"/>
        </w:rPr>
        <w:t>.</w:t>
      </w:r>
    </w:p>
    <w:p>
      <w:pPr>
        <w:spacing w:after="0" w:line="200" w:lineRule="exact"/>
        <w:rPr>
          <w:sz w:val="20"/>
          <w:szCs w:val="20"/>
          <w:color w:val="auto"/>
        </w:rPr>
      </w:pPr>
    </w:p>
    <w:p>
      <w:pPr>
        <w:spacing w:after="0" w:line="2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Continuing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the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2015.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382"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167,036</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143,510</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108,379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93,125</w:t>
            </w:r>
          </w:p>
        </w:tc>
      </w:tr>
      <w:tr>
        <w:trPr>
          <w:trHeight w:val="27"/>
        </w:trPr>
        <w:tc>
          <w:tcPr>
            <w:tcW w:w="77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58,657</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50,385</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7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20,618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18,621</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13,454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11,243</w:t>
            </w:r>
          </w:p>
        </w:tc>
      </w:tr>
      <w:tr>
        <w:trPr>
          <w:trHeight w:val="27"/>
        </w:trPr>
        <w:tc>
          <w:tcPr>
            <w:tcW w:w="7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8,133</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7,053</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42,205</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36,917</w:t>
            </w:r>
          </w:p>
        </w:tc>
      </w:tr>
      <w:tr>
        <w:trPr>
          <w:trHeight w:val="27"/>
        </w:trPr>
        <w:tc>
          <w:tcPr>
            <w:tcW w:w="77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16,452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13,468</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Foreign exchange gain</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1,134</w:t>
            </w:r>
          </w:p>
        </w:tc>
      </w:tr>
      <w:tr>
        <w:trPr>
          <w:trHeight w:val="27"/>
        </w:trPr>
        <w:tc>
          <w:tcPr>
            <w:tcW w:w="7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2,794</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1,178</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19,715</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15,780</w:t>
            </w:r>
          </w:p>
        </w:tc>
      </w:tr>
      <w:tr>
        <w:trPr>
          <w:trHeight w:val="27"/>
        </w:trPr>
        <w:tc>
          <w:tcPr>
            <w:tcW w:w="7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5,895</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6,213</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13,820</w:t>
            </w:r>
          </w:p>
        </w:tc>
        <w:tc>
          <w:tcPr>
            <w:tcW w:w="2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9,567</w:t>
            </w:r>
          </w:p>
        </w:tc>
      </w:tr>
      <w:tr>
        <w:trPr>
          <w:trHeight w:val="67"/>
        </w:trPr>
        <w:tc>
          <w:tcPr>
            <w:tcW w:w="77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7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0.29</w:t>
            </w:r>
          </w:p>
        </w:tc>
      </w:tr>
      <w:tr>
        <w:trPr>
          <w:trHeight w:val="27"/>
        </w:trPr>
        <w:tc>
          <w:tcPr>
            <w:tcW w:w="7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0.28</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33,380,028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33,236,259</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34,351,657</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34,051,971</w:t>
            </w:r>
          </w:p>
        </w:tc>
      </w:tr>
    </w:tbl>
    <w:p>
      <w:pPr>
        <w:sectPr>
          <w:pgSz w:w="11900" w:h="16838" w:orient="portrait"/>
          <w:cols w:equalWidth="0" w:num="1">
            <w:col w:w="11360"/>
          </w:cols>
          <w:pgMar w:left="280" w:top="580" w:right="2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March 31,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64"/>
        </w:trPr>
        <w:tc>
          <w:tcPr>
            <w:tcW w:w="7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205,323</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97,079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13,676</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107,601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92,650</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8,027</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6,406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15,219</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337,754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339,199</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assets, net</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47,991</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3,380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13,749</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50,013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52,733</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171,535</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22,384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22,257</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650,783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3,146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6,401</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13,667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11,518</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44,526</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37,901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34,250</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89,644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107,079</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17,655</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158,487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185,012</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8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ExlService Holdings, Inc.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840" w:type="dxa"/>
            <w:vAlign w:val="bottom"/>
          </w:tcPr>
          <w:p>
            <w:pPr>
              <w:ind w:left="380"/>
              <w:spacing w:after="0"/>
              <w:rPr>
                <w:sz w:val="20"/>
                <w:szCs w:val="20"/>
                <w:color w:val="auto"/>
              </w:rPr>
            </w:pPr>
            <w:r>
              <w:rPr>
                <w:rFonts w:ascii="Arial" w:cs="Arial" w:eastAsia="Arial" w:hAnsi="Arial"/>
                <w:sz w:val="16"/>
                <w:szCs w:val="16"/>
                <w:color w:val="auto"/>
                <w:w w:val="90"/>
              </w:rPr>
              <w:t>Common stock, $0.001 par value; 100,000,000 shares authorized, 35,252,413 shares issued and 33,409,249 shares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80"/>
              <w:spacing w:after="0"/>
              <w:rPr>
                <w:sz w:val="20"/>
                <w:szCs w:val="20"/>
                <w:color w:val="auto"/>
              </w:rPr>
            </w:pPr>
            <w:r>
              <w:rPr>
                <w:rFonts w:ascii="Arial" w:cs="Arial" w:eastAsia="Arial" w:hAnsi="Arial"/>
                <w:sz w:val="16"/>
                <w:szCs w:val="16"/>
                <w:color w:val="auto"/>
                <w:w w:val="99"/>
              </w:rPr>
              <w:t>outstanding as of March 31, 2016 and 34,781,201 shares issued and 33,091,223 shares outstanding as of</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40" w:type="dxa"/>
            <w:vAlign w:val="bottom"/>
          </w:tcPr>
          <w:p>
            <w:pPr>
              <w:ind w:left="380"/>
              <w:spacing w:after="0"/>
              <w:rPr>
                <w:sz w:val="20"/>
                <w:szCs w:val="20"/>
                <w:color w:val="auto"/>
              </w:rPr>
            </w:pPr>
            <w:r>
              <w:rPr>
                <w:rFonts w:ascii="Arial" w:cs="Arial" w:eastAsia="Arial" w:hAnsi="Arial"/>
                <w:sz w:val="16"/>
                <w:szCs w:val="16"/>
                <w:color w:val="auto"/>
              </w:rPr>
              <w:t>December 31, 2015</w:t>
            </w:r>
          </w:p>
        </w:tc>
        <w:tc>
          <w:tcPr>
            <w:tcW w:w="24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254,052</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334,809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320,989</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(67,325)</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including shares held in treasury</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532,628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507,751</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2"/>
              </w:rPr>
              <w:t>Less: 1,843,164 shares as of March 31, 2016 and 1,689,978 shares as of December 31, 2015, held in treasury, at cost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(42,159)</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ExlService Holdings, Inc. stockholders'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483,614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465,592</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483,793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465,771</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642,280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650,783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526" w:right="25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35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(adjusted operating income, adjusted EBITDA, adjusted net income, adjusted diluted earnings per share and information on a constant currency basis) that the Securities and Exchange Commission defines as “non-GAAP financial measures.” The adjusted financial measures disclosed by the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adjusted measures may help investors better understand EXL’s underlying financial performance. Management also believes that these adjusted financial measures, when read in conjunction with EXL’s reported results, can provide useful supplemental information for investors analyzing period to period comparisons of the Company’s results and comparisons of the Company’s results with the results of other companies. Additionally, management considers some of these adjusted financial measures to determine variable compensation of its employees. EXL believes that it is unreasonably difficult to provide its financial outlook in accordance with GAAP for a number of reasons including, without limitation, EXL’s inability to predict its future stock-based compensation expense under ASC Topic 718, the amortization of intangibles associated with further acquisitions and the currency fluctuations. EXL also incurs significant non-cash charges for depreciation that may not be indicative of the Company’s ability to generate cash flow.</w:t>
      </w:r>
    </w:p>
    <w:p>
      <w:pPr>
        <w:spacing w:after="0" w:line="6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Additionally, EXL provides certain information on a constant currency basis, which reflects a comparison of current period results translated at the prior period currency rates. EXL primary exchange rate exposure is with the Indian Rupee, the U.K. pound sterling and the Philippine peso. The average exchange rate of the Indian rupee against the U.S. dollar increased from 62.06 during the quarter ended March 31, 2015 to 67.51 during the quarter ended March 31, 2016, representing a depreciation of 8.8%. The average exchange rate of the Philippine peso against the U.S. dollar increased from 44.29 during the quarter ended March 31, 2015 to 47.09 during the quarter ended March 31, 2016, representing a depreciation of 6.3%. The average exchange rate of the U.K pound sterling against the U.S. dollar increased from 0.66 during the quarter ended March 31, 2015 to 0.71 during the quarter ended March 31, 2016, representing a depreciation of 6.2%. This information is provided because EXL believes that it provides useful comparative incremental information to investors regarding EXL’s operating performance.</w:t>
      </w:r>
    </w:p>
    <w:p>
      <w:pPr>
        <w:spacing w:after="0" w:line="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months ended March 31, 2016 and 2015 and for the three months ended December 31, 2015:</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(Amounts in thousands)</w:t>
      </w:r>
    </w:p>
    <w:p>
      <w:pPr>
        <w:spacing w:after="0" w:line="373"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40"/>
        </w:trPr>
        <w:tc>
          <w:tcPr>
            <w:tcW w:w="55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 (GAAP)</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167,036</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143,510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165,858</w:t>
            </w:r>
          </w:p>
        </w:tc>
        <w:tc>
          <w:tcPr>
            <w:tcW w:w="0" w:type="dxa"/>
            <w:vAlign w:val="bottom"/>
          </w:tcPr>
          <w:p>
            <w:pPr>
              <w:spacing w:after="0"/>
              <w:rPr>
                <w:sz w:val="1"/>
                <w:szCs w:val="1"/>
                <w:color w:val="auto"/>
              </w:rPr>
            </w:pPr>
          </w:p>
        </w:tc>
      </w:tr>
      <w:tr>
        <w:trPr>
          <w:trHeight w:val="224"/>
        </w:trPr>
        <w:tc>
          <w:tcPr>
            <w:tcW w:w="5540" w:type="dxa"/>
            <w:vAlign w:val="bottom"/>
          </w:tcPr>
          <w:p>
            <w:pPr>
              <w:ind w:left="20"/>
              <w:spacing w:after="0"/>
              <w:rPr>
                <w:sz w:val="20"/>
                <w:szCs w:val="20"/>
                <w:color w:val="auto"/>
              </w:rPr>
            </w:pPr>
            <w:r>
              <w:rPr>
                <w:rFonts w:ascii="Arial" w:cs="Arial" w:eastAsia="Arial" w:hAnsi="Arial"/>
                <w:sz w:val="16"/>
                <w:szCs w:val="16"/>
                <w:color w:val="auto"/>
              </w:rPr>
              <w:t>subtract: Cost of revenues (GAAP)</w:t>
            </w:r>
          </w:p>
        </w:tc>
        <w:tc>
          <w:tcPr>
            <w:tcW w:w="44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(108,379)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(93,125)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(106,116)</w:t>
            </w:r>
          </w:p>
        </w:tc>
        <w:tc>
          <w:tcPr>
            <w:tcW w:w="0" w:type="dxa"/>
            <w:vAlign w:val="bottom"/>
          </w:tcPr>
          <w:p>
            <w:pPr>
              <w:spacing w:after="0"/>
              <w:rPr>
                <w:sz w:val="1"/>
                <w:szCs w:val="1"/>
                <w:color w:val="auto"/>
              </w:rPr>
            </w:pPr>
          </w:p>
        </w:tc>
      </w:tr>
      <w:tr>
        <w:trPr>
          <w:trHeight w:val="47"/>
        </w:trPr>
        <w:tc>
          <w:tcPr>
            <w:tcW w:w="5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subtract: Operating expenses (GAAP)</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(42,205)</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(36,917)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(41,864)</w:t>
            </w:r>
          </w:p>
        </w:tc>
        <w:tc>
          <w:tcPr>
            <w:tcW w:w="0" w:type="dxa"/>
            <w:vAlign w:val="bottom"/>
          </w:tcPr>
          <w:p>
            <w:pPr>
              <w:spacing w:after="0"/>
              <w:rPr>
                <w:sz w:val="1"/>
                <w:szCs w:val="1"/>
                <w:color w:val="auto"/>
              </w:rPr>
            </w:pPr>
          </w:p>
        </w:tc>
      </w:tr>
      <w:tr>
        <w:trPr>
          <w:trHeight w:val="217"/>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16,452</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13,468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17,878</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add: Stock-based compensation expense </w:t>
            </w:r>
            <w:r>
              <w:rPr>
                <w:rFonts w:ascii="Arial" w:cs="Arial" w:eastAsia="Arial" w:hAnsi="Arial"/>
                <w:sz w:val="21"/>
                <w:szCs w:val="21"/>
                <w:color w:val="auto"/>
                <w:vertAlign w:val="superscript"/>
              </w:rPr>
              <w:t>(a)</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5,809</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3,768</w:t>
            </w:r>
          </w:p>
        </w:tc>
        <w:tc>
          <w:tcPr>
            <w:tcW w:w="0" w:type="dxa"/>
            <w:vAlign w:val="bottom"/>
          </w:tcPr>
          <w:p>
            <w:pPr>
              <w:spacing w:after="0"/>
              <w:rPr>
                <w:sz w:val="1"/>
                <w:szCs w:val="1"/>
                <w:color w:val="auto"/>
              </w:rPr>
            </w:pPr>
          </w:p>
        </w:tc>
      </w:tr>
      <w:tr>
        <w:trPr>
          <w:trHeight w:val="27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add: Amortization of acquisition-related intangibles </w:t>
            </w:r>
            <w:r>
              <w:rPr>
                <w:rFonts w:ascii="Arial" w:cs="Arial" w:eastAsia="Arial" w:hAnsi="Arial"/>
                <w:sz w:val="21"/>
                <w:szCs w:val="21"/>
                <w:color w:val="auto"/>
                <w:vertAlign w:val="superscript"/>
              </w:rPr>
              <w:t>(b)</w:t>
            </w: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2,715</w:t>
            </w:r>
          </w:p>
        </w:tc>
        <w:tc>
          <w:tcPr>
            <w:tcW w:w="12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2,059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2,717</w:t>
            </w:r>
          </w:p>
        </w:tc>
        <w:tc>
          <w:tcPr>
            <w:tcW w:w="0" w:type="dxa"/>
            <w:vAlign w:val="bottom"/>
          </w:tcPr>
          <w:p>
            <w:pPr>
              <w:spacing w:after="0"/>
              <w:rPr>
                <w:sz w:val="1"/>
                <w:szCs w:val="1"/>
                <w:color w:val="auto"/>
              </w:rPr>
            </w:pPr>
          </w:p>
        </w:tc>
      </w:tr>
      <w:tr>
        <w:trPr>
          <w:trHeight w:val="255"/>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24,976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19,782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24,363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15.0%</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i w:val="1"/>
                <w:iCs w:val="1"/>
                <w:color w:val="auto"/>
              </w:rPr>
              <w:t>14.7%</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Depreciation</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5,418</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217"/>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30,394</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24,776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29,940</w:t>
            </w:r>
          </w:p>
        </w:tc>
        <w:tc>
          <w:tcPr>
            <w:tcW w:w="0" w:type="dxa"/>
            <w:vAlign w:val="bottom"/>
          </w:tcPr>
          <w:p>
            <w:pPr>
              <w:spacing w:after="0"/>
              <w:rPr>
                <w:sz w:val="1"/>
                <w:szCs w:val="1"/>
                <w:color w:val="auto"/>
              </w:rPr>
            </w:pPr>
          </w:p>
        </w:tc>
      </w:tr>
      <w:tr>
        <w:trPr>
          <w:trHeight w:val="73"/>
        </w:trPr>
        <w:tc>
          <w:tcPr>
            <w:tcW w:w="554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54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i w:val="1"/>
                <w:iCs w:val="1"/>
                <w:color w:val="auto"/>
              </w:rPr>
              <w:t>Adjusted EBITDA margin as a % of Revenues (Non-GAAP)</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18.1%</w:t>
            </w:r>
          </w:p>
        </w:tc>
        <w:tc>
          <w:tcPr>
            <w:tcW w:w="0" w:type="dxa"/>
            <w:vAlign w:val="bottom"/>
          </w:tcPr>
          <w:p>
            <w:pPr>
              <w:spacing w:after="0"/>
              <w:rPr>
                <w:sz w:val="1"/>
                <w:szCs w:val="1"/>
                <w:color w:val="auto"/>
              </w:rPr>
            </w:pPr>
          </w:p>
        </w:tc>
      </w:tr>
      <w:tr>
        <w:trPr>
          <w:trHeight w:val="33"/>
        </w:trPr>
        <w:tc>
          <w:tcPr>
            <w:tcW w:w="5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ectPr>
          <w:pgSz w:w="11900" w:h="16838" w:orient="portrait"/>
          <w:cols w:equalWidth="0" w:num="1">
            <w:col w:w="11340"/>
          </w:cols>
          <w:pgMar w:left="240" w:top="499"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vMerge w:val="restart"/>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7"/>
                <w:szCs w:val="17"/>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Three Months</w:t>
            </w:r>
          </w:p>
        </w:tc>
        <w:tc>
          <w:tcPr>
            <w:tcW w:w="0" w:type="dxa"/>
            <w:vAlign w:val="bottom"/>
          </w:tcPr>
          <w:p>
            <w:pPr>
              <w:spacing w:after="0"/>
              <w:rPr>
                <w:sz w:val="1"/>
                <w:szCs w:val="1"/>
                <w:color w:val="auto"/>
              </w:rPr>
            </w:pPr>
          </w:p>
        </w:tc>
      </w:tr>
      <w:tr>
        <w:trPr>
          <w:trHeight w:val="95"/>
        </w:trPr>
        <w:tc>
          <w:tcPr>
            <w:tcW w:w="6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6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93"/>
              </w:rPr>
              <w:t>Ended</w:t>
            </w:r>
          </w:p>
        </w:tc>
        <w:tc>
          <w:tcPr>
            <w:tcW w:w="0" w:type="dxa"/>
            <w:vAlign w:val="bottom"/>
          </w:tcPr>
          <w:p>
            <w:pPr>
              <w:spacing w:after="0"/>
              <w:rPr>
                <w:sz w:val="1"/>
                <w:szCs w:val="1"/>
                <w:color w:val="auto"/>
              </w:rPr>
            </w:pPr>
          </w:p>
        </w:tc>
      </w:tr>
      <w:tr>
        <w:trPr>
          <w:trHeight w:val="108"/>
        </w:trPr>
        <w:tc>
          <w:tcPr>
            <w:tcW w:w="6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08"/>
        </w:trPr>
        <w:tc>
          <w:tcPr>
            <w:tcW w:w="6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2015</w:t>
            </w:r>
          </w:p>
        </w:tc>
        <w:tc>
          <w:tcPr>
            <w:tcW w:w="0" w:type="dxa"/>
            <w:vAlign w:val="bottom"/>
          </w:tcPr>
          <w:p>
            <w:pPr>
              <w:spacing w:after="0"/>
              <w:rPr>
                <w:sz w:val="1"/>
                <w:szCs w:val="1"/>
                <w:color w:val="auto"/>
              </w:rPr>
            </w:pPr>
          </w:p>
        </w:tc>
      </w:tr>
      <w:tr>
        <w:trPr>
          <w:trHeight w:val="47"/>
        </w:trPr>
        <w:tc>
          <w:tcPr>
            <w:tcW w:w="67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(GAAP)</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13,820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9,567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14,762</w:t>
            </w:r>
          </w:p>
        </w:tc>
        <w:tc>
          <w:tcPr>
            <w:tcW w:w="0" w:type="dxa"/>
            <w:vAlign w:val="bottom"/>
          </w:tcPr>
          <w:p>
            <w:pPr>
              <w:spacing w:after="0"/>
              <w:rPr>
                <w:sz w:val="1"/>
                <w:szCs w:val="1"/>
                <w:color w:val="auto"/>
              </w:rPr>
            </w:pPr>
          </w:p>
        </w:tc>
      </w:tr>
      <w:tr>
        <w:trPr>
          <w:trHeight w:val="270"/>
        </w:trPr>
        <w:tc>
          <w:tcPr>
            <w:tcW w:w="6760" w:type="dxa"/>
            <w:vAlign w:val="bottom"/>
          </w:tcPr>
          <w:p>
            <w:pPr>
              <w:ind w:left="200"/>
              <w:spacing w:after="0"/>
              <w:rPr>
                <w:sz w:val="20"/>
                <w:szCs w:val="20"/>
                <w:color w:val="auto"/>
              </w:rPr>
            </w:pPr>
            <w:r>
              <w:rPr>
                <w:rFonts w:ascii="Arial" w:cs="Arial" w:eastAsia="Arial" w:hAnsi="Arial"/>
                <w:sz w:val="16"/>
                <w:szCs w:val="16"/>
                <w:color w:val="auto"/>
              </w:rPr>
              <w:t xml:space="preserve">add: Stock-based compensation expense </w:t>
            </w:r>
            <w:r>
              <w:rPr>
                <w:rFonts w:ascii="Arial" w:cs="Arial" w:eastAsia="Arial" w:hAnsi="Arial"/>
                <w:sz w:val="21"/>
                <w:szCs w:val="21"/>
                <w:color w:val="auto"/>
                <w:vertAlign w:val="superscript"/>
              </w:rPr>
              <w:t>(a)</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5,809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4,255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3,768</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add: Amortization of acquisition-related intangibles </w:t>
            </w:r>
            <w:r>
              <w:rPr>
                <w:rFonts w:ascii="Arial" w:cs="Arial" w:eastAsia="Arial" w:hAnsi="Arial"/>
                <w:sz w:val="21"/>
                <w:szCs w:val="21"/>
                <w:color w:val="auto"/>
                <w:vertAlign w:val="superscript"/>
              </w:rPr>
              <w:t>(b)</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2,717</w:t>
            </w:r>
          </w:p>
        </w:tc>
        <w:tc>
          <w:tcPr>
            <w:tcW w:w="0" w:type="dxa"/>
            <w:vAlign w:val="bottom"/>
          </w:tcPr>
          <w:p>
            <w:pPr>
              <w:spacing w:after="0"/>
              <w:rPr>
                <w:sz w:val="1"/>
                <w:szCs w:val="1"/>
                <w:color w:val="auto"/>
              </w:rPr>
            </w:pPr>
          </w:p>
        </w:tc>
      </w:tr>
      <w:tr>
        <w:trPr>
          <w:trHeight w:val="224"/>
        </w:trPr>
        <w:tc>
          <w:tcPr>
            <w:tcW w:w="6760" w:type="dxa"/>
            <w:vAlign w:val="bottom"/>
          </w:tcPr>
          <w:p>
            <w:pPr>
              <w:ind w:left="200"/>
              <w:spacing w:after="0"/>
              <w:rPr>
                <w:sz w:val="20"/>
                <w:szCs w:val="20"/>
                <w:color w:val="auto"/>
              </w:rPr>
            </w:pPr>
            <w:r>
              <w:rPr>
                <w:rFonts w:ascii="Arial" w:cs="Arial" w:eastAsia="Arial" w:hAnsi="Arial"/>
                <w:sz w:val="16"/>
                <w:szCs w:val="16"/>
                <w:color w:val="auto"/>
              </w:rPr>
              <w:t>subtract: Tax impact on stock-based compensation expense</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(1,431)</w:t>
            </w:r>
          </w:p>
        </w:tc>
        <w:tc>
          <w:tcPr>
            <w:tcW w:w="0" w:type="dxa"/>
            <w:vAlign w:val="bottom"/>
          </w:tcPr>
          <w:p>
            <w:pPr>
              <w:spacing w:after="0"/>
              <w:rPr>
                <w:sz w:val="1"/>
                <w:szCs w:val="1"/>
                <w:color w:val="auto"/>
              </w:rPr>
            </w:pPr>
          </w:p>
        </w:tc>
      </w:tr>
      <w:tr>
        <w:trPr>
          <w:trHeight w:val="47"/>
        </w:trPr>
        <w:tc>
          <w:tcPr>
            <w:tcW w:w="6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24"/>
        </w:trPr>
        <w:tc>
          <w:tcPr>
            <w:tcW w:w="6760" w:type="dxa"/>
            <w:vAlign w:val="bottom"/>
          </w:tcPr>
          <w:p>
            <w:pPr>
              <w:ind w:left="200"/>
              <w:spacing w:after="0"/>
              <w:rPr>
                <w:sz w:val="20"/>
                <w:szCs w:val="20"/>
                <w:color w:val="auto"/>
              </w:rPr>
            </w:pPr>
            <w:r>
              <w:rPr>
                <w:rFonts w:ascii="Arial" w:cs="Arial" w:eastAsia="Arial" w:hAnsi="Arial"/>
                <w:sz w:val="16"/>
                <w:szCs w:val="16"/>
                <w:color w:val="auto"/>
              </w:rPr>
              <w:t>subtract: Changes in fair value of earn-out consideration (net of tax)</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7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 (Non-GAAP)</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19,318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19,137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Adjusted diluted earnings per share (Non-GAAP)</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vMerge w:val="continue"/>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0.56</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0.41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0.56</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624-5913</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ir@exlservice.com</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2019-12-29T13:07:39Z</dcterms:created>
  <dcterms:modified xsi:type="dcterms:W3CDTF">2019-12-29T13:07:39Z</dcterms:modified>
</cp:coreProperties>
</file>