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6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6826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Nicolelli Maurizio</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40"/>
        <w:spacing w:after="0" w:line="330" w:lineRule="auto"/>
        <w:rPr>
          <w:sz w:val="20"/>
          <w:szCs w:val="20"/>
          <w:color w:val="auto"/>
        </w:rPr>
      </w:pPr>
      <w:r>
        <w:rPr>
          <w:rFonts w:ascii="Times New Roman" w:cs="Times New Roman" w:eastAsia="Times New Roman" w:hAnsi="Times New Roman"/>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01/21/2026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474"/>
        <w:spacing w:after="0"/>
        <w:rPr>
          <w:sz w:val="20"/>
          <w:szCs w:val="20"/>
          <w:color w:val="auto"/>
        </w:rPr>
      </w:pPr>
      <w:r>
        <w:rPr>
          <w:rFonts w:ascii="Times New Roman" w:cs="Times New Roman" w:eastAsia="Times New Roman" w:hAnsi="Times New Roman"/>
          <w:sz w:val="17"/>
          <w:szCs w:val="17"/>
          <w:color w:val="0000FF"/>
        </w:rPr>
        <w:t>Executive Vice President &amp; CFO</w:t>
      </w:r>
    </w:p>
    <w:p>
      <w:pPr>
        <w:spacing w:after="0" w:line="44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9"/>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180" w:type="dxa"/>
            <w:vAlign w:val="bottom"/>
            <w:gridSpan w:val="3"/>
          </w:tcPr>
          <w:p>
            <w:pPr>
              <w:ind w:left="1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9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100" w:type="dxa"/>
            <w:vAlign w:val="bottom"/>
            <w:tcBorders>
              <w:bottom w:val="single" w:sz="8" w:color="2C2C2C"/>
            </w:tcBorders>
            <w:gridSpan w:val="6"/>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00"/>
              <w:spacing w:after="0"/>
              <w:rPr>
                <w:sz w:val="20"/>
                <w:szCs w:val="20"/>
                <w:color w:val="auto"/>
              </w:rPr>
            </w:pPr>
            <w:r>
              <w:rPr>
                <w:rFonts w:ascii="Times New Roman" w:cs="Times New Roman" w:eastAsia="Times New Roman" w:hAnsi="Times New Roman"/>
                <w:sz w:val="17"/>
                <w:szCs w:val="17"/>
                <w:color w:val="0000FF"/>
              </w:rPr>
              <w:t>01/21/2026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1"/>
              </w:rPr>
              <w:t>5,315</w:t>
            </w:r>
            <w:r>
              <w:rPr>
                <w:rFonts w:ascii="Times New Roman" w:cs="Times New Roman" w:eastAsia="Times New Roman" w:hAnsi="Times New Roman"/>
                <w:sz w:val="21"/>
                <w:szCs w:val="21"/>
                <w:color w:val="008000"/>
                <w:w w:val="91"/>
                <w:vertAlign w:val="superscript"/>
              </w:rPr>
              <w:t>(1)</w:t>
            </w:r>
          </w:p>
        </w:tc>
        <w:tc>
          <w:tcPr>
            <w:tcW w:w="580" w:type="dxa"/>
            <w:vAlign w:val="bottom"/>
            <w:tcBorders>
              <w:bottom w:val="single" w:sz="8" w:color="2C2C2C"/>
            </w:tcBorders>
          </w:tcPr>
          <w:p>
            <w:pPr>
              <w:jc w:val="right"/>
              <w:ind w:right="54"/>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41.64</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222,835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6"/>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0" w:type="dxa"/>
            <w:vAlign w:val="bottom"/>
            <w:gridSpan w:val="13"/>
          </w:tcPr>
          <w:p>
            <w:pPr>
              <w:jc w:val="center"/>
              <w:ind w:right="8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8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100" w:type="dxa"/>
            <w:vAlign w:val="bottom"/>
          </w:tcPr>
          <w:p>
            <w:pPr>
              <w:spacing w:after="0"/>
              <w:rPr>
                <w:sz w:val="12"/>
                <w:szCs w:val="12"/>
                <w:color w:val="auto"/>
              </w:rPr>
            </w:pPr>
          </w:p>
        </w:tc>
        <w:tc>
          <w:tcPr>
            <w:tcW w:w="580" w:type="dxa"/>
            <w:vAlign w:val="bottom"/>
          </w:tcPr>
          <w:p>
            <w:pPr>
              <w:jc w:val="right"/>
              <w:ind w:right="134"/>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6,960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01/21/2026</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6,960</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4"/>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-2290445</wp:posOffset>
            </wp:positionV>
            <wp:extent cx="29210" cy="2295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955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1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shares of common stock of ExlService Holdings, Inc. (the "Company") issued in respect of the reporting person's restricted stock units that vested as of March 31, 2024, but which were settled as of January 21, 2026. Due to administrative delay in settlement, the number of shares of common stock issued to the reporting person was reduced based on applicable U.S. tax rules and regulations.</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received under a share matching plan in connection with the officer's purchase of common stock, par value $0.001 per share of ExlService Holdings, Inc.</w:t>
      </w:r>
    </w:p>
    <w:p>
      <w:pPr>
        <w:spacing w:after="0" w:line="45" w:lineRule="exact"/>
        <w:rPr>
          <w:rFonts w:ascii="Times New Roman" w:cs="Times New Roman" w:eastAsia="Times New Roman" w:hAnsi="Times New Roman"/>
          <w:sz w:val="13"/>
          <w:szCs w:val="13"/>
          <w:color w:val="008000"/>
        </w:rPr>
      </w:pPr>
    </w:p>
    <w:p>
      <w:pPr>
        <w:ind w:left="40" w:right="44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2022, the reporting person was granted 20,885 restricted stock units, after adjustment for the 5-for-1 forward stock split, effective August 1, 2023, vesting in two installment installments beginning on the second anniversary of the grant date. 33% of the restricted stock units became vested on March 31, 2024, and the remaining balance of 67% of the restricted stock units became vested on March 31, 2025. This transaction represents the settlement, as of January 21, 2026, of the shares that vested in 2024.</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01/23/2026</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265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2026-01-23T16:57:13Z</dcterms:created>
  <dcterms:modified xsi:type="dcterms:W3CDTF">2026-01-23T16:57:13Z</dcterms:modified>
</cp:coreProperties>
</file>