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CURRENT REPORT</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Sections 13 or 15(d) of the Securities Exchange Act of 1934</w:t>
      </w:r>
    </w:p>
    <w:p>
      <w:pPr>
        <w:pStyle w:val="TextBody"/>
        <w:spacing w:lineRule="auto" w:line="288" w:before="0" w:after="0"/>
        <w:jc w:val="center"/>
        <w:rPr/>
      </w:pPr>
      <w:r>
        <w:rPr>
          <w:color w:val="000000"/>
        </w:rPr>
        <w:t> </w:t>
      </w:r>
      <w:r>
        <w:rPr>
          <w:rFonts w:ascii="Times New Roman;sans-serif" w:hAnsi="Times New Roman;sans-serif"/>
          <w:b w:val="false"/>
          <w:color w:val="000000"/>
          <w:sz w:val="18"/>
        </w:rPr>
        <w:t>Date of Report (Date of earliest event reported):  </w:t>
      </w:r>
      <w:r>
        <w:rPr>
          <w:rFonts w:ascii="Times New Roman;sans-serif" w:hAnsi="Times New Roman;sans-serif"/>
          <w:b w:val="false"/>
          <w:color w:val="000000"/>
          <w:sz w:val="20"/>
          <w:highlight w:val="white"/>
        </w:rPr>
        <w:t>April 27, 2023</w:t>
      </w:r>
      <w:r>
        <w:rPr>
          <w:color w:val="000000"/>
        </w:rPr>
        <w:t xml:space="preserve"> </w:t>
      </w:r>
    </w:p>
    <w:p>
      <w:pPr>
        <w:pStyle w:val="TextBody"/>
        <w:spacing w:lineRule="auto" w:line="288" w:before="0" w:after="0"/>
        <w:jc w:val="center"/>
        <w:rPr/>
      </w:pPr>
      <w:r>
        <w:rPr>
          <w:color w:val="000000"/>
        </w:rPr>
        <w:t> </w:t>
      </w:r>
      <w:r>
        <w:rPr>
          <w:rFonts w:ascii="Times New Roman;sans-serif" w:hAnsi="Times New Roman;sans-serif"/>
          <w:b/>
          <w:color w:val="000000"/>
          <w:sz w:val="20"/>
        </w:rPr>
        <w:t>_________________________________________________________</w:t>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EXLSERVICE HOLDINGS, INC.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tbl>
      <w:tblPr>
        <w:tblW w:w="5953" w:type="dxa"/>
        <w:jc w:val="left"/>
        <w:tblInd w:w="0" w:type="dxa"/>
        <w:tblCellMar>
          <w:top w:w="28" w:type="dxa"/>
          <w:left w:w="28" w:type="dxa"/>
          <w:bottom w:w="28" w:type="dxa"/>
          <w:right w:w="28" w:type="dxa"/>
        </w:tblCellMar>
      </w:tblPr>
      <w:tblGrid>
        <w:gridCol w:w="877"/>
        <w:gridCol w:w="773"/>
        <w:gridCol w:w="779"/>
        <w:gridCol w:w="687"/>
        <w:gridCol w:w="687"/>
        <w:gridCol w:w="695"/>
        <w:gridCol w:w="424"/>
        <w:gridCol w:w="424"/>
        <w:gridCol w:w="607"/>
      </w:tblGrid>
      <w:tr>
        <w:trPr/>
        <w:tc>
          <w:tcPr>
            <w:tcW w:w="877"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001-33089</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82-0572194</w:t>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w:t>
              <w:br/>
              <w:t>of incorporation or organization)</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spacing w:before="0" w:after="0"/>
        <w:rPr/>
      </w:pPr>
      <w:r>
        <w:rPr/>
      </w:r>
    </w:p>
    <w:tbl>
      <w:tblPr>
        <w:tblW w:w="4134" w:type="dxa"/>
        <w:jc w:val="center"/>
        <w:tblInd w:w="0" w:type="dxa"/>
        <w:tblCellMar>
          <w:top w:w="28" w:type="dxa"/>
          <w:left w:w="28" w:type="dxa"/>
          <w:bottom w:w="28" w:type="dxa"/>
          <w:right w:w="28" w:type="dxa"/>
        </w:tblCellMar>
      </w:tblPr>
      <w:tblGrid>
        <w:gridCol w:w="124"/>
        <w:gridCol w:w="109"/>
        <w:gridCol w:w="109"/>
        <w:gridCol w:w="596"/>
        <w:gridCol w:w="596"/>
        <w:gridCol w:w="599"/>
        <w:gridCol w:w="371"/>
        <w:gridCol w:w="371"/>
        <w:gridCol w:w="374"/>
        <w:gridCol w:w="259"/>
        <w:gridCol w:w="259"/>
        <w:gridCol w:w="36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 xml:space="preserve">320 Park Avenue, </w:t>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29th Floor,</w:t>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10022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New York,</w:t>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New York</w:t>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pPr>
      <w:r>
        <w:rPr>
          <w:color w:val="000000"/>
        </w:rPr>
        <w:t> </w:t>
      </w:r>
      <w:r>
        <w:rPr>
          <w:rFonts w:ascii="Times New Roman;sans-serif" w:hAnsi="Times New Roman;sans-serif"/>
          <w:b w:val="false"/>
          <w:color w:val="000000"/>
          <w:sz w:val="18"/>
        </w:rPr>
        <w:t>Registrant’s telephone number, including area code:</w:t>
      </w:r>
      <w:r>
        <w:rPr>
          <w:color w:val="000000"/>
        </w:rPr>
        <w:t>  </w:t>
      </w:r>
      <w:r>
        <w:rPr>
          <w:rFonts w:ascii="Times New Roman;sans-serif" w:hAnsi="Times New Roman;sans-serif"/>
          <w:b/>
          <w:color w:val="000000"/>
          <w:sz w:val="18"/>
        </w:rPr>
        <w:t xml:space="preserve">(212) 277-7100 </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or address, if changed since last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6777" w:type="dxa"/>
        <w:jc w:val="left"/>
        <w:tblInd w:w="0" w:type="dxa"/>
        <w:tblCellMar>
          <w:top w:w="28" w:type="dxa"/>
          <w:left w:w="28" w:type="dxa"/>
          <w:bottom w:w="28" w:type="dxa"/>
          <w:right w:w="28" w:type="dxa"/>
        </w:tblCellMar>
      </w:tblPr>
      <w:tblGrid>
        <w:gridCol w:w="124"/>
        <w:gridCol w:w="109"/>
        <w:gridCol w:w="109"/>
        <w:gridCol w:w="1882"/>
        <w:gridCol w:w="1882"/>
        <w:gridCol w:w="267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2" w:type="dxa"/>
            <w:tcBorders/>
            <w:shd w:fill="auto" w:val="clear"/>
            <w:vAlign w:val="center"/>
          </w:tcPr>
          <w:p>
            <w:pPr>
              <w:pStyle w:val="TableContents"/>
              <w:spacing w:before="0" w:after="283"/>
              <w:rPr>
                <w:sz w:val="4"/>
                <w:szCs w:val="4"/>
              </w:rPr>
            </w:pPr>
            <w:r>
              <w:rPr>
                <w:sz w:val="4"/>
                <w:szCs w:val="4"/>
              </w:rPr>
            </w:r>
          </w:p>
        </w:tc>
        <w:tc>
          <w:tcPr>
            <w:tcW w:w="1882"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 pursuant to Rule 425 under the Securities Act (17 CFR 230.425)</w:t>
            </w:r>
          </w:p>
        </w:tc>
      </w:tr>
    </w:tbl>
    <w:tbl>
      <w:tblPr>
        <w:tblW w:w="6851" w:type="dxa"/>
        <w:jc w:val="left"/>
        <w:tblInd w:w="0" w:type="dxa"/>
        <w:tblCellMar>
          <w:top w:w="28" w:type="dxa"/>
          <w:left w:w="28" w:type="dxa"/>
          <w:bottom w:w="28" w:type="dxa"/>
          <w:right w:w="28" w:type="dxa"/>
        </w:tblCellMar>
      </w:tblPr>
      <w:tblGrid>
        <w:gridCol w:w="124"/>
        <w:gridCol w:w="109"/>
        <w:gridCol w:w="109"/>
        <w:gridCol w:w="1904"/>
        <w:gridCol w:w="1904"/>
        <w:gridCol w:w="27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left"/>
        <w:tblInd w:w="0" w:type="dxa"/>
        <w:tblCellMar>
          <w:top w:w="28" w:type="dxa"/>
          <w:left w:w="28" w:type="dxa"/>
          <w:bottom w:w="28" w:type="dxa"/>
          <w:right w:w="28" w:type="dxa"/>
        </w:tblCellMar>
      </w:tblPr>
      <w:tblGrid>
        <w:gridCol w:w="124"/>
        <w:gridCol w:w="109"/>
        <w:gridCol w:w="109"/>
        <w:gridCol w:w="2368"/>
        <w:gridCol w:w="2368"/>
        <w:gridCol w:w="33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33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left"/>
        <w:tblInd w:w="0" w:type="dxa"/>
        <w:tblCellMar>
          <w:top w:w="28" w:type="dxa"/>
          <w:left w:w="28" w:type="dxa"/>
          <w:bottom w:w="28" w:type="dxa"/>
          <w:right w:w="28" w:type="dxa"/>
        </w:tblCellMar>
      </w:tblPr>
      <w:tblGrid>
        <w:gridCol w:w="124"/>
        <w:gridCol w:w="109"/>
        <w:gridCol w:w="109"/>
        <w:gridCol w:w="2350"/>
        <w:gridCol w:w="2350"/>
        <w:gridCol w:w="33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33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CellMar>
          <w:top w:w="28" w:type="dxa"/>
          <w:left w:w="28" w:type="dxa"/>
          <w:bottom w:w="28" w:type="dxa"/>
          <w:right w:w="28" w:type="dxa"/>
        </w:tblCellMar>
      </w:tblPr>
      <w:tblGrid>
        <w:gridCol w:w="124"/>
        <w:gridCol w:w="109"/>
        <w:gridCol w:w="109"/>
        <w:gridCol w:w="2910"/>
        <w:gridCol w:w="2875"/>
        <w:gridCol w:w="407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0" w:type="dxa"/>
            <w:tcBorders/>
            <w:shd w:fill="auto" w:val="clear"/>
            <w:vAlign w:val="center"/>
          </w:tcPr>
          <w:p>
            <w:pPr>
              <w:pStyle w:val="TableContents"/>
              <w:spacing w:before="0" w:after="283"/>
              <w:rPr>
                <w:sz w:val="4"/>
                <w:szCs w:val="4"/>
              </w:rPr>
            </w:pPr>
            <w:r>
              <w:rPr>
                <w:sz w:val="4"/>
                <w:szCs w:val="4"/>
              </w:rPr>
            </w:r>
          </w:p>
        </w:tc>
        <w:tc>
          <w:tcPr>
            <w:tcW w:w="2875" w:type="dxa"/>
            <w:tcBorders/>
            <w:shd w:fill="auto" w:val="clear"/>
            <w:vAlign w:val="center"/>
          </w:tcPr>
          <w:p>
            <w:pPr>
              <w:pStyle w:val="TableContents"/>
              <w:spacing w:before="0" w:after="283"/>
              <w:rPr>
                <w:sz w:val="4"/>
                <w:szCs w:val="4"/>
              </w:rPr>
            </w:pPr>
            <w:r>
              <w:rPr>
                <w:sz w:val="4"/>
                <w:szCs w:val="4"/>
              </w:rPr>
            </w:r>
          </w:p>
        </w:tc>
        <w:tc>
          <w:tcPr>
            <w:tcW w:w="407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r>
    </w:tbl>
    <w:tbl>
      <w:tblPr>
        <w:tblW w:w="8234" w:type="dxa"/>
        <w:jc w:val="center"/>
        <w:tblInd w:w="0" w:type="dxa"/>
        <w:tblCellMar>
          <w:top w:w="28" w:type="dxa"/>
          <w:left w:w="28" w:type="dxa"/>
          <w:bottom w:w="28" w:type="dxa"/>
          <w:right w:w="28" w:type="dxa"/>
        </w:tblCellMar>
      </w:tblPr>
      <w:tblGrid>
        <w:gridCol w:w="1159"/>
        <w:gridCol w:w="1018"/>
        <w:gridCol w:w="1018"/>
        <w:gridCol w:w="520"/>
        <w:gridCol w:w="520"/>
        <w:gridCol w:w="520"/>
        <w:gridCol w:w="1019"/>
        <w:gridCol w:w="1019"/>
        <w:gridCol w:w="1441"/>
      </w:tblGrid>
      <w:tr>
        <w:trPr/>
        <w:tc>
          <w:tcPr>
            <w:tcW w:w="1159"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8234" w:type="dxa"/>
            <w:gridSpan w:val="9"/>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319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Title of each class</w:t>
            </w:r>
          </w:p>
          <w:p>
            <w:pPr>
              <w:pStyle w:val="TableContents"/>
              <w:spacing w:before="0" w:after="0"/>
              <w:jc w:val="center"/>
              <w:rPr/>
            </w:pPr>
            <w:r>
              <w:rPr/>
            </w:r>
          </w:p>
          <w:p>
            <w:pPr>
              <w:pStyle w:val="TableContents"/>
              <w:spacing w:before="0" w:after="0"/>
              <w:jc w:val="center"/>
              <w:rPr/>
            </w:pPr>
            <w:r>
              <w:rPr/>
            </w:r>
          </w:p>
        </w:tc>
        <w:tc>
          <w:tcPr>
            <w:tcW w:w="156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Trading Symbol(s)</w:t>
            </w:r>
          </w:p>
          <w:p>
            <w:pPr>
              <w:pStyle w:val="TableContents"/>
              <w:spacing w:before="0" w:after="0"/>
              <w:jc w:val="center"/>
              <w:rPr/>
            </w:pPr>
            <w:r>
              <w:rPr/>
            </w:r>
          </w:p>
          <w:p>
            <w:pPr>
              <w:pStyle w:val="TableContents"/>
              <w:spacing w:before="0" w:after="0"/>
              <w:jc w:val="center"/>
              <w:rPr/>
            </w:pPr>
            <w:r>
              <w:rPr/>
            </w:r>
          </w:p>
        </w:tc>
        <w:tc>
          <w:tcPr>
            <w:tcW w:w="347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p>
            <w:pPr>
              <w:pStyle w:val="TableContents"/>
              <w:spacing w:before="0" w:after="0"/>
              <w:jc w:val="center"/>
              <w:rPr/>
            </w:pPr>
            <w:r>
              <w:rPr/>
            </w:r>
          </w:p>
          <w:p>
            <w:pPr>
              <w:pStyle w:val="TableContents"/>
              <w:spacing w:before="0" w:after="0"/>
              <w:jc w:val="center"/>
              <w:rPr/>
            </w:pPr>
            <w:r>
              <w:rPr/>
            </w:r>
          </w:p>
        </w:tc>
      </w:tr>
      <w:tr>
        <w:trPr/>
        <w:tc>
          <w:tcPr>
            <w:tcW w:w="319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per share</w:t>
            </w:r>
          </w:p>
        </w:tc>
        <w:tc>
          <w:tcPr>
            <w:tcW w:w="156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EXLS</w:t>
            </w:r>
          </w:p>
        </w:tc>
        <w:tc>
          <w:tcPr>
            <w:tcW w:w="347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r>
    </w:tbl>
    <w:p>
      <w:pPr>
        <w:pStyle w:val="TextBody"/>
        <w:spacing w:before="0" w:after="0"/>
        <w:jc w:val="center"/>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rPr/>
      </w:pPr>
      <w:r>
        <w:rPr/>
      </w:r>
    </w:p>
    <w:p>
      <w:pPr>
        <w:pStyle w:val="TextBody"/>
        <w:spacing w:lineRule="auto" w:line="328" w:before="0" w:after="0"/>
        <w:rPr/>
      </w:pPr>
      <w:r>
        <w:rPr>
          <w:rFonts w:ascii="Times New Roman;sans-serif" w:hAnsi="Times New Roman;sans-serif"/>
          <w:b/>
          <w:color w:val="000000"/>
          <w:sz w:val="20"/>
        </w:rPr>
        <w:t xml:space="preserve">Item 2.02. </w:t>
      </w:r>
      <w:r>
        <w:rPr>
          <w:rFonts w:ascii="Times New Roman;sans-serif" w:hAnsi="Times New Roman;sans-serif"/>
          <w:b/>
          <w:color w:val="000000"/>
          <w:sz w:val="20"/>
          <w:highlight w:val="white"/>
        </w:rPr>
        <w:t>Results of Operations and Financial Condition.</w:t>
      </w:r>
    </w:p>
    <w:p>
      <w:pPr>
        <w:pStyle w:val="TextBody"/>
        <w:spacing w:lineRule="auto" w:line="288" w:before="0" w:after="0"/>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April 27, 2023, ExlService Holdings, Inc. (the “Company”) reported its results of operations for the three months ended March 31, 2023.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lineRule="auto" w:line="288" w:before="0" w:after="0"/>
        <w:rPr>
          <w:color w:val="000000"/>
        </w:rPr>
      </w:pPr>
      <w:r>
        <w:rPr>
          <w:color w:val="000000"/>
        </w:rPr>
        <w:t> </w:t>
      </w:r>
      <w:r>
        <w:rPr>
          <w:rFonts w:ascii="Times New Roman;sans-serif" w:hAnsi="Times New Roman;sans-serif"/>
          <w:b/>
          <w:color w:val="000000"/>
          <w:sz w:val="20"/>
        </w:rPr>
        <w:t>Item 9.01 Financial Statements and Exhibits.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(d) Exhibits</w:t>
      </w:r>
    </w:p>
    <w:p>
      <w:pPr>
        <w:pStyle w:val="TextBody"/>
        <w:spacing w:before="0" w:after="0"/>
        <w:rPr/>
      </w:pPr>
      <w:r>
        <w:rPr/>
      </w:r>
    </w:p>
    <w:p>
      <w:pPr>
        <w:pStyle w:val="TextBody"/>
        <w:spacing w:before="0" w:after="0"/>
        <w:ind w:left="0" w:right="0" w:hanging="2880"/>
        <w:rPr/>
      </w:pPr>
      <w:r>
        <w:rPr/>
      </w:r>
    </w:p>
    <w:tbl>
      <w:tblPr>
        <w:tblW w:w="10205" w:type="dxa"/>
        <w:jc w:val="left"/>
        <w:tblInd w:w="0" w:type="dxa"/>
        <w:tblCellMar>
          <w:top w:w="28" w:type="dxa"/>
          <w:left w:w="28" w:type="dxa"/>
          <w:bottom w:w="28" w:type="dxa"/>
          <w:right w:w="28" w:type="dxa"/>
        </w:tblCellMar>
      </w:tblPr>
      <w:tblGrid>
        <w:gridCol w:w="387"/>
        <w:gridCol w:w="340"/>
        <w:gridCol w:w="341"/>
        <w:gridCol w:w="109"/>
        <w:gridCol w:w="109"/>
        <w:gridCol w:w="109"/>
        <w:gridCol w:w="1783"/>
        <w:gridCol w:w="1783"/>
        <w:gridCol w:w="1788"/>
        <w:gridCol w:w="538"/>
        <w:gridCol w:w="538"/>
        <w:gridCol w:w="538"/>
        <w:gridCol w:w="538"/>
        <w:gridCol w:w="538"/>
        <w:gridCol w:w="766"/>
      </w:tblGrid>
      <w:tr>
        <w:trPr/>
        <w:tc>
          <w:tcPr>
            <w:tcW w:w="387"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178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10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0"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lq12023pressrelease.htm">
              <w:r>
                <w:rPr>
                  <w:rStyle w:val="InternetLink"/>
                  <w:rFonts w:ascii="Times New Roman;sans-serif" w:hAnsi="Times New Roman;sans-serif"/>
                  <w:b w:val="false"/>
                  <w:color w:val="0000FF"/>
                  <w:sz w:val="20"/>
                  <w:u w:val="single"/>
                </w:rPr>
                <w:t>Press Release, dated April 27, 2023 (furnished pursuant to Item 2.02).</w:t>
              </w:r>
            </w:hyperlink>
          </w:p>
        </w:tc>
      </w:tr>
      <w:tr>
        <w:trPr/>
        <w:tc>
          <w:tcPr>
            <w:tcW w:w="10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0"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inline XBRL document)</w:t>
            </w:r>
          </w:p>
        </w:tc>
      </w:tr>
    </w:tbl>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188" w:type="dxa"/>
        <w:jc w:val="left"/>
        <w:tblInd w:w="0" w:type="dxa"/>
        <w:tblCellMar>
          <w:top w:w="28" w:type="dxa"/>
          <w:left w:w="28" w:type="dxa"/>
          <w:bottom w:w="28" w:type="dxa"/>
          <w:right w:w="28" w:type="dxa"/>
        </w:tblCellMar>
      </w:tblPr>
      <w:tblGrid>
        <w:gridCol w:w="473"/>
        <w:gridCol w:w="415"/>
        <w:gridCol w:w="417"/>
        <w:gridCol w:w="463"/>
        <w:gridCol w:w="463"/>
        <w:gridCol w:w="463"/>
        <w:gridCol w:w="1024"/>
        <w:gridCol w:w="1024"/>
        <w:gridCol w:w="1446"/>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top w:val="single" w:sz="24"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1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Ajay Ayyappan</w:t>
            </w:r>
          </w:p>
        </w:tc>
      </w:tr>
      <w:tr>
        <w:trPr/>
        <w:tc>
          <w:tcPr>
            <w:tcW w:w="1305" w:type="dxa"/>
            <w:gridSpan w:val="3"/>
            <w:tcBorders>
              <w:top w:val="single" w:sz="24"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24"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4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Ajay Ayyappan</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bl>
    <w:p>
      <w:pPr>
        <w:pStyle w:val="TextBody"/>
        <w:ind w:left="0" w:right="0" w:hanging="288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spacing w:before="140" w:after="283"/>
        <w:rPr/>
      </w:pPr>
      <w:r>
        <w:rPr/>
      </w:r>
    </w:p>
    <w:p>
      <w:pPr>
        <w:pStyle w:val="TextBody"/>
        <w:spacing w:before="140" w:after="283"/>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EXL REPORTS 2023 FIRST QUARTER RESULTS</w:t>
      </w:r>
    </w:p>
    <w:p>
      <w:pPr>
        <w:pStyle w:val="TextBody"/>
        <w:spacing w:before="0" w:after="0"/>
        <w:jc w:val="center"/>
        <w:rPr/>
      </w:pPr>
      <w:r>
        <w:rPr/>
      </w:r>
    </w:p>
    <w:p>
      <w:pPr>
        <w:pStyle w:val="TextBody"/>
        <w:spacing w:before="0" w:after="0"/>
        <w:jc w:val="center"/>
        <w:rPr/>
      </w:pPr>
      <w:r>
        <w:rPr/>
      </w:r>
    </w:p>
    <w:p>
      <w:pPr>
        <w:pStyle w:val="TextBody"/>
        <w:spacing w:lineRule="auto" w:line="432" w:before="0" w:after="0"/>
        <w:jc w:val="center"/>
        <w:rPr>
          <w:rFonts w:ascii="Times New Roman;sans-serif" w:hAnsi="Times New Roman;sans-serif"/>
          <w:b/>
          <w:i/>
          <w:color w:val="000000"/>
          <w:sz w:val="24"/>
        </w:rPr>
      </w:pPr>
      <w:r>
        <w:rPr>
          <w:rFonts w:ascii="Times New Roman;sans-serif" w:hAnsi="Times New Roman;sans-serif"/>
          <w:b/>
          <w:i/>
          <w:color w:val="000000"/>
          <w:sz w:val="24"/>
        </w:rPr>
        <w:t>2023 First Quarter Revenue of $400.6 Million, up 21.7% year-over-year</w:t>
      </w:r>
    </w:p>
    <w:p>
      <w:pPr>
        <w:pStyle w:val="TextBody"/>
        <w:spacing w:lineRule="auto" w:line="432" w:before="0" w:after="0"/>
        <w:jc w:val="center"/>
        <w:rPr>
          <w:rFonts w:ascii="Times New Roman;sans-serif" w:hAnsi="Times New Roman;sans-serif"/>
          <w:b/>
          <w:i/>
          <w:color w:val="000000"/>
          <w:sz w:val="24"/>
        </w:rPr>
      </w:pPr>
      <w:r>
        <w:rPr>
          <w:rFonts w:ascii="Times New Roman;sans-serif" w:hAnsi="Times New Roman;sans-serif"/>
          <w:b/>
          <w:i/>
          <w:color w:val="000000"/>
          <w:sz w:val="24"/>
        </w:rPr>
        <w:t>Q1 Diluted EPS (GAAP) of $1.51, up 41.1% from $1.07 in Q1 of 2022</w:t>
      </w:r>
    </w:p>
    <w:p>
      <w:pPr>
        <w:pStyle w:val="TextBody"/>
        <w:spacing w:lineRule="auto" w:line="432" w:before="0" w:after="0"/>
        <w:jc w:val="center"/>
        <w:rPr/>
      </w:pPr>
      <w:r>
        <w:rPr>
          <w:rFonts w:ascii="Times New Roman;sans-serif" w:hAnsi="Times New Roman;sans-serif"/>
          <w:b/>
          <w:i/>
          <w:color w:val="000000"/>
          <w:sz w:val="24"/>
        </w:rPr>
        <w:t xml:space="preserve">Q1 Adjusted Diluted EPS (Non-GAAP) </w:t>
      </w:r>
      <w:r>
        <w:rPr>
          <w:rFonts w:ascii="Times New Roman;sans-serif" w:hAnsi="Times New Roman;sans-serif"/>
          <w:b/>
          <w:i/>
          <w:color w:val="000000"/>
          <w:sz w:val="16"/>
        </w:rPr>
        <w:t>(1)</w:t>
      </w:r>
      <w:r>
        <w:rPr>
          <w:color w:val="000000"/>
        </w:rPr>
        <w:t xml:space="preserve"> </w:t>
      </w:r>
      <w:r>
        <w:rPr>
          <w:rFonts w:ascii="Times New Roman;sans-serif" w:hAnsi="Times New Roman;sans-serif"/>
          <w:b/>
          <w:i/>
          <w:color w:val="000000"/>
          <w:sz w:val="24"/>
        </w:rPr>
        <w:t>of $1.74, up 22.5% from $1.42 in Q1 of 2022</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34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 April 27, 2023 (GLOBE NEWSWIRE) - ExlService Holdings, Inc. (NASDAQ: EXLS), a leading data analytics and digital operations and solutions company, today announced its financial results for the quarter ended March 31, 2023.</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Rohit Kapoor, Vice Chairman and Chief Executive Officer, said, “We continued our strong momentum into the first quarter, with revenue growth of 21.7% and adjusted diluted EPS growth of 22.5%. Our data-led strategy has expanded our total addressable market and generated a sustainable competitive advantage for EXL. The consistent execution of this strategy continues to fuel growth across our data analytics and digital operations and solutions businesses.”</w:t>
      </w:r>
    </w:p>
    <w:p>
      <w:pPr>
        <w:pStyle w:val="TextBody"/>
        <w:spacing w:before="0" w:after="0"/>
        <w:jc w:val="both"/>
        <w:rPr/>
      </w:pPr>
      <w:r>
        <w:rPr/>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Maurizio Nicolelli, Chief Financial Officer, said, “While we remain cautious on the macro-economic environment, we are increasing our revenue guidance for the full year 2023 based on our strong momentum in the first quarter and current visibility for the remainder of the year. We now expect revenue to be in the range of $1.595 billion to $1.620 billion, up from our prior guidance of $1.560 billion to $1.600 billion. This represents 13% to 15% year-over-year growth on both a reported and constant currency basis. We are also increasing our adjusted diluted earnings per share guidance for 2023 to $6.75 to $6.90, from $6.60 to $6.80, representing growth of 12% to 15% over the prior year.”</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76"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w:t>
      </w:r>
    </w:p>
    <w:p>
      <w:pPr>
        <w:pStyle w:val="TextBody"/>
        <w:spacing w:before="0" w:after="0"/>
        <w:rPr/>
      </w:pPr>
      <w:r>
        <w:rPr/>
      </w:r>
    </w:p>
    <w:p>
      <w:pPr>
        <w:pStyle w:val="TextBody"/>
        <w:spacing w:lineRule="auto" w:line="288"/>
        <w:ind w:left="0" w:right="0" w:hanging="360"/>
        <w:jc w:val="both"/>
        <w:rPr>
          <w:rFonts w:ascii="Calibri;sans-serif" w:hAnsi="Calibri;sans-serif"/>
          <w:b w:val="false"/>
          <w:color w:val="000000"/>
          <w:sz w:val="16"/>
        </w:rPr>
      </w:pPr>
      <w:r>
        <w:rPr>
          <w:rFonts w:ascii="Calibri;sans-serif" w:hAnsi="Calibri;sans-serif"/>
          <w:b w:val="false"/>
          <w:color w:val="000000"/>
          <w:sz w:val="16"/>
        </w:rPr>
        <w:t xml:space="preserve">1.Reconciliations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 </w:t>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45" w:before="100" w:after="283"/>
        <w:jc w:val="both"/>
        <w:rPr>
          <w:rFonts w:ascii="Times New Roman;sans-serif" w:hAnsi="Times New Roman;sans-serif"/>
          <w:b/>
          <w:color w:val="000000"/>
          <w:sz w:val="20"/>
        </w:rPr>
      </w:pPr>
      <w:r>
        <w:rPr>
          <w:rFonts w:ascii="Times New Roman;sans-serif" w:hAnsi="Times New Roman;sans-serif"/>
          <w:b/>
          <w:color w:val="000000"/>
          <w:sz w:val="20"/>
        </w:rPr>
        <w:t>Financial Highlights: First Quarter 2023</w:t>
      </w:r>
    </w:p>
    <w:p>
      <w:pPr>
        <w:pStyle w:val="TextBody"/>
        <w:spacing w:before="120" w:after="283"/>
        <w:jc w:val="both"/>
        <w:rPr/>
      </w:pPr>
      <w:r>
        <w:rPr/>
      </w:r>
    </w:p>
    <w:p>
      <w:pPr>
        <w:pStyle w:val="TextBody"/>
        <w:spacing w:lineRule="auto" w:line="345" w:before="0" w:after="0"/>
        <w:ind w:left="0" w:right="0" w:hanging="360"/>
        <w:jc w:val="both"/>
        <w:rPr/>
      </w:pPr>
      <w:r>
        <w:rPr>
          <w:color w:val="000000"/>
        </w:rPr>
        <w:t>•</w:t>
      </w:r>
      <w:r>
        <w:rPr>
          <w:rFonts w:ascii="Times New Roman;sans-serif" w:hAnsi="Times New Roman;sans-serif"/>
          <w:b w:val="false"/>
          <w:color w:val="000000"/>
          <w:sz w:val="20"/>
        </w:rPr>
        <w:t>Revenue for the quarter ended March 31, 2023 increased to $400.6 million compared to $329.2 million for the first quarter of 2022, an increase of 21.7% on a reported basis and 23.0% on a constant currency basis. Revenue increased by 6.9% sequentially on a reported basis and 6.6% on a constant currency basis from the fourth quarter of 2022.</w:t>
      </w:r>
    </w:p>
    <w:tbl>
      <w:tblPr>
        <w:tblW w:w="8351" w:type="dxa"/>
        <w:jc w:val="left"/>
        <w:tblInd w:w="0" w:type="dxa"/>
        <w:tblCellMar>
          <w:top w:w="28" w:type="dxa"/>
          <w:left w:w="28" w:type="dxa"/>
          <w:bottom w:w="28" w:type="dxa"/>
          <w:right w:w="28" w:type="dxa"/>
        </w:tblCellMar>
      </w:tblPr>
      <w:tblGrid>
        <w:gridCol w:w="635"/>
        <w:gridCol w:w="559"/>
        <w:gridCol w:w="561"/>
        <w:gridCol w:w="109"/>
        <w:gridCol w:w="109"/>
        <w:gridCol w:w="109"/>
        <w:gridCol w:w="286"/>
        <w:gridCol w:w="856"/>
        <w:gridCol w:w="147"/>
        <w:gridCol w:w="109"/>
        <w:gridCol w:w="109"/>
        <w:gridCol w:w="109"/>
        <w:gridCol w:w="286"/>
        <w:gridCol w:w="856"/>
        <w:gridCol w:w="147"/>
        <w:gridCol w:w="109"/>
        <w:gridCol w:w="109"/>
        <w:gridCol w:w="109"/>
        <w:gridCol w:w="270"/>
        <w:gridCol w:w="270"/>
        <w:gridCol w:w="749"/>
        <w:gridCol w:w="134"/>
        <w:gridCol w:w="134"/>
        <w:gridCol w:w="134"/>
        <w:gridCol w:w="264"/>
        <w:gridCol w:w="262"/>
        <w:gridCol w:w="820"/>
      </w:tblGrid>
      <w:tr>
        <w:trPr/>
        <w:tc>
          <w:tcPr>
            <w:tcW w:w="63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7"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Margin</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r>
      <w:tr>
        <w:trPr/>
        <w:tc>
          <w:tcPr>
            <w:tcW w:w="17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5"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Healthcare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7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8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Business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8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Analytics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7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8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400.6</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329.2</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37.2</w:t>
            </w:r>
            <w:r>
              <w:rPr>
                <w:color w:val="000000"/>
              </w:rPr>
              <w:t> </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37.0</w:t>
            </w:r>
            <w:r>
              <w:rPr>
                <w:color w:val="000000"/>
              </w:rPr>
              <w:t> </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spacing w:before="140" w:after="283"/>
        <w:jc w:val="both"/>
        <w:rPr/>
      </w:pPr>
      <w:r>
        <w:rPr/>
      </w:r>
    </w:p>
    <w:p>
      <w:pPr>
        <w:pStyle w:val="TextBody"/>
        <w:spacing w:lineRule="auto" w:line="345" w:before="0" w:after="0"/>
        <w:ind w:left="0" w:right="0" w:hanging="360"/>
        <w:jc w:val="both"/>
        <w:rPr/>
      </w:pPr>
      <w:r>
        <w:rPr>
          <w:color w:val="000000"/>
        </w:rPr>
        <w:t>•</w:t>
      </w:r>
      <w:r>
        <w:rPr>
          <w:rFonts w:ascii="Times New Roman;sans-serif" w:hAnsi="Times New Roman;sans-serif"/>
          <w:b w:val="false"/>
          <w:color w:val="000000"/>
          <w:sz w:val="20"/>
        </w:rPr>
        <w:t>Operating income margin for the quarter ended March 31, 2023 was 14.8%, compared to 13.4% for the first quarter of 2022 and 13.6% for the fourth quarter of 2022. Adjusted operating income margin for the quarter ended March 31, 2023 was 19.4% compared to 18.2% for the first quarter of 2022 and 18.0% for the fourth quarter of 2022.</w:t>
      </w:r>
    </w:p>
    <w:p>
      <w:pPr>
        <w:pStyle w:val="TextBody"/>
        <w:spacing w:before="0" w:after="0"/>
        <w:jc w:val="both"/>
        <w:rPr/>
      </w:pPr>
      <w:r>
        <w:rPr/>
      </w:r>
    </w:p>
    <w:p>
      <w:pPr>
        <w:pStyle w:val="TextBody"/>
        <w:spacing w:lineRule="auto" w:line="345" w:before="0" w:after="0"/>
        <w:ind w:left="0" w:right="0" w:hanging="360"/>
        <w:jc w:val="both"/>
        <w:rPr/>
      </w:pPr>
      <w:r>
        <w:rPr>
          <w:color w:val="000000"/>
        </w:rPr>
        <w:t>•</w:t>
      </w:r>
      <w:r>
        <w:rPr>
          <w:rFonts w:ascii="Times New Roman;sans-serif" w:hAnsi="Times New Roman;sans-serif"/>
          <w:b w:val="false"/>
          <w:color w:val="000000"/>
          <w:sz w:val="20"/>
        </w:rPr>
        <w:t>Diluted earnings per share for the quarter ended March 31, 2023 was $1.51 compared to $1.07 for the first quarter of 2022 and $0.94 for the fourth quarter of 2022. Adjusted diluted earnings per share for the quarter ended March 31, 2023 was $1.74 compared to $1.42 for the first quarter of 2022 and $1.56 for the fourth quarter of 2022.</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3" w:before="240" w:after="283"/>
        <w:jc w:val="both"/>
        <w:rPr>
          <w:rFonts w:ascii="Times New Roman;sans-serif" w:hAnsi="Times New Roman;sans-serif"/>
          <w:b/>
          <w:color w:val="000000"/>
          <w:sz w:val="20"/>
        </w:rPr>
      </w:pPr>
      <w:r>
        <w:rPr>
          <w:rFonts w:ascii="Times New Roman;sans-serif" w:hAnsi="Times New Roman;sans-serif"/>
          <w:b/>
          <w:color w:val="000000"/>
          <w:sz w:val="20"/>
        </w:rPr>
        <w:t>Business Highlights: First Quarter 2023</w:t>
      </w:r>
    </w:p>
    <w:p>
      <w:pPr>
        <w:pStyle w:val="TextBody"/>
        <w:spacing w:before="240" w:after="283"/>
        <w:jc w:val="both"/>
        <w:rPr/>
      </w:pPr>
      <w:r>
        <w:rPr/>
      </w:r>
    </w:p>
    <w:p>
      <w:pPr>
        <w:pStyle w:val="TextBody"/>
        <w:spacing w:lineRule="auto" w:line="432" w:before="0" w:after="0"/>
        <w:ind w:left="0" w:right="0" w:hanging="225"/>
        <w:jc w:val="both"/>
        <w:rPr/>
      </w:pPr>
      <w:r>
        <w:rPr>
          <w:color w:val="000000"/>
        </w:rPr>
        <w:t>•</w:t>
      </w:r>
      <w:r>
        <w:rPr>
          <w:rFonts w:ascii="Times New Roman;sans-serif" w:hAnsi="Times New Roman;sans-serif"/>
          <w:b w:val="false"/>
          <w:color w:val="000000"/>
          <w:sz w:val="20"/>
        </w:rPr>
        <w:t>Won 16 new clients in the first quarter of 2023, with 12 in our digital operations and solutions business and 4 in analytics.</w:t>
      </w:r>
    </w:p>
    <w:p>
      <w:pPr>
        <w:pStyle w:val="TextBody"/>
        <w:spacing w:lineRule="auto" w:line="432" w:before="0" w:after="0"/>
        <w:ind w:left="0" w:right="0" w:hanging="225"/>
        <w:jc w:val="both"/>
        <w:rPr/>
      </w:pPr>
      <w:r>
        <w:rPr>
          <w:color w:val="000000"/>
        </w:rPr>
        <w:t>•</w:t>
      </w:r>
      <w:r>
        <w:rPr>
          <w:rFonts w:ascii="Times New Roman;sans-serif" w:hAnsi="Times New Roman;sans-serif"/>
          <w:b w:val="false"/>
          <w:color w:val="000000"/>
          <w:sz w:val="20"/>
        </w:rPr>
        <w:t>Included in Barron’s Top 100 Sustainable Companies list for the second consecutive year.</w:t>
      </w:r>
    </w:p>
    <w:p>
      <w:pPr>
        <w:pStyle w:val="TextBody"/>
        <w:spacing w:lineRule="auto" w:line="432" w:before="0" w:after="0"/>
        <w:ind w:left="0" w:right="0" w:hanging="225"/>
        <w:jc w:val="both"/>
        <w:rPr/>
      </w:pPr>
      <w:r>
        <w:rPr>
          <w:color w:val="000000"/>
        </w:rPr>
        <w:t>•</w:t>
      </w:r>
      <w:r>
        <w:rPr>
          <w:rFonts w:ascii="Times New Roman;sans-serif" w:hAnsi="Times New Roman;sans-serif"/>
          <w:b w:val="false"/>
          <w:color w:val="000000"/>
          <w:sz w:val="20"/>
        </w:rPr>
        <w:t>Earned gold medal rating for sustainability efforts by EcoVadis.</w:t>
      </w:r>
    </w:p>
    <w:p>
      <w:pPr>
        <w:pStyle w:val="TextBody"/>
        <w:spacing w:lineRule="auto" w:line="432" w:before="0" w:after="0"/>
        <w:ind w:left="0" w:right="0" w:hanging="225"/>
        <w:jc w:val="both"/>
        <w:rPr/>
      </w:pPr>
      <w:r>
        <w:rPr>
          <w:color w:val="000000"/>
        </w:rPr>
        <w:t>•</w:t>
      </w:r>
      <w:r>
        <w:rPr>
          <w:rFonts w:ascii="Times New Roman;sans-serif" w:hAnsi="Times New Roman;sans-serif"/>
          <w:b w:val="false"/>
          <w:color w:val="000000"/>
          <w:sz w:val="20"/>
        </w:rPr>
        <w:t>Elevated Anand “Andy” Logani as Chief Digital Officer, with responsibility for EXL’s digital business leveraging data analytics, AI and cloud.</w:t>
      </w:r>
    </w:p>
    <w:p>
      <w:pPr>
        <w:pStyle w:val="TextBody"/>
        <w:spacing w:lineRule="auto" w:line="432" w:before="0" w:after="0"/>
        <w:ind w:left="0" w:right="0" w:hanging="225"/>
        <w:jc w:val="both"/>
        <w:rPr/>
      </w:pPr>
      <w:r>
        <w:rPr>
          <w:color w:val="000000"/>
        </w:rPr>
        <w:t>•</w:t>
      </w:r>
      <w:r>
        <w:rPr>
          <w:rFonts w:ascii="Times New Roman;sans-serif" w:hAnsi="Times New Roman;sans-serif"/>
          <w:b w:val="false"/>
          <w:color w:val="000000"/>
          <w:sz w:val="20"/>
        </w:rPr>
        <w:t>Recognized as a Leader in Everest Group’s 2023 Advanced Analytics and Insights Services PEAK Matrix® Assessment.</w:t>
      </w:r>
    </w:p>
    <w:p>
      <w:pPr>
        <w:pStyle w:val="TextBody"/>
        <w:spacing w:lineRule="auto" w:line="432" w:before="0" w:after="0"/>
        <w:ind w:left="0" w:right="0" w:hanging="225"/>
        <w:jc w:val="both"/>
        <w:rPr/>
      </w:pPr>
      <w:r>
        <w:rPr>
          <w:color w:val="000000"/>
        </w:rPr>
        <w:t>•</w:t>
      </w:r>
      <w:r>
        <w:rPr>
          <w:rFonts w:ascii="Times New Roman;sans-serif" w:hAnsi="Times New Roman;sans-serif"/>
          <w:b w:val="false"/>
          <w:color w:val="000000"/>
          <w:sz w:val="20"/>
        </w:rPr>
        <w:t>Recognized as a Leader in Payer Digital Transformation Services in ISG Provider Lens™ Healthcare Digital Services.</w:t>
      </w:r>
    </w:p>
    <w:p>
      <w:pPr>
        <w:pStyle w:val="TextBody"/>
        <w:spacing w:before="0" w:after="0"/>
        <w:rPr/>
      </w:pPr>
      <w:r>
        <w:rPr/>
      </w:r>
    </w:p>
    <w:p>
      <w:pPr>
        <w:pStyle w:val="TextBody"/>
        <w:spacing w:before="0" w:after="0"/>
        <w:ind w:left="0" w:right="0" w:firstLine="135"/>
        <w:jc w:val="both"/>
        <w:rPr/>
      </w:pPr>
      <w:r>
        <w:rPr/>
      </w:r>
    </w:p>
    <w:p>
      <w:pPr>
        <w:pStyle w:val="TextBody"/>
        <w:spacing w:lineRule="auto" w:line="556" w:before="180" w:after="283"/>
        <w:rPr>
          <w:rFonts w:ascii="Times New Roman;sans-serif" w:hAnsi="Times New Roman;sans-serif"/>
          <w:b/>
          <w:color w:val="000000"/>
          <w:sz w:val="20"/>
        </w:rPr>
      </w:pPr>
      <w:r>
        <w:rPr>
          <w:rFonts w:ascii="Times New Roman;sans-serif" w:hAnsi="Times New Roman;sans-serif"/>
          <w:b/>
          <w:color w:val="000000"/>
          <w:sz w:val="20"/>
        </w:rPr>
        <w:t>2023 Guidance</w:t>
      </w:r>
    </w:p>
    <w:p>
      <w:pPr>
        <w:pStyle w:val="TextBody"/>
        <w:spacing w:lineRule="auto" w:line="36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current visibility, and a U.S. dollar to Indian rupee exchange rate of 82.5, U.K. pound sterling to U.S. dollar exchange rate of 1.23, U.S. dollar to the Philippine peso exchange rate of 56.0 and all other currencies at current exchange rates, we are providing the following guidance for the full year 2023:</w:t>
      </w:r>
    </w:p>
    <w:p>
      <w:pPr>
        <w:pStyle w:val="TextBody"/>
        <w:spacing w:before="0" w:after="0"/>
        <w:rPr/>
      </w:pPr>
      <w:r>
        <w:rPr/>
      </w:r>
    </w:p>
    <w:p>
      <w:pPr>
        <w:pStyle w:val="TextBody"/>
        <w:spacing w:lineRule="auto" w:line="345" w:before="0" w:after="0"/>
        <w:ind w:left="0" w:right="0" w:hanging="360"/>
        <w:jc w:val="both"/>
        <w:rPr/>
      </w:pPr>
      <w:r>
        <w:rPr>
          <w:color w:val="000000"/>
        </w:rPr>
        <w:t>•</w:t>
      </w:r>
      <w:r>
        <w:rPr>
          <w:rFonts w:ascii="Times New Roman;sans-serif" w:hAnsi="Times New Roman;sans-serif"/>
          <w:b w:val="false"/>
          <w:color w:val="000000"/>
          <w:sz w:val="20"/>
        </w:rPr>
        <w:t>Revenue of $1.595 billion to $1.620 billion, representing an increase of 13% to 15% on both a reported and constant currency basis from 2022.</w:t>
      </w:r>
    </w:p>
    <w:p>
      <w:pPr>
        <w:pStyle w:val="TextBody"/>
        <w:spacing w:before="0" w:after="0"/>
        <w:jc w:val="both"/>
        <w:rPr/>
      </w:pPr>
      <w:r>
        <w:rPr/>
      </w:r>
    </w:p>
    <w:p>
      <w:pPr>
        <w:pStyle w:val="TextBody"/>
        <w:spacing w:lineRule="auto" w:line="345" w:before="0" w:after="0"/>
        <w:ind w:left="0" w:right="0" w:hanging="360"/>
        <w:jc w:val="both"/>
        <w:rPr/>
      </w:pPr>
      <w:r>
        <w:rPr>
          <w:color w:val="000000"/>
        </w:rPr>
        <w:t>•</w:t>
      </w:r>
      <w:r>
        <w:rPr>
          <w:rFonts w:ascii="Times New Roman;sans-serif" w:hAnsi="Times New Roman;sans-serif"/>
          <w:b w:val="false"/>
          <w:color w:val="000000"/>
          <w:sz w:val="20"/>
        </w:rPr>
        <w:t>Adjusted diluted earnings per share of $6.75 to $6.90, representing an increase of 12% to 15% from 2022.</w:t>
      </w:r>
    </w:p>
    <w:p>
      <w:pPr>
        <w:pStyle w:val="TextBody"/>
        <w:spacing w:before="0" w:after="0"/>
        <w:ind w:left="0" w:right="0" w:hanging="450"/>
        <w:jc w:val="both"/>
        <w:rPr/>
      </w:pPr>
      <w:r>
        <w:rPr/>
      </w:r>
    </w:p>
    <w:p>
      <w:pPr>
        <w:pStyle w:val="TextBody"/>
        <w:spacing w:before="0" w:after="0"/>
        <w:jc w:val="both"/>
        <w:rPr/>
      </w:pPr>
      <w:r>
        <w:rPr/>
      </w:r>
    </w:p>
    <w:p>
      <w:pPr>
        <w:pStyle w:val="TextBody"/>
        <w:spacing w:lineRule="auto" w:line="345"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Conference Call</w:t>
      </w:r>
    </w:p>
    <w:p>
      <w:pPr>
        <w:pStyle w:val="TextBody"/>
        <w:spacing w:lineRule="auto" w:line="417" w:before="120" w:after="283"/>
        <w:jc w:val="both"/>
        <w:rPr/>
      </w:pPr>
      <w:r>
        <w:rPr>
          <w:rFonts w:ascii="Times New Roman;sans-serif" w:hAnsi="Times New Roman;sans-serif"/>
          <w:b w:val="false"/>
          <w:color w:val="000000"/>
          <w:sz w:val="20"/>
        </w:rPr>
        <w:t xml:space="preserve">ExlService Holdings, Inc. will host a conference call on Thursday, April 27, 2023 at 10:00 A.M. ET to discuss the Company’s quarterly operating and financial results. The conference call will be available live via the internet by accessing the investor relations section of EXL’s website at </w:t>
      </w:r>
      <w:r>
        <w:rPr>
          <w:rFonts w:ascii="Times New Roman;sans-serif" w:hAnsi="Times New Roman;sans-serif"/>
          <w:b w:val="false"/>
          <w:color w:val="0000FF"/>
          <w:sz w:val="20"/>
          <w:u w:val="single"/>
        </w:rPr>
        <w:t>ir.exlservice.com</w:t>
      </w:r>
      <w:r>
        <w:rPr>
          <w:rFonts w:ascii="Times New Roman;sans-serif" w:hAnsi="Times New Roman;sans-serif"/>
          <w:b w:val="false"/>
          <w:color w:val="000000"/>
          <w:sz w:val="20"/>
        </w:rPr>
        <w:t>, where an accompanying investor-friendly spreadsheet of historical operating and financial data can also be accessed. Please access the website at least fifteen minutes prior to the call to register, download and install any necessary audio software.</w:t>
      </w:r>
    </w:p>
    <w:p>
      <w:pPr>
        <w:pStyle w:val="TextBody"/>
        <w:spacing w:lineRule="auto" w:line="345" w:before="120" w:after="283"/>
        <w:jc w:val="both"/>
        <w:rPr/>
      </w:pPr>
      <w:r>
        <w:rPr>
          <w:rFonts w:ascii="Times New Roman;sans-serif" w:hAnsi="Times New Roman;sans-serif"/>
          <w:b w:val="false"/>
          <w:color w:val="000000"/>
          <w:sz w:val="20"/>
        </w:rPr>
        <w:t xml:space="preserve">Please note that there is a new system to access the live call-in order to ask questions. To join the live call, please register </w:t>
      </w:r>
      <w:r>
        <w:rPr>
          <w:rFonts w:ascii="Times New Roman;sans-serif" w:hAnsi="Times New Roman;sans-serif"/>
          <w:b w:val="false"/>
          <w:color w:val="0000FF"/>
          <w:sz w:val="20"/>
          <w:u w:val="single"/>
        </w:rPr>
        <w:t>here</w:t>
      </w:r>
      <w:r>
        <w:rPr>
          <w:rFonts w:ascii="Times New Roman;sans-serif" w:hAnsi="Times New Roman;sans-serif"/>
          <w:b w:val="false"/>
          <w:color w:val="000000"/>
          <w:sz w:val="20"/>
        </w:rPr>
        <w:t xml:space="preserve">. A dial-in and unique PIN will be provided to join the call. For those who cannot access the live broadcast, a replay will be available on the EXL website </w:t>
      </w:r>
      <w:r>
        <w:rPr>
          <w:rFonts w:ascii="Times New Roman;sans-serif" w:hAnsi="Times New Roman;sans-serif"/>
          <w:b w:val="false"/>
          <w:color w:val="0000FF"/>
          <w:sz w:val="20"/>
          <w:u w:val="single"/>
        </w:rPr>
        <w:t>ir.exlservice.com</w:t>
      </w:r>
      <w:r>
        <w:rPr>
          <w:color w:val="000000"/>
        </w:rPr>
        <w:t xml:space="preserve"> </w:t>
      </w:r>
      <w:r>
        <w:rPr>
          <w:rFonts w:ascii="Times New Roman;sans-serif" w:hAnsi="Times New Roman;sans-serif"/>
          <w:b w:val="false"/>
          <w:color w:val="000000"/>
          <w:sz w:val="20"/>
        </w:rPr>
        <w:t>for a period of twelve months.</w:t>
      </w:r>
    </w:p>
    <w:p>
      <w:pPr>
        <w:pStyle w:val="TextBody"/>
        <w:spacing w:before="120" w:after="283"/>
        <w:jc w:val="both"/>
        <w:rPr/>
      </w:pPr>
      <w:r>
        <w:rPr/>
      </w:r>
    </w:p>
    <w:p>
      <w:pPr>
        <w:pStyle w:val="TextBody"/>
        <w:spacing w:before="120" w:after="283"/>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45" w:before="0" w:after="0"/>
        <w:jc w:val="both"/>
        <w:rPr>
          <w:rFonts w:ascii="Times New Roman;sans-serif" w:hAnsi="Times New Roman;sans-serif"/>
          <w:b/>
          <w:color w:val="000000"/>
          <w:sz w:val="20"/>
        </w:rPr>
      </w:pPr>
      <w:r>
        <w:rPr>
          <w:rFonts w:ascii="Times New Roman;sans-serif" w:hAnsi="Times New Roman;sans-serif"/>
          <w:b/>
          <w:color w:val="000000"/>
          <w:sz w:val="20"/>
        </w:rPr>
        <w:t>About ExlService Holdings, Inc.</w:t>
      </w:r>
    </w:p>
    <w:p>
      <w:pPr>
        <w:pStyle w:val="TextBody"/>
        <w:spacing w:lineRule="auto" w:line="417" w:before="0" w:after="0"/>
        <w:jc w:val="both"/>
        <w:rPr/>
      </w:pPr>
      <w:r>
        <w:rPr>
          <w:rFonts w:ascii="Times New Roman;sans-serif" w:hAnsi="Times New Roman;sans-serif"/>
          <w:b w:val="false"/>
          <w:color w:val="000000"/>
          <w:sz w:val="20"/>
        </w:rPr>
        <w:t xml:space="preserve">EXL (NASDAQ: EXLS) is a leading data analytics and digital operations and solutions company that partners with clients to improve business outcomes and unlock growth. By bringing together deep domain expertise with robust data, powerful analytics, cloud, artificial intelligence (“AI”) and machine learning (“ML”),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47,000 strong, with more than 50 offices spanning six continents. For more information, visit </w:t>
      </w:r>
      <w:r>
        <w:rPr>
          <w:rFonts w:ascii="Times New Roman;sans-serif" w:hAnsi="Times New Roman;sans-serif"/>
          <w:b w:val="false"/>
          <w:color w:val="0000FF"/>
          <w:sz w:val="20"/>
          <w:u w:val="single"/>
        </w:rPr>
        <w:t>www.exlservice.com.</w:t>
      </w:r>
    </w:p>
    <w:p>
      <w:pPr>
        <w:pStyle w:val="TextBody"/>
        <w:spacing w:before="0" w:after="0"/>
        <w:jc w:val="both"/>
        <w:rPr/>
      </w:pPr>
      <w:r>
        <w:rPr/>
      </w:r>
    </w:p>
    <w:p>
      <w:pPr>
        <w:pStyle w:val="TextBody"/>
        <w:spacing w:lineRule="auto" w:line="345" w:before="120" w:after="283"/>
        <w:jc w:val="both"/>
        <w:rPr/>
      </w:pPr>
      <w:r>
        <w:rPr>
          <w:rFonts w:ascii="Times New Roman;sans-serif" w:hAnsi="Times New Roman;sans-serif"/>
          <w:b/>
          <w:color w:val="000000"/>
          <w:sz w:val="20"/>
        </w:rPr>
        <w:t>Cautionary Statement Regarding Forward-Looking Statements</w:t>
      </w:r>
      <w:r>
        <w:rPr>
          <w:color w:val="000000"/>
        </w:rPr>
        <w:t xml:space="preserve"> </w:t>
      </w:r>
      <w:r>
        <w:rPr>
          <w:rFonts w:ascii="Times New Roman;sans-serif" w:hAnsi="Times New Roman;sans-serif"/>
          <w:b w:val="false"/>
          <w:i/>
          <w:color w:val="000000"/>
          <w:sz w:val="20"/>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center"/>
        <w:tblInd w:w="0" w:type="dxa"/>
        <w:tblCellMar>
          <w:top w:w="28" w:type="dxa"/>
          <w:left w:w="28" w:type="dxa"/>
          <w:bottom w:w="28" w:type="dxa"/>
          <w:right w:w="28" w:type="dxa"/>
        </w:tblCellMar>
      </w:tblPr>
      <w:tblGrid>
        <w:gridCol w:w="2827"/>
        <w:gridCol w:w="2317"/>
        <w:gridCol w:w="2308"/>
        <w:gridCol w:w="219"/>
        <w:gridCol w:w="862"/>
        <w:gridCol w:w="109"/>
        <w:gridCol w:w="109"/>
        <w:gridCol w:w="109"/>
        <w:gridCol w:w="109"/>
        <w:gridCol w:w="219"/>
        <w:gridCol w:w="862"/>
        <w:gridCol w:w="155"/>
      </w:tblGrid>
      <w:tr>
        <w:trPr/>
        <w:tc>
          <w:tcPr>
            <w:tcW w:w="2827" w:type="dxa"/>
            <w:tcBorders/>
            <w:shd w:fill="auto" w:val="clear"/>
            <w:vAlign w:val="center"/>
          </w:tcPr>
          <w:p>
            <w:pPr>
              <w:pStyle w:val="TableContents"/>
              <w:spacing w:before="0" w:after="283"/>
              <w:rPr>
                <w:sz w:val="4"/>
                <w:szCs w:val="4"/>
              </w:rPr>
            </w:pPr>
            <w:r>
              <w:rPr>
                <w:sz w:val="4"/>
                <w:szCs w:val="4"/>
              </w:rPr>
            </w:r>
          </w:p>
        </w:tc>
        <w:tc>
          <w:tcPr>
            <w:tcW w:w="2317" w:type="dxa"/>
            <w:tcBorders/>
            <w:shd w:fill="auto" w:val="clear"/>
            <w:vAlign w:val="center"/>
          </w:tcPr>
          <w:p>
            <w:pPr>
              <w:pStyle w:val="TableContents"/>
              <w:spacing w:before="0" w:after="283"/>
              <w:rPr>
                <w:sz w:val="4"/>
                <w:szCs w:val="4"/>
              </w:rPr>
            </w:pPr>
            <w:r>
              <w:rPr>
                <w:sz w:val="4"/>
                <w:szCs w:val="4"/>
              </w:rPr>
            </w:r>
          </w:p>
        </w:tc>
        <w:tc>
          <w:tcPr>
            <w:tcW w:w="230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207,516 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Gross profit</w:t>
            </w:r>
            <w:r>
              <w:rPr>
                <w:rFonts w:ascii="Times New Roman;sans-serif" w:hAnsi="Times New Roman;sans-serif"/>
                <w:b/>
                <w:color w:val="000000"/>
                <w:sz w:val="13"/>
              </w:rPr>
              <w:t>(1)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149,174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121,692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59,448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43,975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 and earnings from equity affiliates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59,323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47,266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earnings from equity affiliates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51,265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36,064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equity-method investment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ExlService Holdings, Inc. stockholders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51,331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36,178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ExlService Holdings, Inc. stockholders: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shares used in computing earnings per share attributable to ExlService Holdings Inc. stockholders:</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33,439,564 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33,442,038 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33,931,480 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33,894,868 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556" w:before="20" w:after="12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Exclusive of depreciation and amortization expense.</w:t>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center"/>
        <w:tblInd w:w="0" w:type="dxa"/>
        <w:tblCellMar>
          <w:top w:w="28" w:type="dxa"/>
          <w:left w:w="28" w:type="dxa"/>
          <w:bottom w:w="28" w:type="dxa"/>
          <w:right w:w="28" w:type="dxa"/>
        </w:tblCellMar>
      </w:tblPr>
      <w:tblGrid>
        <w:gridCol w:w="2643"/>
        <w:gridCol w:w="2070"/>
        <w:gridCol w:w="2103"/>
        <w:gridCol w:w="109"/>
        <w:gridCol w:w="109"/>
        <w:gridCol w:w="109"/>
        <w:gridCol w:w="211"/>
        <w:gridCol w:w="991"/>
        <w:gridCol w:w="109"/>
        <w:gridCol w:w="109"/>
        <w:gridCol w:w="109"/>
        <w:gridCol w:w="109"/>
        <w:gridCol w:w="221"/>
        <w:gridCol w:w="1039"/>
        <w:gridCol w:w="164"/>
      </w:tblGrid>
      <w:tr>
        <w:trPr/>
        <w:tc>
          <w:tcPr>
            <w:tcW w:w="2643" w:type="dxa"/>
            <w:tcBorders/>
            <w:shd w:fill="auto" w:val="clear"/>
            <w:vAlign w:val="center"/>
          </w:tcPr>
          <w:p>
            <w:pPr>
              <w:pStyle w:val="TableContents"/>
              <w:spacing w:before="0" w:after="283"/>
              <w:rPr>
                <w:sz w:val="4"/>
                <w:szCs w:val="4"/>
              </w:rPr>
            </w:pPr>
            <w:r>
              <w:rPr>
                <w:sz w:val="4"/>
                <w:szCs w:val="4"/>
              </w:rPr>
            </w:r>
          </w:p>
        </w:tc>
        <w:tc>
          <w:tcPr>
            <w:tcW w:w="2070" w:type="dxa"/>
            <w:tcBorders/>
            <w:shd w:fill="auto" w:val="clear"/>
            <w:vAlign w:val="center"/>
          </w:tcPr>
          <w:p>
            <w:pPr>
              <w:pStyle w:val="TableContents"/>
              <w:spacing w:before="0" w:after="283"/>
              <w:rPr>
                <w:sz w:val="4"/>
                <w:szCs w:val="4"/>
              </w:rPr>
            </w:pPr>
            <w:r>
              <w:rPr>
                <w:sz w:val="4"/>
                <w:szCs w:val="4"/>
              </w:rPr>
            </w:r>
          </w:p>
        </w:tc>
        <w:tc>
          <w:tcPr>
            <w:tcW w:w="21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6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6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118,669 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179,027 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receivable, net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259,222 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566,227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612,794</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and equipment, net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Intangible assets, net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405,637 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32,069 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1,308,571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1,346,119</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280,904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277,946</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borrowings, 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513,349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587,940</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ExlService Holdings, Inc.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15,000,000 shares authorized, none issued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100,000,000 shares authorized, 40,334,368 shares issued and 33,321,455 shares outstanding as of March 31, 2023 and 39,987,976 shares issued and 33,234,444 shares outstanding as of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445,108 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899,105 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(144,143)</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including shares held in treasury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1,279,516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1,200,110</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7,012,913 shares as of March 31, 2023 and 6,753,532 shares as of December 31, 2022, held in treasury, at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(441,931)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795,222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758,179</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Total 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1,308,571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1,346,119</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44" w:after="283"/>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44" w:after="283"/>
        <w:jc w:val="center"/>
        <w:rPr>
          <w:rFonts w:ascii="Times New Roman;sans-serif" w:hAnsi="Times New Roman;sans-serif"/>
          <w:b/>
          <w:color w:val="000000"/>
          <w:sz w:val="20"/>
        </w:rPr>
      </w:pPr>
      <w:r>
        <w:rPr>
          <w:rFonts w:ascii="Times New Roman;sans-serif" w:hAnsi="Times New Roman;sans-serif"/>
          <w:b/>
          <w:color w:val="000000"/>
          <w:sz w:val="20"/>
        </w:rPr>
        <w:t>Reconciliation of Adjusted Financial Measures to GAAP Measures</w:t>
      </w:r>
    </w:p>
    <w:p>
      <w:pPr>
        <w:pStyle w:val="TextBody"/>
        <w:spacing w:before="0" w:after="0"/>
        <w:ind w:left="0" w:right="0" w:firstLine="720"/>
        <w:jc w:val="both"/>
        <w:rPr/>
      </w:pPr>
      <w:r>
        <w:rPr/>
      </w:r>
    </w:p>
    <w:p>
      <w:pPr>
        <w:pStyle w:val="TextBody"/>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its reported operating results in accordance with U.S. generally accepted accounting principles (GAAP), EXL has included in this release certain financial measures that are considered non-GAAP financial measures, including the following: </w:t>
      </w:r>
    </w:p>
    <w:p>
      <w:pPr>
        <w:pStyle w:val="TextBody"/>
        <w:spacing w:lineRule="auto" w:line="417"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(i)Adjusted operating income and adjusted operating income margin;</w:t>
      </w:r>
    </w:p>
    <w:p>
      <w:pPr>
        <w:pStyle w:val="TextBody"/>
        <w:spacing w:lineRule="auto" w:line="34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(ii)Adjusted EBITDA and adjusted EBITDA margin;</w:t>
      </w:r>
    </w:p>
    <w:p>
      <w:pPr>
        <w:pStyle w:val="TextBody"/>
        <w:spacing w:lineRule="auto" w:line="34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(iii)Adjusted net income and adjusted diluted earnings per share; and</w:t>
      </w:r>
    </w:p>
    <w:p>
      <w:pPr>
        <w:pStyle w:val="TextBody"/>
        <w:spacing w:lineRule="auto" w:line="34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(iv)Revenue growth on an organic constant currency basis.</w:t>
      </w:r>
    </w:p>
    <w:p>
      <w:pPr>
        <w:pStyle w:val="TextBody"/>
        <w:spacing w:before="0" w:after="0"/>
        <w:ind w:left="0" w:right="0" w:firstLine="720"/>
        <w:jc w:val="both"/>
        <w:rPr/>
      </w:pPr>
      <w:r>
        <w:rPr/>
      </w:r>
    </w:p>
    <w:p>
      <w:pPr>
        <w:pStyle w:val="TextBody"/>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pStyle w:val="TextBody"/>
        <w:spacing w:before="0" w:after="0"/>
        <w:ind w:left="0" w:right="0" w:firstLine="720"/>
        <w:jc w:val="both"/>
        <w:rPr/>
      </w:pPr>
      <w:r>
        <w:rPr/>
      </w:r>
    </w:p>
    <w:p>
      <w:pPr>
        <w:pStyle w:val="TextBody"/>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EXL non-GAAP financial measures exclude, where applicable, stock-based compensation expense, amortization of acquisition-related intangible assets, provision for litigation settlement, impairment charges on acquired long-lived and intangible assets including goodwill, effects of termination of leases, certain defined social security contributions,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pStyle w:val="TextBody"/>
        <w:spacing w:before="0" w:after="0"/>
        <w:ind w:left="0" w:right="0" w:firstLine="450"/>
        <w:jc w:val="both"/>
        <w:rPr/>
      </w:pPr>
      <w:r>
        <w:rPr/>
      </w:r>
    </w:p>
    <w:p>
      <w:pPr>
        <w:pStyle w:val="TextBody"/>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pStyle w:val="TextBody"/>
        <w:spacing w:before="0" w:after="0"/>
        <w:ind w:left="0" w:right="0" w:firstLine="450"/>
        <w:jc w:val="both"/>
        <w:rPr/>
      </w:pPr>
      <w:r>
        <w:rPr/>
      </w:r>
    </w:p>
    <w:p>
      <w:pPr>
        <w:pStyle w:val="TextBody"/>
        <w:spacing w:lineRule="auto" w:line="345"/>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provided on an organic constant currency basis reflects a comparison of current period results translated at the prior period currency rates and exclude the impact from an acquisition for a twelve-month period from the date of the acquisition.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75.25 during the quarter ended March 31, 2022 to 82.25 during the quarter ended March 31, 2023, representing a depreciation of 9.3% against the U.S. dollar. The average exchange rate of the U.S. dollar against the Philippine peso increased from 51.32 during the quarter ended March 31, 2022 to 54.78 during the quarter ended March 31, 2023, representing a depreciation of 6.7% against </w:t>
      </w:r>
      <w:r>
        <w:br w:type="page"/>
      </w: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4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dollar. The average exchange rate of the U.K. pound sterling against the U.S. dollar decreased from 1.33 during the quarter ended March 31, 2022 to 1.23 during the quarter ended March 31, 2023, representing a depreciation of 7.9% against the U.S. dollar.</w:t>
      </w:r>
    </w:p>
    <w:p>
      <w:pPr>
        <w:pStyle w:val="TextBody"/>
        <w:spacing w:before="0" w:after="0"/>
        <w:ind w:left="0" w:right="0" w:firstLine="450"/>
        <w:jc w:val="both"/>
        <w:rPr/>
      </w:pPr>
      <w:r>
        <w:rPr/>
      </w:r>
    </w:p>
    <w:p>
      <w:pPr>
        <w:pStyle w:val="TextBody"/>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reconciliation of these non-GAAP financial measures for the three months ended March 31, 2023 and March 31, 2022, and the three months ended December 31, 2022:</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Adjusted Operating Income and Adjusted EBITDA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bl>
      <w:tblPr>
        <w:tblW w:w="10205" w:type="dxa"/>
        <w:jc w:val="center"/>
        <w:tblInd w:w="0" w:type="dxa"/>
        <w:tblCellMar>
          <w:top w:w="28" w:type="dxa"/>
          <w:left w:w="28" w:type="dxa"/>
          <w:bottom w:w="28" w:type="dxa"/>
          <w:right w:w="28" w:type="dxa"/>
        </w:tblCellMar>
      </w:tblPr>
      <w:tblGrid>
        <w:gridCol w:w="2292"/>
        <w:gridCol w:w="1769"/>
        <w:gridCol w:w="1763"/>
        <w:gridCol w:w="109"/>
        <w:gridCol w:w="109"/>
        <w:gridCol w:w="109"/>
        <w:gridCol w:w="196"/>
        <w:gridCol w:w="661"/>
        <w:gridCol w:w="256"/>
        <w:gridCol w:w="109"/>
        <w:gridCol w:w="109"/>
        <w:gridCol w:w="109"/>
        <w:gridCol w:w="196"/>
        <w:gridCol w:w="661"/>
        <w:gridCol w:w="256"/>
        <w:gridCol w:w="109"/>
        <w:gridCol w:w="109"/>
        <w:gridCol w:w="109"/>
        <w:gridCol w:w="198"/>
        <w:gridCol w:w="669"/>
        <w:gridCol w:w="307"/>
      </w:tblGrid>
      <w:tr>
        <w:trPr/>
        <w:tc>
          <w:tcPr>
            <w:tcW w:w="2292" w:type="dxa"/>
            <w:tcBorders/>
            <w:shd w:fill="auto" w:val="clear"/>
            <w:vAlign w:val="center"/>
          </w:tcPr>
          <w:p>
            <w:pPr>
              <w:pStyle w:val="TableContents"/>
              <w:spacing w:before="0" w:after="283"/>
              <w:rPr>
                <w:sz w:val="4"/>
                <w:szCs w:val="4"/>
              </w:rPr>
            </w:pPr>
            <w:r>
              <w:rPr>
                <w:sz w:val="4"/>
                <w:szCs w:val="4"/>
              </w:rPr>
            </w:r>
          </w:p>
        </w:tc>
        <w:tc>
          <w:tcPr>
            <w:tcW w:w="1769" w:type="dxa"/>
            <w:tcBorders/>
            <w:shd w:fill="auto" w:val="clear"/>
            <w:vAlign w:val="center"/>
          </w:tcPr>
          <w:p>
            <w:pPr>
              <w:pStyle w:val="TableContents"/>
              <w:spacing w:before="0" w:after="283"/>
              <w:rPr>
                <w:sz w:val="4"/>
                <w:szCs w:val="4"/>
              </w:rPr>
            </w:pPr>
            <w:r>
              <w:rPr>
                <w:sz w:val="4"/>
                <w:szCs w:val="4"/>
              </w:rPr>
            </w:r>
          </w:p>
        </w:tc>
        <w:tc>
          <w:tcPr>
            <w:tcW w:w="17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r>
      <w:tr>
        <w:trPr/>
        <w:tc>
          <w:tcPr>
            <w:tcW w:w="5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51,331</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36,178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31,849</w:t>
            </w: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12,791 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add/(subtract): Foreign exchange gain/(loss), interest expense, effects of equity-method investment and other income/(loss),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(3,405)</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6,355 </w:t>
            </w:r>
          </w:p>
        </w:tc>
        <w:tc>
          <w:tcPr>
            <w:tcW w:w="3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from operations (GAAP)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59,448</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43,975</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50,995</w:t>
            </w:r>
            <w:r>
              <w:rPr>
                <w:color w:val="000000"/>
              </w:rPr>
              <w:t>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12,616 </w:t>
            </w:r>
          </w:p>
        </w:tc>
        <w:tc>
          <w:tcPr>
            <w:tcW w:w="3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Amortization of acquisition-related intangibles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4,234 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add/(subtract): Other expenses/(benefits)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w:t>
            </w:r>
          </w:p>
        </w:tc>
        <w:tc>
          <w:tcPr>
            <w:tcW w:w="3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operating income (Non-GAAP)</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77,915</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59,819</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67,285</w:t>
            </w:r>
            <w:r>
              <w:rPr>
                <w:color w:val="000000"/>
              </w:rPr>
              <w:t>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operating income margin as a % of Revenue (Non-GAAP)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19.4 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18.2 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18.0 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5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Depreciation on long-lived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9,687 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 (Non-GAAP)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86,504</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68,935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76,972</w:t>
            </w: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EBITDA margin as a % of revenue (Non-GAAP)</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21.6 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20.5 </w:t>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TextBody"/>
        <w:spacing w:before="0" w:after="0"/>
        <w:rPr/>
      </w:pPr>
      <w:r>
        <w:rPr/>
      </w:r>
    </w:p>
    <w:p>
      <w:pPr>
        <w:pStyle w:val="TextBody"/>
        <w:spacing w:lineRule="auto" w:line="276" w:before="0" w:after="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(a) To exclude effects of lease termination of $89 and $nil during the three months ended March 31, 2023 and 2022 respectively, and $560 during the three months ended December 31, 2022, and to exclude acquisition-related expenses of $134 for the acquisition of Clairvoyant AI, Inc. (“Clairvoyant”) during the three months ended March 31, 2022.</w:t>
      </w:r>
    </w:p>
    <w:p>
      <w:pPr>
        <w:pStyle w:val="TextBody"/>
        <w:spacing w:before="0" w:after="0"/>
        <w:rPr/>
      </w:pPr>
      <w:r>
        <w:rPr/>
      </w:r>
    </w:p>
    <w:p>
      <w:pPr>
        <w:pStyle w:val="TextBody"/>
        <w:spacing w:before="120" w:after="12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Adjusted Net Income and Adjusted Diluted Earnings Per Share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per share data)</w:t>
      </w:r>
    </w:p>
    <w:tbl>
      <w:tblPr>
        <w:tblW w:w="9121" w:type="dxa"/>
        <w:jc w:val="center"/>
        <w:tblInd w:w="0" w:type="dxa"/>
        <w:tblCellMar>
          <w:top w:w="28" w:type="dxa"/>
          <w:left w:w="28" w:type="dxa"/>
          <w:bottom w:w="28" w:type="dxa"/>
          <w:right w:w="28" w:type="dxa"/>
        </w:tblCellMar>
      </w:tblPr>
      <w:tblGrid>
        <w:gridCol w:w="1817"/>
        <w:gridCol w:w="1600"/>
        <w:gridCol w:w="1607"/>
        <w:gridCol w:w="109"/>
        <w:gridCol w:w="109"/>
        <w:gridCol w:w="109"/>
        <w:gridCol w:w="196"/>
        <w:gridCol w:w="661"/>
        <w:gridCol w:w="109"/>
        <w:gridCol w:w="109"/>
        <w:gridCol w:w="109"/>
        <w:gridCol w:w="109"/>
        <w:gridCol w:w="196"/>
        <w:gridCol w:w="661"/>
        <w:gridCol w:w="109"/>
        <w:gridCol w:w="109"/>
        <w:gridCol w:w="109"/>
        <w:gridCol w:w="109"/>
        <w:gridCol w:w="229"/>
        <w:gridCol w:w="775"/>
        <w:gridCol w:w="180"/>
      </w:tblGrid>
      <w:tr>
        <w:trPr/>
        <w:tc>
          <w:tcPr>
            <w:tcW w:w="1817"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51,331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36,178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31,849</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Amortization of acquisition-related intangibles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Effects of changes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add/(subtract): Other expenses/(benefits)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Tax impact on stock-based compensation expense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Tax impact on amortization of acquisition-related intangibles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Tax impact on other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Effect of non-recurring tax benefits (c)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(Non-GAAP)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58,967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48,164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52,637</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diluted earnings per share (Non-GAAP)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1.74</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1.42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1.56</w:t>
            </w:r>
            <w:r>
              <w:rPr>
                <w:color w:val="000000"/>
              </w:rPr>
              <w:t>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(a) To exclude effects of lease termination of $89 and $nil during the three months ended March 31, 2023 and 2022 respectively, and $560 during the three months ended December 31, 2022, and to exclude acquisition-related expenses of $134 for the acquisition of Clairvoyant during the three months ended March 31, 2022.</w:t>
      </w:r>
    </w:p>
    <w:p>
      <w:pPr>
        <w:pStyle w:val="TextBody"/>
        <w:spacing w:before="0" w:after="0"/>
        <w:ind w:left="0" w:right="0" w:hanging="270"/>
        <w:jc w:val="both"/>
        <w:rPr/>
      </w:pPr>
      <w:r>
        <w:rPr/>
      </w:r>
    </w:p>
    <w:p>
      <w:pPr>
        <w:pStyle w:val="TextBody"/>
        <w:spacing w:lineRule="auto" w:line="276" w:before="0" w:after="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(b) Tax impact includes $12,520 and $3,610 during the three months ended March 31, 2023 and 2022 respectively, and $2,349 during the three months ended December 31, 2022, related to discrete benefits recognized in income tax expense in accordance with ASU No. 2016-09, Compensation - Stock Compensation.</w:t>
      </w:r>
    </w:p>
    <w:p>
      <w:pPr>
        <w:pStyle w:val="TextBody"/>
        <w:spacing w:before="0" w:after="0"/>
        <w:ind w:left="0" w:right="0" w:firstLine="270"/>
        <w:rPr/>
      </w:pPr>
      <w:r>
        <w:rPr/>
      </w:r>
    </w:p>
    <w:p>
      <w:pPr>
        <w:pStyle w:val="TextBody"/>
        <w:spacing w:lineRule="auto" w:line="276" w:before="0" w:after="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(c) To exclude other tax expense/(benefits) related to certain deferred tax assets and liabilities.</w:t>
      </w:r>
    </w:p>
    <w:p>
      <w:pPr>
        <w:pStyle w:val="TextBody"/>
        <w:spacing w:before="0" w:after="0"/>
        <w:ind w:left="0" w:right="0" w:hanging="270"/>
        <w:jc w:val="both"/>
        <w:rPr/>
      </w:pPr>
      <w:r>
        <w:rPr/>
      </w:r>
    </w:p>
    <w:p>
      <w:pPr>
        <w:pStyle w:val="TextBody"/>
        <w:spacing w:before="0" w:after="0"/>
        <w:ind w:left="0" w:right="0" w:hanging="27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8"/>
        </w:rPr>
        <w:t>Contacts</w:t>
      </w:r>
      <w:r>
        <w:rPr>
          <w:rFonts w:ascii="Times New Roman;sans-serif" w:hAnsi="Times New Roman;sans-serif"/>
          <w:b w:val="false"/>
          <w:color w:val="000000"/>
          <w:sz w:val="20"/>
        </w:rPr>
        <w:t>:</w:t>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Investor Relations</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John Kristoff</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Vice President, Investor Relations</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+1 212 209 4613</w:t>
      </w:r>
    </w:p>
    <w:p>
      <w:pPr>
        <w:pStyle w:val="TextBody"/>
        <w:spacing w:lineRule="auto" w:line="288" w:before="0" w:after="0"/>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ir@exlservice.com</w:t>
      </w: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Media - US</w:t>
      </w:r>
    </w:p>
    <w:p>
      <w:pPr>
        <w:pStyle w:val="TextBody"/>
        <w:spacing w:lineRule="auto" w:line="268" w:before="0" w:after="0"/>
        <w:rPr>
          <w:rFonts w:ascii="Times New Roman;sans-serif" w:hAnsi="Times New Roman;sans-serif"/>
          <w:b w:val="false"/>
          <w:color w:val="000000"/>
          <w:sz w:val="18"/>
        </w:rPr>
      </w:pPr>
      <w:r>
        <w:rPr>
          <w:rFonts w:ascii="Times New Roman;sans-serif" w:hAnsi="Times New Roman;sans-serif"/>
          <w:b w:val="false"/>
          <w:color w:val="000000"/>
          <w:sz w:val="18"/>
        </w:rPr>
        <w:t>Keith Little</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Senior Manager, Media Relations</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+1 703 598 0980 </w:t>
      </w:r>
    </w:p>
    <w:p>
      <w:pPr>
        <w:pStyle w:val="TextBody"/>
        <w:spacing w:lineRule="auto" w:line="276" w:before="0" w:after="0"/>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media.relations@exlservice.com</w:t>
      </w: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Media - UK, Europe, and APAC</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Anna Price</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First Light Group</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+44 202 617 7240</w:t>
      </w:r>
    </w:p>
    <w:p>
      <w:pPr>
        <w:pStyle w:val="TextBody"/>
        <w:spacing w:lineRule="auto" w:line="288" w:before="0" w:after="0"/>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exlteam@firstlightgroup.io</w:t>
      </w: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Media - India</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Shailendra Singh</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Vice President Corporate Communications</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+91 9810476075</w:t>
      </w:r>
    </w:p>
    <w:p>
      <w:pPr>
        <w:pStyle w:val="TextBody"/>
        <w:spacing w:lineRule="auto" w:line="276"/>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shailendra.singh@exlservice.com</w:t>
      </w:r>
      <w:r>
        <w:br w:type="page"/>
      </w:r>
    </w:p>
    <w:p>
      <w:pPr>
        <w:pStyle w:val="TextBody"/>
        <w:spacing w:before="0" w:after="283"/>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3595</Words>
  <CharactersWithSpaces>24247</CharactersWithSpaces>
  <Paragraphs>548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