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Date of Report (Date of earliest event reported): October 26, 2017</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26, 2017, ExlService Holdings, Inc. (the “Company”) reported its results of operations for the three months ended September 30, 2017.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96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w w:val="88"/>
              </w:rPr>
              <w:t>Press Release, dated October 26, 2017 (furnished pursuant to Item 2.02).</w:t>
            </w:r>
          </w:p>
        </w:tc>
      </w:tr>
    </w:tbl>
    <w:p>
      <w:pPr>
        <w:sectPr>
          <w:pgSz w:w="11900" w:h="16838" w:orient="portrait"/>
          <w:cols w:equalWidth="0" w:num="1">
            <w:col w:w="11420"/>
          </w:cols>
          <w:pgMar w:left="240" w:top="63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380" w:type="dxa"/>
            <w:vAlign w:val="bottom"/>
          </w:tcPr>
          <w:p>
            <w:pPr>
              <w:spacing w:after="0"/>
              <w:rPr>
                <w:sz w:val="20"/>
                <w:szCs w:val="20"/>
                <w:color w:val="auto"/>
              </w:rPr>
            </w:pPr>
          </w:p>
        </w:tc>
        <w:tc>
          <w:tcPr>
            <w:tcW w:w="2980" w:type="dxa"/>
            <w:vAlign w:val="bottom"/>
          </w:tcPr>
          <w:p>
            <w:pPr>
              <w:ind w:left="164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380" w:type="dxa"/>
            <w:vAlign w:val="bottom"/>
          </w:tcPr>
          <w:p>
            <w:pPr>
              <w:spacing w:after="0"/>
              <w:rPr>
                <w:sz w:val="20"/>
                <w:szCs w:val="20"/>
                <w:color w:val="auto"/>
              </w:rPr>
            </w:pPr>
            <w:r>
              <w:rPr>
                <w:rFonts w:ascii="Arial" w:cs="Arial" w:eastAsia="Arial" w:hAnsi="Arial"/>
                <w:sz w:val="18"/>
                <w:szCs w:val="18"/>
                <w:color w:val="auto"/>
              </w:rPr>
              <w:t>Date: October 26, 2017</w:t>
            </w:r>
          </w:p>
        </w:tc>
        <w:tc>
          <w:tcPr>
            <w:tcW w:w="2980" w:type="dxa"/>
            <w:vAlign w:val="bottom"/>
          </w:tcPr>
          <w:p>
            <w:pPr>
              <w:ind w:left="164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3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380" w:type="dxa"/>
            <w:vAlign w:val="bottom"/>
          </w:tcPr>
          <w:p>
            <w:pPr>
              <w:spacing w:after="0"/>
              <w:rPr>
                <w:sz w:val="21"/>
                <w:szCs w:val="21"/>
                <w:color w:val="auto"/>
              </w:rPr>
            </w:pPr>
          </w:p>
        </w:tc>
        <w:tc>
          <w:tcPr>
            <w:tcW w:w="2980" w:type="dxa"/>
            <w:vAlign w:val="bottom"/>
          </w:tcPr>
          <w:p>
            <w:pPr>
              <w:ind w:left="164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380" w:type="dxa"/>
            <w:vAlign w:val="bottom"/>
          </w:tcPr>
          <w:p>
            <w:pPr>
              <w:spacing w:after="0"/>
              <w:rPr>
                <w:sz w:val="22"/>
                <w:szCs w:val="22"/>
                <w:color w:val="auto"/>
              </w:rPr>
            </w:pPr>
          </w:p>
        </w:tc>
        <w:tc>
          <w:tcPr>
            <w:tcW w:w="2980" w:type="dxa"/>
            <w:vAlign w:val="bottom"/>
          </w:tcPr>
          <w:p>
            <w:pPr>
              <w:ind w:left="164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6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2"/>
          </w:tcPr>
          <w:p>
            <w:pPr>
              <w:ind w:left="228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3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58"/>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Press Release, dated October 26, 2017 (furnished pursuant to Item 2.02)</w:t>
              </w:r>
            </w:hyperlink>
            <w:r>
              <w:rPr>
                <w:rFonts w:ascii="Arial" w:cs="Arial" w:eastAsia="Arial" w:hAnsi="Arial"/>
                <w:sz w:val="18"/>
                <w:szCs w:val="18"/>
                <w:color w:val="000000"/>
                <w:w w:val="88"/>
              </w:rPr>
              <w:t>.</w:t>
            </w: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219"/>
          </w:cols>
          <w:pgMar w:left="240" w:top="625"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2017 THIRD QUARTER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2017 Third Quarter Revenues of $192.3 Million, up 12.4% year over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Q3 Diluted EPS (GAAP) of $0.60, up from $0.46 in Q3 of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Q3 Adjusted Diluted EPS (Non-GAAP) of $0.68, up from $0.61 in Q3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October 26, 2017 - ExlService Holdings, Inc. (NASDAQ: EXLS), a leading operations management and analytics company, today announced its financial results for the quarter ending September 30,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Rohit Kapoor, Vice Chairman and Chief Executive Officer, EXL, said, “In the third quarter of 2017, EXL had strong revenue growth. We reported third quarter revenue of $192.3 million, a year-on-year increase of 12.4%. Analytics continued its momentum by growing third quarter revenues 29.1% year over year. Operations management businesses grew 7.0% in the same time frame.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“EXL’s investments in digital capabilities, our deep understanding of our chosen domains and our leadership position in analytics, enable EXL to support our clients’ strategic digital transformation agendas. Our pipeline is strong including several large opportunities that leverage EXL’s integrated sales approach and transformation playbook.”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Vishal Chhibbar, Chief Financial Officer, EXL, said, “We are updating our revenue guidance for 2017 to $754 million - $762 million from $748 million - $762 million based on our third quarter performance. Our guidance represents annual revenue growth of 10% to 11% on a constant currency basis. We are increasing the lower end of our adjusted diluted EPS guidance for 2017 to $2.60 - $2.64, from $2.54 -$2.64, which represents an increase of 12% to 13% from 2016. Our balance sheet remains strong with cash and short-term investments of $249 million.”</w:t>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Third Quarter 2017</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(Banking &amp; Financial Services, Utilities and Consulting) and Analytics. Reconciliations of adjusted (non-GAAP) financial measures, including those reflecting constant currency, to GAAP measures are included at the end of this release.</w:t>
      </w:r>
    </w:p>
    <w:p>
      <w:pPr>
        <w:spacing w:after="0" w:line="331"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ending September 30, 2017 increased to $192.3 million compared to $171.2 million for the third quarter of 2016, an increase of 12.4% on a reported basis and 11.8% on a constant currency basis from the third quarter of 2016, as well as and an increase of 1.7% sequentially from the quarter ended June 30, 2017.</w:t>
      </w:r>
    </w:p>
    <w:p>
      <w:pPr>
        <w:spacing w:after="0" w:line="35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Revenues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Gross Margin</w:t>
            </w:r>
          </w:p>
        </w:tc>
        <w:tc>
          <w:tcPr>
            <w:tcW w:w="8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0"/>
              </w:rPr>
              <w:t>Three months ended</w:t>
            </w:r>
          </w:p>
        </w:tc>
        <w:tc>
          <w:tcPr>
            <w:tcW w:w="2320" w:type="dxa"/>
            <w:vAlign w:val="bottom"/>
            <w:gridSpan w:val="5"/>
          </w:tcPr>
          <w:p>
            <w:pPr>
              <w:jc w:val="center"/>
              <w:ind w:left="739"/>
              <w:spacing w:after="0"/>
              <w:rPr>
                <w:sz w:val="20"/>
                <w:szCs w:val="20"/>
                <w:color w:val="auto"/>
              </w:rPr>
            </w:pPr>
            <w:r>
              <w:rPr>
                <w:rFonts w:ascii="Arial" w:cs="Arial" w:eastAsia="Arial" w:hAnsi="Arial"/>
                <w:sz w:val="16"/>
                <w:szCs w:val="16"/>
                <w:b w:val="1"/>
                <w:bCs w:val="1"/>
                <w:color w:val="auto"/>
                <w:w w:val="90"/>
              </w:rPr>
              <w:t>Three months ended</w:t>
            </w:r>
          </w:p>
        </w:tc>
        <w:tc>
          <w:tcPr>
            <w:tcW w:w="8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 30,</w:t>
            </w: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Sept 30,</w:t>
            </w:r>
          </w:p>
        </w:tc>
        <w:tc>
          <w:tcPr>
            <w:tcW w:w="1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 30,</w:t>
            </w:r>
          </w:p>
        </w:tc>
        <w:tc>
          <w:tcPr>
            <w:tcW w:w="12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Sept 30,</w:t>
            </w:r>
          </w:p>
        </w:tc>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June 30,</w:t>
            </w:r>
          </w:p>
        </w:tc>
      </w:tr>
      <w:tr>
        <w:trPr>
          <w:trHeight w:val="270"/>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Pr>
          <w:p>
            <w:pPr>
              <w:spacing w:after="0"/>
              <w:rPr>
                <w:sz w:val="23"/>
                <w:szCs w:val="23"/>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3"/>
                <w:szCs w:val="23"/>
                <w:color w:val="auto"/>
              </w:rPr>
            </w:pP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2017</w:t>
            </w:r>
          </w:p>
        </w:tc>
      </w:tr>
      <w:tr>
        <w:trPr>
          <w:trHeight w:val="33"/>
        </w:trPr>
        <w:tc>
          <w:tcPr>
            <w:tcW w:w="3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1"/>
              </w:rPr>
              <w:t>(dollars in millions)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33.4%</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28.4%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w w:val="96"/>
              </w:rPr>
              <w:t>29.7%</w:t>
            </w: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Healthcare</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6"/>
              </w:rPr>
              <w:t>35.3%</w:t>
            </w:r>
          </w:p>
        </w:tc>
      </w:tr>
      <w:tr>
        <w:trPr>
          <w:trHeight w:val="23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Travel, Transportation &amp; Logistics</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45.2%</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w w:val="96"/>
              </w:rPr>
              <w:t>41.3%</w:t>
            </w: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&amp; Accounting</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6"/>
              </w:rPr>
              <w:t>38.4%</w:t>
            </w:r>
          </w:p>
        </w:tc>
      </w:tr>
      <w:tr>
        <w:trPr>
          <w:trHeight w:val="23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All Other</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31.8%</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w w:val="96"/>
              </w:rPr>
              <w:t>31.5%</w:t>
            </w:r>
          </w:p>
        </w:tc>
      </w:tr>
      <w:tr>
        <w:trPr>
          <w:trHeight w:val="33"/>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3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32.7%</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w w:val="96"/>
              </w:rPr>
              <w:t>33.9%</w:t>
            </w:r>
          </w:p>
        </w:tc>
      </w:tr>
      <w:tr>
        <w:trPr>
          <w:trHeight w:val="3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revenues,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34.7%</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w w:val="96"/>
              </w:rPr>
              <w:t>33.6%</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margin for the quarter ending September 30, 2017 was 9.7% compared to 10.1% in the third quarter of 2016 and 8.5% for the quarter ended June 30, 2017. Adjusted operating income margin for the quarter ending September 30, 2017 was 14.5% compared to 14.4% in the third quarter of 2016 and 13.1% for the quarter ending June 30, 2017.</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for the quarter ending September 30, 2017 was $0.60 compared to $0.46 for the third quarter of 2016 and $0.58 for the quarter ending June 30, 2017. Adjusted diluted earnings per share for the quarter ending September 30, 2017 was $0.68 compared to $0.61 for the third quarter of 2016 and $0.70 for the quarter ending June 30,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Third Quarter 2017</w:t>
      </w:r>
    </w:p>
    <w:p>
      <w:pPr>
        <w:spacing w:after="0" w:line="175" w:lineRule="exact"/>
        <w:rPr>
          <w:sz w:val="20"/>
          <w:szCs w:val="20"/>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11 new clients, including five in our operations management businesses and six in Analytics.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Opened new delivery centers in Richmond, Virginia and Kansas City, Missouri.</w:t>
      </w:r>
    </w:p>
    <w:p>
      <w:pPr>
        <w:spacing w:after="0" w:line="171" w:lineRule="exact"/>
        <w:rPr>
          <w:rFonts w:ascii="Arial" w:cs="Arial" w:eastAsia="Arial" w:hAnsi="Arial"/>
          <w:sz w:val="18"/>
          <w:szCs w:val="18"/>
          <w:color w:val="auto"/>
        </w:rPr>
      </w:pPr>
    </w:p>
    <w:p>
      <w:pPr>
        <w:ind w:left="340" w:right="20" w:hanging="264"/>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Achieved accreditation in utilization management from the National Committee for Quality Assurance (NCQA), a leading accreditation institution dedicated to improving healthcare quality.</w:t>
      </w:r>
    </w:p>
    <w:p>
      <w:pPr>
        <w:spacing w:after="0" w:line="116"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Leader and Star Performer in the Everest Group Life &amp; Pensions Business Process Services PEAK Matrix™ 2017.</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in the Winner’s Circle in the HfS Blueprint: Finance and Accounting As-a-Service 2017.</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the HfS Research 2017 AI-Powered OneOffice Premier League Table.</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Major Contender in the Everest Group Business Process Services Delivery Automation PEAK Matrix™ 2017.</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38 new processes.</w:t>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Post-Third Quarter Event</w:t>
      </w:r>
    </w:p>
    <w:p>
      <w:pPr>
        <w:spacing w:after="0" w:line="16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On October 24, 2017, EXL entered into a definitive purchase agreement to acquire substantially all the assets of Health Integrated, Inc. Based in Tampa, Florida, Health Integrated is a care management company that provides end-to-end technology and analytics-enabled care management services including case management, utilization management, disease management, special needs programs, and multichronic care management on behalf of health plans. Health Integrated currently serves over five million lives in the Medicaid, Medicare, and dual eligible populations. It is known for its strong capabilities in improving member health status through behavioral change.</w:t>
      </w:r>
    </w:p>
    <w:p>
      <w:pPr>
        <w:spacing w:after="0" w:line="8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acquisition is expected to close in the first quarter of 2018, subject to the fulfillment of certain closing conditions, including regulatory and other consents. The financial terms of the transaction are not being disclosed.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Guidance</w:t>
      </w:r>
    </w:p>
    <w:p>
      <w:pPr>
        <w:spacing w:after="0" w:line="283"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Based on current visibility, the Company is updating its guidance. This guidance is based on the current exchange rates for the remainder of the year: U.S. Dollar to Indian Rupee exchange rate of 65.0, British Pound to U.S. Dollar exchange rate of 1.31, U.S. Dollar to the Philippine Peso exchange rate of 52.0 and all other currencies at current exchange rates.</w:t>
      </w:r>
    </w:p>
    <w:p>
      <w:pPr>
        <w:spacing w:after="0" w:line="75" w:lineRule="exact"/>
        <w:rPr>
          <w:sz w:val="20"/>
          <w:szCs w:val="20"/>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$754 million to $762 million, representing an annual revenue growth of 10% to 11% on a constant currency basis.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$2.60 to $2.64, representing an annual increase of 12% to 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October 26, 2017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at least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27,000 professionals in locations throughout the United States, Europe, Asia (primarily India and Philippines), Colombia,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b w:val="1"/>
          <w:bCs w:val="1"/>
          <w:color w:val="auto"/>
        </w:rPr>
        <w:t xml:space="preserve">Continuing Statement Regarding Forward-Looking Statements </w:t>
      </w:r>
      <w:r>
        <w:rPr>
          <w:rFonts w:ascii="Arial" w:cs="Arial" w:eastAsia="Arial" w:hAnsi="Arial"/>
          <w:sz w:val="18"/>
          <w:szCs w:val="18"/>
          <w:i w:val="1"/>
          <w:iCs w:val="1"/>
          <w:color w:val="auto"/>
        </w:rPr>
        <w:t>This press release contains forward-looking statements. You should not place undue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w:t>
      </w:r>
    </w:p>
    <w:p>
      <w:pPr>
        <w:sectPr>
          <w:pgSz w:w="11900" w:h="16838" w:orient="portrait"/>
          <w:cols w:equalWidth="0" w:num="1">
            <w:col w:w="11420"/>
          </w:cols>
          <w:pgMar w:left="240" w:top="715" w:right="239" w:bottom="1440" w:gutter="0" w:footer="0" w:header="0"/>
        </w:sectPr>
      </w:pPr>
    </w:p>
    <w:bookmarkStart w:id="7" w:name="page8"/>
    <w:bookmarkEnd w:id="7"/>
    <w:p>
      <w:pPr>
        <w:jc w:val="both"/>
        <w:spacing w:after="0" w:line="341" w:lineRule="auto"/>
        <w:rPr>
          <w:sz w:val="20"/>
          <w:szCs w:val="20"/>
          <w:color w:val="auto"/>
        </w:rPr>
      </w:pPr>
      <w:r>
        <w:rPr>
          <w:rFonts w:ascii="Arial" w:cs="Arial" w:eastAsia="Arial" w:hAnsi="Arial"/>
          <w:sz w:val="16"/>
          <w:szCs w:val="16"/>
          <w:i w:val="1"/>
          <w:iCs w:val="1"/>
          <w:color w:val="auto"/>
        </w:rPr>
        <w:t>“anticipate,”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2016.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71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192,345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171,200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508,714</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124,890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111,767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370,458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332,172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67,455</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59,433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176,542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26,870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63,620</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12,222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11,623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38,711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9,708</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8,597</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48,800</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42,074</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143,291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126,495</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17,359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50,047</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2,922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2,891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23,896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64,794</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18,549</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21,077</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33,838,374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33,624,401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33,834,392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33,542,258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35,043,987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34,675,485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35,048,672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34,512,815</w:t>
            </w:r>
          </w:p>
        </w:tc>
        <w:tc>
          <w:tcPr>
            <w:tcW w:w="0" w:type="dxa"/>
            <w:vAlign w:val="bottom"/>
          </w:tcPr>
          <w:p>
            <w:pPr>
              <w:spacing w:after="0"/>
              <w:rPr>
                <w:sz w:val="1"/>
                <w:szCs w:val="1"/>
                <w:color w:val="auto"/>
              </w:rPr>
            </w:pPr>
          </w:p>
        </w:tc>
      </w:tr>
      <w:tr>
        <w:trPr>
          <w:trHeight w:val="27"/>
        </w:trPr>
        <w:tc>
          <w:tcPr>
            <w:tcW w:w="4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80"/>
          </w:cols>
          <w:pgMar w:left="560" w:top="796" w:right="5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161,702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133,862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8,821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423,254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378,824</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63,729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3,710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43,568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30,672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8,662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49,040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111,089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124,231</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172,638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174,350</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4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36,525,692 shares issued and 33,804,962 shares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80"/>
              <w:spacing w:after="0"/>
              <w:rPr>
                <w:sz w:val="20"/>
                <w:szCs w:val="20"/>
                <w:color w:val="auto"/>
              </w:rPr>
            </w:pPr>
            <w:r>
              <w:rPr>
                <w:rFonts w:ascii="Arial" w:cs="Arial" w:eastAsia="Arial" w:hAnsi="Arial"/>
                <w:sz w:val="16"/>
                <w:szCs w:val="16"/>
                <w:color w:val="auto"/>
                <w:w w:val="94"/>
              </w:rPr>
              <w:t>outstanding as of September 30, 2017 and 35,699,819 shares issued and 33,628,109 shares outstanding as of</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80"/>
              <w:spacing w:after="0"/>
              <w:rPr>
                <w:sz w:val="20"/>
                <w:szCs w:val="20"/>
                <w:color w:val="auto"/>
              </w:rPr>
            </w:pPr>
            <w:r>
              <w:rPr>
                <w:rFonts w:ascii="Arial" w:cs="Arial" w:eastAsia="Arial" w:hAnsi="Arial"/>
                <w:sz w:val="16"/>
                <w:szCs w:val="16"/>
                <w:color w:val="auto"/>
              </w:rPr>
              <w:t>December 31, 2016</w:t>
            </w:r>
          </w:p>
        </w:tc>
        <w:tc>
          <w:tcPr>
            <w:tcW w:w="180" w:type="dxa"/>
            <w:vAlign w:val="bottom"/>
          </w:tcPr>
          <w:p>
            <w:pPr>
              <w:spacing w:after="0"/>
              <w:rPr>
                <w:sz w:val="17"/>
                <w:szCs w:val="17"/>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237"/>
        </w:trPr>
        <w:tc>
          <w:tcPr>
            <w:tcW w:w="78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436,419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688,857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592,347</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Less: 2,720,730 shares as of September 30, 2017 and 2,071,710 shares as of December 31, 2016, held in treasury, at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596,159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531,985</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596,366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532,178</w:t>
            </w:r>
          </w:p>
        </w:tc>
        <w:tc>
          <w:tcPr>
            <w:tcW w:w="0" w:type="dxa"/>
            <w:vAlign w:val="bottom"/>
          </w:tcPr>
          <w:p>
            <w:pPr>
              <w:spacing w:after="0"/>
              <w:rPr>
                <w:sz w:val="1"/>
                <w:szCs w:val="1"/>
                <w:color w:val="auto"/>
              </w:rPr>
            </w:pPr>
          </w:p>
        </w:tc>
      </w:tr>
      <w:tr>
        <w:trPr>
          <w:trHeight w:val="33"/>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769,004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certain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non-GAAP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non-GAAP financial measures to determine variable compensation of its employees. EXL believes that it is unreasonably difficult to provide its earnings per share financial guidance in accordance with GAAP for a number of reasons, including, without limitation, EXL’s inability to predict its future stock-based compensation expense under ASC Topic 718, the amortization of intangibles associated with further acquisitions and the currency fluctuations and associated tax impacts: as such EXL presents guidance with respect to adjusted diluted earnings per share. EXL also incurs significant non-cash charges for depreciation that may not be indicative of the Company’s ability to generate cash flow.</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information provided on a constant currency basis reflects a comparison of current period results translated at the prior period currency rates. EXL’s primary exchange rate exposure is with the Indian Rupee, the U.K. pound sterling and the Philippine Peso. The average exchange rate of the U.S. Dollar against the Indian Rupee decreased from 66.73 during the quarter ended September 30, 2016 to 64.45 during the quarter ended September 30, 2017, representing appreciation of 3.4%. The average exchange rate of the U.S. Dollar against the Philippine Peso increased from 47.40 during the quarter ended September 30, 2016 to 50.82 during the quarter ended September 30, 2017, representing a depreciation of 7.2%. The average exchange rate of the British Pound against the U.S. Dollar remained same at 1.31 during the quarter ended September 30, 2016 and quarter ended September 30, 2017. This information is provided because EXL believes that it provides useful comparative incremental information to investors regarding EXL’s operating performance.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reconciliation of these non-GAAP financial measures from GAAP measures for the three months ended September 30, 2017 and 2016 and the three months ended June 30,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spacing w:after="0"/>
              <w:rPr>
                <w:sz w:val="20"/>
                <w:szCs w:val="20"/>
                <w:color w:val="auto"/>
              </w:rPr>
            </w:pPr>
            <w:r>
              <w:rPr>
                <w:rFonts w:ascii="Arial" w:cs="Arial" w:eastAsia="Arial" w:hAnsi="Arial"/>
                <w:sz w:val="16"/>
                <w:szCs w:val="16"/>
                <w:b w:val="1"/>
                <w:bCs w:val="1"/>
                <w:color w:val="auto"/>
                <w:w w:val="97"/>
              </w:rPr>
              <w:t>Three months ended September 30,</w:t>
            </w:r>
          </w:p>
        </w:tc>
        <w:tc>
          <w:tcPr>
            <w:tcW w:w="19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3"/>
              </w:rPr>
              <w:t>Three months ended June</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81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66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21,077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16,050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20,378</w:t>
            </w:r>
          </w:p>
        </w:tc>
        <w:tc>
          <w:tcPr>
            <w:tcW w:w="0" w:type="dxa"/>
            <w:vAlign w:val="bottom"/>
          </w:tcPr>
          <w:p>
            <w:pPr>
              <w:spacing w:after="0"/>
              <w:rPr>
                <w:sz w:val="1"/>
                <w:szCs w:val="1"/>
                <w:color w:val="auto"/>
              </w:rPr>
            </w:pPr>
          </w:p>
        </w:tc>
      </w:tr>
      <w:tr>
        <w:trPr>
          <w:trHeight w:val="224"/>
        </w:trPr>
        <w:tc>
          <w:tcPr>
            <w:tcW w:w="6640" w:type="dxa"/>
            <w:vAlign w:val="bottom"/>
          </w:tcPr>
          <w:p>
            <w:pPr>
              <w:ind w:left="380"/>
              <w:spacing w:after="0"/>
              <w:rPr>
                <w:sz w:val="20"/>
                <w:szCs w:val="20"/>
                <w:color w:val="auto"/>
              </w:rPr>
            </w:pPr>
            <w:r>
              <w:rPr>
                <w:rFonts w:ascii="Arial" w:cs="Arial" w:eastAsia="Arial" w:hAnsi="Arial"/>
                <w:sz w:val="16"/>
                <w:szCs w:val="16"/>
                <w:color w:val="auto"/>
              </w:rPr>
              <w:t>add: Income tax expense</w:t>
            </w:r>
          </w:p>
        </w:tc>
        <w:tc>
          <w:tcPr>
            <w:tcW w:w="12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subtract: Interest expense, foreign exchange gain, net and 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(5,072)</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18,655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17,359</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16,129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 (a)</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5,107</w:t>
            </w:r>
          </w:p>
        </w:tc>
        <w:tc>
          <w:tcPr>
            <w:tcW w:w="0" w:type="dxa"/>
            <w:vAlign w:val="bottom"/>
          </w:tcPr>
          <w:p>
            <w:pPr>
              <w:spacing w:after="0"/>
              <w:rPr>
                <w:sz w:val="1"/>
                <w:szCs w:val="1"/>
                <w:color w:val="auto"/>
              </w:rPr>
            </w:pPr>
          </w:p>
        </w:tc>
      </w:tr>
      <w:tr>
        <w:trPr>
          <w:trHeight w:val="224"/>
        </w:trPr>
        <w:tc>
          <w:tcPr>
            <w:tcW w:w="664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 (b)</w:t>
            </w:r>
          </w:p>
        </w:tc>
        <w:tc>
          <w:tcPr>
            <w:tcW w:w="12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47"/>
        </w:trPr>
        <w:tc>
          <w:tcPr>
            <w:tcW w:w="66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27,850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24,691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24,743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14.4%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13.1%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6,130</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34,071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30,440</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30,873</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revenues (Non-GAAP)</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16.3%</w:t>
            </w:r>
          </w:p>
        </w:tc>
        <w:tc>
          <w:tcPr>
            <w:tcW w:w="0" w:type="dxa"/>
            <w:vAlign w:val="bottom"/>
          </w:tcPr>
          <w:p>
            <w:pPr>
              <w:spacing w:after="0"/>
              <w:rPr>
                <w:sz w:val="1"/>
                <w:szCs w:val="1"/>
                <w:color w:val="auto"/>
              </w:rPr>
            </w:pPr>
          </w:p>
        </w:tc>
      </w:tr>
      <w:tr>
        <w:trPr>
          <w:trHeight w:val="33"/>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To exclude stock-based compensation expense under ASC Topic 718.</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 To exclude amortization of acquisition-related intangibles.</w:t>
      </w:r>
    </w:p>
    <w:p>
      <w:pPr>
        <w:sectPr>
          <w:pgSz w:w="11900" w:h="16838" w:orient="portrait"/>
          <w:cols w:equalWidth="0" w:num="1">
            <w:col w:w="11420"/>
          </w:cols>
          <w:pgMar w:left="240" w:top="702"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16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Three Months Ended</w:t>
            </w:r>
          </w:p>
        </w:tc>
      </w:tr>
      <w:tr>
        <w:trPr>
          <w:trHeight w:val="210"/>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6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2017</w:t>
            </w:r>
          </w:p>
        </w:tc>
      </w:tr>
      <w:tr>
        <w:trPr>
          <w:trHeight w:val="47"/>
        </w:trPr>
        <w:tc>
          <w:tcPr>
            <w:tcW w:w="6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3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21,077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16,050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20,378</w:t>
            </w: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add: Stock-based compensation expense (a)</w:t>
            </w:r>
          </w:p>
        </w:tc>
        <w:tc>
          <w:tcPr>
            <w:tcW w:w="1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5,107</w:t>
            </w:r>
          </w:p>
        </w:tc>
      </w:tr>
      <w:tr>
        <w:trPr>
          <w:trHeight w:val="47"/>
        </w:trPr>
        <w:tc>
          <w:tcPr>
            <w:tcW w:w="6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Amortization of acquisition-related intangibles (b)</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3,507</w:t>
            </w: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subtract: Tax impact on stock-based compensation expense (c)</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(3,483)</w:t>
            </w:r>
          </w:p>
        </w:tc>
      </w:tr>
      <w:tr>
        <w:trPr>
          <w:trHeight w:val="47"/>
        </w:trPr>
        <w:tc>
          <w:tcPr>
            <w:tcW w:w="6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17"/>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23,766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21,104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24,560</w:t>
            </w:r>
          </w:p>
        </w:tc>
      </w:tr>
      <w:tr>
        <w:trPr>
          <w:trHeight w:val="73"/>
        </w:trPr>
        <w:tc>
          <w:tcPr>
            <w:tcW w:w="63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r>
        <w:trPr>
          <w:trHeight w:val="204"/>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0.70</w:t>
            </w:r>
          </w:p>
        </w:tc>
      </w:tr>
      <w:tr>
        <w:trPr>
          <w:trHeight w:val="33"/>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221" w:lineRule="exact"/>
        <w:rPr>
          <w:rFonts w:ascii="Arial" w:cs="Arial" w:eastAsia="Arial" w:hAnsi="Arial"/>
          <w:sz w:val="16"/>
          <w:szCs w:val="16"/>
          <w:color w:val="auto"/>
        </w:rPr>
      </w:pPr>
    </w:p>
    <w:p>
      <w:pPr>
        <w:ind w:firstLine="8"/>
        <w:spacing w:after="0" w:line="275"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impact include $3,488 and $1,624 during the three months ended September 30, 2017 and June 30, 2017 respectively, related to a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2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2019-12-29T04:09:48Z</dcterms:created>
  <dcterms:modified xsi:type="dcterms:W3CDTF">2019-12-29T04:09:48Z</dcterms:modified>
</cp:coreProperties>
</file>