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14248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92075</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3"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98" w:lineRule="exact"/>
        <w:rPr>
          <w:sz w:val="24"/>
          <w:szCs w:val="24"/>
          <w:color w:val="auto"/>
        </w:rPr>
      </w:pPr>
    </w:p>
    <w:p>
      <w:pPr>
        <w:ind w:left="300" w:hanging="284"/>
        <w:spacing w:after="0"/>
        <w:tabs>
          <w:tab w:leader="none" w:pos="30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QUARTERLY PERIOD ENDED JUNE 30, 2021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23" w:lineRule="exact"/>
        <w:rPr>
          <w:sz w:val="24"/>
          <w:szCs w:val="24"/>
          <w:color w:val="auto"/>
        </w:rPr>
      </w:pPr>
    </w:p>
    <w:p>
      <w:pPr>
        <w:ind w:left="300" w:hanging="284"/>
        <w:spacing w:after="0"/>
        <w:tabs>
          <w:tab w:leader="none" w:pos="3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83" w:lineRule="exact"/>
        <w:rPr>
          <w:sz w:val="24"/>
          <w:szCs w:val="24"/>
          <w:color w:val="auto"/>
        </w:rPr>
      </w:pPr>
    </w:p>
    <w:p>
      <w:pPr>
        <w:ind w:left="3320"/>
        <w:spacing w:after="0"/>
        <w:tabs>
          <w:tab w:leader="none" w:pos="690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3895725</wp:posOffset>
            </wp:positionH>
            <wp:positionV relativeFrom="paragraph">
              <wp:posOffset>-6350</wp:posOffset>
            </wp:positionV>
            <wp:extent cx="11334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3475" cy="762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001-33089</w:t>
      </w:r>
    </w:p>
    <w:p>
      <w:pPr>
        <w:spacing w:after="0" w:line="16" w:lineRule="exact"/>
        <w:rPr>
          <w:sz w:val="24"/>
          <w:szCs w:val="24"/>
          <w:color w:val="auto"/>
        </w:rPr>
      </w:pP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EXLSERVICE HOLDINGS,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ind w:left="32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15" w:lineRule="exact"/>
        <w:rPr>
          <w:sz w:val="24"/>
          <w:szCs w:val="24"/>
          <w:color w:val="auto"/>
        </w:rPr>
      </w:pPr>
    </w:p>
    <w:tbl>
      <w:tblPr>
        <w:tblLayout w:type="fixed"/>
        <w:tblInd w:w="330" w:type="dxa"/>
        <w:tblCellMar>
          <w:top w:w="0" w:type="dxa"/>
          <w:left w:w="0" w:type="dxa"/>
          <w:bottom w:w="0" w:type="dxa"/>
          <w:right w:w="0" w:type="dxa"/>
        </w:tblCellMar>
      </w:tblPr>
      <w:tr>
        <w:trPr>
          <w:trHeight w:val="191"/>
        </w:trPr>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60" w:type="dxa"/>
            <w:vAlign w:val="bottom"/>
            <w:gridSpan w:val="2"/>
          </w:tcPr>
          <w:p>
            <w:pPr>
              <w:jc w:val="center"/>
              <w:ind w:right="1020"/>
              <w:spacing w:after="0"/>
              <w:rPr>
                <w:sz w:val="20"/>
                <w:szCs w:val="20"/>
                <w:color w:val="auto"/>
              </w:rPr>
            </w:pPr>
            <w:r>
              <w:rPr>
                <w:rFonts w:ascii="Arial" w:cs="Arial" w:eastAsia="Arial" w:hAnsi="Arial"/>
                <w:sz w:val="15"/>
                <w:szCs w:val="15"/>
                <w:b w:val="1"/>
                <w:bCs w:val="1"/>
                <w:color w:val="auto"/>
                <w:w w:val="91"/>
              </w:rPr>
              <w:t>Delaware</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40" w:type="dxa"/>
            <w:vAlign w:val="bottom"/>
            <w:gridSpan w:val="2"/>
          </w:tcPr>
          <w:p>
            <w:pPr>
              <w:jc w:val="right"/>
              <w:ind w:right="1969"/>
              <w:spacing w:after="0"/>
              <w:rPr>
                <w:sz w:val="20"/>
                <w:szCs w:val="20"/>
                <w:color w:val="auto"/>
              </w:rPr>
            </w:pPr>
            <w:r>
              <w:rPr>
                <w:rFonts w:ascii="Arial" w:cs="Arial" w:eastAsia="Arial" w:hAnsi="Arial"/>
                <w:sz w:val="15"/>
                <w:szCs w:val="15"/>
                <w:b w:val="1"/>
                <w:bCs w:val="1"/>
                <w:color w:val="auto"/>
              </w:rPr>
              <w:t>82-0572194</w:t>
            </w:r>
          </w:p>
        </w:tc>
        <w:tc>
          <w:tcPr>
            <w:tcW w:w="660" w:type="dxa"/>
            <w:vAlign w:val="bottom"/>
          </w:tcPr>
          <w:p>
            <w:pPr>
              <w:spacing w:after="0"/>
              <w:rPr>
                <w:sz w:val="16"/>
                <w:szCs w:val="16"/>
                <w:color w:val="auto"/>
              </w:rPr>
            </w:pPr>
          </w:p>
        </w:tc>
      </w:tr>
      <w:tr>
        <w:trPr>
          <w:trHeight w:val="132"/>
        </w:trPr>
        <w:tc>
          <w:tcPr>
            <w:tcW w:w="1380" w:type="dxa"/>
            <w:vAlign w:val="bottom"/>
          </w:tcPr>
          <w:p>
            <w:pPr>
              <w:spacing w:after="0"/>
              <w:rPr>
                <w:sz w:val="11"/>
                <w:szCs w:val="11"/>
                <w:color w:val="auto"/>
              </w:rPr>
            </w:pPr>
          </w:p>
        </w:tc>
        <w:tc>
          <w:tcPr>
            <w:tcW w:w="2960" w:type="dxa"/>
            <w:vAlign w:val="bottom"/>
            <w:gridSpan w:val="3"/>
          </w:tcPr>
          <w:p>
            <w:pPr>
              <w:jc w:val="center"/>
              <w:ind w:left="31"/>
              <w:spacing w:after="0" w:line="133" w:lineRule="exact"/>
              <w:rPr>
                <w:sz w:val="20"/>
                <w:szCs w:val="20"/>
                <w:color w:val="auto"/>
              </w:rPr>
            </w:pPr>
            <w:r>
              <w:rPr>
                <w:rFonts w:ascii="Arial" w:cs="Arial" w:eastAsia="Arial" w:hAnsi="Arial"/>
                <w:sz w:val="13"/>
                <w:szCs w:val="13"/>
                <w:b w:val="1"/>
                <w:bCs w:val="1"/>
                <w:color w:val="auto"/>
                <w:w w:val="93"/>
              </w:rPr>
              <w:t>(State or other jurisdiction of</w:t>
            </w: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700" w:type="dxa"/>
            <w:vAlign w:val="bottom"/>
            <w:gridSpan w:val="3"/>
          </w:tcPr>
          <w:p>
            <w:pPr>
              <w:jc w:val="center"/>
              <w:ind w:right="2420"/>
              <w:spacing w:after="0" w:line="133" w:lineRule="exact"/>
              <w:rPr>
                <w:sz w:val="20"/>
                <w:szCs w:val="20"/>
                <w:color w:val="auto"/>
              </w:rPr>
            </w:pPr>
            <w:r>
              <w:rPr>
                <w:rFonts w:ascii="Arial" w:cs="Arial" w:eastAsia="Arial" w:hAnsi="Arial"/>
                <w:sz w:val="13"/>
                <w:szCs w:val="13"/>
                <w:b w:val="1"/>
                <w:bCs w:val="1"/>
                <w:color w:val="auto"/>
                <w:w w:val="96"/>
              </w:rPr>
              <w:t>(I.R.S. Employer</w:t>
            </w:r>
          </w:p>
        </w:tc>
      </w:tr>
      <w:tr>
        <w:trPr>
          <w:trHeight w:val="172"/>
        </w:trPr>
        <w:tc>
          <w:tcPr>
            <w:tcW w:w="1380" w:type="dxa"/>
            <w:vAlign w:val="bottom"/>
          </w:tcPr>
          <w:p>
            <w:pPr>
              <w:spacing w:after="0"/>
              <w:rPr>
                <w:sz w:val="14"/>
                <w:szCs w:val="14"/>
                <w:color w:val="auto"/>
              </w:rPr>
            </w:pPr>
          </w:p>
        </w:tc>
        <w:tc>
          <w:tcPr>
            <w:tcW w:w="2960" w:type="dxa"/>
            <w:vAlign w:val="bottom"/>
            <w:gridSpan w:val="3"/>
          </w:tcPr>
          <w:p>
            <w:pPr>
              <w:jc w:val="center"/>
              <w:ind w:left="31"/>
              <w:spacing w:after="0"/>
              <w:rPr>
                <w:sz w:val="20"/>
                <w:szCs w:val="20"/>
                <w:color w:val="auto"/>
              </w:rPr>
            </w:pPr>
            <w:r>
              <w:rPr>
                <w:rFonts w:ascii="Arial" w:cs="Arial" w:eastAsia="Arial" w:hAnsi="Arial"/>
                <w:sz w:val="13"/>
                <w:szCs w:val="13"/>
                <w:b w:val="1"/>
                <w:bCs w:val="1"/>
                <w:color w:val="auto"/>
                <w:w w:val="93"/>
              </w:rPr>
              <w:t>incorporation or organization)</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3"/>
          </w:tcPr>
          <w:p>
            <w:pPr>
              <w:jc w:val="center"/>
              <w:ind w:right="2420"/>
              <w:spacing w:after="0"/>
              <w:rPr>
                <w:sz w:val="20"/>
                <w:szCs w:val="20"/>
                <w:color w:val="auto"/>
              </w:rPr>
            </w:pPr>
            <w:r>
              <w:rPr>
                <w:rFonts w:ascii="Arial" w:cs="Arial" w:eastAsia="Arial" w:hAnsi="Arial"/>
                <w:sz w:val="13"/>
                <w:szCs w:val="13"/>
                <w:b w:val="1"/>
                <w:bCs w:val="1"/>
                <w:color w:val="auto"/>
                <w:w w:val="94"/>
              </w:rPr>
              <w:t>Identification No.)</w:t>
            </w:r>
          </w:p>
        </w:tc>
      </w:tr>
      <w:tr>
        <w:trPr>
          <w:trHeight w:val="246"/>
        </w:trPr>
        <w:tc>
          <w:tcPr>
            <w:tcW w:w="1380" w:type="dxa"/>
            <w:vAlign w:val="bottom"/>
          </w:tcPr>
          <w:p>
            <w:pPr>
              <w:spacing w:after="0"/>
              <w:rPr>
                <w:sz w:val="21"/>
                <w:szCs w:val="21"/>
                <w:color w:val="auto"/>
              </w:rPr>
            </w:pPr>
          </w:p>
        </w:tc>
        <w:tc>
          <w:tcPr>
            <w:tcW w:w="2960" w:type="dxa"/>
            <w:vAlign w:val="bottom"/>
            <w:gridSpan w:val="3"/>
          </w:tcPr>
          <w:p>
            <w:pPr>
              <w:ind w:left="620"/>
              <w:spacing w:after="0"/>
              <w:rPr>
                <w:sz w:val="20"/>
                <w:szCs w:val="20"/>
                <w:color w:val="auto"/>
              </w:rPr>
            </w:pPr>
            <w:r>
              <w:rPr>
                <w:rFonts w:ascii="Arial" w:cs="Arial" w:eastAsia="Arial" w:hAnsi="Arial"/>
                <w:sz w:val="15"/>
                <w:szCs w:val="15"/>
                <w:b w:val="1"/>
                <w:bCs w:val="1"/>
                <w:color w:val="auto"/>
              </w:rPr>
              <w:t>320 Park Avenue, 29th Floor,</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198"/>
        </w:trPr>
        <w:tc>
          <w:tcPr>
            <w:tcW w:w="1380" w:type="dxa"/>
            <w:vAlign w:val="bottom"/>
          </w:tcPr>
          <w:p>
            <w:pPr>
              <w:spacing w:after="0"/>
              <w:rPr>
                <w:sz w:val="17"/>
                <w:szCs w:val="17"/>
                <w:color w:val="auto"/>
              </w:rPr>
            </w:pPr>
          </w:p>
        </w:tc>
        <w:tc>
          <w:tcPr>
            <w:tcW w:w="2960" w:type="dxa"/>
            <w:vAlign w:val="bottom"/>
            <w:gridSpan w:val="3"/>
          </w:tcPr>
          <w:p>
            <w:pPr>
              <w:ind w:left="1080"/>
              <w:spacing w:after="0"/>
              <w:rPr>
                <w:sz w:val="20"/>
                <w:szCs w:val="20"/>
                <w:color w:val="auto"/>
              </w:rPr>
            </w:pPr>
            <w:r>
              <w:rPr>
                <w:rFonts w:ascii="Arial" w:cs="Arial" w:eastAsia="Arial" w:hAnsi="Arial"/>
                <w:sz w:val="15"/>
                <w:szCs w:val="15"/>
                <w:b w:val="1"/>
                <w:bCs w:val="1"/>
                <w:color w:val="auto"/>
              </w:rPr>
              <w:t>New York, New York</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2"/>
          </w:tcPr>
          <w:p>
            <w:pPr>
              <w:jc w:val="right"/>
              <w:ind w:right="2149"/>
              <w:spacing w:after="0"/>
              <w:rPr>
                <w:sz w:val="20"/>
                <w:szCs w:val="20"/>
                <w:color w:val="auto"/>
              </w:rPr>
            </w:pPr>
            <w:r>
              <w:rPr>
                <w:rFonts w:ascii="Arial" w:cs="Arial" w:eastAsia="Arial" w:hAnsi="Arial"/>
                <w:sz w:val="15"/>
                <w:szCs w:val="15"/>
                <w:b w:val="1"/>
                <w:bCs w:val="1"/>
                <w:color w:val="auto"/>
              </w:rPr>
              <w:t>10022</w:t>
            </w:r>
          </w:p>
        </w:tc>
        <w:tc>
          <w:tcPr>
            <w:tcW w:w="660" w:type="dxa"/>
            <w:vAlign w:val="bottom"/>
          </w:tcPr>
          <w:p>
            <w:pPr>
              <w:spacing w:after="0"/>
              <w:rPr>
                <w:sz w:val="17"/>
                <w:szCs w:val="17"/>
                <w:color w:val="auto"/>
              </w:rPr>
            </w:pPr>
          </w:p>
        </w:tc>
      </w:tr>
      <w:tr>
        <w:trPr>
          <w:trHeight w:val="172"/>
        </w:trPr>
        <w:tc>
          <w:tcPr>
            <w:tcW w:w="1380" w:type="dxa"/>
            <w:vAlign w:val="bottom"/>
          </w:tcPr>
          <w:p>
            <w:pPr>
              <w:spacing w:after="0"/>
              <w:rPr>
                <w:sz w:val="14"/>
                <w:szCs w:val="14"/>
                <w:color w:val="auto"/>
              </w:rPr>
            </w:pPr>
          </w:p>
        </w:tc>
        <w:tc>
          <w:tcPr>
            <w:tcW w:w="2960" w:type="dxa"/>
            <w:vAlign w:val="bottom"/>
            <w:gridSpan w:val="3"/>
          </w:tcPr>
          <w:p>
            <w:pPr>
              <w:jc w:val="center"/>
              <w:ind w:left="11"/>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3"/>
          </w:tcPr>
          <w:p>
            <w:pPr>
              <w:jc w:val="center"/>
              <w:ind w:right="2400"/>
              <w:spacing w:after="0"/>
              <w:rPr>
                <w:sz w:val="20"/>
                <w:szCs w:val="20"/>
                <w:color w:val="auto"/>
              </w:rPr>
            </w:pPr>
            <w:r>
              <w:rPr>
                <w:rFonts w:ascii="Arial" w:cs="Arial" w:eastAsia="Arial" w:hAnsi="Arial"/>
                <w:sz w:val="13"/>
                <w:szCs w:val="13"/>
                <w:b w:val="1"/>
                <w:bCs w:val="1"/>
                <w:color w:val="auto"/>
                <w:w w:val="93"/>
              </w:rPr>
              <w:t>(Zip code)</w:t>
            </w:r>
          </w:p>
        </w:tc>
      </w:tr>
      <w:tr>
        <w:trPr>
          <w:trHeight w:val="278"/>
        </w:trPr>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gridSpan w:val="2"/>
          </w:tcPr>
          <w:p>
            <w:pPr>
              <w:jc w:val="center"/>
              <w:ind w:left="385"/>
              <w:spacing w:after="0"/>
              <w:rPr>
                <w:sz w:val="20"/>
                <w:szCs w:val="20"/>
                <w:color w:val="auto"/>
              </w:rPr>
            </w:pPr>
            <w:r>
              <w:rPr>
                <w:rFonts w:ascii="Arial" w:cs="Arial" w:eastAsia="Arial" w:hAnsi="Arial"/>
                <w:sz w:val="15"/>
                <w:szCs w:val="15"/>
                <w:b w:val="1"/>
                <w:bCs w:val="1"/>
                <w:color w:val="auto"/>
                <w:w w:val="91"/>
              </w:rPr>
              <w:t>(212) 277-7100</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40" w:type="dxa"/>
            <w:vAlign w:val="bottom"/>
            <w:gridSpan w:val="6"/>
          </w:tcPr>
          <w:p>
            <w:pPr>
              <w:jc w:val="center"/>
              <w:ind w:left="1128"/>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72"/>
        </w:trPr>
        <w:tc>
          <w:tcPr>
            <w:tcW w:w="13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3"/>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3"/>
          </w:tcPr>
          <w:p>
            <w:pPr>
              <w:spacing w:after="0"/>
              <w:rPr>
                <w:sz w:val="6"/>
                <w:szCs w:val="6"/>
                <w:color w:val="auto"/>
              </w:rPr>
            </w:pPr>
          </w:p>
        </w:tc>
        <w:tc>
          <w:tcPr>
            <w:tcW w:w="26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r>
      <w:tr>
        <w:trPr>
          <w:trHeight w:val="189"/>
        </w:trPr>
        <w:tc>
          <w:tcPr>
            <w:tcW w:w="1380" w:type="dxa"/>
            <w:vAlign w:val="bottom"/>
            <w:tcBorders>
              <w:left w:val="single" w:sz="8" w:color="auto"/>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140" w:type="dxa"/>
            <w:vAlign w:val="bottom"/>
            <w:tcBorders>
              <w:bottom w:val="single" w:sz="8" w:color="auto"/>
              <w:right w:val="single" w:sz="8" w:color="auto"/>
            </w:tcBorders>
            <w:gridSpan w:val="9"/>
          </w:tcPr>
          <w:p>
            <w:pPr>
              <w:jc w:val="center"/>
              <w:ind w:right="2480"/>
              <w:spacing w:after="0"/>
              <w:rPr>
                <w:sz w:val="20"/>
                <w:szCs w:val="20"/>
                <w:color w:val="auto"/>
              </w:rPr>
            </w:pPr>
            <w:r>
              <w:rPr>
                <w:rFonts w:ascii="Arial" w:cs="Arial" w:eastAsia="Arial" w:hAnsi="Arial"/>
                <w:sz w:val="15"/>
                <w:szCs w:val="15"/>
                <w:b w:val="1"/>
                <w:bCs w:val="1"/>
                <w:color w:val="auto"/>
                <w:w w:val="88"/>
              </w:rPr>
              <w:t>Securities registered pursuant to Section 12(b) of the Act:</w:t>
            </w:r>
          </w:p>
        </w:tc>
      </w:tr>
      <w:tr>
        <w:trPr>
          <w:trHeight w:val="158"/>
        </w:trPr>
        <w:tc>
          <w:tcPr>
            <w:tcW w:w="1380" w:type="dxa"/>
            <w:vAlign w:val="bottom"/>
            <w:tcBorders>
              <w:left w:val="single" w:sz="8" w:color="auto"/>
            </w:tcBorders>
          </w:tcPr>
          <w:p>
            <w:pPr>
              <w:spacing w:after="0"/>
              <w:rPr>
                <w:sz w:val="13"/>
                <w:szCs w:val="13"/>
                <w:color w:val="auto"/>
              </w:rPr>
            </w:pPr>
          </w:p>
        </w:tc>
        <w:tc>
          <w:tcPr>
            <w:tcW w:w="2480" w:type="dxa"/>
            <w:vAlign w:val="bottom"/>
            <w:tcBorders>
              <w:right w:val="single" w:sz="8" w:color="auto"/>
            </w:tcBorders>
            <w:gridSpan w:val="2"/>
          </w:tcPr>
          <w:p>
            <w:pPr>
              <w:jc w:val="center"/>
              <w:ind w:right="1308"/>
              <w:spacing w:after="0"/>
              <w:rPr>
                <w:sz w:val="20"/>
                <w:szCs w:val="20"/>
                <w:color w:val="auto"/>
              </w:rPr>
            </w:pPr>
            <w:r>
              <w:rPr>
                <w:rFonts w:ascii="Arial" w:cs="Arial" w:eastAsia="Arial" w:hAnsi="Arial"/>
                <w:sz w:val="13"/>
                <w:szCs w:val="13"/>
                <w:b w:val="1"/>
                <w:bCs w:val="1"/>
                <w:color w:val="auto"/>
                <w:w w:val="91"/>
              </w:rPr>
              <w:t>Title of Each Class:</w:t>
            </w:r>
          </w:p>
        </w:tc>
        <w:tc>
          <w:tcPr>
            <w:tcW w:w="480" w:type="dxa"/>
            <w:vAlign w:val="bottom"/>
          </w:tcPr>
          <w:p>
            <w:pPr>
              <w:spacing w:after="0"/>
              <w:rPr>
                <w:sz w:val="13"/>
                <w:szCs w:val="13"/>
                <w:color w:val="auto"/>
              </w:rPr>
            </w:pPr>
          </w:p>
        </w:tc>
        <w:tc>
          <w:tcPr>
            <w:tcW w:w="2320" w:type="dxa"/>
            <w:vAlign w:val="bottom"/>
            <w:tcBorders>
              <w:right w:val="single" w:sz="8" w:color="auto"/>
            </w:tcBorders>
            <w:gridSpan w:val="3"/>
          </w:tcPr>
          <w:p>
            <w:pPr>
              <w:jc w:val="center"/>
              <w:ind w:right="520"/>
              <w:spacing w:after="0" w:line="158" w:lineRule="exact"/>
              <w:rPr>
                <w:sz w:val="20"/>
                <w:szCs w:val="20"/>
                <w:color w:val="auto"/>
              </w:rPr>
            </w:pPr>
            <w:r>
              <w:rPr>
                <w:rFonts w:ascii="Arial" w:cs="Arial" w:eastAsia="Arial" w:hAnsi="Arial"/>
                <w:sz w:val="15"/>
                <w:szCs w:val="15"/>
                <w:b w:val="1"/>
                <w:bCs w:val="1"/>
                <w:color w:val="auto"/>
                <w:w w:val="89"/>
              </w:rPr>
              <w:t>Trading symbol(s)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320" w:type="dxa"/>
            <w:vAlign w:val="bottom"/>
            <w:tcBorders>
              <w:right w:val="single" w:sz="8" w:color="auto"/>
            </w:tcBorders>
            <w:gridSpan w:val="2"/>
          </w:tcPr>
          <w:p>
            <w:pPr>
              <w:jc w:val="center"/>
              <w:ind w:right="660"/>
              <w:spacing w:after="0"/>
              <w:rPr>
                <w:sz w:val="20"/>
                <w:szCs w:val="20"/>
                <w:color w:val="auto"/>
              </w:rPr>
            </w:pPr>
            <w:r>
              <w:rPr>
                <w:rFonts w:ascii="Arial" w:cs="Arial" w:eastAsia="Arial" w:hAnsi="Arial"/>
                <w:sz w:val="13"/>
                <w:szCs w:val="13"/>
                <w:b w:val="1"/>
                <w:bCs w:val="1"/>
                <w:color w:val="auto"/>
                <w:w w:val="92"/>
              </w:rPr>
              <w:t>Name of Each Exchange on Which Registered:</w:t>
            </w:r>
          </w:p>
        </w:tc>
      </w:tr>
      <w:tr>
        <w:trPr>
          <w:trHeight w:val="20"/>
        </w:trPr>
        <w:tc>
          <w:tcPr>
            <w:tcW w:w="1380" w:type="dxa"/>
            <w:vAlign w:val="bottom"/>
            <w:tcBorders>
              <w:left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right w:val="single" w:sz="8" w:color="auto"/>
            </w:tcBorders>
          </w:tcPr>
          <w:p>
            <w:pPr>
              <w:spacing w:after="0" w:line="20" w:lineRule="exact"/>
              <w:rPr>
                <w:sz w:val="1"/>
                <w:szCs w:val="1"/>
                <w:color w:val="auto"/>
              </w:rPr>
            </w:pPr>
          </w:p>
        </w:tc>
      </w:tr>
      <w:tr>
        <w:trPr>
          <w:trHeight w:val="186"/>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5"/>
                <w:szCs w:val="15"/>
                <w:color w:val="auto"/>
                <w:w w:val="89"/>
              </w:rPr>
              <w:t>Common Stock, par value $0.001 per share</w:t>
            </w:r>
          </w:p>
        </w:tc>
        <w:tc>
          <w:tcPr>
            <w:tcW w:w="4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3"/>
                <w:szCs w:val="13"/>
                <w:color w:val="auto"/>
                <w:w w:val="96"/>
              </w:rPr>
              <w:t>EXLS</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320" w:type="dxa"/>
            <w:vAlign w:val="bottom"/>
            <w:tcBorders>
              <w:bottom w:val="single" w:sz="8" w:color="auto"/>
              <w:right w:val="single" w:sz="8" w:color="auto"/>
            </w:tcBorders>
            <w:gridSpan w:val="2"/>
          </w:tcPr>
          <w:p>
            <w:pPr>
              <w:jc w:val="center"/>
              <w:ind w:right="660"/>
              <w:spacing w:after="0"/>
              <w:rPr>
                <w:sz w:val="20"/>
                <w:szCs w:val="20"/>
                <w:color w:val="auto"/>
              </w:rPr>
            </w:pPr>
            <w:r>
              <w:rPr>
                <w:rFonts w:ascii="Arial" w:cs="Arial" w:eastAsia="Arial" w:hAnsi="Arial"/>
                <w:sz w:val="15"/>
                <w:szCs w:val="15"/>
                <w:color w:val="auto"/>
                <w:w w:val="97"/>
              </w:rPr>
              <w:t>NASDAQ</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None</w:t>
      </w:r>
    </w:p>
    <w:p>
      <w:pPr>
        <w:spacing w:after="0"/>
        <w:rPr>
          <w:sz w:val="20"/>
          <w:szCs w:val="20"/>
          <w:color w:val="auto"/>
        </w:rPr>
      </w:pPr>
      <w:r>
        <w:rPr>
          <w:rFonts w:ascii="Arial" w:cs="Arial" w:eastAsia="Arial" w:hAnsi="Arial"/>
          <w:sz w:val="17"/>
          <w:szCs w:val="17"/>
          <w:b w:val="1"/>
          <w:bCs w:val="1"/>
          <w:color w:val="auto"/>
        </w:rPr>
        <w:t>________________________________________________________</w:t>
      </w:r>
    </w:p>
    <w:p>
      <w:pPr>
        <w:spacing w:after="0" w:line="194" w:lineRule="exact"/>
        <w:rPr>
          <w:sz w:val="24"/>
          <w:szCs w:val="24"/>
          <w:color w:val="auto"/>
        </w:rPr>
      </w:pPr>
    </w:p>
    <w:p>
      <w:pPr>
        <w:ind w:firstLine="299"/>
        <w:spacing w:after="0" w:line="24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4780" w:val="left"/>
        </w:tabs>
        <w:rPr>
          <w:sz w:val="20"/>
          <w:szCs w:val="20"/>
          <w:color w:val="auto"/>
        </w:rPr>
      </w:pPr>
      <w:r>
        <w:rPr>
          <w:rFonts w:ascii="Arial" w:cs="Arial" w:eastAsia="Arial" w:hAnsi="Arial"/>
          <w:sz w:val="15"/>
          <w:szCs w:val="15"/>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5"/>
          <w:szCs w:val="15"/>
          <w:color w:val="auto"/>
        </w:rPr>
        <w:tab/>
        <w:t xml:space="preserve">No </w:t>
      </w:r>
      <w:r>
        <w:rPr>
          <w:rFonts w:ascii="MS PGothic" w:cs="MS PGothic" w:eastAsia="MS PGothic" w:hAnsi="MS PGothic"/>
          <w:sz w:val="18"/>
          <w:szCs w:val="18"/>
          <w:color w:val="auto"/>
        </w:rPr>
        <w:t>☐</w:t>
      </w:r>
    </w:p>
    <w:p>
      <w:pPr>
        <w:spacing w:after="0" w:line="229" w:lineRule="exact"/>
        <w:rPr>
          <w:sz w:val="24"/>
          <w:szCs w:val="24"/>
          <w:color w:val="auto"/>
        </w:rPr>
      </w:pPr>
    </w:p>
    <w:p>
      <w:pPr>
        <w:ind w:firstLine="299"/>
        <w:spacing w:after="0" w:line="24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w:t>
      </w:r>
    </w:p>
    <w:p>
      <w:pPr>
        <w:spacing w:after="0" w:line="1" w:lineRule="exact"/>
        <w:rPr>
          <w:sz w:val="24"/>
          <w:szCs w:val="24"/>
          <w:color w:val="auto"/>
        </w:rPr>
      </w:pPr>
    </w:p>
    <w:p>
      <w:pPr>
        <w:spacing w:after="0" w:line="207" w:lineRule="exact"/>
        <w:tabs>
          <w:tab w:leader="none" w:pos="6460" w:val="left"/>
        </w:tabs>
        <w:rPr>
          <w:sz w:val="20"/>
          <w:szCs w:val="20"/>
          <w:color w:val="auto"/>
        </w:rPr>
      </w:pPr>
      <w:r>
        <w:rPr>
          <w:rFonts w:ascii="Arial" w:cs="Arial" w:eastAsia="Arial" w:hAnsi="Arial"/>
          <w:sz w:val="14"/>
          <w:szCs w:val="14"/>
          <w:color w:val="auto"/>
        </w:rPr>
        <w:t xml:space="preserve">months (or for such shorter period that the registrant was required to submit and post such files).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8"/>
          <w:szCs w:val="18"/>
          <w:color w:val="auto"/>
        </w:rPr>
        <w:t>☐</w:t>
      </w:r>
    </w:p>
    <w:p>
      <w:pPr>
        <w:spacing w:after="0" w:line="229"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 (Check one):</w:t>
      </w:r>
    </w:p>
    <w:p>
      <w:pPr>
        <w:spacing w:after="0" w:line="16"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21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04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460"/>
              <w:spacing w:after="0"/>
              <w:rPr>
                <w:sz w:val="20"/>
                <w:szCs w:val="20"/>
                <w:color w:val="auto"/>
              </w:rPr>
            </w:pPr>
            <w:r>
              <w:rPr>
                <w:rFonts w:ascii="Arial" w:cs="Arial" w:eastAsia="Arial" w:hAnsi="Arial"/>
                <w:sz w:val="15"/>
                <w:szCs w:val="15"/>
                <w:color w:val="auto"/>
              </w:rPr>
              <w:t>Accelerated filer</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5"/>
        </w:trPr>
        <w:tc>
          <w:tcPr>
            <w:tcW w:w="2100" w:type="dxa"/>
            <w:vAlign w:val="bottom"/>
          </w:tcPr>
          <w:p>
            <w:pPr>
              <w:spacing w:after="0"/>
              <w:rPr>
                <w:sz w:val="20"/>
                <w:szCs w:val="20"/>
                <w:color w:val="auto"/>
              </w:rPr>
            </w:pPr>
            <w:r>
              <w:rPr>
                <w:rFonts w:ascii="Arial" w:cs="Arial" w:eastAsia="Arial" w:hAnsi="Arial"/>
                <w:sz w:val="15"/>
                <w:szCs w:val="15"/>
                <w:color w:val="auto"/>
              </w:rPr>
              <w:t>Non-accelerated filer</w:t>
            </w:r>
          </w:p>
        </w:tc>
        <w:tc>
          <w:tcPr>
            <w:tcW w:w="304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ind w:left="2460"/>
              <w:spacing w:after="0"/>
              <w:rPr>
                <w:sz w:val="20"/>
                <w:szCs w:val="20"/>
                <w:color w:val="auto"/>
              </w:rPr>
            </w:pPr>
            <w:r>
              <w:rPr>
                <w:rFonts w:ascii="Arial" w:cs="Arial" w:eastAsia="Arial" w:hAnsi="Arial"/>
                <w:sz w:val="15"/>
                <w:szCs w:val="15"/>
                <w:color w:val="auto"/>
              </w:rPr>
              <w:t>Smaller reporting company</w:t>
            </w:r>
          </w:p>
        </w:tc>
        <w:tc>
          <w:tcPr>
            <w:tcW w:w="700" w:type="dxa"/>
            <w:vAlign w:val="bottom"/>
          </w:tcPr>
          <w:p>
            <w:pPr>
              <w:ind w:left="5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9"/>
        </w:trPr>
        <w:tc>
          <w:tcPr>
            <w:tcW w:w="21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040" w:type="dxa"/>
            <w:vAlign w:val="bottom"/>
          </w:tcPr>
          <w:p>
            <w:pPr>
              <w:ind w:left="460"/>
              <w:spacing w:after="0" w:line="151" w:lineRule="exact"/>
              <w:rPr>
                <w:sz w:val="20"/>
                <w:szCs w:val="20"/>
                <w:color w:val="auto"/>
              </w:rPr>
            </w:pPr>
            <w:r>
              <w:rPr>
                <w:rFonts w:ascii="MS PGothic" w:cs="MS PGothic" w:eastAsia="MS PGothic" w:hAnsi="MS PGothic"/>
                <w:sz w:val="15"/>
                <w:szCs w:val="15"/>
                <w:color w:val="auto"/>
              </w:rPr>
              <w:t>☐</w:t>
            </w:r>
          </w:p>
        </w:tc>
        <w:tc>
          <w:tcPr>
            <w:tcW w:w="46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69" w:lineRule="exact"/>
        <w:rPr>
          <w:sz w:val="24"/>
          <w:szCs w:val="24"/>
          <w:color w:val="auto"/>
        </w:rPr>
      </w:pPr>
    </w:p>
    <w:p>
      <w:pPr>
        <w:ind w:firstLine="299"/>
        <w:spacing w:after="0" w:line="19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7" w:lineRule="exact"/>
        <w:rPr>
          <w:sz w:val="24"/>
          <w:szCs w:val="24"/>
          <w:color w:val="auto"/>
        </w:rPr>
      </w:pPr>
    </w:p>
    <w:p>
      <w:pPr>
        <w:spacing w:after="0" w:line="173" w:lineRule="exact"/>
        <w:tabs>
          <w:tab w:leader="none" w:pos="73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304" w:lineRule="exact"/>
        <w:rPr>
          <w:sz w:val="24"/>
          <w:szCs w:val="24"/>
          <w:color w:val="auto"/>
        </w:rPr>
      </w:pPr>
    </w:p>
    <w:p>
      <w:pPr>
        <w:ind w:left="300"/>
        <w:spacing w:after="0"/>
        <w:rPr>
          <w:sz w:val="20"/>
          <w:szCs w:val="20"/>
          <w:color w:val="auto"/>
        </w:rPr>
      </w:pPr>
      <w:r>
        <w:rPr>
          <w:rFonts w:ascii="Arial" w:cs="Arial" w:eastAsia="Arial" w:hAnsi="Arial"/>
          <w:sz w:val="15"/>
          <w:szCs w:val="15"/>
          <w:color w:val="auto"/>
        </w:rPr>
        <w:t>As of July 27, 2021, there were 33,174,613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109220</wp:posOffset>
            </wp:positionV>
            <wp:extent cx="71424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77470</wp:posOffset>
            </wp:positionV>
            <wp:extent cx="71424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 w:name="page2"/>
    <w:bookmarkEnd w:id="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7"/>
                <w:szCs w:val="17"/>
                <w:color w:val="auto"/>
              </w:rPr>
              <w:t>ITEM</w:t>
            </w:r>
          </w:p>
        </w:tc>
        <w:tc>
          <w:tcPr>
            <w:tcW w:w="9040" w:type="dxa"/>
            <w:vAlign w:val="bottom"/>
            <w:gridSpan w:val="20"/>
            <w:vMerge w:val="restart"/>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Part I. Financial Information</w:t>
              </w:r>
            </w:hyperlink>
          </w:p>
        </w:tc>
        <w:tc>
          <w:tcPr>
            <w:tcW w:w="640" w:type="dxa"/>
            <w:vAlign w:val="bottom"/>
            <w:vMerge w:val="restart"/>
          </w:tcPr>
          <w:p>
            <w:pPr>
              <w:ind w:left="20"/>
              <w:spacing w:after="0"/>
              <w:rPr>
                <w:rFonts w:ascii="Arial" w:cs="Arial" w:eastAsia="Arial" w:hAnsi="Arial"/>
                <w:sz w:val="17"/>
                <w:szCs w:val="17"/>
                <w:color w:val="0000FF"/>
              </w:rPr>
            </w:pPr>
            <w:hyperlink w:anchor="page2">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40" w:type="dxa"/>
            <w:vAlign w:val="bottom"/>
            <w:gridSpan w:val="20"/>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40" w:type="dxa"/>
            <w:vAlign w:val="bottom"/>
          </w:tcPr>
          <w:p>
            <w:pPr>
              <w:spacing w:after="0"/>
              <w:rPr>
                <w:sz w:val="21"/>
                <w:szCs w:val="21"/>
                <w:color w:val="auto"/>
              </w:rPr>
            </w:pPr>
          </w:p>
        </w:tc>
        <w:tc>
          <w:tcPr>
            <w:tcW w:w="3120" w:type="dxa"/>
            <w:vAlign w:val="bottom"/>
            <w:tcBorders>
              <w:bottom w:val="single" w:sz="8" w:color="0000FF"/>
            </w:tcBorders>
            <w:gridSpan w:val="12"/>
          </w:tcPr>
          <w:p>
            <w:pPr>
              <w:spacing w:after="0"/>
              <w:rPr>
                <w:rFonts w:ascii="Arial" w:cs="Arial" w:eastAsia="Arial" w:hAnsi="Arial"/>
                <w:sz w:val="17"/>
                <w:szCs w:val="17"/>
                <w:color w:val="0000FF"/>
                <w:w w:val="95"/>
              </w:rPr>
            </w:pPr>
            <w:hyperlink w:anchor="page3">
              <w:r>
                <w:rPr>
                  <w:rFonts w:ascii="Arial" w:cs="Arial" w:eastAsia="Arial" w:hAnsi="Arial"/>
                  <w:sz w:val="17"/>
                  <w:szCs w:val="17"/>
                  <w:color w:val="0000FF"/>
                  <w:w w:val="95"/>
                </w:rPr>
                <w:t>FINANCIAL STATEMENTS (UNAUDITED)</w:t>
              </w:r>
            </w:hyperlink>
          </w:p>
        </w:tc>
        <w:tc>
          <w:tcPr>
            <w:tcW w:w="5920" w:type="dxa"/>
            <w:vAlign w:val="bottom"/>
            <w:gridSpan w:val="8"/>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Borders>
              <w:bottom w:val="single" w:sz="8" w:color="0000FF"/>
            </w:tcBorders>
            <w:gridSpan w:val="14"/>
          </w:tcPr>
          <w:p>
            <w:pPr>
              <w:spacing w:after="0" w:line="192" w:lineRule="exact"/>
              <w:rPr>
                <w:rFonts w:ascii="Arial" w:cs="Arial" w:eastAsia="Arial" w:hAnsi="Arial"/>
                <w:sz w:val="17"/>
                <w:szCs w:val="17"/>
                <w:color w:val="0000FF"/>
                <w:w w:val="86"/>
              </w:rPr>
            </w:pPr>
            <w:hyperlink w:anchor="page3">
              <w:r>
                <w:rPr>
                  <w:rFonts w:ascii="Arial" w:cs="Arial" w:eastAsia="Arial" w:hAnsi="Arial"/>
                  <w:sz w:val="17"/>
                  <w:szCs w:val="17"/>
                  <w:color w:val="0000FF"/>
                  <w:w w:val="86"/>
                </w:rPr>
                <w:t>Consolidated Balance Sheets as of June 30, 2021 and December 31, 2020</w:t>
              </w:r>
            </w:hyperlink>
          </w:p>
        </w:tc>
        <w:tc>
          <w:tcPr>
            <w:tcW w:w="3960" w:type="dxa"/>
            <w:vAlign w:val="bottom"/>
            <w:gridSpan w:val="5"/>
          </w:tcPr>
          <w:p>
            <w:pPr>
              <w:spacing w:after="0"/>
              <w:rPr>
                <w:sz w:val="16"/>
                <w:szCs w:val="16"/>
                <w:color w:val="auto"/>
              </w:rPr>
            </w:pPr>
          </w:p>
        </w:tc>
        <w:tc>
          <w:tcPr>
            <w:tcW w:w="640" w:type="dxa"/>
            <w:vAlign w:val="bottom"/>
          </w:tcPr>
          <w:p>
            <w:pPr>
              <w:ind w:left="20"/>
              <w:spacing w:after="0" w:line="192" w:lineRule="exact"/>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19"/>
          </w:tcPr>
          <w:p>
            <w:pPr>
              <w:spacing w:after="0" w:line="192" w:lineRule="exact"/>
              <w:rPr>
                <w:rFonts w:ascii="Arial" w:cs="Arial" w:eastAsia="Arial" w:hAnsi="Arial"/>
                <w:sz w:val="17"/>
                <w:szCs w:val="17"/>
                <w:color w:val="0000FF"/>
              </w:rPr>
            </w:pPr>
            <w:hyperlink w:anchor="page4">
              <w:r>
                <w:rPr>
                  <w:rFonts w:ascii="Arial" w:cs="Arial" w:eastAsia="Arial" w:hAnsi="Arial"/>
                  <w:sz w:val="17"/>
                  <w:szCs w:val="17"/>
                  <w:color w:val="0000FF"/>
                </w:rPr>
                <w:t>Consolidated Statements of Income for the Three and Six months ended June 30, 2021 and 2020</w:t>
              </w:r>
            </w:hyperlink>
          </w:p>
        </w:tc>
        <w:tc>
          <w:tcPr>
            <w:tcW w:w="640" w:type="dxa"/>
            <w:vAlign w:val="bottom"/>
          </w:tcPr>
          <w:p>
            <w:pPr>
              <w:ind w:left="20"/>
              <w:spacing w:after="0" w:line="192" w:lineRule="exact"/>
              <w:rPr>
                <w:rFonts w:ascii="Arial" w:cs="Arial" w:eastAsia="Arial" w:hAnsi="Arial"/>
                <w:sz w:val="17"/>
                <w:szCs w:val="17"/>
                <w:color w:val="0000FF"/>
              </w:rPr>
            </w:pPr>
            <w:hyperlink w:anchor="page4">
              <w:r>
                <w:rPr>
                  <w:rFonts w:ascii="Arial" w:cs="Arial" w:eastAsia="Arial" w:hAnsi="Arial"/>
                  <w:sz w:val="17"/>
                  <w:szCs w:val="17"/>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60" w:type="dxa"/>
            <w:vAlign w:val="bottom"/>
            <w:gridSpan w:val="19"/>
          </w:tcPr>
          <w:p>
            <w:pPr>
              <w:spacing w:after="0" w:line="192" w:lineRule="exact"/>
              <w:rPr>
                <w:rFonts w:ascii="Arial" w:cs="Arial" w:eastAsia="Arial" w:hAnsi="Arial"/>
                <w:sz w:val="17"/>
                <w:szCs w:val="17"/>
                <w:color w:val="0000FF"/>
                <w:w w:val="97"/>
              </w:rPr>
            </w:pPr>
            <w:hyperlink w:anchor="page5">
              <w:r>
                <w:rPr>
                  <w:rFonts w:ascii="Arial" w:cs="Arial" w:eastAsia="Arial" w:hAnsi="Arial"/>
                  <w:sz w:val="17"/>
                  <w:szCs w:val="17"/>
                  <w:color w:val="0000FF"/>
                  <w:w w:val="97"/>
                </w:rPr>
                <w:t>Consolidated Statements of Comprehensive Income/(Loss) for the Three and Six months ended June 30, 2021 and 2020</w:t>
              </w:r>
            </w:hyperlink>
          </w:p>
        </w:tc>
        <w:tc>
          <w:tcPr>
            <w:tcW w:w="640" w:type="dxa"/>
            <w:vAlign w:val="bottom"/>
          </w:tcPr>
          <w:p>
            <w:pPr>
              <w:ind w:left="20"/>
              <w:spacing w:after="0" w:line="192" w:lineRule="exact"/>
              <w:rPr>
                <w:rFonts w:ascii="Arial" w:cs="Arial" w:eastAsia="Arial" w:hAnsi="Arial"/>
                <w:sz w:val="17"/>
                <w:szCs w:val="17"/>
                <w:color w:val="0000FF"/>
              </w:rPr>
            </w:pPr>
            <w:hyperlink w:anchor="page5">
              <w:r>
                <w:rPr>
                  <w:rFonts w:ascii="Arial" w:cs="Arial" w:eastAsia="Arial" w:hAnsi="Arial"/>
                  <w:sz w:val="17"/>
                  <w:szCs w:val="17"/>
                  <w:color w:val="0000FF"/>
                </w:rPr>
                <w:t>6</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20" w:type="dxa"/>
            <w:vAlign w:val="bottom"/>
            <w:tcBorders>
              <w:top w:val="single" w:sz="8" w:color="0000FF"/>
              <w:bottom w:val="single" w:sz="8" w:color="0000FF"/>
            </w:tcBorders>
            <w:gridSpan w:val="17"/>
          </w:tcPr>
          <w:p>
            <w:pPr>
              <w:spacing w:after="0" w:line="192" w:lineRule="exact"/>
              <w:rPr>
                <w:rFonts w:ascii="Arial" w:cs="Arial" w:eastAsia="Arial" w:hAnsi="Arial"/>
                <w:sz w:val="17"/>
                <w:szCs w:val="17"/>
                <w:color w:val="0000FF"/>
                <w:w w:val="88"/>
              </w:rPr>
            </w:pPr>
            <w:hyperlink w:anchor="page6">
              <w:r>
                <w:rPr>
                  <w:rFonts w:ascii="Arial" w:cs="Arial" w:eastAsia="Arial" w:hAnsi="Arial"/>
                  <w:sz w:val="17"/>
                  <w:szCs w:val="17"/>
                  <w:color w:val="0000FF"/>
                  <w:w w:val="88"/>
                </w:rPr>
                <w:t>Consolidated Statements of Equity for the Three and Six months ended June 30, 2021 and 2020</w:t>
              </w:r>
            </w:hyperlink>
          </w:p>
        </w:tc>
        <w:tc>
          <w:tcPr>
            <w:tcW w:w="1560" w:type="dxa"/>
            <w:vAlign w:val="bottom"/>
            <w:tcBorders>
              <w:top w:val="single" w:sz="8" w:color="0000FF"/>
            </w:tcBorders>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ind w:left="20"/>
              <w:spacing w:after="0" w:line="192" w:lineRule="exact"/>
              <w:rPr>
                <w:rFonts w:ascii="Arial" w:cs="Arial" w:eastAsia="Arial" w:hAnsi="Arial"/>
                <w:sz w:val="17"/>
                <w:szCs w:val="17"/>
                <w:color w:val="0000FF"/>
              </w:rPr>
            </w:pPr>
            <w:hyperlink w:anchor="page6">
              <w:r>
                <w:rPr>
                  <w:rFonts w:ascii="Arial" w:cs="Arial" w:eastAsia="Arial" w:hAnsi="Arial"/>
                  <w:sz w:val="17"/>
                  <w:szCs w:val="17"/>
                  <w:color w:val="0000FF"/>
                </w:rPr>
                <w:t>7</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0" w:type="dxa"/>
            <w:vAlign w:val="bottom"/>
            <w:tcBorders>
              <w:bottom w:val="single" w:sz="8" w:color="0000FF"/>
            </w:tcBorders>
            <w:gridSpan w:val="16"/>
          </w:tcPr>
          <w:p>
            <w:pPr>
              <w:spacing w:after="0" w:line="192" w:lineRule="exact"/>
              <w:rPr>
                <w:rFonts w:ascii="Arial" w:cs="Arial" w:eastAsia="Arial" w:hAnsi="Arial"/>
                <w:sz w:val="17"/>
                <w:szCs w:val="17"/>
                <w:color w:val="0000FF"/>
                <w:w w:val="87"/>
              </w:rPr>
            </w:pPr>
            <w:hyperlink w:anchor="page8">
              <w:r>
                <w:rPr>
                  <w:rFonts w:ascii="Arial" w:cs="Arial" w:eastAsia="Arial" w:hAnsi="Arial"/>
                  <w:sz w:val="17"/>
                  <w:szCs w:val="17"/>
                  <w:color w:val="0000FF"/>
                  <w:w w:val="87"/>
                </w:rPr>
                <w:t>Consolidated Statements of Cash Flows for the Six months ended June 30, 2021 and 2020</w:t>
              </w:r>
            </w:hyperlink>
          </w:p>
        </w:tc>
        <w:tc>
          <w:tcPr>
            <w:tcW w:w="2860" w:type="dxa"/>
            <w:vAlign w:val="bottom"/>
            <w:gridSpan w:val="3"/>
          </w:tcPr>
          <w:p>
            <w:pPr>
              <w:spacing w:after="0"/>
              <w:rPr>
                <w:sz w:val="16"/>
                <w:szCs w:val="16"/>
                <w:color w:val="auto"/>
              </w:rPr>
            </w:pPr>
          </w:p>
        </w:tc>
        <w:tc>
          <w:tcPr>
            <w:tcW w:w="640" w:type="dxa"/>
            <w:vAlign w:val="bottom"/>
          </w:tcPr>
          <w:p>
            <w:pPr>
              <w:ind w:left="20"/>
              <w:spacing w:after="0" w:line="192" w:lineRule="exact"/>
              <w:rPr>
                <w:rFonts w:ascii="Arial" w:cs="Arial" w:eastAsia="Arial" w:hAnsi="Arial"/>
                <w:sz w:val="17"/>
                <w:szCs w:val="17"/>
                <w:color w:val="0000FF"/>
              </w:rPr>
            </w:pPr>
            <w:hyperlink w:anchor="page8">
              <w:r>
                <w:rPr>
                  <w:rFonts w:ascii="Arial" w:cs="Arial" w:eastAsia="Arial" w:hAnsi="Arial"/>
                  <w:sz w:val="17"/>
                  <w:szCs w:val="17"/>
                  <w:color w:val="0000FF"/>
                </w:rPr>
                <w:t>9</w:t>
              </w:r>
            </w:hyperlink>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tcBorders>
              <w:bottom w:val="single" w:sz="8" w:color="0000FF"/>
            </w:tcBorders>
            <w:gridSpan w:val="10"/>
          </w:tcPr>
          <w:p>
            <w:pPr>
              <w:spacing w:after="0" w:line="192" w:lineRule="exact"/>
              <w:rPr>
                <w:rFonts w:ascii="Arial" w:cs="Arial" w:eastAsia="Arial" w:hAnsi="Arial"/>
                <w:sz w:val="17"/>
                <w:szCs w:val="17"/>
                <w:color w:val="0000FF"/>
                <w:w w:val="87"/>
              </w:rPr>
            </w:pPr>
            <w:hyperlink w:anchor="page9">
              <w:r>
                <w:rPr>
                  <w:rFonts w:ascii="Arial" w:cs="Arial" w:eastAsia="Arial" w:hAnsi="Arial"/>
                  <w:sz w:val="17"/>
                  <w:szCs w:val="17"/>
                  <w:color w:val="0000FF"/>
                  <w:w w:val="87"/>
                </w:rPr>
                <w:t>Notes to Consolidated Financial Statements</w:t>
              </w:r>
            </w:hyperlink>
          </w:p>
        </w:tc>
        <w:tc>
          <w:tcPr>
            <w:tcW w:w="5940" w:type="dxa"/>
            <w:vAlign w:val="bottom"/>
            <w:gridSpan w:val="9"/>
          </w:tcPr>
          <w:p>
            <w:pPr>
              <w:spacing w:after="0"/>
              <w:rPr>
                <w:sz w:val="16"/>
                <w:szCs w:val="16"/>
                <w:color w:val="auto"/>
              </w:rPr>
            </w:pPr>
          </w:p>
        </w:tc>
        <w:tc>
          <w:tcPr>
            <w:tcW w:w="640" w:type="dxa"/>
            <w:vAlign w:val="bottom"/>
          </w:tcPr>
          <w:p>
            <w:pPr>
              <w:ind w:left="20"/>
              <w:spacing w:after="0" w:line="192" w:lineRule="exact"/>
              <w:rPr>
                <w:rFonts w:ascii="Arial" w:cs="Arial" w:eastAsia="Arial" w:hAnsi="Arial"/>
                <w:sz w:val="17"/>
                <w:szCs w:val="17"/>
                <w:color w:val="0000FF"/>
              </w:rPr>
            </w:pPr>
            <w:hyperlink w:anchor="page9">
              <w:r>
                <w:rPr>
                  <w:rFonts w:ascii="Arial" w:cs="Arial" w:eastAsia="Arial" w:hAnsi="Arial"/>
                  <w:sz w:val="17"/>
                  <w:szCs w:val="17"/>
                  <w:color w:val="0000FF"/>
                </w:rPr>
                <w:t>10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21"/>
                <w:szCs w:val="21"/>
                <w:color w:val="auto"/>
              </w:rPr>
            </w:pPr>
          </w:p>
        </w:tc>
        <w:tc>
          <w:tcPr>
            <w:tcW w:w="9040" w:type="dxa"/>
            <w:vAlign w:val="bottom"/>
            <w:gridSpan w:val="20"/>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Management’s Discussion and Analysis of Financial Condition and Results of Operations</w:t>
              </w:r>
            </w:hyperlink>
          </w:p>
        </w:tc>
        <w:tc>
          <w:tcPr>
            <w:tcW w:w="640" w:type="dxa"/>
            <w:vAlign w:val="bottom"/>
          </w:tcPr>
          <w:p>
            <w:pPr>
              <w:ind w:left="20"/>
              <w:spacing w:after="0"/>
              <w:rPr>
                <w:rFonts w:ascii="Arial" w:cs="Arial" w:eastAsia="Arial" w:hAnsi="Arial"/>
                <w:sz w:val="17"/>
                <w:szCs w:val="17"/>
                <w:color w:val="0000FF"/>
              </w:rPr>
            </w:pPr>
            <w:hyperlink w:anchor="page40">
              <w:r>
                <w:rPr>
                  <w:rFonts w:ascii="Arial" w:cs="Arial" w:eastAsia="Arial" w:hAnsi="Arial"/>
                  <w:sz w:val="17"/>
                  <w:szCs w:val="17"/>
                  <w:color w:val="0000FF"/>
                </w:rPr>
                <w:t>41</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40" w:type="dxa"/>
            <w:vAlign w:val="bottom"/>
          </w:tcPr>
          <w:p>
            <w:pPr>
              <w:spacing w:after="0"/>
              <w:rPr>
                <w:sz w:val="21"/>
                <w:szCs w:val="21"/>
                <w:color w:val="auto"/>
              </w:rPr>
            </w:pPr>
          </w:p>
        </w:tc>
        <w:tc>
          <w:tcPr>
            <w:tcW w:w="4040" w:type="dxa"/>
            <w:vAlign w:val="bottom"/>
            <w:tcBorders>
              <w:top w:val="single" w:sz="8" w:color="0000FF"/>
              <w:bottom w:val="single" w:sz="8" w:color="0000FF"/>
            </w:tcBorders>
            <w:gridSpan w:val="14"/>
          </w:tcPr>
          <w:p>
            <w:pPr>
              <w:spacing w:after="0"/>
              <w:rPr>
                <w:rFonts w:ascii="Arial" w:cs="Arial" w:eastAsia="Arial" w:hAnsi="Arial"/>
                <w:sz w:val="17"/>
                <w:szCs w:val="17"/>
                <w:color w:val="0000FF"/>
                <w:w w:val="90"/>
              </w:rPr>
            </w:pPr>
            <w:hyperlink w:anchor="page58">
              <w:r>
                <w:rPr>
                  <w:rFonts w:ascii="Arial" w:cs="Arial" w:eastAsia="Arial" w:hAnsi="Arial"/>
                  <w:sz w:val="17"/>
                  <w:szCs w:val="17"/>
                  <w:color w:val="0000FF"/>
                  <w:w w:val="90"/>
                </w:rPr>
                <w:t>Quantitative and Qualitative Disclosures About Market Risk</w:t>
              </w:r>
            </w:hyperlink>
          </w:p>
        </w:tc>
        <w:tc>
          <w:tcPr>
            <w:tcW w:w="1920" w:type="dxa"/>
            <w:vAlign w:val="bottom"/>
            <w:tcBorders>
              <w:top w:val="single" w:sz="8" w:color="0000FF"/>
            </w:tcBorders>
            <w:gridSpan w:val="2"/>
          </w:tcPr>
          <w:p>
            <w:pPr>
              <w:spacing w:after="0"/>
              <w:rPr>
                <w:sz w:val="21"/>
                <w:szCs w:val="21"/>
                <w:color w:val="auto"/>
              </w:rPr>
            </w:pPr>
          </w:p>
        </w:tc>
        <w:tc>
          <w:tcPr>
            <w:tcW w:w="3080" w:type="dxa"/>
            <w:vAlign w:val="bottom"/>
            <w:gridSpan w:val="4"/>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8">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40" w:type="dxa"/>
            <w:vAlign w:val="bottom"/>
          </w:tcPr>
          <w:p>
            <w:pPr>
              <w:spacing w:after="0"/>
              <w:rPr>
                <w:sz w:val="21"/>
                <w:szCs w:val="21"/>
                <w:color w:val="auto"/>
              </w:rPr>
            </w:pPr>
          </w:p>
        </w:tc>
        <w:tc>
          <w:tcPr>
            <w:tcW w:w="1660" w:type="dxa"/>
            <w:vAlign w:val="bottom"/>
            <w:tcBorders>
              <w:bottom w:val="single" w:sz="8" w:color="0000FF"/>
            </w:tcBorders>
            <w:gridSpan w:val="7"/>
          </w:tcPr>
          <w:p>
            <w:pPr>
              <w:spacing w:after="0"/>
              <w:rPr>
                <w:rFonts w:ascii="Arial" w:cs="Arial" w:eastAsia="Arial" w:hAnsi="Arial"/>
                <w:sz w:val="17"/>
                <w:szCs w:val="17"/>
                <w:color w:val="0000FF"/>
                <w:w w:val="87"/>
              </w:rPr>
            </w:pPr>
            <w:hyperlink w:anchor="page59">
              <w:r>
                <w:rPr>
                  <w:rFonts w:ascii="Arial" w:cs="Arial" w:eastAsia="Arial" w:hAnsi="Arial"/>
                  <w:sz w:val="17"/>
                  <w:szCs w:val="17"/>
                  <w:color w:val="0000FF"/>
                  <w:w w:val="87"/>
                </w:rPr>
                <w:t>Controls and Procedures</w:t>
              </w:r>
            </w:hyperlink>
          </w:p>
        </w:tc>
        <w:tc>
          <w:tcPr>
            <w:tcW w:w="7380" w:type="dxa"/>
            <w:vAlign w:val="bottom"/>
            <w:gridSpan w:val="13"/>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72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59">
              <w:r>
                <w:rPr>
                  <w:rFonts w:ascii="Arial" w:cs="Arial" w:eastAsia="Arial" w:hAnsi="Arial"/>
                  <w:sz w:val="17"/>
                  <w:szCs w:val="17"/>
                  <w:color w:val="0000FF"/>
                  <w:w w:val="90"/>
                </w:rPr>
                <w:t>Part II. Other Information</w:t>
              </w:r>
            </w:hyperlink>
          </w:p>
        </w:tc>
        <w:tc>
          <w:tcPr>
            <w:tcW w:w="7320" w:type="dxa"/>
            <w:vAlign w:val="bottom"/>
            <w:gridSpan w:val="12"/>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1.</w:t>
            </w:r>
          </w:p>
        </w:tc>
        <w:tc>
          <w:tcPr>
            <w:tcW w:w="840" w:type="dxa"/>
            <w:vAlign w:val="bottom"/>
          </w:tcPr>
          <w:p>
            <w:pPr>
              <w:spacing w:after="0"/>
              <w:rPr>
                <w:sz w:val="21"/>
                <w:szCs w:val="21"/>
                <w:color w:val="auto"/>
              </w:rPr>
            </w:pPr>
          </w:p>
        </w:tc>
        <w:tc>
          <w:tcPr>
            <w:tcW w:w="1240" w:type="dxa"/>
            <w:vAlign w:val="bottom"/>
            <w:tcBorders>
              <w:bottom w:val="single" w:sz="8" w:color="0000FF"/>
            </w:tcBorders>
            <w:gridSpan w:val="5"/>
          </w:tcPr>
          <w:p>
            <w:pPr>
              <w:spacing w:after="0"/>
              <w:rPr>
                <w:rFonts w:ascii="Arial" w:cs="Arial" w:eastAsia="Arial" w:hAnsi="Arial"/>
                <w:sz w:val="17"/>
                <w:szCs w:val="17"/>
                <w:color w:val="0000FF"/>
                <w:w w:val="86"/>
              </w:rPr>
            </w:pPr>
            <w:hyperlink w:anchor="page59">
              <w:r>
                <w:rPr>
                  <w:rFonts w:ascii="Arial" w:cs="Arial" w:eastAsia="Arial" w:hAnsi="Arial"/>
                  <w:sz w:val="17"/>
                  <w:szCs w:val="17"/>
                  <w:color w:val="0000FF"/>
                  <w:w w:val="86"/>
                </w:rPr>
                <w:t>Legal Proceedings</w:t>
              </w:r>
            </w:hyperlink>
          </w:p>
        </w:tc>
        <w:tc>
          <w:tcPr>
            <w:tcW w:w="7800" w:type="dxa"/>
            <w:vAlign w:val="bottom"/>
            <w:gridSpan w:val="15"/>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7"/>
                <w:szCs w:val="17"/>
                <w:color w:val="auto"/>
              </w:rPr>
              <w:t>1A.</w:t>
            </w:r>
          </w:p>
        </w:tc>
        <w:tc>
          <w:tcPr>
            <w:tcW w:w="840" w:type="dxa"/>
            <w:vAlign w:val="bottom"/>
            <w:tcBorders>
              <w:bottom w:val="single" w:sz="8" w:color="0000FF"/>
            </w:tcBorders>
            <w:gridSpan w:val="3"/>
          </w:tcPr>
          <w:p>
            <w:pPr>
              <w:spacing w:after="0"/>
              <w:rPr>
                <w:rFonts w:ascii="Arial" w:cs="Arial" w:eastAsia="Arial" w:hAnsi="Arial"/>
                <w:sz w:val="17"/>
                <w:szCs w:val="17"/>
                <w:color w:val="0000FF"/>
                <w:w w:val="86"/>
              </w:rPr>
            </w:pPr>
            <w:hyperlink w:anchor="page59">
              <w:r>
                <w:rPr>
                  <w:rFonts w:ascii="Arial" w:cs="Arial" w:eastAsia="Arial" w:hAnsi="Arial"/>
                  <w:sz w:val="17"/>
                  <w:szCs w:val="17"/>
                  <w:color w:val="0000FF"/>
                  <w:w w:val="86"/>
                </w:rPr>
                <w:t>Risk Factors</w:t>
              </w:r>
            </w:hyperlink>
          </w:p>
        </w:tc>
        <w:tc>
          <w:tcPr>
            <w:tcW w:w="8200" w:type="dxa"/>
            <w:vAlign w:val="bottom"/>
            <w:gridSpan w:val="17"/>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59">
              <w:r>
                <w:rPr>
                  <w:rFonts w:ascii="Arial" w:cs="Arial" w:eastAsia="Arial" w:hAnsi="Arial"/>
                  <w:sz w:val="17"/>
                  <w:szCs w:val="17"/>
                  <w:color w:val="0000FF"/>
                </w:rPr>
                <w:t>59</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2.</w:t>
            </w:r>
          </w:p>
        </w:tc>
        <w:tc>
          <w:tcPr>
            <w:tcW w:w="840" w:type="dxa"/>
            <w:vAlign w:val="bottom"/>
          </w:tcPr>
          <w:p>
            <w:pPr>
              <w:spacing w:after="0"/>
              <w:rPr>
                <w:sz w:val="21"/>
                <w:szCs w:val="21"/>
                <w:color w:val="auto"/>
              </w:rPr>
            </w:pPr>
          </w:p>
        </w:tc>
        <w:tc>
          <w:tcPr>
            <w:tcW w:w="4020" w:type="dxa"/>
            <w:vAlign w:val="bottom"/>
            <w:tcBorders>
              <w:bottom w:val="single" w:sz="8" w:color="0000FF"/>
            </w:tcBorders>
            <w:gridSpan w:val="13"/>
          </w:tcPr>
          <w:p>
            <w:pPr>
              <w:spacing w:after="0"/>
              <w:rPr>
                <w:rFonts w:ascii="Arial" w:cs="Arial" w:eastAsia="Arial" w:hAnsi="Arial"/>
                <w:sz w:val="17"/>
                <w:szCs w:val="17"/>
                <w:color w:val="0000FF"/>
                <w:w w:val="87"/>
              </w:rPr>
            </w:pPr>
            <w:hyperlink w:anchor="page60">
              <w:r>
                <w:rPr>
                  <w:rFonts w:ascii="Arial" w:cs="Arial" w:eastAsia="Arial" w:hAnsi="Arial"/>
                  <w:sz w:val="17"/>
                  <w:szCs w:val="17"/>
                  <w:color w:val="0000FF"/>
                  <w:w w:val="87"/>
                </w:rPr>
                <w:t>Unregistered Sales of Equity Securities and Use of Proceeds</w:t>
              </w:r>
            </w:hyperlink>
          </w:p>
        </w:tc>
        <w:tc>
          <w:tcPr>
            <w:tcW w:w="5020" w:type="dxa"/>
            <w:vAlign w:val="bottom"/>
            <w:gridSpan w:val="7"/>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3.</w:t>
            </w:r>
          </w:p>
        </w:tc>
        <w:tc>
          <w:tcPr>
            <w:tcW w:w="840" w:type="dxa"/>
            <w:vAlign w:val="bottom"/>
          </w:tcPr>
          <w:p>
            <w:pPr>
              <w:spacing w:after="0"/>
              <w:rPr>
                <w:sz w:val="21"/>
                <w:szCs w:val="21"/>
                <w:color w:val="auto"/>
              </w:rPr>
            </w:pPr>
          </w:p>
        </w:tc>
        <w:tc>
          <w:tcPr>
            <w:tcW w:w="9040" w:type="dxa"/>
            <w:vAlign w:val="bottom"/>
            <w:gridSpan w:val="20"/>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Defaults Upon Senior Securities</w:t>
              </w:r>
            </w:hyperlink>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4.</w:t>
            </w:r>
          </w:p>
        </w:tc>
        <w:tc>
          <w:tcPr>
            <w:tcW w:w="840" w:type="dxa"/>
            <w:vAlign w:val="bottom"/>
          </w:tcPr>
          <w:p>
            <w:pPr>
              <w:spacing w:after="0"/>
              <w:rPr>
                <w:sz w:val="21"/>
                <w:szCs w:val="21"/>
                <w:color w:val="auto"/>
              </w:rPr>
            </w:pPr>
          </w:p>
        </w:tc>
        <w:tc>
          <w:tcPr>
            <w:tcW w:w="1640" w:type="dxa"/>
            <w:vAlign w:val="bottom"/>
            <w:tcBorders>
              <w:top w:val="single" w:sz="8" w:color="0000FF"/>
              <w:bottom w:val="single" w:sz="8" w:color="0000FF"/>
            </w:tcBorders>
            <w:gridSpan w:val="6"/>
          </w:tcPr>
          <w:p>
            <w:pPr>
              <w:spacing w:after="0"/>
              <w:rPr>
                <w:rFonts w:ascii="Arial" w:cs="Arial" w:eastAsia="Arial" w:hAnsi="Arial"/>
                <w:sz w:val="17"/>
                <w:szCs w:val="17"/>
                <w:color w:val="0000FF"/>
                <w:w w:val="88"/>
              </w:rPr>
            </w:pPr>
            <w:hyperlink w:anchor="page60">
              <w:r>
                <w:rPr>
                  <w:rFonts w:ascii="Arial" w:cs="Arial" w:eastAsia="Arial" w:hAnsi="Arial"/>
                  <w:sz w:val="17"/>
                  <w:szCs w:val="17"/>
                  <w:color w:val="0000FF"/>
                  <w:w w:val="88"/>
                </w:rPr>
                <w:t>Mine Safety Disclosures</w:t>
              </w:r>
            </w:hyperlink>
          </w:p>
        </w:tc>
        <w:tc>
          <w:tcPr>
            <w:tcW w:w="500" w:type="dxa"/>
            <w:vAlign w:val="bottom"/>
            <w:tcBorders>
              <w:top w:val="single" w:sz="8" w:color="0000FF"/>
            </w:tcBorders>
            <w:gridSpan w:val="4"/>
          </w:tcPr>
          <w:p>
            <w:pPr>
              <w:spacing w:after="0"/>
              <w:rPr>
                <w:sz w:val="21"/>
                <w:szCs w:val="21"/>
                <w:color w:val="auto"/>
              </w:rPr>
            </w:pPr>
          </w:p>
        </w:tc>
        <w:tc>
          <w:tcPr>
            <w:tcW w:w="6900" w:type="dxa"/>
            <w:vAlign w:val="bottom"/>
            <w:gridSpan w:val="10"/>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5.</w:t>
            </w:r>
          </w:p>
        </w:tc>
        <w:tc>
          <w:tcPr>
            <w:tcW w:w="840" w:type="dxa"/>
            <w:vAlign w:val="bottom"/>
          </w:tcPr>
          <w:p>
            <w:pPr>
              <w:spacing w:after="0"/>
              <w:rPr>
                <w:sz w:val="21"/>
                <w:szCs w:val="21"/>
                <w:color w:val="auto"/>
              </w:rPr>
            </w:pPr>
          </w:p>
        </w:tc>
        <w:tc>
          <w:tcPr>
            <w:tcW w:w="1220" w:type="dxa"/>
            <w:vAlign w:val="bottom"/>
            <w:tcBorders>
              <w:bottom w:val="single" w:sz="8" w:color="0000FF"/>
            </w:tcBorders>
            <w:gridSpan w:val="4"/>
          </w:tcPr>
          <w:p>
            <w:pPr>
              <w:spacing w:after="0"/>
              <w:rPr>
                <w:rFonts w:ascii="Arial" w:cs="Arial" w:eastAsia="Arial" w:hAnsi="Arial"/>
                <w:sz w:val="17"/>
                <w:szCs w:val="17"/>
                <w:color w:val="0000FF"/>
                <w:w w:val="90"/>
              </w:rPr>
            </w:pPr>
            <w:hyperlink w:anchor="page60">
              <w:r>
                <w:rPr>
                  <w:rFonts w:ascii="Arial" w:cs="Arial" w:eastAsia="Arial" w:hAnsi="Arial"/>
                  <w:sz w:val="17"/>
                  <w:szCs w:val="17"/>
                  <w:color w:val="0000FF"/>
                  <w:w w:val="90"/>
                </w:rPr>
                <w:t>Other Information</w:t>
              </w:r>
            </w:hyperlink>
          </w:p>
        </w:tc>
        <w:tc>
          <w:tcPr>
            <w:tcW w:w="7820" w:type="dxa"/>
            <w:vAlign w:val="bottom"/>
            <w:gridSpan w:val="16"/>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42"/>
        </w:trPr>
        <w:tc>
          <w:tcPr>
            <w:tcW w:w="720" w:type="dxa"/>
            <w:vAlign w:val="bottom"/>
            <w:gridSpan w:val="2"/>
          </w:tcPr>
          <w:p>
            <w:pPr>
              <w:ind w:left="20"/>
              <w:spacing w:after="0"/>
              <w:rPr>
                <w:sz w:val="20"/>
                <w:szCs w:val="20"/>
                <w:color w:val="auto"/>
              </w:rPr>
            </w:pPr>
            <w:r>
              <w:rPr>
                <w:rFonts w:ascii="Arial" w:cs="Arial" w:eastAsia="Arial" w:hAnsi="Arial"/>
                <w:sz w:val="17"/>
                <w:szCs w:val="17"/>
                <w:color w:val="auto"/>
              </w:rPr>
              <w:t>6.</w:t>
            </w:r>
          </w:p>
        </w:tc>
        <w:tc>
          <w:tcPr>
            <w:tcW w:w="840" w:type="dxa"/>
            <w:vAlign w:val="bottom"/>
          </w:tcPr>
          <w:p>
            <w:pPr>
              <w:spacing w:after="0"/>
              <w:rPr>
                <w:sz w:val="21"/>
                <w:szCs w:val="21"/>
                <w:color w:val="auto"/>
              </w:rPr>
            </w:pPr>
          </w:p>
        </w:tc>
        <w:tc>
          <w:tcPr>
            <w:tcW w:w="9040" w:type="dxa"/>
            <w:vAlign w:val="bottom"/>
            <w:gridSpan w:val="20"/>
          </w:tcPr>
          <w:p>
            <w:pPr>
              <w:spacing w:after="0"/>
              <w:rPr>
                <w:rFonts w:ascii="Arial" w:cs="Arial" w:eastAsia="Arial" w:hAnsi="Arial"/>
                <w:sz w:val="17"/>
                <w:szCs w:val="17"/>
                <w:color w:val="0000FF"/>
              </w:rPr>
            </w:pPr>
            <w:hyperlink w:anchor="page60">
              <w:r>
                <w:rPr>
                  <w:rFonts w:ascii="Arial" w:cs="Arial" w:eastAsia="Arial" w:hAnsi="Arial"/>
                  <w:sz w:val="17"/>
                  <w:szCs w:val="17"/>
                  <w:color w:val="0000FF"/>
                </w:rPr>
                <w:t>Exhibits</w:t>
              </w:r>
            </w:hyperlink>
          </w:p>
        </w:tc>
        <w:tc>
          <w:tcPr>
            <w:tcW w:w="640" w:type="dxa"/>
            <w:vAlign w:val="bottom"/>
          </w:tcPr>
          <w:p>
            <w:pPr>
              <w:ind w:left="20"/>
              <w:spacing w:after="0"/>
              <w:rPr>
                <w:rFonts w:ascii="Arial" w:cs="Arial" w:eastAsia="Arial" w:hAnsi="Arial"/>
                <w:sz w:val="17"/>
                <w:szCs w:val="17"/>
                <w:color w:val="0000FF"/>
              </w:rPr>
            </w:pPr>
            <w:hyperlink w:anchor="page60">
              <w:r>
                <w:rPr>
                  <w:rFonts w:ascii="Arial" w:cs="Arial" w:eastAsia="Arial" w:hAnsi="Arial"/>
                  <w:sz w:val="17"/>
                  <w:szCs w:val="17"/>
                  <w:color w:val="0000FF"/>
                </w:rPr>
                <w:t>61</w:t>
              </w:r>
            </w:hyperlink>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540" w:type="dxa"/>
            <w:vAlign w:val="bottom"/>
            <w:gridSpan w:val="2"/>
          </w:tcPr>
          <w:p>
            <w:pPr>
              <w:spacing w:after="0"/>
              <w:rPr>
                <w:rFonts w:ascii="Arial" w:cs="Arial" w:eastAsia="Arial" w:hAnsi="Arial"/>
                <w:sz w:val="17"/>
                <w:szCs w:val="17"/>
                <w:color w:val="0000FF"/>
              </w:rPr>
            </w:pPr>
            <w:hyperlink w:anchor="page61">
              <w:r>
                <w:rPr>
                  <w:rFonts w:ascii="Arial" w:cs="Arial" w:eastAsia="Arial" w:hAnsi="Arial"/>
                  <w:sz w:val="17"/>
                  <w:szCs w:val="17"/>
                  <w:color w:val="0000FF"/>
                </w:rPr>
                <w:t>Signatures</w:t>
              </w:r>
            </w:hyperlink>
          </w:p>
        </w:tc>
        <w:tc>
          <w:tcPr>
            <w:tcW w:w="180" w:type="dxa"/>
            <w:vAlign w:val="bottom"/>
            <w:tcBorders>
              <w:top w:val="single" w:sz="8" w:color="0000FF"/>
            </w:tcBorders>
          </w:tcPr>
          <w:p>
            <w:pPr>
              <w:spacing w:after="0"/>
              <w:rPr>
                <w:sz w:val="21"/>
                <w:szCs w:val="21"/>
                <w:color w:val="auto"/>
              </w:rPr>
            </w:pPr>
          </w:p>
        </w:tc>
        <w:tc>
          <w:tcPr>
            <w:tcW w:w="3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40" w:type="dxa"/>
            <w:vAlign w:val="bottom"/>
          </w:tcPr>
          <w:p>
            <w:pPr>
              <w:ind w:left="20"/>
              <w:spacing w:after="0"/>
              <w:rPr>
                <w:rFonts w:ascii="Arial" w:cs="Arial" w:eastAsia="Arial" w:hAnsi="Arial"/>
                <w:sz w:val="17"/>
                <w:szCs w:val="17"/>
                <w:color w:val="0000FF"/>
              </w:rPr>
            </w:pPr>
            <w:hyperlink w:anchor="page61">
              <w:r>
                <w:rPr>
                  <w:rFonts w:ascii="Arial" w:cs="Arial" w:eastAsia="Arial" w:hAnsi="Arial"/>
                  <w:sz w:val="17"/>
                  <w:szCs w:val="17"/>
                  <w:color w:val="0000FF"/>
                </w:rPr>
                <w:t>62</w:t>
              </w:r>
            </w:hyperlink>
          </w:p>
        </w:tc>
        <w:tc>
          <w:tcPr>
            <w:tcW w:w="0" w:type="dxa"/>
            <w:vAlign w:val="bottom"/>
          </w:tcPr>
          <w:p>
            <w:pPr>
              <w:spacing w:after="0"/>
              <w:rPr>
                <w:sz w:val="1"/>
                <w:szCs w:val="1"/>
                <w:color w:val="auto"/>
              </w:rPr>
            </w:pPr>
          </w:p>
        </w:tc>
      </w:tr>
      <w:tr>
        <w:trPr>
          <w:trHeight w:val="841"/>
        </w:trPr>
        <w:tc>
          <w:tcPr>
            <w:tcW w:w="2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840" w:type="dxa"/>
            <w:vAlign w:val="bottom"/>
          </w:tcPr>
          <w:p>
            <w:pPr>
              <w:spacing w:after="0"/>
              <w:rPr>
                <w:sz w:val="24"/>
                <w:szCs w:val="24"/>
                <w:color w:val="auto"/>
              </w:rPr>
            </w:pPr>
          </w:p>
        </w:tc>
        <w:tc>
          <w:tcPr>
            <w:tcW w:w="5080" w:type="dxa"/>
            <w:vAlign w:val="bottom"/>
            <w:gridSpan w:val="15"/>
          </w:tcPr>
          <w:p>
            <w:pPr>
              <w:ind w:left="4020"/>
              <w:spacing w:after="0"/>
              <w:rPr>
                <w:sz w:val="20"/>
                <w:szCs w:val="20"/>
                <w:color w:val="auto"/>
              </w:rPr>
            </w:pPr>
            <w:r>
              <w:rPr>
                <w:rFonts w:ascii="Arial" w:cs="Arial" w:eastAsia="Arial" w:hAnsi="Arial"/>
                <w:sz w:val="17"/>
                <w:szCs w:val="17"/>
                <w:color w:val="auto"/>
              </w:rPr>
              <w:t>2</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2" w:name="page3"/>
    <w:bookmarkEnd w:id="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1.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EXLSERVICE HOLDINGS,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BALANCE SHEETS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5"/>
                <w:szCs w:val="15"/>
                <w:color w:val="auto"/>
              </w:rPr>
            </w:pPr>
          </w:p>
        </w:tc>
        <w:tc>
          <w:tcPr>
            <w:tcW w:w="1560" w:type="dxa"/>
            <w:vAlign w:val="bottom"/>
          </w:tcPr>
          <w:p>
            <w:pPr>
              <w:jc w:val="right"/>
              <w:ind w:right="249"/>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69"/>
        </w:trPr>
        <w:tc>
          <w:tcPr>
            <w:tcW w:w="74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150,211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218,530</w:t>
            </w: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Short-term investments</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144,533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184,286</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182,111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147,635</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11,344</w:t>
            </w: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Advance income tax, net</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13,567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5,684</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33,615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37,109</w:t>
            </w:r>
          </w:p>
        </w:tc>
        <w:tc>
          <w:tcPr>
            <w:tcW w:w="0" w:type="dxa"/>
            <w:vAlign w:val="bottom"/>
          </w:tcPr>
          <w:p>
            <w:pPr>
              <w:spacing w:after="0"/>
              <w:rPr>
                <w:sz w:val="1"/>
                <w:szCs w:val="1"/>
                <w:color w:val="auto"/>
              </w:rPr>
            </w:pPr>
          </w:p>
        </w:tc>
      </w:tr>
      <w:tr>
        <w:trPr>
          <w:trHeight w:val="178"/>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541,162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609,278</w:t>
            </w:r>
          </w:p>
        </w:tc>
        <w:tc>
          <w:tcPr>
            <w:tcW w:w="0" w:type="dxa"/>
            <w:vAlign w:val="bottom"/>
          </w:tcPr>
          <w:p>
            <w:pPr>
              <w:spacing w:after="0"/>
              <w:rPr>
                <w:sz w:val="1"/>
                <w:szCs w:val="1"/>
                <w:color w:val="auto"/>
              </w:rPr>
            </w:pPr>
          </w:p>
        </w:tc>
      </w:tr>
      <w:tr>
        <w:trPr>
          <w:trHeight w:val="18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92,875</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83,280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91,918</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Deferred tax assets, net</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24,132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7,749</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59,594</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348,747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349,088</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32,099</w:t>
            </w:r>
          </w:p>
        </w:tc>
        <w:tc>
          <w:tcPr>
            <w:tcW w:w="0" w:type="dxa"/>
            <w:vAlign w:val="bottom"/>
          </w:tcPr>
          <w:p>
            <w:pPr>
              <w:spacing w:after="0"/>
              <w:rPr>
                <w:sz w:val="1"/>
                <w:szCs w:val="1"/>
                <w:color w:val="auto"/>
              </w:rPr>
            </w:pPr>
          </w:p>
        </w:tc>
      </w:tr>
      <w:tr>
        <w:trPr>
          <w:trHeight w:val="18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in equity affiliate</w:t>
            </w: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0" w:type="dxa"/>
            <w:vAlign w:val="bottom"/>
          </w:tcPr>
          <w:p>
            <w:pPr>
              <w:spacing w:after="0"/>
              <w:rPr>
                <w:sz w:val="1"/>
                <w:szCs w:val="1"/>
                <w:color w:val="auto"/>
              </w:rPr>
            </w:pPr>
          </w:p>
        </w:tc>
      </w:tr>
      <w:tr>
        <w:trPr>
          <w:trHeight w:val="20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1,169,346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1,247,857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3,877</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6,992</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long-term borrowings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12,017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32,649</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Accrued employee costs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83"/>
        </w:trPr>
        <w:tc>
          <w:tcPr>
            <w:tcW w:w="7420" w:type="dxa"/>
            <w:vAlign w:val="bottom"/>
          </w:tcPr>
          <w:p>
            <w:pPr>
              <w:ind w:left="32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76,424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66,410</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portion of operating lease liabilities</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18,894</w:t>
            </w:r>
          </w:p>
        </w:tc>
        <w:tc>
          <w:tcPr>
            <w:tcW w:w="0" w:type="dxa"/>
            <w:vAlign w:val="bottom"/>
          </w:tcPr>
          <w:p>
            <w:pPr>
              <w:spacing w:after="0"/>
              <w:rPr>
                <w:sz w:val="1"/>
                <w:szCs w:val="1"/>
                <w:color w:val="auto"/>
              </w:rPr>
            </w:pPr>
          </w:p>
        </w:tc>
      </w:tr>
      <w:tr>
        <w:trPr>
          <w:trHeight w:val="183"/>
        </w:trPr>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Income taxes payable, net</w:t>
            </w: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32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207,109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221,078</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Long-term borrowings, less current portion</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139,432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201,961</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84,874</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Income taxes payable</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1,790</w:t>
            </w: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32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8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18,135</w:t>
            </w:r>
          </w:p>
        </w:tc>
        <w:tc>
          <w:tcPr>
            <w:tcW w:w="0" w:type="dxa"/>
            <w:vAlign w:val="bottom"/>
          </w:tcPr>
          <w:p>
            <w:pPr>
              <w:spacing w:after="0"/>
              <w:rPr>
                <w:sz w:val="1"/>
                <w:szCs w:val="1"/>
                <w:color w:val="auto"/>
              </w:rPr>
            </w:pP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441,332</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528,685</w:t>
            </w:r>
          </w:p>
        </w:tc>
        <w:tc>
          <w:tcPr>
            <w:tcW w:w="0" w:type="dxa"/>
            <w:vAlign w:val="bottom"/>
          </w:tcPr>
          <w:p>
            <w:pPr>
              <w:spacing w:after="0"/>
              <w:rPr>
                <w:sz w:val="1"/>
                <w:szCs w:val="1"/>
                <w:color w:val="auto"/>
              </w:rPr>
            </w:pPr>
          </w:p>
        </w:tc>
      </w:tr>
      <w:tr>
        <w:trPr>
          <w:trHeight w:val="163"/>
        </w:trPr>
        <w:tc>
          <w:tcPr>
            <w:tcW w:w="7420" w:type="dxa"/>
            <w:vAlign w:val="bottom"/>
          </w:tcPr>
          <w:p>
            <w:pPr>
              <w:ind w:left="20"/>
              <w:spacing w:after="0" w:line="160" w:lineRule="exact"/>
              <w:rPr>
                <w:sz w:val="20"/>
                <w:szCs w:val="20"/>
                <w:color w:val="auto"/>
              </w:rPr>
            </w:pPr>
            <w:r>
              <w:rPr>
                <w:rFonts w:ascii="Arial" w:cs="Arial" w:eastAsia="Arial" w:hAnsi="Arial"/>
                <w:sz w:val="14"/>
                <w:szCs w:val="14"/>
                <w:color w:val="auto"/>
              </w:rPr>
              <w:t>Commitments and contingencies (Refer to Note 24)</w:t>
            </w:r>
          </w:p>
        </w:tc>
        <w:tc>
          <w:tcPr>
            <w:tcW w:w="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$0.001 par value; 15,000,000 shares authorized, none issued</w:t>
            </w:r>
          </w:p>
        </w:tc>
        <w:tc>
          <w:tcPr>
            <w:tcW w:w="32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7420" w:type="dxa"/>
            <w:vAlign w:val="bottom"/>
          </w:tcPr>
          <w:p>
            <w:pPr>
              <w:ind w:left="20"/>
              <w:spacing w:after="0"/>
              <w:rPr>
                <w:sz w:val="20"/>
                <w:szCs w:val="20"/>
                <w:color w:val="auto"/>
              </w:rPr>
            </w:pPr>
            <w:r>
              <w:rPr>
                <w:rFonts w:ascii="Arial" w:cs="Arial" w:eastAsia="Arial" w:hAnsi="Arial"/>
                <w:sz w:val="14"/>
                <w:szCs w:val="14"/>
                <w:color w:val="auto"/>
              </w:rPr>
              <w:t>ExlService Holdings, Inc. Stockholders’ equity:</w:t>
            </w:r>
          </w:p>
        </w:tc>
        <w:tc>
          <w:tcPr>
            <w:tcW w:w="3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420" w:type="dxa"/>
            <w:vAlign w:val="bottom"/>
            <w:shd w:val="clear" w:color="auto" w:fill="CCEEFF"/>
          </w:tcPr>
          <w:p>
            <w:pPr>
              <w:ind w:left="320"/>
              <w:spacing w:after="0" w:line="141" w:lineRule="exact"/>
              <w:rPr>
                <w:sz w:val="20"/>
                <w:szCs w:val="20"/>
                <w:color w:val="auto"/>
              </w:rPr>
            </w:pPr>
            <w:r>
              <w:rPr>
                <w:rFonts w:ascii="Arial" w:cs="Arial" w:eastAsia="Arial" w:hAnsi="Arial"/>
                <w:sz w:val="14"/>
                <w:szCs w:val="14"/>
                <w:color w:val="auto"/>
                <w:w w:val="98"/>
              </w:rPr>
              <w:t>Common stock, $0.001 par value; 100,000,000 shares authorized, 39,283,853 shares issued and 33,249,709 shares</w:t>
            </w:r>
          </w:p>
        </w:tc>
        <w:tc>
          <w:tcPr>
            <w:tcW w:w="32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7"/>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1"/>
              </w:rPr>
              <w:t>outstanding as of June 30, 2021 and 38,968,052 shares issued and 33,559,434 shares outstanding as of December 31, 2020</w:t>
            </w:r>
          </w:p>
        </w:tc>
        <w:tc>
          <w:tcPr>
            <w:tcW w:w="320" w:type="dxa"/>
            <w:vAlign w:val="bottom"/>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42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439,051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420,976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3" w:name="page4"/>
    <w:bookmarkEnd w:id="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74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Retained earnings</w:t>
            </w:r>
          </w:p>
        </w:tc>
        <w:tc>
          <w:tcPr>
            <w:tcW w:w="6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701,331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641,379</w:t>
            </w:r>
          </w:p>
        </w:tc>
      </w:tr>
      <w:tr>
        <w:trPr>
          <w:trHeight w:val="183"/>
        </w:trPr>
        <w:tc>
          <w:tcPr>
            <w:tcW w:w="74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(86,745)</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(74,984)</w:t>
            </w: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including shares held in treasury</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1,053,676</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987,410</w:t>
            </w:r>
          </w:p>
        </w:tc>
      </w:tr>
      <w:tr>
        <w:trPr>
          <w:trHeight w:val="176"/>
        </w:trPr>
        <w:tc>
          <w:tcPr>
            <w:tcW w:w="7420" w:type="dxa"/>
            <w:vAlign w:val="bottom"/>
            <w:tcBorders>
              <w:bottom w:val="single" w:sz="8" w:color="CCEEFF"/>
            </w:tcBorders>
          </w:tcPr>
          <w:p>
            <w:pPr>
              <w:ind w:left="20"/>
              <w:spacing w:after="0" w:line="160" w:lineRule="exact"/>
              <w:rPr>
                <w:sz w:val="20"/>
                <w:szCs w:val="20"/>
                <w:color w:val="auto"/>
              </w:rPr>
            </w:pPr>
            <w:r>
              <w:rPr>
                <w:rFonts w:ascii="Arial" w:cs="Arial" w:eastAsia="Arial" w:hAnsi="Arial"/>
                <w:sz w:val="14"/>
                <w:szCs w:val="14"/>
                <w:color w:val="auto"/>
              </w:rPr>
              <w:t>Less: 6,034,144 shares as of June 30, 2021 and 5,408,618 shares as of December 31, 2020, held in treasury, at cost</w:t>
            </w:r>
          </w:p>
        </w:tc>
        <w:tc>
          <w:tcPr>
            <w:tcW w:w="6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(325,662)</w:t>
            </w: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(268,238)</w:t>
            </w:r>
          </w:p>
        </w:tc>
      </w:tr>
      <w:tr>
        <w:trPr>
          <w:trHeight w:val="183"/>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6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728,014</w:t>
            </w:r>
          </w:p>
        </w:tc>
        <w:tc>
          <w:tcPr>
            <w:tcW w:w="10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r>
      <w:tr>
        <w:trPr>
          <w:trHeight w:val="30"/>
        </w:trPr>
        <w:tc>
          <w:tcPr>
            <w:tcW w:w="7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5"/>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6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728,014</w:t>
            </w: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719,172</w:t>
            </w:r>
          </w:p>
        </w:tc>
      </w:tr>
      <w:tr>
        <w:trPr>
          <w:trHeight w:val="181"/>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1,169,346</w:t>
            </w:r>
          </w:p>
        </w:tc>
        <w:tc>
          <w:tcPr>
            <w:tcW w:w="100" w:type="dxa"/>
            <w:vAlign w:val="bottom"/>
          </w:tcPr>
          <w:p>
            <w:pPr>
              <w:spacing w:after="0"/>
              <w:rPr>
                <w:sz w:val="15"/>
                <w:szCs w:val="15"/>
                <w:color w:val="auto"/>
              </w:rPr>
            </w:pPr>
          </w:p>
        </w:tc>
        <w:tc>
          <w:tcPr>
            <w:tcW w:w="6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1,247,857</w:t>
            </w:r>
          </w:p>
        </w:tc>
      </w:tr>
      <w:tr>
        <w:trPr>
          <w:trHeight w:val="20"/>
        </w:trPr>
        <w:tc>
          <w:tcPr>
            <w:tcW w:w="7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20"/>
          </w:cols>
          <w:pgMar w:left="320" w:top="348" w:right="359" w:bottom="1440" w:gutter="0" w:footer="0" w:header="0"/>
        </w:sectPr>
      </w:pPr>
    </w:p>
    <w:bookmarkStart w:id="4" w:name="page5"/>
    <w:bookmarkEnd w:id="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9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CONSOLIDATED STATEMENTS OF INCOME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5"/>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320" w:type="dxa"/>
            <w:vAlign w:val="bottom"/>
          </w:tcPr>
          <w:p>
            <w:pPr>
              <w:spacing w:after="0"/>
              <w:rPr>
                <w:sz w:val="15"/>
                <w:szCs w:val="15"/>
                <w:color w:val="auto"/>
              </w:rPr>
            </w:pPr>
          </w:p>
        </w:tc>
        <w:tc>
          <w:tcPr>
            <w:tcW w:w="2520" w:type="dxa"/>
            <w:vAlign w:val="bottom"/>
            <w:gridSpan w:val="4"/>
          </w:tcPr>
          <w:p>
            <w:pPr>
              <w:jc w:val="right"/>
              <w:ind w:right="578"/>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548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206"/>
        </w:trPr>
        <w:tc>
          <w:tcPr>
            <w:tcW w:w="54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Revenues, net</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275,064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222,473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536,479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468,463</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170,701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329,522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321,057</w:t>
            </w: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1"/>
                <w:szCs w:val="21"/>
                <w:b w:val="1"/>
                <w:bCs w:val="1"/>
                <w:color w:val="auto"/>
                <w:vertAlign w:val="superscript"/>
              </w:rPr>
              <w:t>(1)</w:t>
            </w:r>
          </w:p>
        </w:tc>
        <w:tc>
          <w:tcPr>
            <w:tcW w:w="3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104,363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64,072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206,957</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147,406</w:t>
            </w:r>
          </w:p>
        </w:tc>
        <w:tc>
          <w:tcPr>
            <w:tcW w:w="0" w:type="dxa"/>
            <w:vAlign w:val="bottom"/>
          </w:tcPr>
          <w:p>
            <w:pPr>
              <w:spacing w:after="0"/>
              <w:rPr>
                <w:sz w:val="1"/>
                <w:szCs w:val="1"/>
                <w:color w:val="auto"/>
              </w:rPr>
            </w:pPr>
          </w:p>
        </w:tc>
      </w:tr>
      <w:tr>
        <w:trPr>
          <w:trHeight w:val="192"/>
        </w:trPr>
        <w:tc>
          <w:tcPr>
            <w:tcW w:w="5480" w:type="dxa"/>
            <w:vAlign w:val="bottom"/>
          </w:tcPr>
          <w:p>
            <w:pPr>
              <w:ind w:left="20"/>
              <w:spacing w:after="0" w:line="192" w:lineRule="exact"/>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67,202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57,691</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19,724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13,051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37,959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27,507</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12,310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12,405</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24,411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24,855</w:t>
            </w:r>
          </w:p>
        </w:tc>
        <w:tc>
          <w:tcPr>
            <w:tcW w:w="0" w:type="dxa"/>
            <w:vAlign w:val="bottom"/>
          </w:tcPr>
          <w:p>
            <w:pPr>
              <w:spacing w:after="0"/>
              <w:rPr>
                <w:sz w:val="1"/>
                <w:szCs w:val="1"/>
                <w:color w:val="auto"/>
              </w:rPr>
            </w:pPr>
          </w:p>
        </w:tc>
      </w:tr>
      <w:tr>
        <w:trPr>
          <w:trHeight w:val="204"/>
        </w:trPr>
        <w:tc>
          <w:tcPr>
            <w:tcW w:w="5480" w:type="dxa"/>
            <w:vAlign w:val="bottom"/>
            <w:tcBorders>
              <w:bottom w:val="single" w:sz="8" w:color="CCEEFF"/>
            </w:tcBorders>
          </w:tcPr>
          <w:p>
            <w:pPr>
              <w:ind w:left="20"/>
              <w:spacing w:after="0" w:line="192" w:lineRule="exact"/>
              <w:rPr>
                <w:sz w:val="20"/>
                <w:szCs w:val="20"/>
                <w:color w:val="auto"/>
              </w:rPr>
            </w:pPr>
            <w:r>
              <w:rPr>
                <w:rFonts w:ascii="Arial" w:cs="Arial" w:eastAsia="Arial" w:hAnsi="Arial"/>
                <w:sz w:val="17"/>
                <w:szCs w:val="17"/>
                <w:color w:val="auto"/>
              </w:rPr>
              <w:t>Total operating expenses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68,533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54,206</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129,572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110,053</w:t>
            </w: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35,830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9,866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77,385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37,353</w:t>
            </w:r>
          </w:p>
        </w:tc>
        <w:tc>
          <w:tcPr>
            <w:tcW w:w="0" w:type="dxa"/>
            <w:vAlign w:val="bottom"/>
          </w:tcPr>
          <w:p>
            <w:pPr>
              <w:spacing w:after="0"/>
              <w:rPr>
                <w:sz w:val="1"/>
                <w:szCs w:val="1"/>
                <w:color w:val="auto"/>
              </w:rPr>
            </w:pP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2,736</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(5,955)</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6,754</w:t>
            </w: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36,878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12,567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77,803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40,888</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17,823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9,927</w:t>
            </w:r>
          </w:p>
        </w:tc>
        <w:tc>
          <w:tcPr>
            <w:tcW w:w="0" w:type="dxa"/>
            <w:vAlign w:val="bottom"/>
          </w:tcPr>
          <w:p>
            <w:pPr>
              <w:spacing w:after="0"/>
              <w:rPr>
                <w:sz w:val="1"/>
                <w:szCs w:val="1"/>
                <w:color w:val="auto"/>
              </w:rPr>
            </w:pP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28,013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8,495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59,980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30,961</w:t>
            </w:r>
          </w:p>
        </w:tc>
        <w:tc>
          <w:tcPr>
            <w:tcW w:w="0" w:type="dxa"/>
            <w:vAlign w:val="bottom"/>
          </w:tcPr>
          <w:p>
            <w:pPr>
              <w:spacing w:after="0"/>
              <w:rPr>
                <w:sz w:val="1"/>
                <w:szCs w:val="1"/>
                <w:color w:val="auto"/>
              </w:rPr>
            </w:pPr>
          </w:p>
        </w:tc>
      </w:tr>
      <w:tr>
        <w:trPr>
          <w:trHeight w:val="212"/>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 (loss) from equity-method investment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2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8,429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59,952</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30,840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w w:val="99"/>
              </w:rPr>
              <w:t>Earnings per share attributable to ExlService Holdings, Inc.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4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12"/>
        </w:trPr>
        <w:tc>
          <w:tcPr>
            <w:tcW w:w="5480" w:type="dxa"/>
            <w:vAlign w:val="bottom"/>
          </w:tcPr>
          <w:p>
            <w:pPr>
              <w:ind w:left="320"/>
              <w:spacing w:after="0"/>
              <w:rPr>
                <w:sz w:val="20"/>
                <w:szCs w:val="20"/>
                <w:color w:val="auto"/>
              </w:rPr>
            </w:pPr>
            <w:r>
              <w:rPr>
                <w:rFonts w:ascii="Arial" w:cs="Arial" w:eastAsia="Arial" w:hAnsi="Arial"/>
                <w:sz w:val="17"/>
                <w:szCs w:val="17"/>
                <w:color w:val="auto"/>
              </w:rPr>
              <w:t>Diluted</w:t>
            </w: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8"/>
                <w:szCs w:val="18"/>
                <w:color w:val="auto"/>
              </w:rPr>
            </w:pPr>
          </w:p>
        </w:tc>
        <w:tc>
          <w:tcPr>
            <w:tcW w:w="320" w:type="dxa"/>
            <w:vAlign w:val="bottom"/>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1.75</w:t>
            </w:r>
          </w:p>
        </w:tc>
        <w:tc>
          <w:tcPr>
            <w:tcW w:w="80" w:type="dxa"/>
            <w:vAlign w:val="bottom"/>
          </w:tcPr>
          <w:p>
            <w:pPr>
              <w:spacing w:after="0"/>
              <w:rPr>
                <w:sz w:val="18"/>
                <w:szCs w:val="18"/>
                <w:color w:val="auto"/>
              </w:rPr>
            </w:pPr>
          </w:p>
        </w:tc>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6"/>
              </w:rPr>
              <w:t>Weighted-average number of shares used in computing earnings per share</w:t>
            </w:r>
          </w:p>
        </w:tc>
        <w:tc>
          <w:tcPr>
            <w:tcW w:w="3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attributable to ExlService Holdings Inc. stockholders: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80" w:type="dxa"/>
            <w:vAlign w:val="bottom"/>
          </w:tcPr>
          <w:p>
            <w:pPr>
              <w:ind w:left="320"/>
              <w:spacing w:after="0"/>
              <w:rPr>
                <w:sz w:val="20"/>
                <w:szCs w:val="20"/>
                <w:color w:val="auto"/>
              </w:rPr>
            </w:pPr>
            <w:r>
              <w:rPr>
                <w:rFonts w:ascii="Arial" w:cs="Arial" w:eastAsia="Arial" w:hAnsi="Arial"/>
                <w:sz w:val="17"/>
                <w:szCs w:val="17"/>
                <w:color w:val="auto"/>
              </w:rPr>
              <w:t>Basic</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33,571,074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34,486,202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33,652,146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34,443,884</w:t>
            </w:r>
          </w:p>
        </w:tc>
        <w:tc>
          <w:tcPr>
            <w:tcW w:w="0" w:type="dxa"/>
            <w:vAlign w:val="bottom"/>
          </w:tcPr>
          <w:p>
            <w:pPr>
              <w:spacing w:after="0"/>
              <w:rPr>
                <w:sz w:val="1"/>
                <w:szCs w:val="1"/>
                <w:color w:val="auto"/>
              </w:rPr>
            </w:pP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34,389,768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34,597,688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34,353,593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34,659,146</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 w:name="page6"/>
    <w:bookmarkEnd w:id="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CONSOLIDATED STATEMENTS OF COMPREHENSIVE INCOME/(LOSS)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80" w:type="dxa"/>
            <w:vAlign w:val="bottom"/>
          </w:tcPr>
          <w:p>
            <w:pPr>
              <w:spacing w:after="0"/>
              <w:rPr>
                <w:sz w:val="15"/>
                <w:szCs w:val="15"/>
                <w:color w:val="auto"/>
              </w:rPr>
            </w:pPr>
          </w:p>
        </w:tc>
        <w:tc>
          <w:tcPr>
            <w:tcW w:w="22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2020</w:t>
            </w:r>
          </w:p>
        </w:tc>
      </w:tr>
      <w:tr>
        <w:trPr>
          <w:trHeight w:val="206"/>
        </w:trPr>
        <w:tc>
          <w:tcPr>
            <w:tcW w:w="54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w w:val="96"/>
              </w:rPr>
              <w:t>28,021</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1"/>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30,840</w:t>
            </w:r>
          </w:p>
        </w:tc>
      </w:tr>
      <w:tr>
        <w:trPr>
          <w:trHeight w:val="197"/>
        </w:trPr>
        <w:tc>
          <w:tcPr>
            <w:tcW w:w="5480" w:type="dxa"/>
            <w:vAlign w:val="bottom"/>
          </w:tcPr>
          <w:p>
            <w:pPr>
              <w:ind w:left="60"/>
              <w:spacing w:after="0"/>
              <w:rPr>
                <w:sz w:val="20"/>
                <w:szCs w:val="20"/>
                <w:color w:val="auto"/>
              </w:rPr>
            </w:pPr>
            <w:r>
              <w:rPr>
                <w:rFonts w:ascii="Arial" w:cs="Arial" w:eastAsia="Arial" w:hAnsi="Arial"/>
                <w:sz w:val="15"/>
                <w:szCs w:val="15"/>
                <w:b w:val="1"/>
                <w:bCs w:val="1"/>
                <w:color w:val="auto"/>
              </w:rPr>
              <w:t>Other comprehensive income/(loss):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5"/>
        </w:trPr>
        <w:tc>
          <w:tcPr>
            <w:tcW w:w="5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gain/(loss) on cash flow hedges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0"/>
              </w:rPr>
              <w:t>(871)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(7,125)</w:t>
            </w:r>
          </w:p>
        </w:tc>
      </w:tr>
      <w:tr>
        <w:trPr>
          <w:trHeight w:val="212"/>
        </w:trPr>
        <w:tc>
          <w:tcPr>
            <w:tcW w:w="5480" w:type="dxa"/>
            <w:vAlign w:val="bottom"/>
          </w:tcPr>
          <w:p>
            <w:pPr>
              <w:ind w:left="320"/>
              <w:spacing w:after="0"/>
              <w:rPr>
                <w:sz w:val="20"/>
                <w:szCs w:val="20"/>
                <w:color w:val="auto"/>
              </w:rPr>
            </w:pPr>
            <w:r>
              <w:rPr>
                <w:rFonts w:ascii="Arial" w:cs="Arial" w:eastAsia="Arial" w:hAnsi="Arial"/>
                <w:sz w:val="15"/>
                <w:szCs w:val="15"/>
                <w:color w:val="auto"/>
              </w:rPr>
              <w:t>Loss on net investment hedges</w:t>
            </w:r>
          </w:p>
        </w:tc>
        <w:tc>
          <w:tcPr>
            <w:tcW w:w="80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7"/>
                <w:szCs w:val="17"/>
                <w:color w:val="auto"/>
                <w:w w:val="92"/>
              </w:rPr>
              <w:t>(1,134)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54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Foreign currency translation gain/(loss)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w w:val="92"/>
              </w:rPr>
              <w:t>(4,775)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(19,298)</w:t>
            </w:r>
          </w:p>
        </w:tc>
      </w:tr>
      <w:tr>
        <w:trPr>
          <w:trHeight w:val="197"/>
        </w:trPr>
        <w:tc>
          <w:tcPr>
            <w:tcW w:w="5480" w:type="dxa"/>
            <w:vAlign w:val="bottom"/>
          </w:tcPr>
          <w:p>
            <w:pPr>
              <w:ind w:left="120"/>
              <w:spacing w:after="0"/>
              <w:rPr>
                <w:sz w:val="20"/>
                <w:szCs w:val="20"/>
                <w:color w:val="auto"/>
              </w:rPr>
            </w:pPr>
            <w:r>
              <w:rPr>
                <w:rFonts w:ascii="Arial" w:cs="Arial" w:eastAsia="Arial" w:hAnsi="Arial"/>
                <w:sz w:val="15"/>
                <w:szCs w:val="15"/>
                <w:b w:val="1"/>
                <w:bCs w:val="1"/>
                <w:color w:val="auto"/>
              </w:rPr>
              <w:t>Reclassification adjustments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5"/>
        </w:trPr>
        <w:tc>
          <w:tcPr>
            <w:tcW w:w="5480" w:type="dxa"/>
            <w:vAlign w:val="bottom"/>
            <w:shd w:val="clear" w:color="auto" w:fill="CCEEFF"/>
          </w:tcPr>
          <w:p>
            <w:pPr>
              <w:ind w:left="320"/>
              <w:spacing w:after="0" w:line="215" w:lineRule="exact"/>
              <w:rPr>
                <w:sz w:val="20"/>
                <w:szCs w:val="20"/>
                <w:color w:val="auto"/>
              </w:rPr>
            </w:pPr>
            <w:r>
              <w:rPr>
                <w:rFonts w:ascii="Arial" w:cs="Arial" w:eastAsia="Arial" w:hAnsi="Arial"/>
                <w:sz w:val="15"/>
                <w:szCs w:val="15"/>
                <w:color w:val="auto"/>
              </w:rPr>
              <w:t>(Gain)/loss on cash flow hedges</w:t>
            </w:r>
            <w:r>
              <w:rPr>
                <w:rFonts w:ascii="Arial" w:cs="Arial" w:eastAsia="Arial" w:hAnsi="Arial"/>
                <w:sz w:val="19"/>
                <w:szCs w:val="19"/>
                <w:color w:val="auto"/>
                <w:vertAlign w:val="superscript"/>
              </w:rPr>
              <w:t>(1)</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7"/>
                <w:szCs w:val="17"/>
                <w:color w:val="auto"/>
                <w:w w:val="92"/>
              </w:rPr>
              <w:t>(2,866)</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12"/>
        </w:trPr>
        <w:tc>
          <w:tcPr>
            <w:tcW w:w="5480" w:type="dxa"/>
            <w:vAlign w:val="bottom"/>
          </w:tcPr>
          <w:p>
            <w:pPr>
              <w:ind w:left="320"/>
              <w:spacing w:after="0" w:line="212" w:lineRule="exact"/>
              <w:rPr>
                <w:sz w:val="20"/>
                <w:szCs w:val="20"/>
                <w:color w:val="auto"/>
              </w:rPr>
            </w:pPr>
            <w:r>
              <w:rPr>
                <w:rFonts w:ascii="Arial" w:cs="Arial" w:eastAsia="Arial" w:hAnsi="Arial"/>
                <w:sz w:val="15"/>
                <w:szCs w:val="15"/>
                <w:color w:val="auto"/>
              </w:rPr>
              <w:t>Retirement benefits</w:t>
            </w:r>
            <w:r>
              <w:rPr>
                <w:rFonts w:ascii="Arial" w:cs="Arial" w:eastAsia="Arial" w:hAnsi="Arial"/>
                <w:sz w:val="19"/>
                <w:szCs w:val="19"/>
                <w:color w:val="auto"/>
                <w:vertAlign w:val="superscript"/>
              </w:rPr>
              <w:t>(2)</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198</w:t>
            </w:r>
          </w:p>
        </w:tc>
      </w:tr>
      <w:tr>
        <w:trPr>
          <w:trHeight w:val="212"/>
        </w:trPr>
        <w:tc>
          <w:tcPr>
            <w:tcW w:w="5480" w:type="dxa"/>
            <w:vAlign w:val="bottom"/>
            <w:shd w:val="clear" w:color="auto" w:fill="CCEEFF"/>
          </w:tcPr>
          <w:p>
            <w:pPr>
              <w:ind w:left="120"/>
              <w:spacing w:after="0" w:line="212" w:lineRule="exact"/>
              <w:rPr>
                <w:sz w:val="20"/>
                <w:szCs w:val="20"/>
                <w:color w:val="auto"/>
              </w:rPr>
            </w:pPr>
            <w:r>
              <w:rPr>
                <w:rFonts w:ascii="Arial" w:cs="Arial" w:eastAsia="Arial" w:hAnsi="Arial"/>
                <w:sz w:val="15"/>
                <w:szCs w:val="15"/>
                <w:b w:val="1"/>
                <w:bCs w:val="1"/>
                <w:color w:val="auto"/>
              </w:rPr>
              <w:t>Income tax effects relating to above</w:t>
            </w:r>
            <w:r>
              <w:rPr>
                <w:rFonts w:ascii="Arial" w:cs="Arial" w:eastAsia="Arial" w:hAnsi="Arial"/>
                <w:sz w:val="19"/>
                <w:szCs w:val="19"/>
                <w:b w:val="1"/>
                <w:bCs w:val="1"/>
                <w:color w:val="auto"/>
                <w:vertAlign w:val="superscript"/>
              </w:rPr>
              <w:t>(3)</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1,478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(2,388)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6,645</w:t>
            </w:r>
          </w:p>
        </w:tc>
      </w:tr>
      <w:tr>
        <w:trPr>
          <w:trHeight w:val="204"/>
        </w:trPr>
        <w:tc>
          <w:tcPr>
            <w:tcW w:w="5480" w:type="dxa"/>
            <w:vAlign w:val="bottom"/>
            <w:tcBorders>
              <w:bottom w:val="single" w:sz="8" w:color="CCEEFF"/>
            </w:tcBorders>
          </w:tcPr>
          <w:p>
            <w:pPr>
              <w:ind w:left="80"/>
              <w:spacing w:after="0"/>
              <w:rPr>
                <w:sz w:val="20"/>
                <w:szCs w:val="20"/>
                <w:color w:val="auto"/>
              </w:rPr>
            </w:pPr>
            <w:r>
              <w:rPr>
                <w:rFonts w:ascii="Arial" w:cs="Arial" w:eastAsia="Arial" w:hAnsi="Arial"/>
                <w:sz w:val="15"/>
                <w:szCs w:val="15"/>
                <w:b w:val="1"/>
                <w:bCs w:val="1"/>
                <w:color w:val="auto"/>
              </w:rPr>
              <w:t>Total other comprehensive income/(loss)</w:t>
            </w: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2"/>
              </w:rPr>
              <w:t>(7,992)</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ind w:right="661"/>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8,830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(11,761)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(19,382)</w:t>
            </w:r>
          </w:p>
        </w:tc>
      </w:tr>
      <w:tr>
        <w:trPr>
          <w:trHeight w:val="229"/>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comprehensive income/(loss)</w:t>
            </w: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w w:val="96"/>
              </w:rPr>
              <w:t>20,029</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7"/>
                <w:szCs w:val="17"/>
                <w:b w:val="1"/>
                <w:bCs w:val="1"/>
                <w:color w:val="auto"/>
                <w:w w:val="8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8"/>
              </w:rPr>
              <w:t>17,259</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48,191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11,458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520" w:hanging="520"/>
        <w:spacing w:after="0" w:line="249" w:lineRule="auto"/>
        <w:tabs>
          <w:tab w:leader="none" w:pos="513" w:val="left"/>
        </w:tabs>
        <w:numPr>
          <w:ilvl w:val="0"/>
          <w:numId w:val="3"/>
        </w:numPr>
        <w:rPr>
          <w:rFonts w:ascii="Arial" w:cs="Arial" w:eastAsia="Arial" w:hAnsi="Arial"/>
          <w:sz w:val="13"/>
          <w:szCs w:val="13"/>
          <w:i w:val="1"/>
          <w:iCs w:val="1"/>
          <w:color w:val="auto"/>
        </w:rPr>
      </w:pPr>
      <w:r>
        <w:rPr>
          <w:rFonts w:ascii="Arial" w:cs="Arial" w:eastAsia="Arial" w:hAnsi="Arial"/>
          <w:sz w:val="15"/>
          <w:szCs w:val="15"/>
          <w:i w:val="1"/>
          <w:iCs w:val="1"/>
          <w:color w:val="auto"/>
        </w:rPr>
        <w:t>These are reclassified to net income and are included either in cost of revenues or operating expenses, as applicable in the unaudited consolidated statements of income. Refer to Note 16 - Derivatives and Hedge Accounting to the unaudited consolidated financial statements.</w:t>
      </w:r>
    </w:p>
    <w:p>
      <w:pPr>
        <w:spacing w:after="0" w:line="190" w:lineRule="exact"/>
        <w:rPr>
          <w:rFonts w:ascii="Arial" w:cs="Arial" w:eastAsia="Arial" w:hAnsi="Arial"/>
          <w:sz w:val="13"/>
          <w:szCs w:val="13"/>
          <w:i w:val="1"/>
          <w:iCs w:val="1"/>
          <w:color w:val="auto"/>
        </w:rPr>
      </w:pPr>
    </w:p>
    <w:p>
      <w:pPr>
        <w:ind w:left="520" w:hanging="520"/>
        <w:spacing w:after="0" w:line="249" w:lineRule="auto"/>
        <w:tabs>
          <w:tab w:leader="none" w:pos="513" w:val="left"/>
        </w:tabs>
        <w:numPr>
          <w:ilvl w:val="0"/>
          <w:numId w:val="3"/>
        </w:numPr>
        <w:rPr>
          <w:rFonts w:ascii="Arial" w:cs="Arial" w:eastAsia="Arial" w:hAnsi="Arial"/>
          <w:sz w:val="13"/>
          <w:szCs w:val="13"/>
          <w:color w:val="auto"/>
        </w:rPr>
      </w:pPr>
      <w:r>
        <w:rPr>
          <w:rFonts w:ascii="Arial" w:cs="Arial" w:eastAsia="Arial" w:hAnsi="Arial"/>
          <w:sz w:val="15"/>
          <w:szCs w:val="15"/>
          <w:i w:val="1"/>
          <w:iCs w:val="1"/>
          <w:color w:val="auto"/>
        </w:rPr>
        <w:t>These are reclassified to net income and are included in other income, net in the unaudited consolidated statements of income. Refer to Note 19 - Employee Benefit Plans to the unaudited consolidated financial statements.</w:t>
      </w:r>
    </w:p>
    <w:p>
      <w:pPr>
        <w:spacing w:after="0" w:line="190" w:lineRule="exact"/>
        <w:rPr>
          <w:rFonts w:ascii="Arial" w:cs="Arial" w:eastAsia="Arial" w:hAnsi="Arial"/>
          <w:sz w:val="13"/>
          <w:szCs w:val="13"/>
          <w:color w:val="auto"/>
        </w:rPr>
      </w:pPr>
    </w:p>
    <w:p>
      <w:pPr>
        <w:ind w:left="520" w:hanging="520"/>
        <w:spacing w:after="0" w:line="249" w:lineRule="auto"/>
        <w:tabs>
          <w:tab w:leader="none" w:pos="513" w:val="left"/>
        </w:tabs>
        <w:numPr>
          <w:ilvl w:val="0"/>
          <w:numId w:val="3"/>
        </w:numPr>
        <w:rPr>
          <w:rFonts w:ascii="Arial" w:cs="Arial" w:eastAsia="Arial" w:hAnsi="Arial"/>
          <w:sz w:val="13"/>
          <w:szCs w:val="13"/>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gains/(losses). Refer to Note 21 - Income Taxes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 w:name="page7"/>
    <w:bookmarkEnd w:id="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For the three months ended June 30, 2021 and 2020</w:t>
      </w:r>
    </w:p>
    <w:p>
      <w:pPr>
        <w:spacing w:after="0" w:line="4" w:lineRule="exact"/>
        <w:rPr>
          <w:sz w:val="20"/>
          <w:szCs w:val="20"/>
          <w:color w:val="auto"/>
        </w:rPr>
      </w:pPr>
    </w:p>
    <w:p>
      <w:pPr>
        <w:ind w:left="38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188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216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1880" w:type="dxa"/>
            <w:vAlign w:val="bottom"/>
            <w:gridSpan w:val="5"/>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5" w:lineRule="exact"/>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5"/>
                <w:szCs w:val="5"/>
                <w:color w:val="auto"/>
              </w:rPr>
            </w:pPr>
          </w:p>
        </w:tc>
        <w:tc>
          <w:tcPr>
            <w:tcW w:w="1060" w:type="dxa"/>
            <w:vAlign w:val="bottom"/>
            <w:gridSpan w:val="2"/>
            <w:vMerge w:val="restart"/>
          </w:tcPr>
          <w:p>
            <w:pPr>
              <w:jc w:val="center"/>
              <w:ind w:right="240"/>
              <w:spacing w:after="0" w:line="125" w:lineRule="exact"/>
              <w:rPr>
                <w:sz w:val="20"/>
                <w:szCs w:val="20"/>
                <w:color w:val="auto"/>
              </w:rPr>
            </w:pPr>
            <w:r>
              <w:rPr>
                <w:rFonts w:ascii="Arial" w:cs="Arial" w:eastAsia="Arial" w:hAnsi="Arial"/>
                <w:sz w:val="13"/>
                <w:szCs w:val="13"/>
                <w:b w:val="1"/>
                <w:bCs w:val="1"/>
                <w:color w:val="auto"/>
                <w:w w:val="97"/>
              </w:rPr>
              <w:t>Other</w:t>
            </w:r>
          </w:p>
        </w:tc>
        <w:tc>
          <w:tcPr>
            <w:tcW w:w="216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line="12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spacing w:after="0" w:line="125"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ind w:left="20"/>
              <w:spacing w:after="0" w:line="125" w:lineRule="exact"/>
              <w:rPr>
                <w:sz w:val="20"/>
                <w:szCs w:val="20"/>
                <w:color w:val="auto"/>
              </w:rPr>
            </w:pPr>
            <w:r>
              <w:rPr>
                <w:rFonts w:ascii="Arial" w:cs="Arial" w:eastAsia="Arial" w:hAnsi="Arial"/>
                <w:sz w:val="13"/>
                <w:szCs w:val="13"/>
                <w:b w:val="1"/>
                <w:bCs w:val="1"/>
                <w:color w:val="auto"/>
              </w:rPr>
              <w:t>Earnings</w:t>
            </w:r>
          </w:p>
        </w:tc>
        <w:tc>
          <w:tcPr>
            <w:tcW w:w="1160" w:type="dxa"/>
            <w:vAlign w:val="bottom"/>
            <w:gridSpan w:val="3"/>
            <w:vMerge w:val="restart"/>
          </w:tcPr>
          <w:p>
            <w:pPr>
              <w:jc w:val="center"/>
              <w:ind w:right="120"/>
              <w:spacing w:after="0" w:line="125" w:lineRule="exact"/>
              <w:rPr>
                <w:sz w:val="20"/>
                <w:szCs w:val="20"/>
                <w:color w:val="auto"/>
              </w:rPr>
            </w:pPr>
            <w:r>
              <w:rPr>
                <w:rFonts w:ascii="Arial" w:cs="Arial" w:eastAsia="Arial" w:hAnsi="Arial"/>
                <w:sz w:val="13"/>
                <w:szCs w:val="13"/>
                <w:b w:val="1"/>
                <w:bCs w:val="1"/>
                <w:color w:val="auto"/>
                <w:w w:val="90"/>
              </w:rPr>
              <w:t>Comprehensive</w:t>
            </w: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3300" w:type="dxa"/>
            <w:vAlign w:val="bottom"/>
          </w:tcPr>
          <w:p>
            <w:pPr>
              <w:spacing w:after="0"/>
              <w:rPr>
                <w:sz w:val="5"/>
                <w:szCs w:val="5"/>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5"/>
                <w:szCs w:val="5"/>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3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33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33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39,273,989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428,882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673,310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(78,753)</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(5,747,100)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(297,253)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726,225</w:t>
            </w:r>
          </w:p>
        </w:tc>
        <w:tc>
          <w:tcPr>
            <w:tcW w:w="0" w:type="dxa"/>
            <w:vAlign w:val="bottom"/>
          </w:tcPr>
          <w:p>
            <w:pPr>
              <w:spacing w:after="0"/>
              <w:rPr>
                <w:sz w:val="1"/>
                <w:szCs w:val="1"/>
                <w:color w:val="auto"/>
              </w:rPr>
            </w:pPr>
          </w:p>
        </w:tc>
      </w:tr>
      <w:tr>
        <w:trPr>
          <w:trHeight w:val="172"/>
        </w:trPr>
        <w:tc>
          <w:tcPr>
            <w:tcW w:w="3300" w:type="dxa"/>
            <w:vAlign w:val="bottom"/>
          </w:tcPr>
          <w:p>
            <w:pPr>
              <w:ind w:left="20"/>
              <w:spacing w:after="0"/>
              <w:rPr>
                <w:sz w:val="20"/>
                <w:szCs w:val="20"/>
                <w:color w:val="auto"/>
              </w:rPr>
            </w:pPr>
            <w:r>
              <w:rPr>
                <w:rFonts w:ascii="Arial" w:cs="Arial" w:eastAsia="Arial" w:hAnsi="Arial"/>
                <w:sz w:val="13"/>
                <w:szCs w:val="13"/>
                <w:color w:val="auto"/>
              </w:rPr>
              <w:t>Stock issued against stock-based compensation plans</w:t>
            </w:r>
          </w:p>
        </w:tc>
        <w:tc>
          <w:tcPr>
            <w:tcW w:w="900" w:type="dxa"/>
            <w:vAlign w:val="bottom"/>
          </w:tcPr>
          <w:p>
            <w:pPr>
              <w:jc w:val="right"/>
              <w:spacing w:after="0"/>
              <w:rPr>
                <w:sz w:val="20"/>
                <w:szCs w:val="20"/>
                <w:color w:val="auto"/>
              </w:rPr>
            </w:pPr>
            <w:r>
              <w:rPr>
                <w:rFonts w:ascii="Arial" w:cs="Arial" w:eastAsia="Arial" w:hAnsi="Arial"/>
                <w:sz w:val="13"/>
                <w:szCs w:val="13"/>
                <w:color w:val="auto"/>
              </w:rPr>
              <w:t>9,864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78"/>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10,070</w:t>
            </w:r>
          </w:p>
        </w:tc>
        <w:tc>
          <w:tcPr>
            <w:tcW w:w="0" w:type="dxa"/>
            <w:vAlign w:val="bottom"/>
          </w:tcPr>
          <w:p>
            <w:pPr>
              <w:spacing w:after="0"/>
              <w:rPr>
                <w:sz w:val="1"/>
                <w:szCs w:val="1"/>
                <w:color w:val="auto"/>
              </w:rPr>
            </w:pPr>
          </w:p>
        </w:tc>
      </w:tr>
      <w:tr>
        <w:trPr>
          <w:trHeight w:val="172"/>
        </w:trPr>
        <w:tc>
          <w:tcPr>
            <w:tcW w:w="3300" w:type="dxa"/>
            <w:vAlign w:val="bottom"/>
          </w:tcPr>
          <w:p>
            <w:pPr>
              <w:ind w:left="20"/>
              <w:spacing w:after="0"/>
              <w:rPr>
                <w:sz w:val="20"/>
                <w:szCs w:val="20"/>
                <w:color w:val="auto"/>
              </w:rPr>
            </w:pPr>
            <w:r>
              <w:rPr>
                <w:rFonts w:ascii="Arial" w:cs="Arial" w:eastAsia="Arial" w:hAnsi="Arial"/>
                <w:sz w:val="13"/>
                <w:szCs w:val="13"/>
                <w:color w:val="auto"/>
              </w:rPr>
              <w:t>Acquisition of treasury stock</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(287,044)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(28,409)</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(28,409)</w:t>
            </w:r>
          </w:p>
        </w:tc>
        <w:tc>
          <w:tcPr>
            <w:tcW w:w="0" w:type="dxa"/>
            <w:vAlign w:val="bottom"/>
          </w:tcPr>
          <w:p>
            <w:pPr>
              <w:spacing w:after="0"/>
              <w:rPr>
                <w:sz w:val="1"/>
                <w:szCs w:val="1"/>
                <w:color w:val="auto"/>
              </w:rPr>
            </w:pPr>
          </w:p>
        </w:tc>
      </w:tr>
      <w:tr>
        <w:trPr>
          <w:trHeight w:val="178"/>
        </w:trPr>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loss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(7,992)</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(7,992)</w:t>
            </w:r>
          </w:p>
        </w:tc>
        <w:tc>
          <w:tcPr>
            <w:tcW w:w="0" w:type="dxa"/>
            <w:vAlign w:val="bottom"/>
          </w:tcPr>
          <w:p>
            <w:pPr>
              <w:spacing w:after="0"/>
              <w:rPr>
                <w:sz w:val="1"/>
                <w:szCs w:val="1"/>
                <w:color w:val="auto"/>
              </w:rPr>
            </w:pPr>
          </w:p>
        </w:tc>
      </w:tr>
      <w:tr>
        <w:trPr>
          <w:trHeight w:val="172"/>
        </w:trPr>
        <w:tc>
          <w:tcPr>
            <w:tcW w:w="33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28,021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28,021</w:t>
            </w:r>
          </w:p>
        </w:tc>
        <w:tc>
          <w:tcPr>
            <w:tcW w:w="0" w:type="dxa"/>
            <w:vAlign w:val="bottom"/>
          </w:tcPr>
          <w:p>
            <w:pPr>
              <w:spacing w:after="0"/>
              <w:rPr>
                <w:sz w:val="1"/>
                <w:szCs w:val="1"/>
                <w:color w:val="auto"/>
              </w:rPr>
            </w:pPr>
          </w:p>
        </w:tc>
      </w:tr>
      <w:tr>
        <w:trPr>
          <w:trHeight w:val="195"/>
        </w:trPr>
        <w:tc>
          <w:tcPr>
            <w:tcW w:w="3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June 30, 2021</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39,283,853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439,051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701,331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(86,745)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(6,034,144)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(325,662)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728,014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40" w:type="dxa"/>
            <w:vAlign w:val="bottom"/>
          </w:tcPr>
          <w:p>
            <w:pPr>
              <w:spacing w:after="0"/>
              <w:rPr>
                <w:sz w:val="13"/>
                <w:szCs w:val="13"/>
                <w:color w:val="auto"/>
              </w:rPr>
            </w:pPr>
          </w:p>
        </w:tc>
        <w:tc>
          <w:tcPr>
            <w:tcW w:w="1800" w:type="dxa"/>
            <w:vAlign w:val="bottom"/>
            <w:gridSpan w:val="5"/>
          </w:tcPr>
          <w:p>
            <w:pPr>
              <w:ind w:left="420"/>
              <w:spacing w:after="0"/>
              <w:rPr>
                <w:sz w:val="20"/>
                <w:szCs w:val="20"/>
                <w:color w:val="auto"/>
              </w:rPr>
            </w:pPr>
            <w:r>
              <w:rPr>
                <w:rFonts w:ascii="Arial" w:cs="Arial" w:eastAsia="Arial" w:hAnsi="Arial"/>
                <w:sz w:val="13"/>
                <w:szCs w:val="13"/>
                <w:b w:val="1"/>
                <w:bCs w:val="1"/>
                <w:color w:val="auto"/>
              </w:rPr>
              <w:t>Common Stock</w:t>
            </w: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5"/>
              </w:rPr>
              <w:t>Additional Paid-in</w:t>
            </w:r>
          </w:p>
        </w:tc>
        <w:tc>
          <w:tcPr>
            <w:tcW w:w="120" w:type="dxa"/>
            <w:vAlign w:val="bottom"/>
          </w:tcPr>
          <w:p>
            <w:pPr>
              <w:spacing w:after="0"/>
              <w:rPr>
                <w:sz w:val="13"/>
                <w:szCs w:val="1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13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 Other</w:t>
            </w:r>
          </w:p>
        </w:tc>
        <w:tc>
          <w:tcPr>
            <w:tcW w:w="2060" w:type="dxa"/>
            <w:vAlign w:val="bottom"/>
            <w:gridSpan w:val="5"/>
          </w:tcPr>
          <w:p>
            <w:pPr>
              <w:ind w:left="540"/>
              <w:spacing w:after="0"/>
              <w:rPr>
                <w:sz w:val="20"/>
                <w:szCs w:val="20"/>
                <w:color w:val="auto"/>
              </w:rPr>
            </w:pPr>
            <w:r>
              <w:rPr>
                <w:rFonts w:ascii="Arial" w:cs="Arial" w:eastAsia="Arial" w:hAnsi="Arial"/>
                <w:sz w:val="13"/>
                <w:szCs w:val="13"/>
                <w:b w:val="1"/>
                <w:bCs w:val="1"/>
                <w:color w:val="auto"/>
              </w:rPr>
              <w:t>Treasury Stock</w:t>
            </w: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Comprehensive</w:t>
            </w: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right"/>
              <w:spacing w:after="0" w:line="125" w:lineRule="exact"/>
              <w:rPr>
                <w:sz w:val="20"/>
                <w:szCs w:val="20"/>
                <w:color w:val="auto"/>
              </w:rPr>
            </w:pPr>
            <w:r>
              <w:rPr>
                <w:rFonts w:ascii="Arial" w:cs="Arial" w:eastAsia="Arial" w:hAnsi="Arial"/>
                <w:sz w:val="13"/>
                <w:szCs w:val="13"/>
                <w:b w:val="1"/>
                <w:bCs w:val="1"/>
                <w:color w:val="auto"/>
              </w:rPr>
              <w:t>Total Equity</w:t>
            </w:r>
          </w:p>
        </w:tc>
        <w:tc>
          <w:tcPr>
            <w:tcW w:w="0" w:type="dxa"/>
            <w:vAlign w:val="bottom"/>
          </w:tcPr>
          <w:p>
            <w:pPr>
              <w:spacing w:after="0"/>
              <w:rPr>
                <w:sz w:val="1"/>
                <w:szCs w:val="1"/>
                <w:color w:val="auto"/>
              </w:rPr>
            </w:pPr>
          </w:p>
        </w:tc>
      </w:tr>
      <w:tr>
        <w:trPr>
          <w:trHeight w:val="62"/>
        </w:trPr>
        <w:tc>
          <w:tcPr>
            <w:tcW w:w="30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30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8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40" w:type="dxa"/>
            <w:vAlign w:val="bottom"/>
          </w:tcPr>
          <w:p>
            <w:pPr>
              <w:spacing w:after="0"/>
              <w:rPr>
                <w:sz w:val="5"/>
                <w:szCs w:val="5"/>
                <w:color w:val="auto"/>
              </w:rPr>
            </w:pPr>
          </w:p>
        </w:tc>
        <w:tc>
          <w:tcPr>
            <w:tcW w:w="9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5"/>
                <w:szCs w:val="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0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as of March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38,813,775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396,939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574,314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(113,104)</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w w:val="93"/>
              </w:rPr>
              <w:t>(4,497,779)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shd w:val="clear" w:color="auto" w:fill="CCEEFF"/>
          </w:tcPr>
          <w:p>
            <w:pPr>
              <w:ind w:left="240"/>
              <w:spacing w:after="0"/>
              <w:rPr>
                <w:sz w:val="20"/>
                <w:szCs w:val="20"/>
                <w:color w:val="auto"/>
              </w:rPr>
            </w:pPr>
            <w:r>
              <w:rPr>
                <w:rFonts w:ascii="Arial" w:cs="Arial" w:eastAsia="Arial" w:hAnsi="Arial"/>
                <w:sz w:val="13"/>
                <w:szCs w:val="13"/>
                <w:b w:val="1"/>
                <w:bCs w:val="1"/>
                <w:color w:val="auto"/>
                <w:w w:val="93"/>
              </w:rPr>
              <w:t>(202,284)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655,904</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w w:val="96"/>
              </w:rPr>
              <w:t>Stock issued against stock-based compensation plans</w:t>
            </w:r>
          </w:p>
        </w:tc>
        <w:tc>
          <w:tcPr>
            <w:tcW w:w="900" w:type="dxa"/>
            <w:vAlign w:val="bottom"/>
          </w:tcPr>
          <w:p>
            <w:pPr>
              <w:jc w:val="right"/>
              <w:spacing w:after="0"/>
              <w:rPr>
                <w:sz w:val="20"/>
                <w:szCs w:val="20"/>
                <w:color w:val="auto"/>
              </w:rPr>
            </w:pPr>
            <w:r>
              <w:rPr>
                <w:rFonts w:ascii="Arial" w:cs="Arial" w:eastAsia="Arial" w:hAnsi="Arial"/>
                <w:sz w:val="13"/>
                <w:szCs w:val="13"/>
                <w:color w:val="auto"/>
              </w:rPr>
              <w:t>4,590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78"/>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7,726</w:t>
            </w:r>
          </w:p>
        </w:tc>
        <w:tc>
          <w:tcPr>
            <w:tcW w:w="0" w:type="dxa"/>
            <w:vAlign w:val="bottom"/>
          </w:tcPr>
          <w:p>
            <w:pPr>
              <w:spacing w:after="0"/>
              <w:rPr>
                <w:sz w:val="1"/>
                <w:szCs w:val="1"/>
                <w:color w:val="auto"/>
              </w:rPr>
            </w:pPr>
          </w:p>
        </w:tc>
      </w:tr>
      <w:tr>
        <w:trPr>
          <w:trHeight w:val="172"/>
        </w:trPr>
        <w:tc>
          <w:tcPr>
            <w:tcW w:w="30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8,830</w:t>
            </w:r>
          </w:p>
        </w:tc>
        <w:tc>
          <w:tcPr>
            <w:tcW w:w="140" w:type="dxa"/>
            <w:vAlign w:val="bottom"/>
          </w:tcPr>
          <w:p>
            <w:pPr>
              <w:spacing w:after="0"/>
              <w:rPr>
                <w:sz w:val="14"/>
                <w:szCs w:val="14"/>
                <w:color w:val="auto"/>
              </w:rPr>
            </w:pPr>
          </w:p>
        </w:tc>
        <w:tc>
          <w:tcPr>
            <w:tcW w:w="104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8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8,830</w:t>
            </w:r>
          </w:p>
        </w:tc>
        <w:tc>
          <w:tcPr>
            <w:tcW w:w="0" w:type="dxa"/>
            <w:vAlign w:val="bottom"/>
          </w:tcPr>
          <w:p>
            <w:pPr>
              <w:spacing w:after="0"/>
              <w:rPr>
                <w:sz w:val="1"/>
                <w:szCs w:val="1"/>
                <w:color w:val="auto"/>
              </w:rPr>
            </w:pPr>
          </w:p>
        </w:tc>
      </w:tr>
      <w:tr>
        <w:trPr>
          <w:trHeight w:val="175"/>
        </w:trPr>
        <w:tc>
          <w:tcPr>
            <w:tcW w:w="3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8,429</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Arial" w:cs="Arial" w:eastAsia="Arial" w:hAnsi="Arial"/>
                <w:sz w:val="13"/>
                <w:szCs w:val="13"/>
                <w:b w:val="1"/>
                <w:bCs w:val="1"/>
                <w:color w:val="auto"/>
              </w:rPr>
              <w:t>Balance as of June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38,818,365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404,704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582,743</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b w:val="1"/>
                <w:bCs w:val="1"/>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(104,274)</w:t>
            </w:r>
          </w:p>
        </w:tc>
        <w:tc>
          <w:tcPr>
            <w:tcW w:w="140" w:type="dxa"/>
            <w:vAlign w:val="bottom"/>
          </w:tcPr>
          <w:p>
            <w:pPr>
              <w:spacing w:after="0"/>
              <w:rPr>
                <w:sz w:val="14"/>
                <w:szCs w:val="14"/>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b w:val="1"/>
                <w:bCs w:val="1"/>
                <w:color w:val="auto"/>
                <w:w w:val="93"/>
              </w:rPr>
              <w:t>(4,497,779)</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3"/>
                <w:szCs w:val="13"/>
                <w:b w:val="1"/>
                <w:bCs w:val="1"/>
                <w:color w:val="auto"/>
                <w:w w:val="93"/>
              </w:rPr>
              <w:t>(202,284)</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680,928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7" w:name="page8"/>
    <w:bookmarkEnd w:id="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EQUITY (UNAUDITED)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 the six months ended June 30, 2021 and 2020</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30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7"/>
          </w:tcPr>
          <w:p>
            <w:pPr>
              <w:ind w:left="440"/>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restart"/>
          </w:tcPr>
          <w:p>
            <w:pPr>
              <w:jc w:val="right"/>
              <w:ind w:right="94"/>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vMerge w:val="restart"/>
          </w:tcPr>
          <w:p>
            <w:pPr>
              <w:jc w:val="right"/>
              <w:ind w:right="34"/>
              <w:spacing w:after="0"/>
              <w:rPr>
                <w:sz w:val="20"/>
                <w:szCs w:val="20"/>
                <w:color w:val="auto"/>
              </w:rPr>
            </w:pPr>
            <w:r>
              <w:rPr>
                <w:rFonts w:ascii="Arial" w:cs="Arial" w:eastAsia="Arial" w:hAnsi="Arial"/>
                <w:sz w:val="13"/>
                <w:szCs w:val="13"/>
                <w:b w:val="1"/>
                <w:bCs w:val="1"/>
                <w:color w:val="auto"/>
              </w:rPr>
              <w:t>Retained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b w:val="1"/>
                <w:bCs w:val="1"/>
                <w:color w:val="auto"/>
              </w:rPr>
              <w:t>Accumulated Other</w:t>
            </w:r>
          </w:p>
        </w:tc>
        <w:tc>
          <w:tcPr>
            <w:tcW w:w="1580" w:type="dxa"/>
            <w:vAlign w:val="bottom"/>
            <w:gridSpan w:val="6"/>
          </w:tcPr>
          <w:p>
            <w:pPr>
              <w:ind w:left="460"/>
              <w:spacing w:after="0"/>
              <w:rPr>
                <w:sz w:val="20"/>
                <w:szCs w:val="20"/>
                <w:color w:val="auto"/>
              </w:rPr>
            </w:pPr>
            <w:r>
              <w:rPr>
                <w:rFonts w:ascii="Arial" w:cs="Arial" w:eastAsia="Arial" w:hAnsi="Arial"/>
                <w:sz w:val="13"/>
                <w:szCs w:val="13"/>
                <w:b w:val="1"/>
                <w:bCs w:val="1"/>
                <w:color w:val="auto"/>
              </w:rPr>
              <w:t>Treasury Stock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5"/>
              </w:rPr>
              <w:t>Paid-in Capital</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3"/>
            <w:vMerge w:val="restart"/>
          </w:tcPr>
          <w:p>
            <w:pPr>
              <w:jc w:val="right"/>
              <w:ind w:right="34"/>
              <w:spacing w:after="0"/>
              <w:rPr>
                <w:sz w:val="20"/>
                <w:szCs w:val="20"/>
                <w:color w:val="auto"/>
              </w:rPr>
            </w:pPr>
            <w:r>
              <w:rPr>
                <w:rFonts w:ascii="Arial" w:cs="Arial" w:eastAsia="Arial" w:hAnsi="Arial"/>
                <w:sz w:val="13"/>
                <w:szCs w:val="13"/>
                <w:b w:val="1"/>
                <w:bCs w:val="1"/>
                <w:color w:val="auto"/>
              </w:rPr>
              <w:t>Earnings</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5"/>
            <w:vMerge w:val="restart"/>
          </w:tcPr>
          <w:p>
            <w:pPr>
              <w:jc w:val="right"/>
              <w:ind w:right="180"/>
              <w:spacing w:after="0"/>
              <w:rPr>
                <w:sz w:val="20"/>
                <w:szCs w:val="20"/>
                <w:color w:val="auto"/>
              </w:rPr>
            </w:pPr>
            <w:r>
              <w:rPr>
                <w:rFonts w:ascii="Arial" w:cs="Arial" w:eastAsia="Arial" w:hAnsi="Arial"/>
                <w:sz w:val="13"/>
                <w:szCs w:val="13"/>
                <w:b w:val="1"/>
                <w:bCs w:val="1"/>
                <w:color w:val="auto"/>
                <w:w w:val="91"/>
              </w:rPr>
              <w:t>Comprehensive Loss</w:t>
            </w: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3"/>
                <w:szCs w:val="13"/>
                <w:b w:val="1"/>
                <w:bCs w:val="1"/>
                <w:color w:val="auto"/>
                <w:w w:val="92"/>
              </w:rPr>
              <w:t>Shares</w:t>
            </w: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660" w:type="dxa"/>
            <w:vAlign w:val="bottom"/>
            <w:vMerge w:val="restart"/>
          </w:tcPr>
          <w:p>
            <w:pPr>
              <w:ind w:left="260"/>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gridSpan w:val="3"/>
            <w:vMerge w:val="restart"/>
          </w:tcPr>
          <w:p>
            <w:pPr>
              <w:jc w:val="right"/>
              <w:ind w:right="114"/>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gridSpan w:val="5"/>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Borders>
              <w:bottom w:val="single" w:sz="8" w:color="CCEEFF"/>
            </w:tcBorders>
          </w:tcPr>
          <w:p>
            <w:pPr>
              <w:spacing w:after="0"/>
              <w:rPr>
                <w:sz w:val="6"/>
                <w:szCs w:val="6"/>
                <w:color w:val="auto"/>
              </w:rPr>
            </w:pPr>
          </w:p>
        </w:tc>
        <w:tc>
          <w:tcPr>
            <w:tcW w:w="2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6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2"/>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2021</w:t>
            </w:r>
          </w:p>
        </w:tc>
        <w:tc>
          <w:tcPr>
            <w:tcW w:w="2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38,968,052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96"/>
              </w:rPr>
              <w:t>39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420,976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641,379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(74,984)</w:t>
            </w:r>
          </w:p>
        </w:tc>
        <w:tc>
          <w:tcPr>
            <w:tcW w:w="10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(5,408,618)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(268,238)</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719,172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w w:val="93"/>
              </w:rPr>
              <w:t>Stock issued against stock-based compensation plans</w:t>
            </w:r>
          </w:p>
        </w:tc>
        <w:tc>
          <w:tcPr>
            <w:tcW w:w="1100" w:type="dxa"/>
            <w:vAlign w:val="bottom"/>
            <w:gridSpan w:val="4"/>
          </w:tcPr>
          <w:p>
            <w:pPr>
              <w:jc w:val="right"/>
              <w:spacing w:after="0"/>
              <w:rPr>
                <w:sz w:val="20"/>
                <w:szCs w:val="20"/>
                <w:color w:val="auto"/>
              </w:rPr>
            </w:pPr>
            <w:r>
              <w:rPr>
                <w:rFonts w:ascii="Arial" w:cs="Arial" w:eastAsia="Arial" w:hAnsi="Arial"/>
                <w:sz w:val="13"/>
                <w:szCs w:val="13"/>
                <w:color w:val="auto"/>
              </w:rPr>
              <w:t>315,801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gridSpan w:val="3"/>
          </w:tcPr>
          <w:p>
            <w:pPr>
              <w:jc w:val="right"/>
              <w:spacing w:after="0"/>
              <w:rPr>
                <w:sz w:val="20"/>
                <w:szCs w:val="20"/>
                <w:color w:val="auto"/>
              </w:rPr>
            </w:pPr>
            <w:r>
              <w:rPr>
                <w:rFonts w:ascii="Arial" w:cs="Arial" w:eastAsia="Arial" w:hAnsi="Arial"/>
                <w:sz w:val="13"/>
                <w:szCs w:val="13"/>
                <w:color w:val="auto"/>
                <w:w w:val="82"/>
              </w:rPr>
              <w:t>173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17,902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17,902</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rPr>
              <w:t>Acquisition of treasury stock</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(625,526)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(57,424)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(57,424)</w:t>
            </w:r>
          </w:p>
        </w:tc>
        <w:tc>
          <w:tcPr>
            <w:tcW w:w="0" w:type="dxa"/>
            <w:vAlign w:val="bottom"/>
          </w:tcPr>
          <w:p>
            <w:pPr>
              <w:spacing w:after="0"/>
              <w:rPr>
                <w:sz w:val="1"/>
                <w:szCs w:val="1"/>
                <w:color w:val="auto"/>
              </w:rPr>
            </w:pPr>
          </w:p>
        </w:tc>
      </w:tr>
      <w:tr>
        <w:trPr>
          <w:trHeight w:val="178"/>
        </w:trPr>
        <w:tc>
          <w:tcPr>
            <w:tcW w:w="2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(11,761)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(11,761)</w:t>
            </w:r>
          </w:p>
        </w:tc>
        <w:tc>
          <w:tcPr>
            <w:tcW w:w="0" w:type="dxa"/>
            <w:vAlign w:val="bottom"/>
          </w:tcPr>
          <w:p>
            <w:pPr>
              <w:spacing w:after="0"/>
              <w:rPr>
                <w:sz w:val="1"/>
                <w:szCs w:val="1"/>
                <w:color w:val="auto"/>
              </w:rPr>
            </w:pPr>
          </w:p>
        </w:tc>
      </w:tr>
      <w:tr>
        <w:trPr>
          <w:trHeight w:val="172"/>
        </w:trPr>
        <w:tc>
          <w:tcPr>
            <w:tcW w:w="2940" w:type="dxa"/>
            <w:vAlign w:val="bottom"/>
            <w:gridSpan w:val="3"/>
          </w:tcPr>
          <w:p>
            <w:pPr>
              <w:spacing w:after="0"/>
              <w:rPr>
                <w:sz w:val="20"/>
                <w:szCs w:val="20"/>
                <w:color w:val="auto"/>
              </w:rPr>
            </w:pPr>
            <w:r>
              <w:rPr>
                <w:rFonts w:ascii="Arial" w:cs="Arial" w:eastAsia="Arial" w:hAnsi="Arial"/>
                <w:sz w:val="13"/>
                <w:szCs w:val="13"/>
                <w:color w:val="auto"/>
              </w:rPr>
              <w:t>Net income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3"/>
                <w:szCs w:val="13"/>
                <w:color w:val="auto"/>
              </w:rPr>
              <w:t>59,952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59,952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3"/>
                <w:szCs w:val="13"/>
                <w:b w:val="1"/>
                <w:bCs w:val="1"/>
                <w:color w:val="auto"/>
              </w:rPr>
              <w:t>Balance as of June 30, 2021</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39,283,853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96"/>
              </w:rPr>
              <w:t>39</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439,051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701,331</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22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(86,745)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(6,034,144)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(325,662)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728,014</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4"/>
          </w:tcPr>
          <w:p>
            <w:pPr>
              <w:ind w:left="100"/>
              <w:spacing w:after="0"/>
              <w:rPr>
                <w:sz w:val="20"/>
                <w:szCs w:val="20"/>
                <w:color w:val="auto"/>
              </w:rPr>
            </w:pPr>
            <w:r>
              <w:rPr>
                <w:rFonts w:ascii="Arial" w:cs="Arial" w:eastAsia="Arial" w:hAnsi="Arial"/>
                <w:sz w:val="13"/>
                <w:szCs w:val="13"/>
                <w:b w:val="1"/>
                <w:bCs w:val="1"/>
                <w:color w:val="auto"/>
                <w:w w:val="92"/>
              </w:rPr>
              <w:t>Common Stock</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w w:val="92"/>
              </w:rPr>
              <w:t>Additional Paid-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3"/>
            <w:vMerge w:val="restart"/>
          </w:tcPr>
          <w:p>
            <w:pPr>
              <w:jc w:val="right"/>
              <w:ind w:right="94"/>
              <w:spacing w:after="0"/>
              <w:rPr>
                <w:sz w:val="20"/>
                <w:szCs w:val="20"/>
                <w:color w:val="auto"/>
              </w:rPr>
            </w:pPr>
            <w:r>
              <w:rPr>
                <w:rFonts w:ascii="Arial" w:cs="Arial" w:eastAsia="Arial" w:hAnsi="Arial"/>
                <w:sz w:val="13"/>
                <w:szCs w:val="13"/>
                <w:b w:val="1"/>
                <w:bCs w:val="1"/>
                <w:color w:val="auto"/>
                <w:w w:val="90"/>
              </w:rPr>
              <w:t>Retained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Accumulated Other</w:t>
            </w:r>
          </w:p>
        </w:tc>
        <w:tc>
          <w:tcPr>
            <w:tcW w:w="240" w:type="dxa"/>
            <w:vAlign w:val="bottom"/>
            <w:gridSpan w:val="2"/>
            <w:vMerge w:val="restart"/>
          </w:tcPr>
          <w:p>
            <w:pPr>
              <w:spacing w:after="0"/>
              <w:rPr>
                <w:sz w:val="24"/>
                <w:szCs w:val="24"/>
                <w:color w:val="auto"/>
              </w:rPr>
            </w:pPr>
          </w:p>
        </w:tc>
        <w:tc>
          <w:tcPr>
            <w:tcW w:w="1100" w:type="dxa"/>
            <w:vAlign w:val="bottom"/>
            <w:gridSpan w:val="5"/>
          </w:tcPr>
          <w:p>
            <w:pPr>
              <w:ind w:left="220"/>
              <w:spacing w:after="0"/>
              <w:rPr>
                <w:sz w:val="20"/>
                <w:szCs w:val="20"/>
                <w:color w:val="auto"/>
              </w:rPr>
            </w:pPr>
            <w:r>
              <w:rPr>
                <w:rFonts w:ascii="Arial" w:cs="Arial" w:eastAsia="Arial" w:hAnsi="Arial"/>
                <w:sz w:val="13"/>
                <w:szCs w:val="13"/>
                <w:b w:val="1"/>
                <w:bCs w:val="1"/>
                <w:color w:val="auto"/>
                <w:w w:val="91"/>
              </w:rPr>
              <w:t>Treasury Stock</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w w:val="96"/>
              </w:rPr>
              <w:t>Total Equity</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240" w:type="dxa"/>
            <w:vAlign w:val="bottom"/>
            <w:tcBorders>
              <w:bottom w:val="single" w:sz="8" w:color="auto"/>
            </w:tcBorders>
            <w:gridSpan w:val="2"/>
            <w:vMerge w:val="continue"/>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860" w:type="dxa"/>
            <w:vAlign w:val="bottom"/>
            <w:gridSpan w:val="5"/>
            <w:vMerge w:val="restart"/>
          </w:tcPr>
          <w:p>
            <w:pPr>
              <w:jc w:val="center"/>
              <w:ind w:right="12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4"/>
                <w:szCs w:val="4"/>
                <w:color w:val="auto"/>
              </w:rPr>
            </w:pPr>
          </w:p>
        </w:tc>
        <w:tc>
          <w:tcPr>
            <w:tcW w:w="780" w:type="dxa"/>
            <w:vAlign w:val="bottom"/>
            <w:gridSpan w:val="4"/>
            <w:vMerge w:val="restart"/>
          </w:tcPr>
          <w:p>
            <w:pPr>
              <w:jc w:val="right"/>
              <w:ind w:right="134"/>
              <w:spacing w:after="0"/>
              <w:rPr>
                <w:sz w:val="20"/>
                <w:szCs w:val="20"/>
                <w:color w:val="auto"/>
              </w:rPr>
            </w:pPr>
            <w:r>
              <w:rPr>
                <w:rFonts w:ascii="Arial" w:cs="Arial" w:eastAsia="Arial" w:hAnsi="Arial"/>
                <w:sz w:val="13"/>
                <w:szCs w:val="13"/>
                <w:b w:val="1"/>
                <w:bCs w:val="1"/>
                <w:color w:val="auto"/>
                <w:w w:val="95"/>
              </w:rPr>
              <w:t>in Capital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3"/>
            <w:vMerge w:val="restart"/>
          </w:tcPr>
          <w:p>
            <w:pPr>
              <w:jc w:val="right"/>
              <w:ind w:right="94"/>
              <w:spacing w:after="0"/>
              <w:rPr>
                <w:sz w:val="20"/>
                <w:szCs w:val="20"/>
                <w:color w:val="auto"/>
              </w:rPr>
            </w:pPr>
            <w:r>
              <w:rPr>
                <w:rFonts w:ascii="Arial" w:cs="Arial" w:eastAsia="Arial" w:hAnsi="Arial"/>
                <w:sz w:val="13"/>
                <w:szCs w:val="13"/>
                <w:b w:val="1"/>
                <w:bCs w:val="1"/>
                <w:color w:val="auto"/>
                <w:w w:val="89"/>
              </w:rPr>
              <w:t>Earnings</w:t>
            </w:r>
          </w:p>
        </w:tc>
        <w:tc>
          <w:tcPr>
            <w:tcW w:w="100" w:type="dxa"/>
            <w:vAlign w:val="bottom"/>
          </w:tcPr>
          <w:p>
            <w:pPr>
              <w:spacing w:after="0"/>
              <w:rPr>
                <w:sz w:val="4"/>
                <w:szCs w:val="4"/>
                <w:color w:val="auto"/>
              </w:rPr>
            </w:pPr>
          </w:p>
        </w:tc>
        <w:tc>
          <w:tcPr>
            <w:tcW w:w="1640" w:type="dxa"/>
            <w:vAlign w:val="bottom"/>
            <w:gridSpan w:val="8"/>
            <w:vMerge w:val="restart"/>
          </w:tcPr>
          <w:p>
            <w:pPr>
              <w:jc w:val="right"/>
              <w:ind w:right="420"/>
              <w:spacing w:after="0"/>
              <w:rPr>
                <w:sz w:val="20"/>
                <w:szCs w:val="20"/>
                <w:color w:val="auto"/>
              </w:rPr>
            </w:pPr>
            <w:r>
              <w:rPr>
                <w:rFonts w:ascii="Arial" w:cs="Arial" w:eastAsia="Arial" w:hAnsi="Arial"/>
                <w:sz w:val="13"/>
                <w:szCs w:val="13"/>
                <w:b w:val="1"/>
                <w:bCs w:val="1"/>
                <w:color w:val="auto"/>
                <w:w w:val="91"/>
              </w:rPr>
              <w:t>Comprehensive Loss</w:t>
            </w:r>
          </w:p>
        </w:tc>
        <w:tc>
          <w:tcPr>
            <w:tcW w:w="6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gridSpan w:val="3"/>
            <w:vMerge w:val="restart"/>
          </w:tcPr>
          <w:p>
            <w:pPr>
              <w:jc w:val="right"/>
              <w:ind w:right="114"/>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8"/>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60" w:type="dxa"/>
            <w:vAlign w:val="bottom"/>
            <w:gridSpan w:val="5"/>
            <w:vMerge w:val="continue"/>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278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gridSpan w:val="3"/>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January 1, 2020</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38,480,654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391,240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551,903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(84,892)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(4,295,413)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(188,289)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670,001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900" w:type="dxa"/>
            <w:vAlign w:val="bottom"/>
            <w:gridSpan w:val="2"/>
          </w:tcPr>
          <w:p>
            <w:pPr>
              <w:spacing w:after="0" w:line="125" w:lineRule="exact"/>
              <w:rPr>
                <w:sz w:val="20"/>
                <w:szCs w:val="20"/>
                <w:color w:val="auto"/>
              </w:rPr>
            </w:pPr>
            <w:r>
              <w:rPr>
                <w:rFonts w:ascii="Arial" w:cs="Arial" w:eastAsia="Arial" w:hAnsi="Arial"/>
                <w:sz w:val="13"/>
                <w:szCs w:val="13"/>
                <w:color w:val="auto"/>
              </w:rPr>
              <w:t>Stock issued against stock-based compensation</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337,711</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960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vMerge w:val="restart"/>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960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plans</w:t>
            </w: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Stock-based compensation</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Arial" w:cs="Arial" w:eastAsia="Arial" w:hAnsi="Arial"/>
                <w:sz w:val="13"/>
                <w:szCs w:val="13"/>
                <w:color w:val="auto"/>
              </w:rPr>
              <w:t>Acquisition of treasury stock</w:t>
            </w:r>
          </w:p>
        </w:tc>
        <w:tc>
          <w:tcPr>
            <w:tcW w:w="20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ind w:right="4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(202,366)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6"/>
              </w:rPr>
              <w:t>(13,995)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(13,995)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comprehensive loss</w:t>
            </w:r>
          </w:p>
        </w:tc>
        <w:tc>
          <w:tcPr>
            <w:tcW w:w="2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7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income</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30,840</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Balance as of June 30, 2020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38,818,365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39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404,704</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9"/>
              </w:rPr>
              <w:t>582,743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(104,274)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(4,497,779)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(202,284)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680,928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80"/>
          </w:cols>
          <w:pgMar w:left="320" w:top="347" w:right="399" w:bottom="1440" w:gutter="0" w:footer="0" w:header="0"/>
        </w:sectPr>
      </w:pPr>
    </w:p>
    <w:bookmarkStart w:id="8" w:name="page9"/>
    <w:bookmarkEnd w:id="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9"/>
              </w:rPr>
              <w:t>Six months ended June 30,</w:t>
            </w:r>
          </w:p>
        </w:tc>
        <w:tc>
          <w:tcPr>
            <w:tcW w:w="1000" w:type="dxa"/>
            <w:vAlign w:val="bottom"/>
            <w:tcBorders>
              <w:bottom w:val="single" w:sz="8" w:color="auto"/>
            </w:tcBorders>
          </w:tcPr>
          <w:p>
            <w:pPr>
              <w:spacing w:after="0"/>
              <w:rPr>
                <w:sz w:val="15"/>
                <w:szCs w:val="15"/>
                <w:color w:val="auto"/>
              </w:rPr>
            </w:pPr>
          </w:p>
        </w:tc>
      </w:tr>
      <w:tr>
        <w:trPr>
          <w:trHeight w:val="171"/>
        </w:trPr>
        <w:tc>
          <w:tcPr>
            <w:tcW w:w="770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54"/>
              <w:spacing w:after="0"/>
              <w:rPr>
                <w:sz w:val="20"/>
                <w:szCs w:val="20"/>
                <w:color w:val="auto"/>
              </w:rPr>
            </w:pPr>
            <w:r>
              <w:rPr>
                <w:rFonts w:ascii="Arial" w:cs="Arial" w:eastAsia="Arial" w:hAnsi="Arial"/>
                <w:sz w:val="13"/>
                <w:szCs w:val="13"/>
                <w:b w:val="1"/>
                <w:bCs w:val="1"/>
                <w:color w:val="auto"/>
                <w:w w:val="89"/>
              </w:rPr>
              <w:t>2020</w:t>
            </w:r>
          </w:p>
        </w:tc>
      </w:tr>
      <w:tr>
        <w:trPr>
          <w:trHeight w:val="156"/>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operating activities:</w:t>
            </w:r>
          </w:p>
        </w:tc>
        <w:tc>
          <w:tcPr>
            <w:tcW w:w="10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1020" w:type="dxa"/>
            <w:vAlign w:val="bottom"/>
          </w:tcPr>
          <w:p>
            <w:pPr>
              <w:jc w:val="right"/>
              <w:ind w:right="87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59,952</w:t>
            </w:r>
          </w:p>
        </w:tc>
        <w:tc>
          <w:tcPr>
            <w:tcW w:w="100" w:type="dxa"/>
            <w:vAlign w:val="bottom"/>
          </w:tcPr>
          <w:p>
            <w:pPr>
              <w:spacing w:after="0"/>
              <w:rPr>
                <w:sz w:val="14"/>
                <w:szCs w:val="14"/>
                <w:color w:val="auto"/>
              </w:rPr>
            </w:pPr>
          </w:p>
        </w:tc>
        <w:tc>
          <w:tcPr>
            <w:tcW w:w="7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30,840</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Depreciation and amortization expense</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24,734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24,806</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Stock-based compensation expense</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17,902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12,504</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Amortization of operating lease right-of-use assets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13,632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13,703</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loss / (gain) on short term investments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(2,842)</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Unrealized foreign exchange gain, net</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(2,634)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(3,378)</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Deferred income tax benefit</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(14,737)</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Allowance for expected credit losses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389</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Loss from equity-method investment</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Amortization of non-cash interest expense related to convertible senior notes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1,364</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1,289</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Others, net</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w:t>
            </w: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Change in operating assets and liabilities:</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Accounts receivable</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(34,152)</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12,380</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(906)</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Advance income tax, net</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4,446</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Other assets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3,046</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Accounts payable</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(2,458)</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1,943</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Deferred revenue</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(20,832)</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3,066</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Accrued employee costs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3,833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(23,497)</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Accrued expenses and other liabilities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12,290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(4,305)</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Operating lease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(13,327)</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(12,831)</w:t>
            </w:r>
          </w:p>
        </w:tc>
      </w:tr>
      <w:tr>
        <w:trPr>
          <w:trHeight w:val="202"/>
        </w:trPr>
        <w:tc>
          <w:tcPr>
            <w:tcW w:w="77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3"/>
                <w:szCs w:val="13"/>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53,943</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58,907</w:t>
            </w:r>
          </w:p>
        </w:tc>
      </w:tr>
      <w:tr>
        <w:trPr>
          <w:trHeight w:val="172"/>
        </w:trPr>
        <w:tc>
          <w:tcPr>
            <w:tcW w:w="7700" w:type="dxa"/>
            <w:vAlign w:val="bottom"/>
            <w:tcBorders>
              <w:top w:val="single" w:sz="8" w:color="CCEEFF"/>
            </w:tcBorders>
          </w:tcPr>
          <w:p>
            <w:pPr>
              <w:ind w:left="20"/>
              <w:spacing w:after="0"/>
              <w:rPr>
                <w:sz w:val="20"/>
                <w:szCs w:val="20"/>
                <w:color w:val="auto"/>
              </w:rPr>
            </w:pPr>
            <w:r>
              <w:rPr>
                <w:rFonts w:ascii="Arial" w:cs="Arial" w:eastAsia="Arial" w:hAnsi="Arial"/>
                <w:sz w:val="13"/>
                <w:szCs w:val="13"/>
                <w:color w:val="auto"/>
              </w:rPr>
              <w:t>Cash flows from investing activities:</w:t>
            </w:r>
          </w:p>
        </w:tc>
        <w:tc>
          <w:tcPr>
            <w:tcW w:w="1020" w:type="dxa"/>
            <w:vAlign w:val="bottom"/>
            <w:tcBorders>
              <w:top w:val="single" w:sz="8" w:color="CCEEFF"/>
            </w:tcBorders>
          </w:tcPr>
          <w:p>
            <w:pPr>
              <w:spacing w:after="0"/>
              <w:rPr>
                <w:sz w:val="14"/>
                <w:szCs w:val="14"/>
                <w:color w:val="auto"/>
              </w:rPr>
            </w:pPr>
          </w:p>
        </w:tc>
        <w:tc>
          <w:tcPr>
            <w:tcW w:w="7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spacing w:after="0"/>
              <w:rPr>
                <w:sz w:val="14"/>
                <w:szCs w:val="14"/>
                <w:color w:val="auto"/>
              </w:rPr>
            </w:pP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Purchases of property and equipment</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(19,903)</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(22,351)</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Proceeds from sale of property and equipment</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300</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Investment in equity affiliate</w:t>
            </w:r>
          </w:p>
        </w:tc>
        <w:tc>
          <w:tcPr>
            <w:tcW w:w="10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Purchase of investments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(32,987)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(49,027)</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redemption of investments</w:t>
            </w:r>
          </w:p>
        </w:tc>
        <w:tc>
          <w:tcPr>
            <w:tcW w:w="10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64,031</w:t>
            </w:r>
          </w:p>
        </w:tc>
        <w:tc>
          <w:tcPr>
            <w:tcW w:w="10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72,844</w:t>
            </w:r>
          </w:p>
        </w:tc>
      </w:tr>
      <w:tr>
        <w:trPr>
          <w:trHeight w:val="164"/>
        </w:trPr>
        <w:tc>
          <w:tcPr>
            <w:tcW w:w="7700" w:type="dxa"/>
            <w:vAlign w:val="bottom"/>
          </w:tcPr>
          <w:p>
            <w:pPr>
              <w:ind w:left="20"/>
              <w:spacing w:after="0" w:line="149" w:lineRule="exact"/>
              <w:rPr>
                <w:sz w:val="20"/>
                <w:szCs w:val="20"/>
                <w:color w:val="auto"/>
              </w:rPr>
            </w:pPr>
            <w:r>
              <w:rPr>
                <w:rFonts w:ascii="Arial" w:cs="Arial" w:eastAsia="Arial" w:hAnsi="Arial"/>
                <w:sz w:val="13"/>
                <w:szCs w:val="13"/>
                <w:color w:val="auto"/>
              </w:rPr>
              <w:t>Net cash provided by investing activities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11,668</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1,066</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flows from financing activities: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Principal payments of finance lease liabilities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(124)</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Proceeds from borrowings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110,000</w:t>
            </w:r>
          </w:p>
        </w:tc>
      </w:tr>
      <w:tr>
        <w:trPr>
          <w:trHeight w:val="172"/>
        </w:trPr>
        <w:tc>
          <w:tcPr>
            <w:tcW w:w="7700" w:type="dxa"/>
            <w:vAlign w:val="bottom"/>
          </w:tcPr>
          <w:p>
            <w:pPr>
              <w:ind w:left="320"/>
              <w:spacing w:after="0"/>
              <w:rPr>
                <w:sz w:val="20"/>
                <w:szCs w:val="20"/>
                <w:color w:val="auto"/>
              </w:rPr>
            </w:pPr>
            <w:r>
              <w:rPr>
                <w:rFonts w:ascii="Arial" w:cs="Arial" w:eastAsia="Arial" w:hAnsi="Arial"/>
                <w:sz w:val="13"/>
                <w:szCs w:val="13"/>
                <w:color w:val="auto"/>
              </w:rPr>
              <w:t>Repayments of borrowings</w:t>
            </w:r>
          </w:p>
        </w:tc>
        <w:tc>
          <w:tcPr>
            <w:tcW w:w="10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(99,000)</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(110,210)</w:t>
            </w:r>
          </w:p>
        </w:tc>
      </w:tr>
      <w:tr>
        <w:trPr>
          <w:trHeight w:val="178"/>
        </w:trPr>
        <w:tc>
          <w:tcPr>
            <w:tcW w:w="77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Acquisition of treasury stock</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(57,424)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(13,995)</w:t>
            </w:r>
          </w:p>
        </w:tc>
      </w:tr>
      <w:tr>
        <w:trPr>
          <w:trHeight w:val="172"/>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Proceeds from exercise of stock options</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for financing activities</w:t>
            </w:r>
          </w:p>
        </w:tc>
        <w:tc>
          <w:tcPr>
            <w:tcW w:w="10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(131,357)</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(13,369)</w:t>
            </w:r>
          </w:p>
        </w:tc>
      </w:tr>
      <w:tr>
        <w:trPr>
          <w:trHeight w:val="164"/>
        </w:trPr>
        <w:tc>
          <w:tcPr>
            <w:tcW w:w="77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3"/>
                <w:szCs w:val="13"/>
                <w:color w:val="auto"/>
              </w:rPr>
              <w:t>Effect of exchange rate changes on cash, cash equivalents and restricted cash</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(2,873)</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(decrease)/increase in cash, cash equivalents and restricted cash</w:t>
            </w:r>
          </w:p>
        </w:tc>
        <w:tc>
          <w:tcPr>
            <w:tcW w:w="10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(67,983)</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43,731</w:t>
            </w:r>
          </w:p>
        </w:tc>
      </w:tr>
      <w:tr>
        <w:trPr>
          <w:trHeight w:val="172"/>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and restricted cash at the beginning of the period</w:t>
            </w: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225,519</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127,044</w:t>
            </w:r>
          </w:p>
        </w:tc>
      </w:tr>
      <w:tr>
        <w:trPr>
          <w:trHeight w:val="170"/>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at the end of the period</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157,536</w:t>
            </w:r>
          </w:p>
        </w:tc>
        <w:tc>
          <w:tcPr>
            <w:tcW w:w="10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170,775</w:t>
            </w:r>
          </w:p>
        </w:tc>
      </w:tr>
      <w:tr>
        <w:trPr>
          <w:trHeight w:val="30"/>
        </w:trPr>
        <w:tc>
          <w:tcPr>
            <w:tcW w:w="7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5"/>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Cash paid during the period for:</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w:t>
            </w:r>
          </w:p>
        </w:tc>
        <w:tc>
          <w:tcPr>
            <w:tcW w:w="1020" w:type="dxa"/>
            <w:vAlign w:val="bottom"/>
            <w:shd w:val="clear" w:color="auto" w:fill="CCEEFF"/>
          </w:tcPr>
          <w:p>
            <w:pPr>
              <w:jc w:val="right"/>
              <w:ind w:right="874"/>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3,599</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54"/>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4,224</w:t>
            </w:r>
          </w:p>
        </w:tc>
      </w:tr>
      <w:tr>
        <w:trPr>
          <w:trHeight w:val="172"/>
        </w:trPr>
        <w:tc>
          <w:tcPr>
            <w:tcW w:w="7700" w:type="dxa"/>
            <w:vAlign w:val="bottom"/>
          </w:tcPr>
          <w:p>
            <w:pPr>
              <w:ind w:left="20"/>
              <w:spacing w:after="0"/>
              <w:rPr>
                <w:sz w:val="20"/>
                <w:szCs w:val="20"/>
                <w:color w:val="auto"/>
              </w:rPr>
            </w:pPr>
            <w:r>
              <w:rPr>
                <w:rFonts w:ascii="Arial" w:cs="Arial" w:eastAsia="Arial" w:hAnsi="Arial"/>
                <w:sz w:val="13"/>
                <w:szCs w:val="13"/>
                <w:color w:val="auto"/>
              </w:rPr>
              <w:t>Income taxes, net of refunds</w:t>
            </w:r>
          </w:p>
        </w:tc>
        <w:tc>
          <w:tcPr>
            <w:tcW w:w="1020" w:type="dxa"/>
            <w:vAlign w:val="bottom"/>
          </w:tcPr>
          <w:p>
            <w:pPr>
              <w:jc w:val="right"/>
              <w:ind w:right="87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18,710</w:t>
            </w:r>
          </w:p>
        </w:tc>
        <w:tc>
          <w:tcPr>
            <w:tcW w:w="100" w:type="dxa"/>
            <w:vAlign w:val="bottom"/>
          </w:tcPr>
          <w:p>
            <w:pPr>
              <w:spacing w:after="0"/>
              <w:rPr>
                <w:sz w:val="14"/>
                <w:szCs w:val="14"/>
                <w:color w:val="auto"/>
              </w:rPr>
            </w:pPr>
          </w:p>
        </w:tc>
        <w:tc>
          <w:tcPr>
            <w:tcW w:w="7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4,861</w:t>
            </w:r>
          </w:p>
        </w:tc>
      </w:tr>
      <w:tr>
        <w:trPr>
          <w:trHeight w:val="178"/>
        </w:trPr>
        <w:tc>
          <w:tcPr>
            <w:tcW w:w="7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0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68"/>
        </w:trPr>
        <w:tc>
          <w:tcPr>
            <w:tcW w:w="7700" w:type="dxa"/>
            <w:vAlign w:val="bottom"/>
          </w:tcPr>
          <w:p>
            <w:pPr>
              <w:ind w:left="20"/>
              <w:spacing w:after="0"/>
              <w:rPr>
                <w:sz w:val="20"/>
                <w:szCs w:val="20"/>
                <w:color w:val="auto"/>
              </w:rPr>
            </w:pPr>
            <w:r>
              <w:rPr>
                <w:rFonts w:ascii="Arial" w:cs="Arial" w:eastAsia="Arial" w:hAnsi="Arial"/>
                <w:sz w:val="13"/>
                <w:szCs w:val="13"/>
                <w:color w:val="auto"/>
              </w:rPr>
              <w:t>Assets acquired under finance lease</w:t>
            </w:r>
          </w:p>
        </w:tc>
        <w:tc>
          <w:tcPr>
            <w:tcW w:w="1020" w:type="dxa"/>
            <w:vAlign w:val="bottom"/>
          </w:tcPr>
          <w:p>
            <w:pPr>
              <w:jc w:val="right"/>
              <w:ind w:right="874"/>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720" w:type="dxa"/>
            <w:vAlign w:val="bottom"/>
          </w:tcPr>
          <w:p>
            <w:pPr>
              <w:jc w:val="right"/>
              <w:ind w:right="554"/>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75</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9" w:name="page10"/>
    <w:bookmarkEnd w:id="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104" w:lineRule="exact"/>
        <w:rPr>
          <w:sz w:val="20"/>
          <w:szCs w:val="20"/>
          <w:color w:val="auto"/>
        </w:rPr>
      </w:pPr>
    </w:p>
    <w:p>
      <w:pPr>
        <w:ind w:left="2920"/>
        <w:spacing w:after="0"/>
        <w:rPr>
          <w:sz w:val="20"/>
          <w:szCs w:val="20"/>
          <w:color w:val="auto"/>
        </w:rPr>
      </w:pPr>
      <w:r>
        <w:rPr>
          <w:rFonts w:ascii="Arial" w:cs="Arial" w:eastAsia="Arial" w:hAnsi="Arial"/>
          <w:sz w:val="17"/>
          <w:szCs w:val="17"/>
          <w:b w:val="1"/>
          <w:bCs w:val="1"/>
          <w:color w:val="auto"/>
        </w:rPr>
        <w:t>NOTES TO UNAUDITED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20" w:lineRule="exact"/>
        <w:rPr>
          <w:sz w:val="20"/>
          <w:szCs w:val="20"/>
          <w:color w:val="auto"/>
        </w:rPr>
      </w:pPr>
    </w:p>
    <w:p>
      <w:pPr>
        <w:jc w:val="both"/>
        <w:ind w:firstLine="374"/>
        <w:spacing w:after="0" w:line="222" w:lineRule="auto"/>
        <w:rPr>
          <w:sz w:val="20"/>
          <w:szCs w:val="20"/>
          <w:color w:val="auto"/>
        </w:rPr>
      </w:pPr>
      <w:r>
        <w:rPr>
          <w:rFonts w:ascii="Arial" w:cs="Arial" w:eastAsia="Arial" w:hAnsi="Arial"/>
          <w:sz w:val="17"/>
          <w:szCs w:val="17"/>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helps its clients build and grow sustainable businesses. By orchestrating its domain expertise, data, analytics and digital technology, the Company looks deeper to design and manage agile, customer-centric operating models to improve global operations, drive profitability, enhance customer satisfaction, increase data-driven insights, and manage risk and compliance. The Company’s clients are located principally in the United States of America (“U.S.”) and the United Kingdom (“U.K.”).</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Basis of Preparation and Principles of Consolidation</w:t>
      </w:r>
    </w:p>
    <w:p>
      <w:pPr>
        <w:spacing w:after="0" w:line="216"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6"/>
          <w:szCs w:val="16"/>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2020.</w:t>
      </w:r>
    </w:p>
    <w:p>
      <w:pPr>
        <w:spacing w:after="0" w:line="190"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16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189"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Accounting policies of the respective individual subsidiary and associate are aligned wherever necessary, so as to ensure consistency with the accounting policies that are adopted by the Company under U.S. GAAP.</w:t>
      </w:r>
    </w:p>
    <w:p>
      <w:pPr>
        <w:spacing w:after="0" w:line="188" w:lineRule="exact"/>
        <w:rPr>
          <w:sz w:val="20"/>
          <w:szCs w:val="20"/>
          <w:color w:val="auto"/>
        </w:rPr>
      </w:pPr>
    </w:p>
    <w:p>
      <w:pPr>
        <w:jc w:val="both"/>
        <w:ind w:firstLine="299"/>
        <w:spacing w:after="0" w:line="229" w:lineRule="auto"/>
        <w:rPr>
          <w:sz w:val="20"/>
          <w:szCs w:val="20"/>
          <w:color w:val="auto"/>
        </w:rPr>
      </w:pPr>
      <w:r>
        <w:rPr>
          <w:rFonts w:ascii="Arial" w:cs="Arial" w:eastAsia="Arial" w:hAnsi="Arial"/>
          <w:sz w:val="17"/>
          <w:szCs w:val="17"/>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Use of Estimates</w:t>
      </w:r>
    </w:p>
    <w:p>
      <w:pPr>
        <w:spacing w:after="0" w:line="31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5"/>
          <w:szCs w:val="15"/>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unaudited consolidated financial statements include, but are not limited to, allowance for expected credit losses, the nature and timing of the satisfaction of performance obligations, the standalone selling price of performance obligations, and variable consideration in a customer contract, expected recoverability from customers with contingent fee arrangements,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8"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estimated costs to complete fixed price contracts,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the incremental borrowing rate to calculate lease liabilities and right-of-use (“ROU”) assets, lease term to calculate amortization of ROU, depreciation and amortization periods, purchase price allocation and recoverability of long-lived assets, goodwill and intangibles.</w:t>
      </w:r>
    </w:p>
    <w:p>
      <w:pPr>
        <w:spacing w:after="0" w:line="173"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6"/>
          <w:szCs w:val="16"/>
          <w:color w:val="auto"/>
        </w:rPr>
        <w:t>As of June 30, 2021, the extent to which the global Coronavirus Disease 2019 pandemic (“COVID-19”) will ultimately impact the Company's business depends on numerous dynamic factors, which the Company still cannot reliably predict. As a result, many of the Company's estimates and assumptions herein required increased judgment and carry a higher degree of variability and volatility. As events continue to evolve with respect to COVID-19, the Company’s estimates may materially change in future periods. Any changes in estimates are adjusted prospectively in the Company’s consolidated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Recent Accounting Pronouncements</w:t>
      </w:r>
    </w:p>
    <w:p>
      <w:pPr>
        <w:spacing w:after="0" w:line="216" w:lineRule="exact"/>
        <w:rPr>
          <w:sz w:val="20"/>
          <w:szCs w:val="20"/>
          <w:color w:val="auto"/>
        </w:rPr>
      </w:pPr>
    </w:p>
    <w:p>
      <w:pPr>
        <w:jc w:val="both"/>
        <w:ind w:firstLine="374"/>
        <w:spacing w:after="0" w:line="222" w:lineRule="auto"/>
        <w:rPr>
          <w:sz w:val="20"/>
          <w:szCs w:val="20"/>
          <w:color w:val="auto"/>
        </w:rPr>
      </w:pPr>
      <w:r>
        <w:rPr>
          <w:rFonts w:ascii="Arial" w:cs="Arial" w:eastAsia="Arial" w:hAnsi="Arial"/>
          <w:sz w:val="17"/>
          <w:szCs w:val="17"/>
          <w:color w:val="auto"/>
        </w:rPr>
        <w:t xml:space="preserve">In March 2020, FASB issued ASU No. 2020-04,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This ASU provides optional guidance for a limited period of time to ease potential accounting impacts associated with transitioning away from reference rates that are expected to be discontinued, such as interbank offered rates and London Inter-Bank Offered Rate (“LIBOR”). The ASU provides practical expedients and exceptions for applying U.S. GAAP to contracts, hedging relationships, and other transactions affected by reference rate reform if certain criteria are met. The amendments are elective and are effective upon issuance for all entities through December 31, 2022. The Company is currently evaluating the impact of this ASU on its consolidated financial statements.</w:t>
      </w:r>
    </w:p>
    <w:p>
      <w:pPr>
        <w:spacing w:after="0" w:line="187" w:lineRule="exact"/>
        <w:rPr>
          <w:sz w:val="20"/>
          <w:szCs w:val="20"/>
          <w:color w:val="auto"/>
        </w:rPr>
      </w:pPr>
    </w:p>
    <w:p>
      <w:pPr>
        <w:jc w:val="both"/>
        <w:ind w:firstLine="449"/>
        <w:spacing w:after="0" w:line="233" w:lineRule="auto"/>
        <w:rPr>
          <w:sz w:val="20"/>
          <w:szCs w:val="20"/>
          <w:color w:val="auto"/>
        </w:rPr>
      </w:pPr>
      <w:r>
        <w:rPr>
          <w:rFonts w:ascii="Arial" w:cs="Arial" w:eastAsia="Arial" w:hAnsi="Arial"/>
          <w:sz w:val="16"/>
          <w:szCs w:val="16"/>
          <w:color w:val="auto"/>
        </w:rPr>
        <w:t xml:space="preserve">In August 2020, FASB issued ASU No. 2020-06, </w:t>
      </w:r>
      <w:r>
        <w:rPr>
          <w:rFonts w:ascii="Arial" w:cs="Arial" w:eastAsia="Arial" w:hAnsi="Arial"/>
          <w:sz w:val="16"/>
          <w:szCs w:val="16"/>
          <w:i w:val="1"/>
          <w:iCs w:val="1"/>
          <w:color w:val="auto"/>
        </w:rPr>
        <w:t>Accounting for Convertible Instruments and Contracts in an Entity’s Own Equity</w:t>
      </w:r>
      <w:r>
        <w:rPr>
          <w:rFonts w:ascii="Arial" w:cs="Arial" w:eastAsia="Arial" w:hAnsi="Arial"/>
          <w:sz w:val="16"/>
          <w:szCs w:val="16"/>
          <w:color w:val="auto"/>
        </w:rPr>
        <w:t>. This ASU simplifies the accounting for certain financial instruments with characteristics of liabilities and equity, including convertible instruments and contracts on an entity’s own equity. The ASU removes separation models for (1) convertible debt with a cash conversion feature and (2) convertible instruments with a beneficial conversion feature and hence most of the instruments will be accounted for as a single model (either debt or equity). The ASU also states that entities must apply the if-converted method to all convertible instruments for calculation of diluted EPS and the treasury stock method is no longer available. An entity can use either a full or modified retrospective approach to adopt the ASU’s guidance. The ASU is effective for fiscal years beginning after December 15, 2021 and may be early adopted for fiscal years beginning after December 15, 2020, and interim periods within those fiscal years. The Company is currently evaluating the impact of adoption of this ASU on its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 Recently Adopted Accounting Pronouncements</w:t>
      </w:r>
    </w:p>
    <w:p>
      <w:pPr>
        <w:spacing w:after="0" w:line="216" w:lineRule="exact"/>
        <w:rPr>
          <w:sz w:val="20"/>
          <w:szCs w:val="20"/>
          <w:color w:val="auto"/>
        </w:rPr>
      </w:pPr>
    </w:p>
    <w:p>
      <w:pPr>
        <w:jc w:val="both"/>
        <w:ind w:firstLine="374"/>
        <w:spacing w:after="0" w:line="225" w:lineRule="auto"/>
        <w:rPr>
          <w:sz w:val="20"/>
          <w:szCs w:val="20"/>
          <w:color w:val="auto"/>
        </w:rPr>
      </w:pPr>
      <w:r>
        <w:rPr>
          <w:rFonts w:ascii="Arial" w:cs="Arial" w:eastAsia="Arial" w:hAnsi="Arial"/>
          <w:sz w:val="17"/>
          <w:szCs w:val="17"/>
          <w:color w:val="auto"/>
        </w:rPr>
        <w:t xml:space="preserve">In December 2019, FASB issued ASU No. 2019-12, </w:t>
      </w:r>
      <w:r>
        <w:rPr>
          <w:rFonts w:ascii="Arial" w:cs="Arial" w:eastAsia="Arial" w:hAnsi="Arial"/>
          <w:sz w:val="17"/>
          <w:szCs w:val="17"/>
          <w:i w:val="1"/>
          <w:iCs w:val="1"/>
          <w:color w:val="auto"/>
        </w:rPr>
        <w:t>Income Taxes Simplifying the Accounting for Income Taxes</w:t>
      </w:r>
      <w:r>
        <w:rPr>
          <w:rFonts w:ascii="Arial" w:cs="Arial" w:eastAsia="Arial" w:hAnsi="Arial"/>
          <w:sz w:val="17"/>
          <w:szCs w:val="17"/>
          <w:color w:val="auto"/>
        </w:rPr>
        <w:t>. This ASU eliminates certain exceptions related to the approach for intraperiod tax allocation, the methodology for calculating income taxes in an interim period and the recognition of deferred tax liabilities for outside basis differences. The Company adopted this ASU on January 1, 2021. The adoption of this ASU has a minimal impact on the Company’s unaudited consolidated financial statements.</w:t>
      </w:r>
    </w:p>
    <w:p>
      <w:pPr>
        <w:spacing w:after="0" w:line="190" w:lineRule="exact"/>
        <w:rPr>
          <w:sz w:val="20"/>
          <w:szCs w:val="20"/>
          <w:color w:val="auto"/>
        </w:rPr>
      </w:pPr>
    </w:p>
    <w:p>
      <w:pPr>
        <w:jc w:val="both"/>
        <w:ind w:firstLine="374"/>
        <w:spacing w:after="0" w:line="223" w:lineRule="auto"/>
        <w:rPr>
          <w:sz w:val="20"/>
          <w:szCs w:val="20"/>
          <w:color w:val="auto"/>
        </w:rPr>
      </w:pPr>
      <w:r>
        <w:rPr>
          <w:rFonts w:ascii="Arial" w:cs="Arial" w:eastAsia="Arial" w:hAnsi="Arial"/>
          <w:sz w:val="17"/>
          <w:szCs w:val="17"/>
          <w:color w:val="auto"/>
        </w:rPr>
        <w:t xml:space="preserve">In October 2020, FASB issued ASU No. 2020-10, </w:t>
      </w:r>
      <w:r>
        <w:rPr>
          <w:rFonts w:ascii="Arial" w:cs="Arial" w:eastAsia="Arial" w:hAnsi="Arial"/>
          <w:sz w:val="17"/>
          <w:szCs w:val="17"/>
          <w:i w:val="1"/>
          <w:iCs w:val="1"/>
          <w:color w:val="auto"/>
        </w:rPr>
        <w:t>Codification Improvements</w:t>
      </w:r>
      <w:r>
        <w:rPr>
          <w:rFonts w:ascii="Arial" w:cs="Arial" w:eastAsia="Arial" w:hAnsi="Arial"/>
          <w:sz w:val="17"/>
          <w:szCs w:val="17"/>
          <w:color w:val="auto"/>
        </w:rPr>
        <w:t>, to provide guidance for technical corrections such as conforming amendments, clarifications to guidance, simplifications to wording or structure of guidance, and other minor improvements. The amendments in this ASU improve the consistency of the ASC by ensuring that all guidance that requires or provides an option for an entity to provide information in the notes to financial statements is codified in the disclosure section of the ASC. The Company adopted this ASU on January 1, 2021. The adoption of this ASU did not have a material impact on the Company’s unaudited consolidated financial statements.</w:t>
      </w:r>
    </w:p>
    <w:p>
      <w:pPr>
        <w:spacing w:after="0" w:line="189" w:lineRule="exact"/>
        <w:rPr>
          <w:sz w:val="20"/>
          <w:szCs w:val="20"/>
          <w:color w:val="auto"/>
        </w:rPr>
      </w:pPr>
    </w:p>
    <w:p>
      <w:pPr>
        <w:jc w:val="both"/>
        <w:ind w:firstLine="374"/>
        <w:spacing w:after="0" w:line="222" w:lineRule="auto"/>
        <w:rPr>
          <w:sz w:val="20"/>
          <w:szCs w:val="20"/>
          <w:color w:val="auto"/>
        </w:rPr>
      </w:pPr>
      <w:r>
        <w:rPr>
          <w:rFonts w:ascii="Arial" w:cs="Arial" w:eastAsia="Arial" w:hAnsi="Arial"/>
          <w:sz w:val="17"/>
          <w:szCs w:val="17"/>
          <w:color w:val="auto"/>
        </w:rPr>
        <w:t xml:space="preserve">In January 2021, Financial Accounting Standard Board (“FASB”) issued Accounting Standard Update (“ASU”) No. 2021-01,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w:t>
      </w:r>
      <w:r>
        <w:rPr>
          <w:rFonts w:ascii="Arial" w:cs="Arial" w:eastAsia="Arial" w:hAnsi="Arial"/>
          <w:sz w:val="17"/>
          <w:szCs w:val="17"/>
          <w:i w:val="1"/>
          <w:iCs w:val="1"/>
          <w:color w:val="auto"/>
        </w:rPr>
        <w:t>Scope</w:t>
      </w:r>
      <w:r>
        <w:rPr>
          <w:rFonts w:ascii="Arial" w:cs="Arial" w:eastAsia="Arial" w:hAnsi="Arial"/>
          <w:sz w:val="17"/>
          <w:szCs w:val="17"/>
          <w:color w:val="auto"/>
        </w:rPr>
        <w:t>, to expand the scope of Topic 848 to include derivative instruments affected by changes to the interest rates used for discounting, margining or contract price</w:t>
      </w:r>
      <w:r>
        <w:rPr>
          <w:rFonts w:ascii="Arial" w:cs="Arial" w:eastAsia="Arial" w:hAnsi="Arial"/>
          <w:sz w:val="17"/>
          <w:szCs w:val="17"/>
          <w:i w:val="1"/>
          <w:iCs w:val="1"/>
          <w:color w:val="auto"/>
        </w:rPr>
        <w:t xml:space="preserve"> </w:t>
      </w:r>
      <w:r>
        <w:rPr>
          <w:rFonts w:ascii="Arial" w:cs="Arial" w:eastAsia="Arial" w:hAnsi="Arial"/>
          <w:sz w:val="17"/>
          <w:szCs w:val="17"/>
          <w:color w:val="auto"/>
        </w:rPr>
        <w:t>alignment (commonly referred to as the discounting transition). This ASU extends some of Topic 848’s optional expedients and exceptions for contract modifications and hedge accounting to derivative instruments impacted by discounting transition as a result of the discontinuation of the use of LIBOR as a benchmark interest rate due to reference rate reform. This ASU is effective immediately for all entities with the option to be applied retrospectively as of any date from the beginning of an interim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5"/>
          <w:szCs w:val="15"/>
          <w:color w:val="auto"/>
        </w:rPr>
        <w:t>that includes or is subsequent to March 12, 2020, and prospectively to any new contract modifications made on or after January 7, 2021 through December 31, 2022.</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The adoption of this ASU did not have a material impact on the Company’s unaudited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Segment and Geographical Information</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operates in the BPM industry and is a provider of operations management and analytics services.</w:t>
      </w:r>
    </w:p>
    <w:p>
      <w:pPr>
        <w:spacing w:after="0" w:line="20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manages and reports financial information through its four strategic business units: Insurance, Healthcare, Analytics and Emerging Business. These business units develop client-specific solutions, build capabilities, maintain a unified go-to-market approach and are integrally responsible for service delivery, customer satisfaction, growth and profitability.</w:t>
      </w:r>
    </w:p>
    <w:p>
      <w:pPr>
        <w:spacing w:after="0" w:line="189" w:lineRule="exact"/>
        <w:rPr>
          <w:sz w:val="20"/>
          <w:szCs w:val="20"/>
          <w:color w:val="auto"/>
        </w:rPr>
      </w:pPr>
    </w:p>
    <w:p>
      <w:pPr>
        <w:ind w:right="180" w:firstLine="374"/>
        <w:spacing w:after="0" w:line="237" w:lineRule="auto"/>
        <w:rPr>
          <w:sz w:val="20"/>
          <w:szCs w:val="20"/>
          <w:color w:val="auto"/>
        </w:rPr>
      </w:pPr>
      <w:r>
        <w:rPr>
          <w:rFonts w:ascii="Arial" w:cs="Arial" w:eastAsia="Arial" w:hAnsi="Arial"/>
          <w:sz w:val="17"/>
          <w:szCs w:val="17"/>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88"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Revenues and cost of revenues for the three months ended June 30, 2021 and 2020, respectively, for each of the reportable segments,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2640" w:type="dxa"/>
            <w:vAlign w:val="bottom"/>
            <w:tcBorders>
              <w:top w:val="single" w:sz="8" w:color="auto"/>
              <w:bottom w:val="single" w:sz="8" w:color="auto"/>
            </w:tcBorders>
            <w:gridSpan w:val="10"/>
          </w:tcPr>
          <w:p>
            <w:pPr>
              <w:jc w:val="center"/>
              <w:ind w:left="581"/>
              <w:spacing w:after="0"/>
              <w:rPr>
                <w:sz w:val="20"/>
                <w:szCs w:val="20"/>
                <w:color w:val="auto"/>
              </w:rPr>
            </w:pPr>
            <w:r>
              <w:rPr>
                <w:rFonts w:ascii="Arial" w:cs="Arial" w:eastAsia="Arial" w:hAnsi="Arial"/>
                <w:sz w:val="13"/>
                <w:szCs w:val="13"/>
                <w:b w:val="1"/>
                <w:bCs w:val="1"/>
                <w:color w:val="auto"/>
                <w:w w:val="91"/>
              </w:rPr>
              <w:t>Three months ended June 30, 2021</w:t>
            </w:r>
          </w:p>
        </w:tc>
        <w:tc>
          <w:tcPr>
            <w:tcW w:w="9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Insurance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vMerge w:val="restart"/>
          </w:tcPr>
          <w:p>
            <w:pPr>
              <w:jc w:val="right"/>
              <w:ind w:right="340"/>
              <w:spacing w:after="0"/>
              <w:rPr>
                <w:sz w:val="20"/>
                <w:szCs w:val="20"/>
                <w:color w:val="auto"/>
              </w:rPr>
            </w:pPr>
            <w:r>
              <w:rPr>
                <w:rFonts w:ascii="Arial" w:cs="Arial" w:eastAsia="Arial" w:hAnsi="Arial"/>
                <w:sz w:val="17"/>
                <w:szCs w:val="17"/>
                <w:b w:val="1"/>
                <w:bCs w:val="1"/>
                <w:color w:val="auto"/>
                <w:w w:val="96"/>
              </w:rPr>
              <w:t>Healthcare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80"/>
              <w:spacing w:after="0" w:line="159" w:lineRule="exact"/>
              <w:rPr>
                <w:sz w:val="20"/>
                <w:szCs w:val="20"/>
                <w:color w:val="auto"/>
              </w:rPr>
            </w:pPr>
            <w:r>
              <w:rPr>
                <w:rFonts w:ascii="Arial" w:cs="Arial" w:eastAsia="Arial" w:hAnsi="Arial"/>
                <w:sz w:val="17"/>
                <w:szCs w:val="17"/>
                <w:b w:val="1"/>
                <w:bCs w:val="1"/>
                <w:color w:val="auto"/>
                <w:w w:val="89"/>
              </w:rPr>
              <w:t>Emerging</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Analytics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vMerge w:val="restart"/>
          </w:tcPr>
          <w:p>
            <w:pPr>
              <w:jc w:val="right"/>
              <w:ind w:right="31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1"/>
              </w:rPr>
              <w:t>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 w:type="dxa"/>
            <w:vAlign w:val="bottom"/>
            <w:tcBorders>
              <w:right w:val="single" w:sz="8" w:color="CCEEFF"/>
            </w:tcBorders>
          </w:tcPr>
          <w:p>
            <w:pPr>
              <w:spacing w:after="0"/>
              <w:rPr>
                <w:sz w:val="17"/>
                <w:szCs w:val="17"/>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94,719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28,250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40,690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111,405</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275,064</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Borders>
              <w:bottom w:val="single" w:sz="8" w:color="CCEEFF"/>
            </w:tcBorders>
          </w:tcPr>
          <w:p>
            <w:pPr>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59,359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17,685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22,346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71,311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170,701</w:t>
            </w:r>
          </w:p>
        </w:tc>
        <w:tc>
          <w:tcPr>
            <w:tcW w:w="0" w:type="dxa"/>
            <w:vAlign w:val="bottom"/>
          </w:tcPr>
          <w:p>
            <w:pPr>
              <w:spacing w:after="0"/>
              <w:rPr>
                <w:sz w:val="1"/>
                <w:szCs w:val="1"/>
                <w:color w:val="auto"/>
              </w:rPr>
            </w:pPr>
          </w:p>
        </w:tc>
      </w:tr>
      <w:tr>
        <w:trPr>
          <w:trHeight w:val="229"/>
        </w:trPr>
        <w:tc>
          <w:tcPr>
            <w:tcW w:w="80" w:type="dxa"/>
            <w:vAlign w:val="bottom"/>
            <w:tcBorders>
              <w:right w:val="single" w:sz="8" w:color="CCEEFF"/>
            </w:tcBorders>
          </w:tcPr>
          <w:p>
            <w:pPr>
              <w:spacing w:after="0"/>
              <w:rPr>
                <w:sz w:val="19"/>
                <w:szCs w:val="19"/>
                <w:color w:val="auto"/>
              </w:rPr>
            </w:pPr>
          </w:p>
        </w:tc>
        <w:tc>
          <w:tcPr>
            <w:tcW w:w="468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35,360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18,344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40,094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104,363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7"/>
                <w:szCs w:val="17"/>
                <w:color w:val="auto"/>
              </w:rPr>
              <w:t>68,533</w:t>
            </w:r>
          </w:p>
        </w:tc>
        <w:tc>
          <w:tcPr>
            <w:tcW w:w="0" w:type="dxa"/>
            <w:vAlign w:val="bottom"/>
          </w:tcPr>
          <w:p>
            <w:pPr>
              <w:spacing w:after="0"/>
              <w:rPr>
                <w:sz w:val="1"/>
                <w:szCs w:val="1"/>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w w:val="97"/>
              </w:rPr>
              <w:t>Foreign exchange gain, interest expense and 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8,865</w:t>
            </w:r>
          </w:p>
        </w:tc>
        <w:tc>
          <w:tcPr>
            <w:tcW w:w="0" w:type="dxa"/>
            <w:vAlign w:val="bottom"/>
          </w:tcPr>
          <w:p>
            <w:pPr>
              <w:spacing w:after="0"/>
              <w:rPr>
                <w:sz w:val="1"/>
                <w:szCs w:val="1"/>
                <w:color w:val="auto"/>
              </w:rPr>
            </w:pPr>
          </w:p>
        </w:tc>
      </w:tr>
      <w:tr>
        <w:trPr>
          <w:trHeight w:val="212"/>
        </w:trPr>
        <w:tc>
          <w:tcPr>
            <w:tcW w:w="80" w:type="dxa"/>
            <w:vAlign w:val="bottom"/>
            <w:tcBorders>
              <w:right w:val="single" w:sz="8" w:color="CCEEFF"/>
            </w:tcBorders>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Gain from equity-method investment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28,021</w:t>
            </w: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7"/>
                <w:szCs w:val="17"/>
                <w:color w:val="auto"/>
              </w:rPr>
              <w:t xml:space="preserve"> Exclusive of depreciation and amortization expense.</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7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13"/>
          </w:tcPr>
          <w:p>
            <w:pPr>
              <w:ind w:left="760"/>
              <w:spacing w:after="0"/>
              <w:rPr>
                <w:sz w:val="20"/>
                <w:szCs w:val="20"/>
                <w:color w:val="auto"/>
              </w:rPr>
            </w:pPr>
            <w:r>
              <w:rPr>
                <w:rFonts w:ascii="Arial" w:cs="Arial" w:eastAsia="Arial" w:hAnsi="Arial"/>
                <w:sz w:val="13"/>
                <w:szCs w:val="13"/>
                <w:b w:val="1"/>
                <w:bCs w:val="1"/>
                <w:color w:val="auto"/>
              </w:rPr>
              <w:t>Three months ended June 30, 2020</w:t>
            </w: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w w:val="92"/>
              </w:rPr>
              <w:t>Insurance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w w:val="96"/>
              </w:rPr>
              <w:t>Healthcare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line="172" w:lineRule="exact"/>
              <w:rPr>
                <w:sz w:val="20"/>
                <w:szCs w:val="20"/>
                <w:color w:val="auto"/>
              </w:rPr>
            </w:pPr>
            <w:r>
              <w:rPr>
                <w:rFonts w:ascii="Arial" w:cs="Arial" w:eastAsia="Arial" w:hAnsi="Arial"/>
                <w:sz w:val="17"/>
                <w:szCs w:val="17"/>
                <w:b w:val="1"/>
                <w:bCs w:val="1"/>
                <w:color w:val="auto"/>
              </w:rPr>
              <w:t>Emerging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Analytics</w:t>
            </w:r>
          </w:p>
        </w:tc>
        <w:tc>
          <w:tcPr>
            <w:tcW w:w="60" w:type="dxa"/>
            <w:vAlign w:val="bottom"/>
            <w:vMerge w:val="restart"/>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29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b w:val="1"/>
                <w:bCs w:val="1"/>
                <w:color w:val="auto"/>
              </w:rPr>
              <w:t>Business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81,281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24,978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34,535</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81,679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222,473</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59,113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19,640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22,416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57,232</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158,401</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468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22,168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5,338</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12,119</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64,072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0" w:type="dxa"/>
            <w:vAlign w:val="bottom"/>
          </w:tcPr>
          <w:p>
            <w:pPr>
              <w:spacing w:after="0"/>
              <w:rPr>
                <w:sz w:val="15"/>
                <w:szCs w:val="15"/>
                <w:color w:val="auto"/>
              </w:rPr>
            </w:pPr>
          </w:p>
        </w:tc>
        <w:tc>
          <w:tcPr>
            <w:tcW w:w="4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7"/>
                <w:szCs w:val="17"/>
                <w:color w:val="auto"/>
              </w:rPr>
              <w:t>54,206</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Foreign exchange gain, interest expense and 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2,701</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4,072</w:t>
            </w:r>
          </w:p>
        </w:tc>
        <w:tc>
          <w:tcPr>
            <w:tcW w:w="0" w:type="dxa"/>
            <w:vAlign w:val="bottom"/>
          </w:tcPr>
          <w:p>
            <w:pPr>
              <w:spacing w:after="0"/>
              <w:rPr>
                <w:sz w:val="1"/>
                <w:szCs w:val="1"/>
                <w:color w:val="auto"/>
              </w:rPr>
            </w:pPr>
          </w:p>
        </w:tc>
      </w:tr>
      <w:tr>
        <w:trPr>
          <w:trHeight w:val="212"/>
        </w:trPr>
        <w:tc>
          <w:tcPr>
            <w:tcW w:w="80" w:type="dxa"/>
            <w:vAlign w:val="bottom"/>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equity-method investment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4680" w:type="dxa"/>
            <w:vAlign w:val="bottom"/>
          </w:tcPr>
          <w:p>
            <w:pPr>
              <w:ind w:left="20"/>
              <w:spacing w:after="0" w:line="192" w:lineRule="exact"/>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8,429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jc w:val="right"/>
        <w:ind w:right="24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99" w:lineRule="exact"/>
        <w:rPr>
          <w:sz w:val="20"/>
          <w:szCs w:val="20"/>
          <w:color w:val="auto"/>
        </w:rPr>
      </w:pPr>
    </w:p>
    <w:p>
      <w:pPr>
        <w:ind w:left="180" w:hanging="180"/>
        <w:spacing w:after="0"/>
        <w:tabs>
          <w:tab w:leader="none" w:pos="180" w:val="left"/>
        </w:tabs>
        <w:numPr>
          <w:ilvl w:val="0"/>
          <w:numId w:val="4"/>
        </w:numPr>
        <w:rPr>
          <w:rFonts w:ascii="Arial" w:cs="Arial" w:eastAsia="Arial" w:hAnsi="Arial"/>
          <w:sz w:val="22"/>
          <w:szCs w:val="22"/>
          <w:color w:val="auto"/>
          <w:vertAlign w:val="superscript"/>
        </w:rPr>
      </w:pPr>
      <w:r>
        <w:rPr>
          <w:rFonts w:ascii="Arial" w:cs="Arial" w:eastAsia="Arial" w:hAnsi="Arial"/>
          <w:sz w:val="15"/>
          <w:szCs w:val="15"/>
          <w:color w:val="auto"/>
        </w:rPr>
        <w:t>Exclusive of depreciation and amortization expense.</w:t>
      </w:r>
    </w:p>
    <w:p>
      <w:pPr>
        <w:spacing w:after="0" w:line="212" w:lineRule="exact"/>
        <w:rPr>
          <w:sz w:val="20"/>
          <w:szCs w:val="20"/>
          <w:color w:val="auto"/>
        </w:rPr>
      </w:pPr>
    </w:p>
    <w:p>
      <w:pPr>
        <w:ind w:right="2940" w:firstLine="299"/>
        <w:spacing w:after="0" w:line="265" w:lineRule="auto"/>
        <w:rPr>
          <w:sz w:val="20"/>
          <w:szCs w:val="20"/>
          <w:color w:val="auto"/>
        </w:rPr>
      </w:pPr>
      <w:r>
        <w:rPr>
          <w:rFonts w:ascii="Arial" w:cs="Arial" w:eastAsia="Arial" w:hAnsi="Arial"/>
          <w:sz w:val="17"/>
          <w:szCs w:val="17"/>
          <w:color w:val="auto"/>
        </w:rPr>
        <w:t>Revenues and cost of revenues for the six months ended June 30, 2021 and 2020,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137795</wp:posOffset>
            </wp:positionV>
            <wp:extent cx="428434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4345" cy="762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Revenues, net</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expenses</w:t>
      </w:r>
    </w:p>
    <w:p>
      <w:pPr>
        <w:spacing w:after="0" w:line="27" w:lineRule="exact"/>
        <w:rPr>
          <w:sz w:val="20"/>
          <w:szCs w:val="20"/>
          <w:color w:val="auto"/>
        </w:rPr>
      </w:pPr>
    </w:p>
    <w:p>
      <w:pPr>
        <w:ind w:left="20"/>
        <w:spacing w:after="0" w:line="260" w:lineRule="auto"/>
        <w:rPr>
          <w:sz w:val="20"/>
          <w:szCs w:val="20"/>
          <w:color w:val="auto"/>
        </w:rPr>
      </w:pPr>
      <w:r>
        <w:rPr>
          <w:rFonts w:ascii="Arial" w:cs="Arial" w:eastAsia="Arial" w:hAnsi="Arial"/>
          <w:sz w:val="17"/>
          <w:szCs w:val="17"/>
          <w:color w:val="auto"/>
        </w:rPr>
        <w:t>Foreign exchange gain, interest expense and other income, net Income tax expense</w:t>
      </w:r>
    </w:p>
    <w:p>
      <w:pPr>
        <w:spacing w:after="0" w:line="1" w:lineRule="exact"/>
        <w:rPr>
          <w:sz w:val="20"/>
          <w:szCs w:val="20"/>
          <w:color w:val="auto"/>
        </w:rPr>
      </w:pPr>
    </w:p>
    <w:p>
      <w:pPr>
        <w:ind w:left="20" w:right="1680"/>
        <w:spacing w:after="0" w:line="280" w:lineRule="auto"/>
        <w:rPr>
          <w:sz w:val="20"/>
          <w:szCs w:val="20"/>
          <w:color w:val="auto"/>
        </w:rPr>
      </w:pPr>
      <w:r>
        <w:rPr>
          <w:rFonts w:ascii="Arial" w:cs="Arial" w:eastAsia="Arial" w:hAnsi="Arial"/>
          <w:sz w:val="17"/>
          <w:szCs w:val="17"/>
          <w:color w:val="auto"/>
        </w:rPr>
        <w:t>Loss from equity-method investment Net income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2480"/>
        <w:spacing w:after="0"/>
        <w:rPr>
          <w:sz w:val="20"/>
          <w:szCs w:val="20"/>
          <w:color w:val="auto"/>
        </w:rPr>
      </w:pPr>
      <w:r>
        <w:rPr>
          <w:rFonts w:ascii="Arial" w:cs="Arial" w:eastAsia="Arial" w:hAnsi="Arial"/>
          <w:sz w:val="13"/>
          <w:szCs w:val="13"/>
          <w:b w:val="1"/>
          <w:bCs w:val="1"/>
          <w:color w:val="auto"/>
        </w:rPr>
        <w:t>Six months ended June 30,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7"/>
                <w:szCs w:val="17"/>
                <w:b w:val="1"/>
                <w:bCs w:val="1"/>
                <w:color w:val="auto"/>
              </w:rPr>
              <w:t>Insurance</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7"/>
                <w:szCs w:val="17"/>
                <w:b w:val="1"/>
                <w:bCs w:val="1"/>
                <w:color w:val="auto"/>
              </w:rPr>
              <w:t>Healthcare</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2"/>
          </w:tcPr>
          <w:p>
            <w:pPr>
              <w:jc w:val="center"/>
              <w:ind w:right="280"/>
              <w:spacing w:after="0" w:line="164" w:lineRule="exact"/>
              <w:rPr>
                <w:sz w:val="20"/>
                <w:szCs w:val="20"/>
                <w:color w:val="auto"/>
              </w:rPr>
            </w:pPr>
            <w:r>
              <w:rPr>
                <w:rFonts w:ascii="Arial" w:cs="Arial" w:eastAsia="Arial" w:hAnsi="Arial"/>
                <w:sz w:val="17"/>
                <w:szCs w:val="17"/>
                <w:b w:val="1"/>
                <w:bCs w:val="1"/>
                <w:color w:val="auto"/>
                <w:w w:val="91"/>
              </w:rPr>
              <w:t>Emerging</w:t>
            </w:r>
          </w:p>
        </w:tc>
        <w:tc>
          <w:tcPr>
            <w:tcW w:w="2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Arial" w:cs="Arial" w:eastAsia="Arial" w:hAnsi="Arial"/>
                <w:sz w:val="17"/>
                <w:szCs w:val="17"/>
                <w:b w:val="1"/>
                <w:bCs w:val="1"/>
                <w:color w:val="auto"/>
              </w:rPr>
              <w:t>Analytics</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79"/>
              </w:rPr>
              <w:t>Business</w:t>
            </w:r>
          </w:p>
        </w:tc>
        <w:tc>
          <w:tcPr>
            <w:tcW w:w="2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185,879</w:t>
            </w:r>
          </w:p>
        </w:tc>
        <w:tc>
          <w:tcPr>
            <w:tcW w:w="8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58,515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78,358</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213,727</w:t>
            </w:r>
          </w:p>
        </w:tc>
        <w:tc>
          <w:tcPr>
            <w:tcW w:w="80" w:type="dxa"/>
            <w:vAlign w:val="bottom"/>
          </w:tcPr>
          <w:p>
            <w:pPr>
              <w:spacing w:after="0"/>
              <w:rPr>
                <w:sz w:val="17"/>
                <w:szCs w:val="17"/>
                <w:color w:val="auto"/>
              </w:rPr>
            </w:pPr>
          </w:p>
        </w:tc>
        <w:tc>
          <w:tcPr>
            <w:tcW w:w="28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536,479</w:t>
            </w:r>
          </w:p>
        </w:tc>
        <w:tc>
          <w:tcPr>
            <w:tcW w:w="0" w:type="dxa"/>
            <w:vAlign w:val="bottom"/>
          </w:tcPr>
          <w:p>
            <w:pPr>
              <w:spacing w:after="0"/>
              <w:rPr>
                <w:sz w:val="1"/>
                <w:szCs w:val="1"/>
                <w:color w:val="auto"/>
              </w:rPr>
            </w:pPr>
          </w:p>
        </w:tc>
      </w:tr>
      <w:tr>
        <w:trPr>
          <w:trHeight w:val="212"/>
        </w:trPr>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115,452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43,190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135,804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329,522</w:t>
            </w:r>
          </w:p>
        </w:tc>
        <w:tc>
          <w:tcPr>
            <w:tcW w:w="0" w:type="dxa"/>
            <w:vAlign w:val="bottom"/>
          </w:tcPr>
          <w:p>
            <w:pPr>
              <w:spacing w:after="0"/>
              <w:rPr>
                <w:sz w:val="1"/>
                <w:szCs w:val="1"/>
                <w:color w:val="auto"/>
              </w:rPr>
            </w:pPr>
          </w:p>
        </w:tc>
      </w:tr>
      <w:tr>
        <w:trPr>
          <w:trHeight w:val="204"/>
        </w:trPr>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70,427</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35,168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77,923</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206,957</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129,572</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17,823</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59,952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-2856865</wp:posOffset>
            </wp:positionH>
            <wp:positionV relativeFrom="paragraph">
              <wp:posOffset>-1163320</wp:posOffset>
            </wp:positionV>
            <wp:extent cx="7142480" cy="142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14224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-886460</wp:posOffset>
            </wp:positionV>
            <wp:extent cx="7142480" cy="158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158115"/>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-577215</wp:posOffset>
            </wp:positionV>
            <wp:extent cx="7142480"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134620"/>
                    </a:xfrm>
                    <a:prstGeom prst="rect">
                      <a:avLst/>
                    </a:prstGeom>
                    <a:noFill/>
                  </pic:spPr>
                </pic:pic>
              </a:graphicData>
            </a:graphic>
          </wp:anchor>
        </w:drawing>
        <w:drawing>
          <wp:anchor simplePos="0" relativeHeight="251657728" behindDoc="1" locked="0" layoutInCell="0" allowOverlap="1">
            <wp:simplePos x="0" y="0"/>
            <wp:positionH relativeFrom="column">
              <wp:posOffset>-2856865</wp:posOffset>
            </wp:positionH>
            <wp:positionV relativeFrom="paragraph">
              <wp:posOffset>-307975</wp:posOffset>
            </wp:positionV>
            <wp:extent cx="7142480" cy="13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134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340"/>
            <w:col w:w="6740"/>
          </w:cols>
          <w:pgMar w:left="320" w:top="123" w:right="339" w:bottom="1440" w:gutter="0" w:footer="0" w:header="0"/>
          <w:type w:val="continuous"/>
        </w:sectPr>
      </w:pP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7"/>
          <w:szCs w:val="17"/>
          <w:color w:val="auto"/>
        </w:rPr>
        <w:t xml:space="preserve"> Exclusive of depreciation and amortization expense.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2880" w:type="dxa"/>
            <w:vAlign w:val="bottom"/>
            <w:tcBorders>
              <w:top w:val="single" w:sz="8" w:color="auto"/>
              <w:bottom w:val="single" w:sz="8" w:color="auto"/>
            </w:tcBorders>
            <w:gridSpan w:val="5"/>
          </w:tcPr>
          <w:p>
            <w:pPr>
              <w:ind w:left="1040"/>
              <w:spacing w:after="0"/>
              <w:rPr>
                <w:sz w:val="20"/>
                <w:szCs w:val="20"/>
                <w:color w:val="auto"/>
              </w:rPr>
            </w:pPr>
            <w:r>
              <w:rPr>
                <w:rFonts w:ascii="Arial" w:cs="Arial" w:eastAsia="Arial" w:hAnsi="Arial"/>
                <w:sz w:val="13"/>
                <w:szCs w:val="13"/>
                <w:b w:val="1"/>
                <w:bCs w:val="1"/>
                <w:color w:val="auto"/>
                <w:w w:val="90"/>
              </w:rPr>
              <w:t>Six months ended June 30, 2020</w:t>
            </w:r>
          </w:p>
        </w:tc>
        <w:tc>
          <w:tcPr>
            <w:tcW w:w="1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4"/>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ind w:left="100"/>
              <w:spacing w:after="0"/>
              <w:rPr>
                <w:sz w:val="20"/>
                <w:szCs w:val="20"/>
                <w:color w:val="auto"/>
              </w:rPr>
            </w:pPr>
            <w:r>
              <w:rPr>
                <w:rFonts w:ascii="Arial" w:cs="Arial" w:eastAsia="Arial" w:hAnsi="Arial"/>
                <w:sz w:val="17"/>
                <w:szCs w:val="17"/>
                <w:b w:val="1"/>
                <w:bCs w:val="1"/>
                <w:color w:val="auto"/>
              </w:rPr>
              <w:t>Insurance</w:t>
            </w:r>
          </w:p>
        </w:tc>
        <w:tc>
          <w:tcPr>
            <w:tcW w:w="18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Healthcare</w:t>
            </w:r>
          </w:p>
        </w:tc>
        <w:tc>
          <w:tcPr>
            <w:tcW w:w="1600" w:type="dxa"/>
            <w:vAlign w:val="bottom"/>
            <w:gridSpan w:val="3"/>
          </w:tcPr>
          <w:p>
            <w:pPr>
              <w:ind w:left="80"/>
              <w:spacing w:after="0"/>
              <w:rPr>
                <w:sz w:val="20"/>
                <w:szCs w:val="20"/>
                <w:color w:val="auto"/>
              </w:rPr>
            </w:pPr>
            <w:r>
              <w:rPr>
                <w:rFonts w:ascii="Arial" w:cs="Arial" w:eastAsia="Arial" w:hAnsi="Arial"/>
                <w:sz w:val="17"/>
                <w:szCs w:val="17"/>
                <w:b w:val="1"/>
                <w:bCs w:val="1"/>
                <w:color w:val="auto"/>
                <w:w w:val="94"/>
              </w:rPr>
              <w:t>Emerging Business</w:t>
            </w:r>
          </w:p>
        </w:tc>
        <w:tc>
          <w:tcPr>
            <w:tcW w:w="180" w:type="dxa"/>
            <w:vAlign w:val="bottom"/>
          </w:tcPr>
          <w:p>
            <w:pPr>
              <w:spacing w:after="0"/>
              <w:rPr>
                <w:sz w:val="24"/>
                <w:szCs w:val="24"/>
                <w:color w:val="auto"/>
              </w:rPr>
            </w:pPr>
          </w:p>
        </w:tc>
        <w:tc>
          <w:tcPr>
            <w:tcW w:w="1120" w:type="dxa"/>
            <w:vAlign w:val="bottom"/>
            <w:gridSpan w:val="2"/>
          </w:tcPr>
          <w:p>
            <w:pPr>
              <w:ind w:left="100"/>
              <w:spacing w:after="0"/>
              <w:rPr>
                <w:sz w:val="20"/>
                <w:szCs w:val="20"/>
                <w:color w:val="auto"/>
              </w:rPr>
            </w:pPr>
            <w:r>
              <w:rPr>
                <w:rFonts w:ascii="Arial" w:cs="Arial" w:eastAsia="Arial" w:hAnsi="Arial"/>
                <w:sz w:val="17"/>
                <w:szCs w:val="17"/>
                <w:b w:val="1"/>
                <w:bCs w:val="1"/>
                <w:color w:val="auto"/>
              </w:rPr>
              <w:t>Analytics</w:t>
            </w:r>
          </w:p>
        </w:tc>
        <w:tc>
          <w:tcPr>
            <w:tcW w:w="280" w:type="dxa"/>
            <w:vAlign w:val="bottom"/>
          </w:tcPr>
          <w:p>
            <w:pPr>
              <w:spacing w:after="0"/>
              <w:rPr>
                <w:sz w:val="24"/>
                <w:szCs w:val="24"/>
                <w:color w:val="auto"/>
              </w:rPr>
            </w:pPr>
          </w:p>
        </w:tc>
        <w:tc>
          <w:tcPr>
            <w:tcW w:w="980" w:type="dxa"/>
            <w:vAlign w:val="bottom"/>
          </w:tcPr>
          <w:p>
            <w:pPr>
              <w:jc w:val="right"/>
              <w:ind w:right="35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4"/>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52,007</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77,326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174,110</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468,463</w:t>
            </w:r>
          </w:p>
        </w:tc>
        <w:tc>
          <w:tcPr>
            <w:tcW w:w="0" w:type="dxa"/>
            <w:vAlign w:val="bottom"/>
          </w:tcPr>
          <w:p>
            <w:pPr>
              <w:spacing w:after="0"/>
              <w:rPr>
                <w:sz w:val="1"/>
                <w:szCs w:val="1"/>
                <w:color w:val="auto"/>
              </w:rPr>
            </w:pPr>
          </w:p>
        </w:tc>
      </w:tr>
      <w:tr>
        <w:trPr>
          <w:trHeight w:val="212"/>
        </w:trPr>
        <w:tc>
          <w:tcPr>
            <w:tcW w:w="422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6"/>
                <w:szCs w:val="16"/>
                <w:color w:val="auto"/>
              </w:rPr>
              <w:t>Cost of revenues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39,233</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47,898</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115,848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321,057</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shd w:val="clear" w:color="auto" w:fill="CCEEFF"/>
          </w:tcPr>
          <w:p>
            <w:pPr>
              <w:ind w:left="20"/>
              <w:spacing w:after="0" w:line="205" w:lineRule="exact"/>
              <w:rPr>
                <w:sz w:val="20"/>
                <w:szCs w:val="20"/>
                <w:color w:val="auto"/>
              </w:rPr>
            </w:pPr>
            <w:r>
              <w:rPr>
                <w:rFonts w:ascii="Arial" w:cs="Arial" w:eastAsia="Arial" w:hAnsi="Arial"/>
                <w:sz w:val="17"/>
                <w:szCs w:val="17"/>
                <w:color w:val="auto"/>
              </w:rPr>
              <w:t>Gross profit</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12,774</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29,428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58,262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147,406</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Operating expenses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7"/>
                <w:szCs w:val="17"/>
                <w:color w:val="auto"/>
              </w:rPr>
              <w:t>110,053</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7"/>
              </w:rPr>
              <w:t>Foreign exchange gain, interest expense and other income, net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3,535</w:t>
            </w:r>
          </w:p>
        </w:tc>
        <w:tc>
          <w:tcPr>
            <w:tcW w:w="0" w:type="dxa"/>
            <w:vAlign w:val="bottom"/>
          </w:tcPr>
          <w:p>
            <w:pPr>
              <w:spacing w:after="0"/>
              <w:rPr>
                <w:sz w:val="1"/>
                <w:szCs w:val="1"/>
                <w:color w:val="auto"/>
              </w:rPr>
            </w:pPr>
          </w:p>
        </w:tc>
      </w:tr>
      <w:tr>
        <w:trPr>
          <w:trHeight w:val="212"/>
        </w:trPr>
        <w:tc>
          <w:tcPr>
            <w:tcW w:w="42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9,927</w:t>
            </w:r>
          </w:p>
        </w:tc>
        <w:tc>
          <w:tcPr>
            <w:tcW w:w="0" w:type="dxa"/>
            <w:vAlign w:val="bottom"/>
          </w:tcPr>
          <w:p>
            <w:pPr>
              <w:spacing w:after="0"/>
              <w:rPr>
                <w:sz w:val="1"/>
                <w:szCs w:val="1"/>
                <w:color w:val="auto"/>
              </w:rPr>
            </w:pPr>
          </w:p>
        </w:tc>
      </w:tr>
      <w:tr>
        <w:trPr>
          <w:trHeight w:val="212"/>
        </w:trPr>
        <w:tc>
          <w:tcPr>
            <w:tcW w:w="4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equity-method investment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4"/>
        </w:trPr>
        <w:tc>
          <w:tcPr>
            <w:tcW w:w="4220" w:type="dxa"/>
            <w:vAlign w:val="bottom"/>
          </w:tcPr>
          <w:p>
            <w:pPr>
              <w:ind w:left="20"/>
              <w:spacing w:after="0" w:line="192" w:lineRule="exact"/>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30,840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left="380" w:right="7580" w:hanging="380"/>
        <w:spacing w:after="0" w:line="422" w:lineRule="auto"/>
        <w:tabs>
          <w:tab w:leader="none" w:pos="186" w:val="left"/>
        </w:tabs>
        <w:numPr>
          <w:ilvl w:val="0"/>
          <w:numId w:val="5"/>
        </w:numPr>
        <w:rPr>
          <w:rFonts w:ascii="Arial" w:cs="Arial" w:eastAsia="Arial" w:hAnsi="Arial"/>
          <w:sz w:val="22"/>
          <w:szCs w:val="22"/>
          <w:color w:val="auto"/>
          <w:vertAlign w:val="superscript"/>
        </w:rPr>
      </w:pPr>
      <w:r>
        <w:rPr>
          <w:rFonts w:ascii="Arial" w:cs="Arial" w:eastAsia="Arial" w:hAnsi="Arial"/>
          <w:sz w:val="15"/>
          <w:szCs w:val="15"/>
          <w:color w:val="auto"/>
        </w:rPr>
        <w:t>Exclusive of depreciation and amortization expense. Revenues, net by service type, were as follows:</w:t>
      </w:r>
    </w:p>
    <w:tbl>
      <w:tblPr>
        <w:tblLayout w:type="fixed"/>
        <w:tblInd w:w="64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20" w:type="dxa"/>
            <w:vAlign w:val="bottom"/>
            <w:gridSpan w:val="5"/>
            <w:shd w:val="clear" w:color="auto" w:fill="CCEEFF"/>
          </w:tcPr>
          <w:p>
            <w:pPr>
              <w:ind w:left="260"/>
              <w:spacing w:after="0"/>
              <w:rPr>
                <w:sz w:val="20"/>
                <w:szCs w:val="20"/>
                <w:color w:val="auto"/>
              </w:rPr>
            </w:pPr>
            <w:r>
              <w:rPr>
                <w:rFonts w:ascii="Arial" w:cs="Arial" w:eastAsia="Arial" w:hAnsi="Arial"/>
                <w:sz w:val="13"/>
                <w:szCs w:val="13"/>
                <w:b w:val="1"/>
                <w:bCs w:val="1"/>
                <w:color w:val="auto"/>
              </w:rPr>
              <w:t>Three months ended June 30,</w:t>
            </w:r>
          </w:p>
        </w:tc>
        <w:tc>
          <w:tcPr>
            <w:tcW w:w="300" w:type="dxa"/>
            <w:vAlign w:val="bottom"/>
            <w:shd w:val="clear" w:color="auto" w:fill="CCEEFF"/>
          </w:tcPr>
          <w:p>
            <w:pPr>
              <w:spacing w:after="0"/>
              <w:rPr>
                <w:sz w:val="15"/>
                <w:szCs w:val="15"/>
                <w:color w:val="auto"/>
              </w:rPr>
            </w:pPr>
          </w:p>
        </w:tc>
        <w:tc>
          <w:tcPr>
            <w:tcW w:w="2420" w:type="dxa"/>
            <w:vAlign w:val="bottom"/>
            <w:gridSpan w:val="4"/>
            <w:shd w:val="clear" w:color="auto" w:fill="CCEEFF"/>
          </w:tcPr>
          <w:p>
            <w:pPr>
              <w:jc w:val="right"/>
              <w:ind w:right="541"/>
              <w:spacing w:after="0"/>
              <w:rPr>
                <w:sz w:val="20"/>
                <w:szCs w:val="20"/>
                <w:color w:val="auto"/>
              </w:rPr>
            </w:pPr>
            <w:r>
              <w:rPr>
                <w:rFonts w:ascii="Arial" w:cs="Arial" w:eastAsia="Arial" w:hAnsi="Arial"/>
                <w:sz w:val="13"/>
                <w:szCs w:val="13"/>
                <w:b w:val="1"/>
                <w:bCs w:val="1"/>
                <w:color w:val="auto"/>
              </w:rPr>
              <w:t>Six months ended June 30,</w:t>
            </w:r>
          </w:p>
        </w:tc>
      </w:tr>
      <w:tr>
        <w:trPr>
          <w:trHeight w:val="166"/>
        </w:trPr>
        <w:tc>
          <w:tcPr>
            <w:tcW w:w="4300" w:type="dxa"/>
            <w:vAlign w:val="bottom"/>
            <w:tcBorders>
              <w:bottom w:val="single" w:sz="8" w:color="CCEEFF"/>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2020</w:t>
            </w:r>
          </w:p>
        </w:tc>
      </w:tr>
      <w:tr>
        <w:trPr>
          <w:trHeight w:val="206"/>
        </w:trPr>
        <w:tc>
          <w:tcPr>
            <w:tcW w:w="4300" w:type="dxa"/>
            <w:vAlign w:val="bottom"/>
            <w:shd w:val="clear" w:color="auto" w:fill="CCEEFF"/>
          </w:tcPr>
          <w:p>
            <w:pPr>
              <w:spacing w:after="0" w:line="206" w:lineRule="exact"/>
              <w:rPr>
                <w:sz w:val="20"/>
                <w:szCs w:val="20"/>
                <w:color w:val="auto"/>
              </w:rPr>
            </w:pPr>
            <w:r>
              <w:rPr>
                <w:rFonts w:ascii="Arial" w:cs="Arial" w:eastAsia="Arial" w:hAnsi="Arial"/>
                <w:sz w:val="17"/>
                <w:szCs w:val="17"/>
                <w:color w:val="auto"/>
              </w:rPr>
              <w:t>BPM and related services</w:t>
            </w:r>
            <w:r>
              <w:rPr>
                <w:rFonts w:ascii="Arial" w:cs="Arial" w:eastAsia="Arial" w:hAnsi="Arial"/>
                <w:sz w:val="21"/>
                <w:szCs w:val="21"/>
                <w:color w:val="auto"/>
                <w:vertAlign w:val="superscript"/>
              </w:rPr>
              <w:t>(1)</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163,659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140,794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322,752</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294,353</w:t>
            </w:r>
          </w:p>
        </w:tc>
      </w:tr>
      <w:tr>
        <w:trPr>
          <w:trHeight w:val="212"/>
        </w:trPr>
        <w:tc>
          <w:tcPr>
            <w:tcW w:w="43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Analytics services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111,405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81,679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213,727</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174,110</w:t>
            </w:r>
          </w:p>
        </w:tc>
      </w:tr>
      <w:tr>
        <w:trPr>
          <w:trHeight w:val="229"/>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Revenues, net</w:t>
            </w:r>
          </w:p>
        </w:tc>
        <w:tc>
          <w:tcPr>
            <w:tcW w:w="3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275,064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222,473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536,479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468,463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firstLine="374"/>
        <w:spacing w:after="0" w:line="196" w:lineRule="auto"/>
        <w:tabs>
          <w:tab w:leader="none" w:pos="582"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BPM and related services include revenues of the Company's Insurance, Healthcare and Emerging Business reportable segments. Refer to the reportable segment disclosure above.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3" w:name="page14"/>
    <w:bookmarkEnd w:id="1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attributes the revenues to regions based upon the location of its customers.</w:t>
      </w:r>
    </w:p>
    <w:p>
      <w:pPr>
        <w:spacing w:after="0" w:line="121" w:lineRule="exact"/>
        <w:rPr>
          <w:sz w:val="20"/>
          <w:szCs w:val="20"/>
          <w:color w:val="auto"/>
        </w:rPr>
      </w:pPr>
    </w:p>
    <w:tbl>
      <w:tblPr>
        <w:tblLayout w:type="fixed"/>
        <w:tblInd w:w="720" w:type="dxa"/>
        <w:tblCellMar>
          <w:top w:w="0" w:type="dxa"/>
          <w:left w:w="0" w:type="dxa"/>
          <w:bottom w:w="0" w:type="dxa"/>
          <w:right w:w="0" w:type="dxa"/>
        </w:tblCellMar>
      </w:tblPr>
      <w:tr>
        <w:trPr>
          <w:trHeight w:val="177"/>
        </w:trPr>
        <w:tc>
          <w:tcPr>
            <w:tcW w:w="3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0" w:type="dxa"/>
            <w:vAlign w:val="bottom"/>
            <w:gridSpan w:val="5"/>
          </w:tcPr>
          <w:p>
            <w:pPr>
              <w:ind w:left="360"/>
              <w:spacing w:after="0"/>
              <w:rPr>
                <w:sz w:val="20"/>
                <w:szCs w:val="20"/>
                <w:color w:val="auto"/>
              </w:rPr>
            </w:pPr>
            <w:r>
              <w:rPr>
                <w:rFonts w:ascii="Arial" w:cs="Arial" w:eastAsia="Arial" w:hAnsi="Arial"/>
                <w:sz w:val="13"/>
                <w:szCs w:val="13"/>
                <w:b w:val="1"/>
                <w:bCs w:val="1"/>
                <w:color w:val="auto"/>
              </w:rPr>
              <w:t>Three months ended June 30,</w:t>
            </w:r>
          </w:p>
        </w:tc>
        <w:tc>
          <w:tcPr>
            <w:tcW w:w="660" w:type="dxa"/>
            <w:vAlign w:val="bottom"/>
          </w:tcPr>
          <w:p>
            <w:pPr>
              <w:spacing w:after="0"/>
              <w:rPr>
                <w:sz w:val="15"/>
                <w:szCs w:val="15"/>
                <w:color w:val="auto"/>
              </w:rPr>
            </w:pPr>
          </w:p>
        </w:tc>
        <w:tc>
          <w:tcPr>
            <w:tcW w:w="2660" w:type="dxa"/>
            <w:vAlign w:val="bottom"/>
            <w:gridSpan w:val="4"/>
          </w:tcPr>
          <w:p>
            <w:pPr>
              <w:jc w:val="right"/>
              <w:ind w:right="640"/>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340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3"/>
                <w:szCs w:val="13"/>
                <w:b w:val="1"/>
                <w:bCs w:val="1"/>
                <w:color w:val="auto"/>
              </w:rPr>
              <w:t>2020</w:t>
            </w:r>
          </w:p>
        </w:tc>
      </w:tr>
      <w:tr>
        <w:trPr>
          <w:trHeight w:val="193"/>
        </w:trPr>
        <w:tc>
          <w:tcPr>
            <w:tcW w:w="340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b w:val="1"/>
                <w:bCs w:val="1"/>
                <w:color w:val="auto"/>
              </w:rPr>
              <w:t>Revenues, net</w:t>
            </w:r>
          </w:p>
        </w:tc>
        <w:tc>
          <w:tcPr>
            <w:tcW w:w="6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12"/>
        </w:trPr>
        <w:tc>
          <w:tcPr>
            <w:tcW w:w="3400" w:type="dxa"/>
            <w:vAlign w:val="bottom"/>
          </w:tcPr>
          <w:p>
            <w:pPr>
              <w:ind w:left="380"/>
              <w:spacing w:after="0"/>
              <w:rPr>
                <w:sz w:val="20"/>
                <w:szCs w:val="20"/>
                <w:color w:val="auto"/>
              </w:rPr>
            </w:pPr>
            <w:r>
              <w:rPr>
                <w:rFonts w:ascii="Arial" w:cs="Arial" w:eastAsia="Arial" w:hAnsi="Arial"/>
                <w:sz w:val="17"/>
                <w:szCs w:val="17"/>
                <w:color w:val="auto"/>
              </w:rPr>
              <w:t>United States</w:t>
            </w:r>
          </w:p>
        </w:tc>
        <w:tc>
          <w:tcPr>
            <w:tcW w:w="6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2"/>
              <w:spacing w:after="0"/>
              <w:rPr>
                <w:sz w:val="20"/>
                <w:szCs w:val="20"/>
                <w:color w:val="auto"/>
              </w:rPr>
            </w:pPr>
            <w:r>
              <w:rPr>
                <w:rFonts w:ascii="Arial" w:cs="Arial" w:eastAsia="Arial" w:hAnsi="Arial"/>
                <w:sz w:val="17"/>
                <w:szCs w:val="17"/>
                <w:color w:val="auto"/>
              </w:rPr>
              <w:t>235,288</w:t>
            </w:r>
          </w:p>
        </w:tc>
        <w:tc>
          <w:tcPr>
            <w:tcW w:w="100" w:type="dxa"/>
            <w:vAlign w:val="bottom"/>
          </w:tcPr>
          <w:p>
            <w:pPr>
              <w:spacing w:after="0"/>
              <w:rPr>
                <w:sz w:val="18"/>
                <w:szCs w:val="18"/>
                <w:color w:val="auto"/>
              </w:rPr>
            </w:pPr>
          </w:p>
        </w:tc>
        <w:tc>
          <w:tcPr>
            <w:tcW w:w="66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189,032</w:t>
            </w:r>
          </w:p>
        </w:tc>
        <w:tc>
          <w:tcPr>
            <w:tcW w:w="8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459,656</w:t>
            </w:r>
          </w:p>
        </w:tc>
        <w:tc>
          <w:tcPr>
            <w:tcW w:w="80" w:type="dxa"/>
            <w:vAlign w:val="bottom"/>
          </w:tcPr>
          <w:p>
            <w:pPr>
              <w:spacing w:after="0"/>
              <w:rPr>
                <w:sz w:val="18"/>
                <w:szCs w:val="18"/>
                <w:color w:val="auto"/>
              </w:rPr>
            </w:pPr>
          </w:p>
        </w:tc>
        <w:tc>
          <w:tcPr>
            <w:tcW w:w="66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396,912</w:t>
            </w:r>
          </w:p>
        </w:tc>
      </w:tr>
      <w:tr>
        <w:trPr>
          <w:trHeight w:val="212"/>
        </w:trPr>
        <w:tc>
          <w:tcPr>
            <w:tcW w:w="34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Non-United States</w:t>
            </w:r>
          </w:p>
        </w:tc>
        <w:tc>
          <w:tcPr>
            <w:tcW w:w="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2"/>
        </w:trPr>
        <w:tc>
          <w:tcPr>
            <w:tcW w:w="3400" w:type="dxa"/>
            <w:vAlign w:val="bottom"/>
          </w:tcPr>
          <w:p>
            <w:pPr>
              <w:ind w:left="580"/>
              <w:spacing w:after="0"/>
              <w:rPr>
                <w:sz w:val="20"/>
                <w:szCs w:val="20"/>
                <w:color w:val="auto"/>
              </w:rPr>
            </w:pPr>
            <w:r>
              <w:rPr>
                <w:rFonts w:ascii="Arial" w:cs="Arial" w:eastAsia="Arial" w:hAnsi="Arial"/>
                <w:sz w:val="17"/>
                <w:szCs w:val="17"/>
                <w:color w:val="auto"/>
              </w:rPr>
              <w:t>United Kingdom</w:t>
            </w:r>
          </w:p>
        </w:tc>
        <w:tc>
          <w:tcPr>
            <w:tcW w:w="68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Arial" w:cs="Arial" w:eastAsia="Arial" w:hAnsi="Arial"/>
                <w:sz w:val="17"/>
                <w:szCs w:val="17"/>
                <w:color w:val="auto"/>
              </w:rPr>
              <w:t>26,175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18,830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7"/>
                <w:szCs w:val="17"/>
                <w:color w:val="auto"/>
              </w:rPr>
              <w:t>50,926</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42,108</w:t>
            </w:r>
          </w:p>
        </w:tc>
      </w:tr>
      <w:tr>
        <w:trPr>
          <w:trHeight w:val="212"/>
        </w:trPr>
        <w:tc>
          <w:tcPr>
            <w:tcW w:w="34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Rest of World</w:t>
            </w:r>
          </w:p>
        </w:tc>
        <w:tc>
          <w:tcPr>
            <w:tcW w:w="6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13,601</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14,611</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25,897</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29,443</w:t>
            </w:r>
          </w:p>
        </w:tc>
      </w:tr>
      <w:tr>
        <w:trPr>
          <w:trHeight w:val="204"/>
        </w:trPr>
        <w:tc>
          <w:tcPr>
            <w:tcW w:w="3400" w:type="dxa"/>
            <w:vAlign w:val="bottom"/>
            <w:tcBorders>
              <w:bottom w:val="single" w:sz="8" w:color="CCEEFF"/>
            </w:tcBorders>
          </w:tcPr>
          <w:p>
            <w:pPr>
              <w:ind w:left="380"/>
              <w:spacing w:after="0" w:line="192" w:lineRule="exact"/>
              <w:rPr>
                <w:sz w:val="20"/>
                <w:szCs w:val="20"/>
                <w:color w:val="auto"/>
              </w:rPr>
            </w:pPr>
            <w:r>
              <w:rPr>
                <w:rFonts w:ascii="Arial" w:cs="Arial" w:eastAsia="Arial" w:hAnsi="Arial"/>
                <w:sz w:val="17"/>
                <w:szCs w:val="17"/>
                <w:color w:val="auto"/>
              </w:rPr>
              <w:t>Total Non-United States</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39,776</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33,441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76,823</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71,551</w:t>
            </w:r>
          </w:p>
        </w:tc>
      </w:tr>
      <w:tr>
        <w:trPr>
          <w:trHeight w:val="229"/>
        </w:trPr>
        <w:tc>
          <w:tcPr>
            <w:tcW w:w="3400" w:type="dxa"/>
            <w:vAlign w:val="bottom"/>
            <w:tcBorders>
              <w:bottom w:val="single" w:sz="8" w:color="CCEEFF"/>
            </w:tcBorders>
            <w:shd w:val="clear" w:color="auto" w:fill="CCEEFF"/>
          </w:tcPr>
          <w:p>
            <w:pPr>
              <w:ind w:left="380"/>
              <w:spacing w:after="0" w:line="192" w:lineRule="exact"/>
              <w:rPr>
                <w:sz w:val="20"/>
                <w:szCs w:val="20"/>
                <w:color w:val="auto"/>
              </w:rPr>
            </w:pPr>
            <w:r>
              <w:rPr>
                <w:rFonts w:ascii="Arial" w:cs="Arial" w:eastAsia="Arial" w:hAnsi="Arial"/>
                <w:sz w:val="17"/>
                <w:szCs w:val="17"/>
                <w:color w:val="auto"/>
              </w:rPr>
              <w:t>Revenues, net</w:t>
            </w:r>
          </w:p>
        </w:tc>
        <w:tc>
          <w:tcPr>
            <w:tcW w:w="6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275,064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222,473</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536,479</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468,463</w:t>
            </w: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Long-lived assets by geographic area, which consist of property and equipment, net and operating lease right-of-use assets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As of</w:t>
            </w:r>
          </w:p>
        </w:tc>
        <w:tc>
          <w:tcPr>
            <w:tcW w:w="1440" w:type="dxa"/>
            <w:vAlign w:val="bottom"/>
            <w:tcBorders>
              <w:bottom w:val="single" w:sz="8" w:color="auto"/>
            </w:tcBorders>
          </w:tcPr>
          <w:p>
            <w:pPr>
              <w:spacing w:after="0"/>
              <w:rPr>
                <w:sz w:val="15"/>
                <w:szCs w:val="15"/>
                <w:color w:val="auto"/>
              </w:rPr>
            </w:pPr>
          </w:p>
        </w:tc>
      </w:tr>
      <w:tr>
        <w:trPr>
          <w:trHeight w:val="171"/>
        </w:trPr>
        <w:tc>
          <w:tcPr>
            <w:tcW w:w="7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2"/>
          </w:tcPr>
          <w:p>
            <w:pPr>
              <w:ind w:left="180"/>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Pr>
          <w:p>
            <w:pPr>
              <w:spacing w:after="0"/>
              <w:rPr>
                <w:sz w:val="14"/>
                <w:szCs w:val="14"/>
                <w:color w:val="auto"/>
              </w:rPr>
            </w:pPr>
          </w:p>
        </w:tc>
        <w:tc>
          <w:tcPr>
            <w:tcW w:w="1440" w:type="dxa"/>
            <w:vAlign w:val="bottom"/>
          </w:tcPr>
          <w:p>
            <w:pPr>
              <w:jc w:val="right"/>
              <w:ind w:right="200"/>
              <w:spacing w:after="0"/>
              <w:rPr>
                <w:sz w:val="20"/>
                <w:szCs w:val="20"/>
                <w:color w:val="auto"/>
              </w:rPr>
            </w:pPr>
            <w:r>
              <w:rPr>
                <w:rFonts w:ascii="Arial" w:cs="Arial" w:eastAsia="Arial" w:hAnsi="Arial"/>
                <w:sz w:val="13"/>
                <w:szCs w:val="13"/>
                <w:b w:val="1"/>
                <w:bCs w:val="1"/>
                <w:color w:val="auto"/>
                <w:w w:val="97"/>
              </w:rPr>
              <w:t>December 31, 2020</w:t>
            </w:r>
          </w:p>
        </w:tc>
      </w:tr>
      <w:tr>
        <w:trPr>
          <w:trHeight w:val="193"/>
        </w:trPr>
        <w:tc>
          <w:tcPr>
            <w:tcW w:w="730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Long-lived assets</w:t>
            </w:r>
          </w:p>
        </w:tc>
        <w:tc>
          <w:tcPr>
            <w:tcW w:w="2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r>
      <w:tr>
        <w:trPr>
          <w:trHeight w:val="212"/>
        </w:trPr>
        <w:tc>
          <w:tcPr>
            <w:tcW w:w="7300" w:type="dxa"/>
            <w:vAlign w:val="bottom"/>
          </w:tcPr>
          <w:p>
            <w:pPr>
              <w:ind w:left="20"/>
              <w:spacing w:after="0"/>
              <w:rPr>
                <w:sz w:val="20"/>
                <w:szCs w:val="20"/>
                <w:color w:val="auto"/>
              </w:rPr>
            </w:pPr>
            <w:r>
              <w:rPr>
                <w:rFonts w:ascii="Arial" w:cs="Arial" w:eastAsia="Arial" w:hAnsi="Arial"/>
                <w:sz w:val="17"/>
                <w:szCs w:val="17"/>
                <w:color w:val="auto"/>
              </w:rPr>
              <w:t>India</w:t>
            </w: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2"/>
              <w:spacing w:after="0"/>
              <w:rPr>
                <w:sz w:val="20"/>
                <w:szCs w:val="20"/>
                <w:color w:val="auto"/>
              </w:rPr>
            </w:pPr>
            <w:r>
              <w:rPr>
                <w:rFonts w:ascii="Arial" w:cs="Arial" w:eastAsia="Arial" w:hAnsi="Arial"/>
                <w:sz w:val="17"/>
                <w:szCs w:val="17"/>
                <w:color w:val="auto"/>
              </w:rPr>
              <w:t>87,234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97,261</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46,965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46,659</w:t>
            </w:r>
          </w:p>
        </w:tc>
      </w:tr>
      <w:tr>
        <w:trPr>
          <w:trHeight w:val="212"/>
        </w:trPr>
        <w:tc>
          <w:tcPr>
            <w:tcW w:w="7300" w:type="dxa"/>
            <w:vAlign w:val="bottom"/>
          </w:tcPr>
          <w:p>
            <w:pPr>
              <w:ind w:left="20"/>
              <w:spacing w:after="0"/>
              <w:rPr>
                <w:sz w:val="20"/>
                <w:szCs w:val="20"/>
                <w:color w:val="auto"/>
              </w:rPr>
            </w:pPr>
            <w:r>
              <w:rPr>
                <w:rFonts w:ascii="Arial" w:cs="Arial" w:eastAsia="Arial" w:hAnsi="Arial"/>
                <w:sz w:val="17"/>
                <w:szCs w:val="17"/>
                <w:color w:val="auto"/>
              </w:rPr>
              <w:t>Philippines</w:t>
            </w:r>
          </w:p>
        </w:tc>
        <w:tc>
          <w:tcPr>
            <w:tcW w:w="28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7"/>
                <w:szCs w:val="17"/>
                <w:color w:val="auto"/>
              </w:rPr>
              <w:t>25,635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29,434</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 of World</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9,957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11,439</w:t>
            </w:r>
          </w:p>
        </w:tc>
      </w:tr>
      <w:tr>
        <w:trPr>
          <w:trHeight w:val="204"/>
        </w:trPr>
        <w:tc>
          <w:tcPr>
            <w:tcW w:w="7300" w:type="dxa"/>
            <w:vAlign w:val="bottom"/>
          </w:tcPr>
          <w:p>
            <w:pPr>
              <w:ind w:left="20"/>
              <w:spacing w:after="0" w:line="192" w:lineRule="exact"/>
              <w:rPr>
                <w:sz w:val="20"/>
                <w:szCs w:val="20"/>
                <w:color w:val="auto"/>
              </w:rPr>
            </w:pPr>
            <w:r>
              <w:rPr>
                <w:rFonts w:ascii="Arial" w:cs="Arial" w:eastAsia="Arial" w:hAnsi="Arial"/>
                <w:sz w:val="17"/>
                <w:szCs w:val="17"/>
                <w:color w:val="auto"/>
              </w:rPr>
              <w:t>Long-lived assets</w:t>
            </w:r>
          </w:p>
        </w:tc>
        <w:tc>
          <w:tcPr>
            <w:tcW w:w="2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169,791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184,793</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Revenues, net</w:t>
      </w:r>
    </w:p>
    <w:p>
      <w:pPr>
        <w:spacing w:after="0" w:line="220"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Refer to Note 3 - Segment and Geographical Information to the unaudited consolidated financial statements for revenues disaggregated by reportable segments and geography.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Contract balances</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information about accounts receivable, contract assets and contract liabilities from contracts with customers:</w:t>
      </w:r>
    </w:p>
    <w:p>
      <w:pPr>
        <w:spacing w:after="0" w:line="29" w:lineRule="exact"/>
        <w:rPr>
          <w:sz w:val="20"/>
          <w:szCs w:val="20"/>
          <w:color w:val="auto"/>
        </w:rPr>
      </w:pPr>
    </w:p>
    <w:tbl>
      <w:tblPr>
        <w:tblLayout w:type="fixed"/>
        <w:tblInd w:w="440" w:type="dxa"/>
        <w:tblCellMar>
          <w:top w:w="0" w:type="dxa"/>
          <w:left w:w="0" w:type="dxa"/>
          <w:bottom w:w="0" w:type="dxa"/>
          <w:right w:w="0" w:type="dxa"/>
        </w:tblCellMar>
      </w:tblPr>
      <w:tr>
        <w:trPr>
          <w:trHeight w:val="196"/>
        </w:trPr>
        <w:tc>
          <w:tcPr>
            <w:tcW w:w="63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5"/>
                <w:szCs w:val="15"/>
                <w:b w:val="1"/>
                <w:bCs w:val="1"/>
                <w:color w:val="auto"/>
                <w:w w:val="90"/>
              </w:rPr>
              <w:t>As of</w:t>
            </w:r>
          </w:p>
        </w:tc>
        <w:tc>
          <w:tcPr>
            <w:tcW w:w="1580" w:type="dxa"/>
            <w:vAlign w:val="bottom"/>
            <w:tcBorders>
              <w:bottom w:val="single" w:sz="8" w:color="auto"/>
            </w:tcBorders>
          </w:tcPr>
          <w:p>
            <w:pPr>
              <w:spacing w:after="0"/>
              <w:rPr>
                <w:sz w:val="17"/>
                <w:szCs w:val="17"/>
                <w:color w:val="auto"/>
              </w:rPr>
            </w:pPr>
          </w:p>
        </w:tc>
      </w:tr>
      <w:tr>
        <w:trPr>
          <w:trHeight w:val="192"/>
        </w:trPr>
        <w:tc>
          <w:tcPr>
            <w:tcW w:w="634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5"/>
                <w:szCs w:val="15"/>
                <w:b w:val="1"/>
                <w:bCs w:val="1"/>
                <w:color w:val="auto"/>
              </w:rPr>
              <w:t>June 30, 2021</w:t>
            </w:r>
          </w:p>
        </w:tc>
        <w:tc>
          <w:tcPr>
            <w:tcW w:w="10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5"/>
                <w:szCs w:val="15"/>
                <w:b w:val="1"/>
                <w:bCs w:val="1"/>
                <w:color w:val="auto"/>
                <w:w w:val="94"/>
              </w:rPr>
              <w:t>December 31, 2020</w:t>
            </w:r>
          </w:p>
        </w:tc>
      </w:tr>
      <w:tr>
        <w:trPr>
          <w:trHeight w:val="232"/>
        </w:trPr>
        <w:tc>
          <w:tcPr>
            <w:tcW w:w="6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2"/>
        </w:trPr>
        <w:tc>
          <w:tcPr>
            <w:tcW w:w="6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Accounts receivable, net</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182,111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147,635</w:t>
            </w:r>
          </w:p>
        </w:tc>
      </w:tr>
      <w:tr>
        <w:trPr>
          <w:trHeight w:val="212"/>
        </w:trPr>
        <w:tc>
          <w:tcPr>
            <w:tcW w:w="6340" w:type="dxa"/>
            <w:vAlign w:val="bottom"/>
          </w:tcPr>
          <w:p>
            <w:pPr>
              <w:ind w:left="380"/>
              <w:spacing w:after="0"/>
              <w:rPr>
                <w:sz w:val="20"/>
                <w:szCs w:val="20"/>
                <w:color w:val="auto"/>
              </w:rPr>
            </w:pPr>
            <w:r>
              <w:rPr>
                <w:rFonts w:ascii="Arial" w:cs="Arial" w:eastAsia="Arial" w:hAnsi="Arial"/>
                <w:sz w:val="17"/>
                <w:szCs w:val="17"/>
                <w:color w:val="auto"/>
              </w:rPr>
              <w:t>Contract assets</w:t>
            </w: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3,547</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4,437</w:t>
            </w:r>
          </w:p>
        </w:tc>
      </w:tr>
      <w:tr>
        <w:trPr>
          <w:trHeight w:val="212"/>
        </w:trPr>
        <w:tc>
          <w:tcPr>
            <w:tcW w:w="63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Contract liabilities</w:t>
            </w:r>
          </w:p>
        </w:tc>
        <w:tc>
          <w:tcPr>
            <w:tcW w:w="6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12"/>
        </w:trPr>
        <w:tc>
          <w:tcPr>
            <w:tcW w:w="6340" w:type="dxa"/>
            <w:vAlign w:val="bottom"/>
          </w:tcPr>
          <w:p>
            <w:pPr>
              <w:ind w:left="560"/>
              <w:spacing w:after="0"/>
              <w:rPr>
                <w:sz w:val="20"/>
                <w:szCs w:val="20"/>
                <w:color w:val="auto"/>
              </w:rPr>
            </w:pPr>
            <w:r>
              <w:rPr>
                <w:rFonts w:ascii="Arial" w:cs="Arial" w:eastAsia="Arial" w:hAnsi="Arial"/>
                <w:sz w:val="17"/>
                <w:szCs w:val="17"/>
                <w:color w:val="auto"/>
              </w:rPr>
              <w:t>Deferred revenue (consideration received in advance)</w:t>
            </w:r>
          </w:p>
        </w:tc>
        <w:tc>
          <w:tcPr>
            <w:tcW w:w="64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10,503</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30,450</w:t>
            </w:r>
          </w:p>
        </w:tc>
      </w:tr>
      <w:tr>
        <w:trPr>
          <w:trHeight w:val="212"/>
        </w:trPr>
        <w:tc>
          <w:tcPr>
            <w:tcW w:w="6340" w:type="dxa"/>
            <w:vAlign w:val="bottom"/>
            <w:shd w:val="clear" w:color="auto" w:fill="CCEEFF"/>
          </w:tcPr>
          <w:p>
            <w:pPr>
              <w:ind w:left="560"/>
              <w:spacing w:after="0"/>
              <w:rPr>
                <w:sz w:val="20"/>
                <w:szCs w:val="20"/>
                <w:color w:val="auto"/>
              </w:rPr>
            </w:pPr>
            <w:r>
              <w:rPr>
                <w:rFonts w:ascii="Arial" w:cs="Arial" w:eastAsia="Arial" w:hAnsi="Arial"/>
                <w:sz w:val="17"/>
                <w:szCs w:val="17"/>
                <w:color w:val="auto"/>
              </w:rPr>
              <w:t>Consideration received for process transition activities</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r>
    </w:tbl>
    <w:p>
      <w:pPr>
        <w:spacing w:after="0" w:line="27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Accounts receivable includes $89,237 and $63,995 as of June 30, 2021 and December 31, 2020,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89"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Contract assets represent upfront payments such as deal signing discounts or deal signing bonuses made to customers. These costs are amortized over the expected period of the benefit and are recorded as an adjustment to transaction price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color w:val="auto"/>
        </w:rPr>
        <w:t>reduced from revenues. The Company’s assessment did not indicate any impairment losses on its contract assets for the periods presented.</w:t>
      </w:r>
    </w:p>
    <w:p>
      <w:pPr>
        <w:spacing w:after="0" w:line="204" w:lineRule="exact"/>
        <w:rPr>
          <w:sz w:val="20"/>
          <w:szCs w:val="20"/>
          <w:color w:val="auto"/>
        </w:rPr>
      </w:pPr>
    </w:p>
    <w:p>
      <w:pPr>
        <w:jc w:val="both"/>
        <w:ind w:firstLine="337"/>
        <w:spacing w:after="0" w:line="223" w:lineRule="auto"/>
        <w:rPr>
          <w:sz w:val="20"/>
          <w:szCs w:val="20"/>
          <w:color w:val="auto"/>
        </w:rPr>
      </w:pPr>
      <w:r>
        <w:rPr>
          <w:rFonts w:ascii="Arial" w:cs="Arial" w:eastAsia="Arial" w:hAnsi="Arial"/>
          <w:sz w:val="17"/>
          <w:szCs w:val="17"/>
          <w:color w:val="auto"/>
        </w:rPr>
        <w:t>Contract liabilities represent that portion of deferred revenue for which payments have been received in advance from customers. The Company also defers revenues attributable to certain process transition activities for which costs have been capitalized by the Company as contract fulfillment costs. Consideration received from customers, if any, relating to such transition activities are classified under contract liabilities and are included within “Deferred revenues” and “Other non-current liabilities” in the unaudited consolidated balance sheets. The revenues are recognized as (or when) the performance obligation is fulfilled under the contract with customer.</w:t>
      </w:r>
    </w:p>
    <w:p>
      <w:pPr>
        <w:spacing w:after="0" w:line="189" w:lineRule="exact"/>
        <w:rPr>
          <w:sz w:val="20"/>
          <w:szCs w:val="20"/>
          <w:color w:val="auto"/>
        </w:rPr>
      </w:pPr>
    </w:p>
    <w:p>
      <w:pPr>
        <w:jc w:val="both"/>
        <w:ind w:firstLine="299"/>
        <w:spacing w:after="0" w:line="237" w:lineRule="auto"/>
        <w:rPr>
          <w:sz w:val="20"/>
          <w:szCs w:val="20"/>
          <w:color w:val="auto"/>
        </w:rPr>
      </w:pPr>
      <w:r>
        <w:rPr>
          <w:rFonts w:ascii="Arial" w:cs="Arial" w:eastAsia="Arial" w:hAnsi="Arial"/>
          <w:sz w:val="17"/>
          <w:szCs w:val="17"/>
          <w:color w:val="auto"/>
        </w:rPr>
        <w:t>Revenue recognized during the three and six months ended June 30, 2021 and 2020, which was included in the contract liabilities balance at the beginning of the respective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4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w w:val="93"/>
              </w:rPr>
              <w:t>Six months ended June 30,</w:t>
            </w:r>
          </w:p>
        </w:tc>
        <w:tc>
          <w:tcPr>
            <w:tcW w:w="440" w:type="dxa"/>
            <w:vAlign w:val="bottom"/>
            <w:tcBorders>
              <w:bottom w:val="single" w:sz="8" w:color="auto"/>
            </w:tcBorders>
          </w:tcPr>
          <w:p>
            <w:pPr>
              <w:spacing w:after="0"/>
              <w:rPr>
                <w:sz w:val="15"/>
                <w:szCs w:val="15"/>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w w:val="89"/>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r>
      <w:tr>
        <w:trPr>
          <w:trHeight w:val="206"/>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revenue (consideration received in advance)</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3,332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2,226</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0"/>
              </w:rPr>
              <w:t>26,953</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8,194</w:t>
            </w:r>
          </w:p>
        </w:tc>
      </w:tr>
      <w:tr>
        <w:trPr>
          <w:trHeight w:val="212"/>
        </w:trPr>
        <w:tc>
          <w:tcPr>
            <w:tcW w:w="5540" w:type="dxa"/>
            <w:vAlign w:val="bottom"/>
          </w:tcPr>
          <w:p>
            <w:pPr>
              <w:ind w:left="20"/>
              <w:spacing w:after="0"/>
              <w:rPr>
                <w:sz w:val="20"/>
                <w:szCs w:val="20"/>
                <w:color w:val="auto"/>
              </w:rPr>
            </w:pPr>
            <w:r>
              <w:rPr>
                <w:rFonts w:ascii="Arial" w:cs="Arial" w:eastAsia="Arial" w:hAnsi="Arial"/>
                <w:sz w:val="17"/>
                <w:szCs w:val="17"/>
                <w:color w:val="auto"/>
              </w:rPr>
              <w:t>Consideration received for process transition activities</w:t>
            </w:r>
          </w:p>
        </w:tc>
        <w:tc>
          <w:tcPr>
            <w:tcW w:w="1040" w:type="dxa"/>
            <w:vAlign w:val="bottom"/>
          </w:tcPr>
          <w:p>
            <w:pPr>
              <w:jc w:val="right"/>
              <w:ind w:right="86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508</w:t>
            </w:r>
          </w:p>
        </w:tc>
        <w:tc>
          <w:tcPr>
            <w:tcW w:w="100" w:type="dxa"/>
            <w:vAlign w:val="bottom"/>
          </w:tcPr>
          <w:p>
            <w:pPr>
              <w:spacing w:after="0"/>
              <w:rPr>
                <w:sz w:val="18"/>
                <w:szCs w:val="18"/>
                <w:color w:val="auto"/>
              </w:rPr>
            </w:pPr>
          </w:p>
        </w:tc>
        <w:tc>
          <w:tcPr>
            <w:tcW w:w="860" w:type="dxa"/>
            <w:vAlign w:val="bottom"/>
          </w:tcPr>
          <w:p>
            <w:pPr>
              <w:jc w:val="right"/>
              <w:ind w:right="682"/>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8"/>
                <w:szCs w:val="18"/>
                <w:color w:val="auto"/>
              </w:rPr>
            </w:pPr>
          </w:p>
        </w:tc>
        <w:tc>
          <w:tcPr>
            <w:tcW w:w="800" w:type="dxa"/>
            <w:vAlign w:val="bottom"/>
          </w:tcPr>
          <w:p>
            <w:pPr>
              <w:jc w:val="right"/>
              <w:ind w:right="625"/>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1,187</w:t>
            </w:r>
          </w:p>
        </w:tc>
        <w:tc>
          <w:tcPr>
            <w:tcW w:w="80" w:type="dxa"/>
            <w:vAlign w:val="bottom"/>
          </w:tcPr>
          <w:p>
            <w:pPr>
              <w:spacing w:after="0"/>
              <w:rPr>
                <w:sz w:val="18"/>
                <w:szCs w:val="18"/>
                <w:color w:val="auto"/>
              </w:rPr>
            </w:pPr>
          </w:p>
        </w:tc>
        <w:tc>
          <w:tcPr>
            <w:tcW w:w="700" w:type="dxa"/>
            <w:vAlign w:val="bottom"/>
          </w:tcPr>
          <w:p>
            <w:pPr>
              <w:jc w:val="right"/>
              <w:ind w:right="522"/>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561</w:t>
            </w:r>
          </w:p>
        </w:tc>
      </w:tr>
    </w:tbl>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Contract acquisition and fulfillment costs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details of the Company’s contract acquisition and fulfillment costs: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Acquisition Costs</w:t>
            </w: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6"/>
          </w:tcPr>
          <w:p>
            <w:pPr>
              <w:jc w:val="right"/>
              <w:ind w:right="257"/>
              <w:spacing w:after="0"/>
              <w:rPr>
                <w:sz w:val="20"/>
                <w:szCs w:val="20"/>
                <w:color w:val="auto"/>
              </w:rPr>
            </w:pPr>
            <w:r>
              <w:rPr>
                <w:rFonts w:ascii="Arial" w:cs="Arial" w:eastAsia="Arial" w:hAnsi="Arial"/>
                <w:sz w:val="17"/>
                <w:szCs w:val="17"/>
                <w:b w:val="1"/>
                <w:bCs w:val="1"/>
                <w:color w:val="auto"/>
                <w:w w:val="92"/>
              </w:rPr>
              <w:t>Three months ended</w:t>
            </w:r>
          </w:p>
        </w:tc>
        <w:tc>
          <w:tcPr>
            <w:tcW w:w="1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b w:val="1"/>
                <w:bCs w:val="1"/>
                <w:color w:val="auto"/>
                <w:w w:val="94"/>
              </w:rPr>
              <w:t>Six months ended</w:t>
            </w:r>
          </w:p>
        </w:tc>
        <w:tc>
          <w:tcPr>
            <w:tcW w:w="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w w:val="95"/>
              </w:rPr>
              <w:t>Year ended</w:t>
            </w:r>
          </w:p>
        </w:tc>
        <w:tc>
          <w:tcPr>
            <w:tcW w:w="0" w:type="dxa"/>
            <w:vAlign w:val="bottom"/>
          </w:tcPr>
          <w:p>
            <w:pPr>
              <w:spacing w:after="0"/>
              <w:rPr>
                <w:sz w:val="1"/>
                <w:szCs w:val="1"/>
                <w:color w:val="auto"/>
              </w:rPr>
            </w:pPr>
          </w:p>
        </w:tc>
      </w:tr>
      <w:tr>
        <w:trPr>
          <w:trHeight w:val="155"/>
        </w:trPr>
        <w:tc>
          <w:tcPr>
            <w:tcW w:w="5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b w:val="1"/>
                <w:bCs w:val="1"/>
                <w:color w:val="auto"/>
                <w:w w:val="97"/>
              </w:rPr>
              <w:t>June 30, 2021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117"/>
              <w:spacing w:after="0" w:line="154" w:lineRule="exact"/>
              <w:rPr>
                <w:sz w:val="20"/>
                <w:szCs w:val="20"/>
                <w:color w:val="auto"/>
              </w:rPr>
            </w:pPr>
            <w:r>
              <w:rPr>
                <w:rFonts w:ascii="Arial" w:cs="Arial" w:eastAsia="Arial" w:hAnsi="Arial"/>
                <w:sz w:val="17"/>
                <w:szCs w:val="17"/>
                <w:b w:val="1"/>
                <w:bCs w:val="1"/>
                <w:color w:val="auto"/>
                <w:w w:val="88"/>
              </w:rPr>
              <w:t>June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gridSpan w:val="5"/>
            <w:vMerge w:val="restart"/>
          </w:tcPr>
          <w:p>
            <w:pPr>
              <w:ind w:left="20"/>
              <w:spacing w:after="0"/>
              <w:rPr>
                <w:sz w:val="20"/>
                <w:szCs w:val="20"/>
                <w:color w:val="auto"/>
              </w:rPr>
            </w:pPr>
            <w:r>
              <w:rPr>
                <w:rFonts w:ascii="Arial" w:cs="Arial" w:eastAsia="Arial" w:hAnsi="Arial"/>
                <w:sz w:val="17"/>
                <w:szCs w:val="17"/>
                <w:b w:val="1"/>
                <w:bCs w:val="1"/>
                <w:color w:val="auto"/>
                <w:w w:val="94"/>
              </w:rPr>
              <w:t>June 30, 2021</w:t>
            </w:r>
          </w:p>
        </w:tc>
        <w:tc>
          <w:tcPr>
            <w:tcW w:w="60" w:type="dxa"/>
            <w:vAlign w:val="bottom"/>
          </w:tcPr>
          <w:p>
            <w:pPr>
              <w:spacing w:after="0"/>
              <w:rPr>
                <w:sz w:val="13"/>
                <w:szCs w:val="13"/>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b w:val="1"/>
                <w:bCs w:val="1"/>
                <w:color w:val="auto"/>
                <w:w w:val="97"/>
              </w:rPr>
              <w:t>June 30, 2020</w:t>
            </w:r>
          </w:p>
        </w:tc>
        <w:tc>
          <w:tcPr>
            <w:tcW w:w="40" w:type="dxa"/>
            <w:vAlign w:val="bottom"/>
          </w:tcPr>
          <w:p>
            <w:pPr>
              <w:spacing w:after="0"/>
              <w:rPr>
                <w:sz w:val="13"/>
                <w:szCs w:val="13"/>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w w:val="90"/>
              </w:rPr>
              <w:t>December 31, 2020</w:t>
            </w:r>
          </w:p>
        </w:tc>
        <w:tc>
          <w:tcPr>
            <w:tcW w:w="0" w:type="dxa"/>
            <w:vAlign w:val="bottom"/>
          </w:tcPr>
          <w:p>
            <w:pPr>
              <w:spacing w:after="0"/>
              <w:rPr>
                <w:sz w:val="1"/>
                <w:szCs w:val="1"/>
                <w:color w:val="auto"/>
              </w:rPr>
            </w:pPr>
          </w:p>
        </w:tc>
      </w:tr>
      <w:tr>
        <w:trPr>
          <w:trHeight w:val="212"/>
        </w:trPr>
        <w:tc>
          <w:tcPr>
            <w:tcW w:w="5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37"/>
              <w:spacing w:after="0"/>
              <w:rPr>
                <w:sz w:val="20"/>
                <w:szCs w:val="20"/>
                <w:color w:val="auto"/>
              </w:rPr>
            </w:pPr>
            <w:r>
              <w:rPr>
                <w:rFonts w:ascii="Arial" w:cs="Arial" w:eastAsia="Arial" w:hAnsi="Arial"/>
                <w:sz w:val="17"/>
                <w:szCs w:val="17"/>
                <w:b w:val="1"/>
                <w:bCs w:val="1"/>
                <w:color w:val="auto"/>
              </w:rPr>
              <w:t>2020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Opening Balance</w:t>
            </w: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1,215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1,027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jc w:val="right"/>
              <w:ind w:right="457"/>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4"/>
              </w:rPr>
              <w:t>1,307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57"/>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1,307</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2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1,270</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gridSpan w:val="2"/>
            <w:shd w:val="clear" w:color="auto" w:fill="CCEEFF"/>
          </w:tcPr>
          <w:p>
            <w:pPr>
              <w:jc w:val="right"/>
              <w:ind w:right="45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1,270</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1,027</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Contract Fulfillment Costs</w:t>
            </w: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gridSpan w:val="8"/>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gridSpan w:val="8"/>
          </w:tcPr>
          <w:p>
            <w:pPr>
              <w:ind w:left="180"/>
              <w:spacing w:after="0"/>
              <w:rPr>
                <w:sz w:val="20"/>
                <w:szCs w:val="20"/>
                <w:color w:val="auto"/>
              </w:rPr>
            </w:pPr>
            <w:r>
              <w:rPr>
                <w:rFonts w:ascii="Arial" w:cs="Arial" w:eastAsia="Arial" w:hAnsi="Arial"/>
                <w:sz w:val="17"/>
                <w:szCs w:val="17"/>
                <w:b w:val="1"/>
                <w:bCs w:val="1"/>
                <w:color w:val="auto"/>
              </w:rPr>
              <w:t>Six months ended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17"/>
              <w:spacing w:after="0"/>
              <w:rPr>
                <w:sz w:val="20"/>
                <w:szCs w:val="20"/>
                <w:color w:val="auto"/>
              </w:rPr>
            </w:pPr>
            <w:r>
              <w:rPr>
                <w:rFonts w:ascii="Arial" w:cs="Arial" w:eastAsia="Arial" w:hAnsi="Arial"/>
                <w:sz w:val="17"/>
                <w:szCs w:val="17"/>
                <w:b w:val="1"/>
                <w:bCs w:val="1"/>
                <w:color w:val="auto"/>
                <w:w w:val="98"/>
              </w:rPr>
              <w:t>Year ended</w:t>
            </w: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Borders>
              <w:top w:val="single" w:sz="8" w:color="auto"/>
            </w:tcBorders>
            <w:gridSpan w:val="4"/>
          </w:tcPr>
          <w:p>
            <w:pPr>
              <w:ind w:left="40"/>
              <w:spacing w:after="0"/>
              <w:rPr>
                <w:sz w:val="20"/>
                <w:szCs w:val="20"/>
                <w:color w:val="auto"/>
              </w:rPr>
            </w:pPr>
            <w:r>
              <w:rPr>
                <w:rFonts w:ascii="Arial" w:cs="Arial" w:eastAsia="Arial" w:hAnsi="Arial"/>
                <w:sz w:val="17"/>
                <w:szCs w:val="17"/>
                <w:b w:val="1"/>
                <w:bCs w:val="1"/>
                <w:color w:val="auto"/>
                <w:w w:val="94"/>
              </w:rPr>
              <w:t>June 30, 2021</w:t>
            </w:r>
          </w:p>
        </w:tc>
        <w:tc>
          <w:tcPr>
            <w:tcW w:w="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b w:val="1"/>
                <w:bCs w:val="1"/>
                <w:color w:val="auto"/>
                <w:w w:val="88"/>
              </w:rPr>
              <w:t>June 30, 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Borders>
              <w:top w:val="single" w:sz="8" w:color="auto"/>
            </w:tcBorders>
            <w:gridSpan w:val="4"/>
          </w:tcPr>
          <w:p>
            <w:pPr>
              <w:ind w:left="20"/>
              <w:spacing w:after="0"/>
              <w:rPr>
                <w:sz w:val="20"/>
                <w:szCs w:val="20"/>
                <w:color w:val="auto"/>
              </w:rPr>
            </w:pPr>
            <w:r>
              <w:rPr>
                <w:rFonts w:ascii="Arial" w:cs="Arial" w:eastAsia="Arial" w:hAnsi="Arial"/>
                <w:sz w:val="17"/>
                <w:szCs w:val="17"/>
                <w:b w:val="1"/>
                <w:bCs w:val="1"/>
                <w:color w:val="auto"/>
                <w:w w:val="90"/>
              </w:rPr>
              <w:t>June 30, 2021</w:t>
            </w: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3"/>
          </w:tcPr>
          <w:p>
            <w:pPr>
              <w:ind w:left="40"/>
              <w:spacing w:after="0"/>
              <w:rPr>
                <w:sz w:val="20"/>
                <w:szCs w:val="20"/>
                <w:color w:val="auto"/>
              </w:rPr>
            </w:pPr>
            <w:r>
              <w:rPr>
                <w:rFonts w:ascii="Arial" w:cs="Arial" w:eastAsia="Arial" w:hAnsi="Arial"/>
                <w:sz w:val="17"/>
                <w:szCs w:val="17"/>
                <w:b w:val="1"/>
                <w:bCs w:val="1"/>
                <w:color w:val="auto"/>
                <w:w w:val="88"/>
              </w:rPr>
              <w:t>June 30, 2020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tcBorders>
              <w:top w:val="single" w:sz="8" w:color="auto"/>
            </w:tcBorders>
            <w:gridSpan w:val="2"/>
          </w:tcPr>
          <w:p>
            <w:pPr>
              <w:ind w:left="40"/>
              <w:spacing w:after="0"/>
              <w:rPr>
                <w:sz w:val="20"/>
                <w:szCs w:val="20"/>
                <w:color w:val="auto"/>
              </w:rPr>
            </w:pPr>
            <w:r>
              <w:rPr>
                <w:rFonts w:ascii="Arial" w:cs="Arial" w:eastAsia="Arial" w:hAnsi="Arial"/>
                <w:sz w:val="17"/>
                <w:szCs w:val="17"/>
                <w:b w:val="1"/>
                <w:bCs w:val="1"/>
                <w:color w:val="auto"/>
                <w:w w:val="88"/>
              </w:rPr>
              <w:t>December 31, 2020</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Opening Balance</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4,419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6,916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5,631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9"/>
              </w:rPr>
              <w:t>7,255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7,255</w:t>
            </w:r>
          </w:p>
        </w:tc>
        <w:tc>
          <w:tcPr>
            <w:tcW w:w="0" w:type="dxa"/>
            <w:vAlign w:val="bottom"/>
          </w:tcPr>
          <w:p>
            <w:pPr>
              <w:spacing w:after="0"/>
              <w:rPr>
                <w:sz w:val="1"/>
                <w:szCs w:val="1"/>
                <w:color w:val="auto"/>
              </w:rPr>
            </w:pPr>
          </w:p>
        </w:tc>
      </w:tr>
      <w:tr>
        <w:trPr>
          <w:trHeight w:val="212"/>
        </w:trPr>
        <w:tc>
          <w:tcPr>
            <w:tcW w:w="5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Additions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12"/>
        </w:trPr>
        <w:tc>
          <w:tcPr>
            <w:tcW w:w="5300" w:type="dxa"/>
            <w:vAlign w:val="bottom"/>
          </w:tcPr>
          <w:p>
            <w:pPr>
              <w:ind w:left="20"/>
              <w:spacing w:after="0"/>
              <w:rPr>
                <w:sz w:val="20"/>
                <w:szCs w:val="20"/>
                <w:color w:val="auto"/>
              </w:rPr>
            </w:pPr>
            <w:r>
              <w:rPr>
                <w:rFonts w:ascii="Arial" w:cs="Arial" w:eastAsia="Arial" w:hAnsi="Arial"/>
                <w:sz w:val="17"/>
                <w:szCs w:val="17"/>
                <w:color w:val="auto"/>
              </w:rPr>
              <w:t>Amortization</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(883)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(499)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(2,101)</w:t>
            </w:r>
          </w:p>
        </w:tc>
        <w:tc>
          <w:tcPr>
            <w:tcW w:w="20" w:type="dxa"/>
            <w:vAlign w:val="bottom"/>
          </w:tcPr>
          <w:p>
            <w:pPr>
              <w:spacing w:after="0"/>
              <w:rPr>
                <w:sz w:val="18"/>
                <w:szCs w:val="18"/>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7"/>
                <w:szCs w:val="17"/>
                <w:color w:val="auto"/>
              </w:rPr>
              <w:t>(1,122)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(2,403)</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Closing Balance</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3,694</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6,780</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3,694</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6,780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5,631</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There was no impairment for contract acquisition and contract fulfillment costs as of June 30, 2021 and December 31, 2020. The capitalized costs are amortized over the expected period of benefit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expected credit losses</w:t>
      </w:r>
    </w:p>
    <w:p>
      <w:pPr>
        <w:spacing w:after="0" w:line="220" w:lineRule="exact"/>
        <w:rPr>
          <w:sz w:val="20"/>
          <w:szCs w:val="20"/>
          <w:color w:val="auto"/>
        </w:rPr>
      </w:pPr>
    </w:p>
    <w:p>
      <w:pPr>
        <w:jc w:val="both"/>
        <w:ind w:right="100" w:firstLine="374"/>
        <w:spacing w:after="0" w:line="261" w:lineRule="auto"/>
        <w:rPr>
          <w:sz w:val="20"/>
          <w:szCs w:val="20"/>
          <w:color w:val="auto"/>
        </w:rPr>
      </w:pPr>
      <w:r>
        <w:rPr>
          <w:rFonts w:ascii="Arial" w:cs="Arial" w:eastAsia="Arial" w:hAnsi="Arial"/>
          <w:sz w:val="15"/>
          <w:szCs w:val="15"/>
          <w:color w:val="auto"/>
        </w:rPr>
        <w:t>The Company evaluates the credit risk of its customers based on a combination of various financial and qualitative factors that may affect the ability of each customer to pay. The Company considered current and anticipated future economic conditions relating to the industries of the Company’s customers and the countries where it operates. In calculating expected credit loss, the Company also considered past payment trends, credit rating and other related credit information for its significant customers to estimate the probability of default in the future and estimates relating to the possible effects resulting from COVID-19.</w:t>
      </w:r>
    </w:p>
    <w:p>
      <w:pPr>
        <w:spacing w:after="0" w:line="173" w:lineRule="exact"/>
        <w:rPr>
          <w:sz w:val="20"/>
          <w:szCs w:val="20"/>
          <w:color w:val="auto"/>
        </w:rPr>
      </w:pPr>
    </w:p>
    <w:p>
      <w:pPr>
        <w:jc w:val="both"/>
        <w:ind w:right="100" w:firstLine="374"/>
        <w:spacing w:after="0" w:line="298" w:lineRule="auto"/>
        <w:rPr>
          <w:sz w:val="20"/>
          <w:szCs w:val="20"/>
          <w:color w:val="auto"/>
        </w:rPr>
      </w:pPr>
      <w:r>
        <w:rPr>
          <w:rFonts w:ascii="Arial" w:cs="Arial" w:eastAsia="Arial" w:hAnsi="Arial"/>
          <w:sz w:val="15"/>
          <w:szCs w:val="15"/>
          <w:color w:val="auto"/>
        </w:rPr>
        <w:t>The duration and severity of COVID-19 and continued market volatility is highly uncertain and, as such, the impact on expected losses is subject to significant judgment, including but not limited to changes in customers’ credit rating, and may cause variability in the Company’s allowance for credit losses in future periods.</w:t>
      </w:r>
    </w:p>
    <w:p>
      <w:pPr>
        <w:spacing w:after="0" w:line="195"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64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80" w:type="dxa"/>
            <w:vAlign w:val="bottom"/>
            <w:tcBorders>
              <w:bottom w:val="single" w:sz="8" w:color="auto"/>
            </w:tcBorders>
            <w:gridSpan w:val="3"/>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As of</w:t>
            </w:r>
          </w:p>
        </w:tc>
        <w:tc>
          <w:tcPr>
            <w:tcW w:w="1820" w:type="dxa"/>
            <w:vAlign w:val="bottom"/>
            <w:tcBorders>
              <w:bottom w:val="single" w:sz="8" w:color="auto"/>
            </w:tcBorders>
            <w:shd w:val="clear" w:color="auto" w:fill="CCEEFF"/>
          </w:tcPr>
          <w:p>
            <w:pPr>
              <w:spacing w:after="0"/>
              <w:rPr>
                <w:sz w:val="18"/>
                <w:szCs w:val="18"/>
                <w:color w:val="auto"/>
              </w:rPr>
            </w:pPr>
          </w:p>
        </w:tc>
      </w:tr>
      <w:tr>
        <w:trPr>
          <w:trHeight w:val="204"/>
        </w:trPr>
        <w:tc>
          <w:tcPr>
            <w:tcW w:w="6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2"/>
          </w:tcPr>
          <w:p>
            <w:pPr>
              <w:ind w:left="220"/>
              <w:spacing w:after="0"/>
              <w:rPr>
                <w:sz w:val="20"/>
                <w:szCs w:val="20"/>
                <w:color w:val="auto"/>
              </w:rPr>
            </w:pPr>
            <w:r>
              <w:rPr>
                <w:rFonts w:ascii="Arial" w:cs="Arial" w:eastAsia="Arial" w:hAnsi="Arial"/>
                <w:sz w:val="17"/>
                <w:szCs w:val="17"/>
                <w:b w:val="1"/>
                <w:bCs w:val="1"/>
                <w:color w:val="auto"/>
              </w:rPr>
              <w:t>June 30, 2021</w:t>
            </w:r>
          </w:p>
        </w:tc>
        <w:tc>
          <w:tcPr>
            <w:tcW w:w="240" w:type="dxa"/>
            <w:vAlign w:val="bottom"/>
          </w:tcPr>
          <w:p>
            <w:pPr>
              <w:spacing w:after="0"/>
              <w:rPr>
                <w:sz w:val="17"/>
                <w:szCs w:val="17"/>
                <w:color w:val="auto"/>
              </w:rPr>
            </w:pPr>
          </w:p>
        </w:tc>
        <w:tc>
          <w:tcPr>
            <w:tcW w:w="1820" w:type="dxa"/>
            <w:vAlign w:val="bottom"/>
          </w:tcPr>
          <w:p>
            <w:pPr>
              <w:jc w:val="right"/>
              <w:ind w:right="277"/>
              <w:spacing w:after="0"/>
              <w:rPr>
                <w:sz w:val="20"/>
                <w:szCs w:val="20"/>
                <w:color w:val="auto"/>
              </w:rPr>
            </w:pPr>
            <w:r>
              <w:rPr>
                <w:rFonts w:ascii="Arial" w:cs="Arial" w:eastAsia="Arial" w:hAnsi="Arial"/>
                <w:sz w:val="17"/>
                <w:szCs w:val="17"/>
                <w:b w:val="1"/>
                <w:bCs w:val="1"/>
                <w:color w:val="auto"/>
                <w:w w:val="94"/>
              </w:rPr>
              <w:t>December 31, 2020</w:t>
            </w:r>
          </w:p>
        </w:tc>
      </w:tr>
      <w:tr>
        <w:trPr>
          <w:trHeight w:val="204"/>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Accounts receivable, including unbilled receivables</w:t>
            </w: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182,841</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148,824</w:t>
            </w:r>
          </w:p>
        </w:tc>
      </w:tr>
      <w:tr>
        <w:trPr>
          <w:trHeight w:val="212"/>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 for expected credit loss</w:t>
            </w: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(1,189)</w:t>
            </w:r>
          </w:p>
        </w:tc>
      </w:tr>
      <w:tr>
        <w:trPr>
          <w:trHeight w:val="22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Accounts receivable, net</w:t>
            </w: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182,111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147,635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movement in allowance for expected credit loss on customer balances for the three and six months ended June 30, 2021 and 2020 and year ended</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was as follows:</w:t>
      </w:r>
    </w:p>
    <w:p>
      <w:pPr>
        <w:spacing w:after="0" w:line="23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7"/>
                <w:szCs w:val="17"/>
                <w:b w:val="1"/>
                <w:bCs w:val="1"/>
                <w:color w:val="auto"/>
              </w:rPr>
              <w:t>Six months ended</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55"/>
        </w:trPr>
        <w:tc>
          <w:tcPr>
            <w:tcW w:w="3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vMerge w:val="restart"/>
          </w:tcPr>
          <w:p>
            <w:pPr>
              <w:ind w:left="420"/>
              <w:spacing w:after="0"/>
              <w:rPr>
                <w:sz w:val="20"/>
                <w:szCs w:val="20"/>
                <w:color w:val="auto"/>
              </w:rPr>
            </w:pPr>
            <w:r>
              <w:rPr>
                <w:rFonts w:ascii="Arial" w:cs="Arial" w:eastAsia="Arial" w:hAnsi="Arial"/>
                <w:sz w:val="17"/>
                <w:szCs w:val="17"/>
                <w:b w:val="1"/>
                <w:bCs w:val="1"/>
                <w:color w:val="auto"/>
                <w:w w:val="97"/>
              </w:rPr>
              <w:t>June 30, 2021</w:t>
            </w:r>
          </w:p>
        </w:tc>
        <w:tc>
          <w:tcPr>
            <w:tcW w:w="9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tcPr>
          <w:p>
            <w:pPr>
              <w:jc w:val="right"/>
              <w:spacing w:after="0" w:line="154" w:lineRule="exact"/>
              <w:rPr>
                <w:sz w:val="20"/>
                <w:szCs w:val="20"/>
                <w:color w:val="auto"/>
              </w:rPr>
            </w:pPr>
            <w:r>
              <w:rPr>
                <w:rFonts w:ascii="Arial" w:cs="Arial" w:eastAsia="Arial" w:hAnsi="Arial"/>
                <w:sz w:val="17"/>
                <w:szCs w:val="17"/>
                <w:b w:val="1"/>
                <w:bCs w:val="1"/>
                <w:color w:val="auto"/>
                <w:w w:val="86"/>
              </w:rPr>
              <w:t>December 31</w:t>
            </w:r>
          </w:p>
        </w:tc>
        <w:tc>
          <w:tcPr>
            <w:tcW w:w="0" w:type="dxa"/>
            <w:vAlign w:val="bottom"/>
          </w:tcPr>
          <w:p>
            <w:pPr>
              <w:spacing w:after="0"/>
              <w:rPr>
                <w:sz w:val="1"/>
                <w:szCs w:val="1"/>
                <w:color w:val="auto"/>
              </w:rPr>
            </w:pPr>
          </w:p>
        </w:tc>
      </w:tr>
      <w:tr>
        <w:trPr>
          <w:trHeight w:val="125"/>
        </w:trPr>
        <w:tc>
          <w:tcPr>
            <w:tcW w:w="3280" w:type="dxa"/>
            <w:vAlign w:val="bottom"/>
          </w:tcPr>
          <w:p>
            <w:pPr>
              <w:spacing w:after="0"/>
              <w:rPr>
                <w:sz w:val="10"/>
                <w:szCs w:val="10"/>
                <w:color w:val="auto"/>
              </w:rPr>
            </w:pPr>
          </w:p>
        </w:tc>
        <w:tc>
          <w:tcPr>
            <w:tcW w:w="1560" w:type="dxa"/>
            <w:vAlign w:val="bottom"/>
            <w:gridSpan w:val="3"/>
            <w:vMerge w:val="restart"/>
          </w:tcPr>
          <w:p>
            <w:pPr>
              <w:ind w:left="440"/>
              <w:spacing w:after="0"/>
              <w:rPr>
                <w:sz w:val="20"/>
                <w:szCs w:val="20"/>
                <w:color w:val="auto"/>
              </w:rPr>
            </w:pPr>
            <w:r>
              <w:rPr>
                <w:rFonts w:ascii="Arial" w:cs="Arial" w:eastAsia="Arial" w:hAnsi="Arial"/>
                <w:sz w:val="17"/>
                <w:szCs w:val="17"/>
                <w:b w:val="1"/>
                <w:bCs w:val="1"/>
                <w:color w:val="auto"/>
                <w:w w:val="99"/>
              </w:rPr>
              <w:t>June 30, 2021</w:t>
            </w:r>
          </w:p>
        </w:tc>
        <w:tc>
          <w:tcPr>
            <w:tcW w:w="1540" w:type="dxa"/>
            <w:vAlign w:val="bottom"/>
            <w:gridSpan w:val="3"/>
            <w:vMerge w:val="restart"/>
          </w:tcPr>
          <w:p>
            <w:pPr>
              <w:ind w:left="440"/>
              <w:spacing w:after="0"/>
              <w:rPr>
                <w:sz w:val="20"/>
                <w:szCs w:val="20"/>
                <w:color w:val="auto"/>
              </w:rPr>
            </w:pPr>
            <w:r>
              <w:rPr>
                <w:rFonts w:ascii="Arial" w:cs="Arial" w:eastAsia="Arial" w:hAnsi="Arial"/>
                <w:sz w:val="17"/>
                <w:szCs w:val="17"/>
                <w:b w:val="1"/>
                <w:bCs w:val="1"/>
                <w:color w:val="auto"/>
                <w:w w:val="97"/>
              </w:rPr>
              <w:t>June 30, 2020</w:t>
            </w:r>
          </w:p>
        </w:tc>
        <w:tc>
          <w:tcPr>
            <w:tcW w:w="1520" w:type="dxa"/>
            <w:vAlign w:val="bottom"/>
            <w:gridSpan w:val="3"/>
            <w:vMerge w:val="continue"/>
          </w:tcPr>
          <w:p>
            <w:pPr>
              <w:spacing w:after="0"/>
              <w:rPr>
                <w:sz w:val="10"/>
                <w:szCs w:val="10"/>
                <w:color w:val="auto"/>
              </w:rPr>
            </w:pPr>
          </w:p>
        </w:tc>
        <w:tc>
          <w:tcPr>
            <w:tcW w:w="1600" w:type="dxa"/>
            <w:vAlign w:val="bottom"/>
            <w:gridSpan w:val="3"/>
            <w:vMerge w:val="restart"/>
          </w:tcPr>
          <w:p>
            <w:pPr>
              <w:ind w:left="460"/>
              <w:spacing w:after="0"/>
              <w:rPr>
                <w:sz w:val="20"/>
                <w:szCs w:val="20"/>
                <w:color w:val="auto"/>
              </w:rPr>
            </w:pPr>
            <w:r>
              <w:rPr>
                <w:rFonts w:ascii="Arial" w:cs="Arial" w:eastAsia="Arial" w:hAnsi="Arial"/>
                <w:sz w:val="17"/>
                <w:szCs w:val="17"/>
                <w:b w:val="1"/>
                <w:bCs w:val="1"/>
                <w:color w:val="auto"/>
              </w:rPr>
              <w:t>June 30, 2020</w:t>
            </w:r>
          </w:p>
        </w:tc>
        <w:tc>
          <w:tcPr>
            <w:tcW w:w="520" w:type="dxa"/>
            <w:vAlign w:val="bottom"/>
          </w:tcPr>
          <w:p>
            <w:pPr>
              <w:spacing w:after="0"/>
              <w:rPr>
                <w:sz w:val="10"/>
                <w:szCs w:val="10"/>
                <w:color w:val="auto"/>
              </w:rPr>
            </w:pPr>
          </w:p>
        </w:tc>
        <w:tc>
          <w:tcPr>
            <w:tcW w:w="940" w:type="dxa"/>
            <w:vAlign w:val="bottom"/>
            <w:vMerge w:val="restart"/>
          </w:tcPr>
          <w:p>
            <w:pPr>
              <w:jc w:val="right"/>
              <w:ind w:right="337"/>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87"/>
        </w:trPr>
        <w:tc>
          <w:tcPr>
            <w:tcW w:w="328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32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Balance at the beginning of the period</w:t>
            </w: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w:t>
            </w: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1,346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1,163</w:t>
            </w: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3280" w:type="dxa"/>
            <w:vAlign w:val="bottom"/>
          </w:tcPr>
          <w:p>
            <w:pPr>
              <w:ind w:left="380"/>
              <w:spacing w:after="0"/>
              <w:rPr>
                <w:sz w:val="20"/>
                <w:szCs w:val="20"/>
                <w:color w:val="auto"/>
              </w:rPr>
            </w:pPr>
            <w:r>
              <w:rPr>
                <w:rFonts w:ascii="Arial" w:cs="Arial" w:eastAsia="Arial" w:hAnsi="Arial"/>
                <w:sz w:val="17"/>
                <w:szCs w:val="17"/>
                <w:color w:val="auto"/>
                <w:w w:val="92"/>
              </w:rPr>
              <w:t>Additions / (Reductions) during the period</w:t>
            </w:r>
          </w:p>
        </w:tc>
        <w:tc>
          <w:tcPr>
            <w:tcW w:w="7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186</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381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Charged against allowance</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328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Translation adjustment</w:t>
            </w:r>
          </w:p>
        </w:tc>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b w:val="1"/>
                <w:bCs w:val="1"/>
                <w:color w:val="auto"/>
              </w:rPr>
              <w:t>Balance at the end of the period</w:t>
            </w: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730</w:t>
            </w: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1,434</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77"/>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1,434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Earnings Per Share</w:t>
      </w:r>
    </w:p>
    <w:p>
      <w:pPr>
        <w:spacing w:after="0" w:line="220" w:lineRule="exact"/>
        <w:rPr>
          <w:sz w:val="20"/>
          <w:szCs w:val="20"/>
          <w:color w:val="auto"/>
        </w:rPr>
      </w:pPr>
    </w:p>
    <w:p>
      <w:pPr>
        <w:jc w:val="both"/>
        <w:ind w:right="100" w:firstLine="374"/>
        <w:spacing w:after="0" w:line="234" w:lineRule="auto"/>
        <w:rPr>
          <w:sz w:val="20"/>
          <w:szCs w:val="20"/>
          <w:color w:val="auto"/>
        </w:rPr>
      </w:pPr>
      <w:r>
        <w:rPr>
          <w:rFonts w:ascii="Arial" w:cs="Arial" w:eastAsia="Arial" w:hAnsi="Arial"/>
          <w:sz w:val="16"/>
          <w:szCs w:val="16"/>
          <w:color w:val="auto"/>
        </w:rPr>
        <w:t>Basic earnings per share is computed by dividing net income attributable to common stockholders by the weighted average number of common shares outstanding, adjusted for outstanding shares that are subject to repurchase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and assumed conversion premium of outstanding convertible notes, using the treasury stock method. Common stock equivalents and the conversion premium of outstanding convertible notes that are anti-dilutive are excluded from the computation of weighted average shares outstanding. The Company includes performance stock unit awards in dilutive potential common shares when they become contingently issuable and have a dilutive impact per authoritative guidance and excludes such awards when they are not contingently issuable.</w:t>
      </w:r>
    </w:p>
    <w:p>
      <w:pPr>
        <w:spacing w:after="0" w:line="191" w:lineRule="exact"/>
        <w:rPr>
          <w:sz w:val="20"/>
          <w:szCs w:val="20"/>
          <w:color w:val="auto"/>
        </w:rPr>
      </w:pPr>
    </w:p>
    <w:p>
      <w:pPr>
        <w:jc w:val="both"/>
        <w:ind w:right="100" w:firstLine="374"/>
        <w:spacing w:after="0" w:line="256" w:lineRule="auto"/>
        <w:rPr>
          <w:sz w:val="20"/>
          <w:szCs w:val="20"/>
          <w:color w:val="auto"/>
        </w:rPr>
      </w:pPr>
      <w:r>
        <w:rPr>
          <w:rFonts w:ascii="Arial" w:cs="Arial" w:eastAsia="Arial" w:hAnsi="Arial"/>
          <w:sz w:val="15"/>
          <w:szCs w:val="15"/>
          <w:color w:val="auto"/>
        </w:rPr>
        <w:t>Diluted weighted-average shares outstanding is affected by the treatment of our 3.5% per annum Convertible Senior Notes due October 1, 2024 (the “Notes”). The Company has a choice to settle the Notes in cash, shares or any combination of the two. The Company presently intends and has the ability to settle the principal balance of the Notes in cash, and as such, the Company has applied the treasury stock method. The dilution related to the conversion premium, if any, of the Notes is included in the calculation of diluted weighted-average shares outstanding to the extent the issuance is dilutive based on the average stock price during the reporting period being greater than the conversion price of $75. Refer to Note 17 - Borrowings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the computation of basic and diluted earnings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380"/>
              <w:spacing w:after="0"/>
              <w:rPr>
                <w:sz w:val="20"/>
                <w:szCs w:val="20"/>
                <w:color w:val="auto"/>
              </w:rPr>
            </w:pPr>
            <w:r>
              <w:rPr>
                <w:rFonts w:ascii="Arial" w:cs="Arial" w:eastAsia="Arial" w:hAnsi="Arial"/>
                <w:sz w:val="13"/>
                <w:szCs w:val="13"/>
                <w:b w:val="1"/>
                <w:bCs w:val="1"/>
                <w:color w:val="auto"/>
              </w:rPr>
              <w:t>Three months ended June 30,</w:t>
            </w:r>
          </w:p>
        </w:tc>
        <w:tc>
          <w:tcPr>
            <w:tcW w:w="420" w:type="dxa"/>
            <w:vAlign w:val="bottom"/>
          </w:tcPr>
          <w:p>
            <w:pPr>
              <w:spacing w:after="0"/>
              <w:rPr>
                <w:sz w:val="15"/>
                <w:szCs w:val="15"/>
                <w:color w:val="auto"/>
              </w:rPr>
            </w:pPr>
          </w:p>
        </w:tc>
        <w:tc>
          <w:tcPr>
            <w:tcW w:w="212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 ended June 30,</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3"/>
                <w:szCs w:val="13"/>
                <w:b w:val="1"/>
                <w:bCs w:val="1"/>
                <w:color w:val="auto"/>
                <w:w w:val="96"/>
              </w:rPr>
              <w:t>2020</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Numerators:</w:t>
            </w: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28,021</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8,429</w:t>
            </w:r>
          </w:p>
        </w:tc>
        <w:tc>
          <w:tcPr>
            <w:tcW w:w="10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59,952</w:t>
            </w:r>
          </w:p>
        </w:tc>
        <w:tc>
          <w:tcPr>
            <w:tcW w:w="100" w:type="dxa"/>
            <w:vAlign w:val="bottom"/>
          </w:tcPr>
          <w:p>
            <w:pPr>
              <w:spacing w:after="0"/>
              <w:rPr>
                <w:sz w:val="18"/>
                <w:szCs w:val="18"/>
                <w:color w:val="auto"/>
              </w:rPr>
            </w:pPr>
          </w:p>
        </w:tc>
        <w:tc>
          <w:tcPr>
            <w:tcW w:w="680" w:type="dxa"/>
            <w:vAlign w:val="bottom"/>
          </w:tcPr>
          <w:p>
            <w:pPr>
              <w:jc w:val="right"/>
              <w:ind w:right="49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30,840</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Denominators: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600"/>
              <w:spacing w:after="0"/>
              <w:rPr>
                <w:sz w:val="20"/>
                <w:szCs w:val="20"/>
                <w:color w:val="auto"/>
              </w:rPr>
            </w:pPr>
            <w:r>
              <w:rPr>
                <w:rFonts w:ascii="Arial" w:cs="Arial" w:eastAsia="Arial" w:hAnsi="Arial"/>
                <w:sz w:val="17"/>
                <w:szCs w:val="17"/>
                <w:color w:val="auto"/>
                <w:w w:val="96"/>
              </w:rPr>
              <w:t>Basic weighted average common shares outstanding</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33,571,074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34,486,202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33,652,146</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34,443,884</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560"/>
              <w:spacing w:after="0"/>
              <w:rPr>
                <w:sz w:val="20"/>
                <w:szCs w:val="20"/>
                <w:color w:val="auto"/>
              </w:rPr>
            </w:pPr>
            <w:r>
              <w:rPr>
                <w:rFonts w:ascii="Arial" w:cs="Arial" w:eastAsia="Arial" w:hAnsi="Arial"/>
                <w:sz w:val="17"/>
                <w:szCs w:val="17"/>
                <w:color w:val="auto"/>
              </w:rPr>
              <w:t>Dilutive effect of share-based awards</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336,528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215,262</w:t>
            </w:r>
          </w:p>
        </w:tc>
        <w:tc>
          <w:tcPr>
            <w:tcW w:w="0" w:type="dxa"/>
            <w:vAlign w:val="bottom"/>
          </w:tcPr>
          <w:p>
            <w:pPr>
              <w:spacing w:after="0"/>
              <w:rPr>
                <w:sz w:val="1"/>
                <w:szCs w:val="1"/>
                <w:color w:val="auto"/>
              </w:rPr>
            </w:pPr>
          </w:p>
        </w:tc>
      </w:tr>
      <w:tr>
        <w:trPr>
          <w:trHeight w:val="162"/>
        </w:trPr>
        <w:tc>
          <w:tcPr>
            <w:tcW w:w="4480" w:type="dxa"/>
            <w:vAlign w:val="bottom"/>
          </w:tcPr>
          <w:p>
            <w:pPr>
              <w:ind w:left="560"/>
              <w:spacing w:after="0" w:line="163" w:lineRule="exact"/>
              <w:rPr>
                <w:sz w:val="20"/>
                <w:szCs w:val="20"/>
                <w:color w:val="auto"/>
              </w:rPr>
            </w:pPr>
            <w:r>
              <w:rPr>
                <w:rFonts w:ascii="Arial" w:cs="Arial" w:eastAsia="Arial" w:hAnsi="Arial"/>
                <w:sz w:val="17"/>
                <w:szCs w:val="17"/>
                <w:color w:val="auto"/>
              </w:rPr>
              <w:t>Dilutive effect of conversion premium on convertible</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488,631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7"/>
                <w:szCs w:val="17"/>
                <w:color w:val="auto"/>
              </w:rPr>
              <w:t>364,919</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480" w:type="dxa"/>
            <w:vAlign w:val="bottom"/>
          </w:tcPr>
          <w:p>
            <w:pPr>
              <w:ind w:left="320"/>
              <w:spacing w:after="0"/>
              <w:rPr>
                <w:sz w:val="20"/>
                <w:szCs w:val="20"/>
                <w:color w:val="auto"/>
              </w:rPr>
            </w:pPr>
            <w:r>
              <w:rPr>
                <w:rFonts w:ascii="Arial" w:cs="Arial" w:eastAsia="Arial" w:hAnsi="Arial"/>
                <w:sz w:val="17"/>
                <w:szCs w:val="17"/>
                <w:color w:val="auto"/>
              </w:rPr>
              <w:t>notes</w:t>
            </w:r>
          </w:p>
        </w:tc>
        <w:tc>
          <w:tcPr>
            <w:tcW w:w="3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7"/>
                <w:szCs w:val="17"/>
                <w:color w:val="auto"/>
                <w:w w:val="95"/>
              </w:rPr>
              <w:t>Diluted weighted average common shares outstanding</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34,389,768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34,597,688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34,353,593</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34,659,146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line="147" w:lineRule="exact"/>
              <w:rPr>
                <w:sz w:val="20"/>
                <w:szCs w:val="20"/>
                <w:color w:val="auto"/>
              </w:rPr>
            </w:pPr>
            <w:r>
              <w:rPr>
                <w:rFonts w:ascii="Arial" w:cs="Arial" w:eastAsia="Arial" w:hAnsi="Arial"/>
                <w:sz w:val="17"/>
                <w:szCs w:val="17"/>
                <w:color w:val="auto"/>
              </w:rPr>
              <w:t>Earnings per share attributable to ExlService Holdings Inc.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44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Arial" w:cs="Arial" w:eastAsia="Arial" w:hAnsi="Arial"/>
                <w:sz w:val="17"/>
                <w:szCs w:val="17"/>
                <w:color w:val="auto"/>
              </w:rPr>
              <w:t>stockholders: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7"/>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0.90</w:t>
            </w:r>
          </w:p>
        </w:tc>
        <w:tc>
          <w:tcPr>
            <w:tcW w:w="0" w:type="dxa"/>
            <w:vAlign w:val="bottom"/>
          </w:tcPr>
          <w:p>
            <w:pPr>
              <w:spacing w:after="0"/>
              <w:rPr>
                <w:sz w:val="1"/>
                <w:szCs w:val="1"/>
                <w:color w:val="auto"/>
              </w:rPr>
            </w:pPr>
          </w:p>
        </w:tc>
      </w:tr>
      <w:tr>
        <w:trPr>
          <w:trHeight w:val="212"/>
        </w:trPr>
        <w:tc>
          <w:tcPr>
            <w:tcW w:w="4480" w:type="dxa"/>
            <w:vAlign w:val="bottom"/>
          </w:tcPr>
          <w:p>
            <w:pPr>
              <w:ind w:left="620"/>
              <w:spacing w:after="0"/>
              <w:rPr>
                <w:sz w:val="20"/>
                <w:szCs w:val="20"/>
                <w:color w:val="auto"/>
              </w:rPr>
            </w:pPr>
            <w:r>
              <w:rPr>
                <w:rFonts w:ascii="Arial" w:cs="Arial" w:eastAsia="Arial" w:hAnsi="Arial"/>
                <w:sz w:val="17"/>
                <w:szCs w:val="17"/>
                <w:color w:val="auto"/>
              </w:rPr>
              <w:t>Diluted</w:t>
            </w:r>
          </w:p>
        </w:tc>
        <w:tc>
          <w:tcPr>
            <w:tcW w:w="360" w:type="dxa"/>
            <w:vAlign w:val="bottom"/>
          </w:tcPr>
          <w:p>
            <w:pPr>
              <w:jc w:val="right"/>
              <w:ind w:right="177"/>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0.81</w:t>
            </w:r>
          </w:p>
        </w:tc>
        <w:tc>
          <w:tcPr>
            <w:tcW w:w="10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0.24</w:t>
            </w:r>
          </w:p>
        </w:tc>
        <w:tc>
          <w:tcPr>
            <w:tcW w:w="100" w:type="dxa"/>
            <w:vAlign w:val="bottom"/>
          </w:tcPr>
          <w:p>
            <w:pPr>
              <w:spacing w:after="0"/>
              <w:rPr>
                <w:sz w:val="18"/>
                <w:szCs w:val="18"/>
                <w:color w:val="auto"/>
              </w:rPr>
            </w:pPr>
          </w:p>
        </w:tc>
        <w:tc>
          <w:tcPr>
            <w:tcW w:w="420" w:type="dxa"/>
            <w:vAlign w:val="bottom"/>
          </w:tcPr>
          <w:p>
            <w:pPr>
              <w:jc w:val="right"/>
              <w:ind w:right="237"/>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8"/>
                <w:szCs w:val="18"/>
                <w:color w:val="auto"/>
              </w:rPr>
            </w:pPr>
          </w:p>
        </w:tc>
        <w:tc>
          <w:tcPr>
            <w:tcW w:w="680" w:type="dxa"/>
            <w:vAlign w:val="bottom"/>
          </w:tcPr>
          <w:p>
            <w:pPr>
              <w:jc w:val="right"/>
              <w:ind w:right="497"/>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162"/>
        </w:trPr>
        <w:tc>
          <w:tcPr>
            <w:tcW w:w="448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w w:val="96"/>
              </w:rPr>
              <w:t>Weighted average potentially dilutive shares considered anti-</w:t>
            </w:r>
          </w:p>
        </w:tc>
        <w:tc>
          <w:tcPr>
            <w:tcW w:w="3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638,318</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404,315</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dilutive and not included in computing diluted earnings per share</w:t>
            </w:r>
          </w:p>
        </w:tc>
        <w:tc>
          <w:tcPr>
            <w:tcW w:w="3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Cash, Cash Equivalents and Restricted Cash</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For the purpose of unaudited statements of cash flows, cash, cash equivalents and restricted cash comprise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500"/>
              <w:spacing w:after="0"/>
              <w:rPr>
                <w:sz w:val="20"/>
                <w:szCs w:val="20"/>
                <w:color w:val="auto"/>
              </w:rPr>
            </w:pPr>
            <w:r>
              <w:rPr>
                <w:rFonts w:ascii="Arial" w:cs="Arial" w:eastAsia="Arial" w:hAnsi="Arial"/>
                <w:sz w:val="13"/>
                <w:szCs w:val="13"/>
                <w:b w:val="1"/>
                <w:bCs w:val="1"/>
                <w:color w:val="auto"/>
              </w:rPr>
              <w:t>As of</w:t>
            </w: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3"/>
                <w:szCs w:val="13"/>
                <w:b w:val="1"/>
                <w:bCs w:val="1"/>
                <w:color w:val="auto"/>
              </w:rPr>
              <w:t>June 30, 2020</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3"/>
                <w:szCs w:val="13"/>
                <w:b w:val="1"/>
                <w:bCs w:val="1"/>
                <w:color w:val="auto"/>
              </w:rPr>
              <w:t>December 31,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150,211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163,619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7"/>
                <w:szCs w:val="17"/>
                <w:color w:val="auto"/>
              </w:rPr>
              <w:t>Restricted cash (current)</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5,065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4,858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 (non-current)</w:t>
            </w:r>
          </w:p>
        </w:tc>
        <w:tc>
          <w:tcPr>
            <w:tcW w:w="1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2,298</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00" w:type="dxa"/>
            <w:vAlign w:val="bottom"/>
          </w:tcPr>
          <w:p>
            <w:pPr>
              <w:ind w:left="20"/>
              <w:spacing w:after="0" w:line="192" w:lineRule="exact"/>
              <w:rPr>
                <w:sz w:val="20"/>
                <w:szCs w:val="20"/>
                <w:color w:val="auto"/>
              </w:rPr>
            </w:pPr>
            <w:r>
              <w:rPr>
                <w:rFonts w:ascii="Arial" w:cs="Arial" w:eastAsia="Arial" w:hAnsi="Arial"/>
                <w:sz w:val="17"/>
                <w:szCs w:val="17"/>
                <w:color w:val="auto"/>
              </w:rPr>
              <w:t>Cash, cash equivalents and restricted cash</w:t>
            </w:r>
          </w:p>
        </w:tc>
        <w:tc>
          <w:tcPr>
            <w:tcW w:w="17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gridSpan w:val="3"/>
          </w:tcPr>
          <w:p>
            <w:pPr>
              <w:jc w:val="right"/>
              <w:spacing w:after="0"/>
              <w:rPr>
                <w:sz w:val="20"/>
                <w:szCs w:val="20"/>
                <w:color w:val="auto"/>
              </w:rPr>
            </w:pPr>
            <w:r>
              <w:rPr>
                <w:rFonts w:ascii="Arial" w:cs="Arial" w:eastAsia="Arial" w:hAnsi="Arial"/>
                <w:sz w:val="17"/>
                <w:szCs w:val="17"/>
                <w:color w:val="auto"/>
              </w:rPr>
              <w:t>157,536</w:t>
            </w:r>
          </w:p>
        </w:tc>
        <w:tc>
          <w:tcPr>
            <w:tcW w:w="80" w:type="dxa"/>
            <w:vAlign w:val="bottom"/>
          </w:tcPr>
          <w:p>
            <w:pPr>
              <w:spacing w:after="0"/>
              <w:rPr>
                <w:sz w:val="17"/>
                <w:szCs w:val="17"/>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170,775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225,519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7. Other Income, net</w:t>
            </w:r>
          </w:p>
        </w:tc>
        <w:tc>
          <w:tcPr>
            <w:tcW w:w="1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1"/>
        </w:trPr>
        <w:tc>
          <w:tcPr>
            <w:tcW w:w="44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4400" w:type="dxa"/>
            <w:vAlign w:val="bottom"/>
          </w:tcPr>
          <w:p>
            <w:pPr>
              <w:ind w:left="360"/>
              <w:spacing w:after="0"/>
              <w:rPr>
                <w:sz w:val="20"/>
                <w:szCs w:val="20"/>
                <w:color w:val="auto"/>
              </w:rPr>
            </w:pPr>
            <w:r>
              <w:rPr>
                <w:rFonts w:ascii="Arial" w:cs="Arial" w:eastAsia="Arial" w:hAnsi="Arial"/>
                <w:sz w:val="17"/>
                <w:szCs w:val="17"/>
                <w:color w:val="auto"/>
              </w:rPr>
              <w:t>Other income, net consists of the following:</w:t>
            </w: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20" w:type="dxa"/>
            <w:vAlign w:val="bottom"/>
            <w:gridSpan w:val="7"/>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2500" w:type="dxa"/>
            <w:vAlign w:val="bottom"/>
            <w:gridSpan w:val="8"/>
          </w:tcPr>
          <w:p>
            <w:pPr>
              <w:ind w:left="5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Gain on sale and mark-to-market of mutual funds</w:t>
            </w:r>
          </w:p>
        </w:tc>
        <w:tc>
          <w:tcPr>
            <w:tcW w:w="18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3,109</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1"/>
              <w:spacing w:after="0"/>
              <w:rPr>
                <w:sz w:val="20"/>
                <w:szCs w:val="20"/>
                <w:color w:val="auto"/>
              </w:rPr>
            </w:pPr>
            <w:r>
              <w:rPr>
                <w:rFonts w:ascii="Arial" w:cs="Arial" w:eastAsia="Arial" w:hAnsi="Arial"/>
                <w:sz w:val="17"/>
                <w:szCs w:val="17"/>
                <w:color w:val="auto"/>
                <w:w w:val="84"/>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w w:val="89"/>
              </w:rPr>
              <w:t>2,758</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5,166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Interest and dividend income</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632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jc w:val="right"/>
              <w:ind w:right="2"/>
              <w:spacing w:after="0"/>
              <w:rPr>
                <w:sz w:val="20"/>
                <w:szCs w:val="20"/>
                <w:color w:val="auto"/>
              </w:rPr>
            </w:pPr>
            <w:r>
              <w:rPr>
                <w:rFonts w:ascii="Arial" w:cs="Arial" w:eastAsia="Arial" w:hAnsi="Arial"/>
                <w:sz w:val="17"/>
                <w:szCs w:val="17"/>
                <w:color w:val="auto"/>
                <w:w w:val="89"/>
              </w:rPr>
              <w:t>1,291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Others, net</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484</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20" w:type="dxa"/>
            <w:vAlign w:val="bottom"/>
            <w:gridSpan w:val="2"/>
          </w:tcPr>
          <w:p>
            <w:pPr>
              <w:ind w:left="20"/>
              <w:spacing w:after="0"/>
              <w:rPr>
                <w:sz w:val="20"/>
                <w:szCs w:val="20"/>
                <w:color w:val="auto"/>
              </w:rPr>
            </w:pPr>
            <w:r>
              <w:rPr>
                <w:rFonts w:ascii="Arial" w:cs="Arial" w:eastAsia="Arial" w:hAnsi="Arial"/>
                <w:sz w:val="17"/>
                <w:szCs w:val="17"/>
                <w:color w:val="auto"/>
              </w:rPr>
              <w:t>Other income, net</w:t>
            </w:r>
          </w:p>
        </w:tc>
        <w:tc>
          <w:tcPr>
            <w:tcW w:w="180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2,215</w:t>
            </w:r>
          </w:p>
        </w:tc>
        <w:tc>
          <w:tcPr>
            <w:tcW w:w="8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w:t>
            </w:r>
          </w:p>
        </w:tc>
        <w:tc>
          <w:tcPr>
            <w:tcW w:w="20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7"/>
                <w:szCs w:val="17"/>
                <w:color w:val="auto"/>
              </w:rPr>
              <w:t>4,225</w:t>
            </w:r>
          </w:p>
        </w:tc>
        <w:tc>
          <w:tcPr>
            <w:tcW w:w="80" w:type="dxa"/>
            <w:vAlign w:val="bottom"/>
          </w:tcPr>
          <w:p>
            <w:pPr>
              <w:spacing w:after="0"/>
              <w:rPr>
                <w:sz w:val="17"/>
                <w:szCs w:val="17"/>
                <w:color w:val="auto"/>
              </w:rPr>
            </w:pPr>
          </w:p>
        </w:tc>
        <w:tc>
          <w:tcPr>
            <w:tcW w:w="640" w:type="dxa"/>
            <w:vAlign w:val="bottom"/>
          </w:tcPr>
          <w:p>
            <w:pPr>
              <w:jc w:val="right"/>
              <w:ind w:right="461"/>
              <w:spacing w:after="0"/>
              <w:rPr>
                <w:sz w:val="20"/>
                <w:szCs w:val="20"/>
                <w:color w:val="auto"/>
              </w:rPr>
            </w:pPr>
            <w:r>
              <w:rPr>
                <w:rFonts w:ascii="Arial" w:cs="Arial" w:eastAsia="Arial" w:hAnsi="Arial"/>
                <w:sz w:val="17"/>
                <w:szCs w:val="17"/>
                <w:color w:val="auto"/>
                <w:w w:val="84"/>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jc w:val="right"/>
              <w:ind w:right="2"/>
              <w:spacing w:after="0"/>
              <w:rPr>
                <w:sz w:val="20"/>
                <w:szCs w:val="20"/>
                <w:color w:val="auto"/>
              </w:rPr>
            </w:pPr>
            <w:r>
              <w:rPr>
                <w:rFonts w:ascii="Arial" w:cs="Arial" w:eastAsia="Arial" w:hAnsi="Arial"/>
                <w:sz w:val="17"/>
                <w:szCs w:val="17"/>
                <w:color w:val="auto"/>
                <w:w w:val="89"/>
              </w:rPr>
              <w:t>3,625</w:t>
            </w:r>
          </w:p>
        </w:tc>
        <w:tc>
          <w:tcPr>
            <w:tcW w:w="80" w:type="dxa"/>
            <w:vAlign w:val="bottom"/>
          </w:tcPr>
          <w:p>
            <w:pPr>
              <w:spacing w:after="0"/>
              <w:rPr>
                <w:sz w:val="17"/>
                <w:szCs w:val="17"/>
                <w:color w:val="auto"/>
              </w:rPr>
            </w:pPr>
          </w:p>
        </w:tc>
        <w:tc>
          <w:tcPr>
            <w:tcW w:w="280" w:type="dxa"/>
            <w:vAlign w:val="bottom"/>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6,754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700" w:type="dxa"/>
            <w:vAlign w:val="bottom"/>
            <w:gridSpan w:val="2"/>
            <w:vMerge w:val="restart"/>
          </w:tcPr>
          <w:p>
            <w:pPr>
              <w:jc w:val="right"/>
              <w:ind w:right="420"/>
              <w:spacing w:after="0"/>
              <w:rPr>
                <w:sz w:val="20"/>
                <w:szCs w:val="20"/>
                <w:color w:val="auto"/>
              </w:rPr>
            </w:pPr>
            <w:r>
              <w:rPr>
                <w:rFonts w:ascii="Arial" w:cs="Arial" w:eastAsia="Arial" w:hAnsi="Arial"/>
                <w:sz w:val="17"/>
                <w:szCs w:val="17"/>
                <w:color w:val="auto"/>
              </w:rPr>
              <w:t>17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Property and Equipment, net</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and equipment, net consists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Estimated useful lives</w:t>
            </w: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57"/>
              <w:spacing w:after="0"/>
              <w:rPr>
                <w:sz w:val="20"/>
                <w:szCs w:val="20"/>
                <w:color w:val="auto"/>
              </w:rPr>
            </w:pPr>
            <w:r>
              <w:rPr>
                <w:rFonts w:ascii="Arial" w:cs="Arial" w:eastAsia="Arial" w:hAnsi="Arial"/>
                <w:sz w:val="13"/>
                <w:szCs w:val="13"/>
                <w:b w:val="1"/>
                <w:bCs w:val="1"/>
                <w:color w:val="auto"/>
              </w:rPr>
              <w:t>As of</w:t>
            </w:r>
          </w:p>
        </w:tc>
        <w:tc>
          <w:tcPr>
            <w:tcW w:w="1560" w:type="dxa"/>
            <w:vAlign w:val="bottom"/>
            <w:tcBorders>
              <w:bottom w:val="single" w:sz="8" w:color="auto"/>
            </w:tcBorders>
          </w:tcPr>
          <w:p>
            <w:pPr>
              <w:spacing w:after="0"/>
              <w:rPr>
                <w:sz w:val="15"/>
                <w:szCs w:val="15"/>
                <w:color w:val="auto"/>
              </w:rPr>
            </w:pPr>
          </w:p>
        </w:tc>
      </w:tr>
      <w:tr>
        <w:trPr>
          <w:trHeight w:val="174"/>
        </w:trPr>
        <w:tc>
          <w:tcPr>
            <w:tcW w:w="5580" w:type="dxa"/>
            <w:vAlign w:val="bottom"/>
          </w:tcPr>
          <w:p>
            <w:pPr>
              <w:spacing w:after="0"/>
              <w:rPr>
                <w:sz w:val="15"/>
                <w:szCs w:val="15"/>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(Years)</w:t>
            </w:r>
          </w:p>
        </w:tc>
        <w:tc>
          <w:tcPr>
            <w:tcW w:w="30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Pr>
          <w:p>
            <w:pPr>
              <w:spacing w:after="0"/>
              <w:rPr>
                <w:sz w:val="15"/>
                <w:szCs w:val="15"/>
                <w:color w:val="auto"/>
              </w:rPr>
            </w:pPr>
          </w:p>
        </w:tc>
        <w:tc>
          <w:tcPr>
            <w:tcW w:w="1560" w:type="dxa"/>
            <w:vAlign w:val="bottom"/>
          </w:tcPr>
          <w:p>
            <w:pPr>
              <w:jc w:val="right"/>
              <w:ind w:right="278"/>
              <w:spacing w:after="0"/>
              <w:rPr>
                <w:sz w:val="20"/>
                <w:szCs w:val="20"/>
                <w:color w:val="auto"/>
              </w:rPr>
            </w:pPr>
            <w:r>
              <w:rPr>
                <w:rFonts w:ascii="Arial" w:cs="Arial" w:eastAsia="Arial" w:hAnsi="Arial"/>
                <w:sz w:val="13"/>
                <w:szCs w:val="13"/>
                <w:b w:val="1"/>
                <w:bCs w:val="1"/>
                <w:color w:val="auto"/>
              </w:rPr>
              <w:t>December 31, 2020</w:t>
            </w:r>
          </w:p>
        </w:tc>
      </w:tr>
      <w:tr>
        <w:trPr>
          <w:trHeight w:val="193"/>
        </w:trPr>
        <w:tc>
          <w:tcPr>
            <w:tcW w:w="55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Owned Assets:</w:t>
            </w:r>
          </w:p>
        </w:tc>
        <w:tc>
          <w:tcPr>
            <w:tcW w:w="1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860" w:type="dxa"/>
            <w:vAlign w:val="bottom"/>
          </w:tcPr>
          <w:p>
            <w:pPr>
              <w:jc w:val="center"/>
              <w:spacing w:after="0"/>
              <w:rPr>
                <w:sz w:val="20"/>
                <w:szCs w:val="20"/>
                <w:color w:val="auto"/>
              </w:rPr>
            </w:pPr>
            <w:r>
              <w:rPr>
                <w:rFonts w:ascii="Arial" w:cs="Arial" w:eastAsia="Arial" w:hAnsi="Arial"/>
                <w:sz w:val="17"/>
                <w:szCs w:val="17"/>
                <w:color w:val="auto"/>
                <w:w w:val="89"/>
              </w:rPr>
              <w:t>3-5</w:t>
            </w: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110,321</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107,016</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99,708</w:t>
            </w: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1860" w:type="dxa"/>
            <w:vAlign w:val="bottom"/>
          </w:tcPr>
          <w:p>
            <w:pPr>
              <w:jc w:val="center"/>
              <w:spacing w:after="0"/>
              <w:rPr>
                <w:sz w:val="20"/>
                <w:szCs w:val="20"/>
                <w:color w:val="auto"/>
              </w:rPr>
            </w:pPr>
            <w:r>
              <w:rPr>
                <w:rFonts w:ascii="Arial" w:cs="Arial" w:eastAsia="Arial" w:hAnsi="Arial"/>
                <w:sz w:val="17"/>
                <w:szCs w:val="17"/>
                <w:color w:val="auto"/>
                <w:w w:val="89"/>
              </w:rPr>
              <w:t>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42,547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48,052</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22,210</w:t>
            </w: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Motor vehicles</w:t>
            </w:r>
          </w:p>
        </w:tc>
        <w:tc>
          <w:tcPr>
            <w:tcW w:w="1860" w:type="dxa"/>
            <w:vAlign w:val="bottom"/>
          </w:tcPr>
          <w:p>
            <w:pPr>
              <w:jc w:val="center"/>
              <w:spacing w:after="0"/>
              <w:rPr>
                <w:sz w:val="20"/>
                <w:szCs w:val="20"/>
                <w:color w:val="auto"/>
              </w:rPr>
            </w:pPr>
            <w:r>
              <w:rPr>
                <w:rFonts w:ascii="Arial" w:cs="Arial" w:eastAsia="Arial" w:hAnsi="Arial"/>
                <w:sz w:val="17"/>
                <w:szCs w:val="17"/>
                <w:color w:val="auto"/>
                <w:w w:val="89"/>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599</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8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w:t>
            </w: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Land</w:t>
            </w:r>
          </w:p>
        </w:tc>
        <w:tc>
          <w:tcPr>
            <w:tcW w:w="196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712</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Capital work in progress</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4,647</w:t>
            </w:r>
          </w:p>
        </w:tc>
      </w:tr>
      <w:tr>
        <w:trPr>
          <w:trHeight w:val="204"/>
        </w:trPr>
        <w:tc>
          <w:tcPr>
            <w:tcW w:w="5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280,486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284,033</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(194,377)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(191,629)</w:t>
            </w:r>
          </w:p>
        </w:tc>
      </w:tr>
      <w:tr>
        <w:trPr>
          <w:trHeight w:val="204"/>
        </w:trPr>
        <w:tc>
          <w:tcPr>
            <w:tcW w:w="55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86,109</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92,404</w:t>
            </w:r>
          </w:p>
        </w:tc>
      </w:tr>
      <w:tr>
        <w:trPr>
          <w:trHeight w:val="192"/>
        </w:trPr>
        <w:tc>
          <w:tcPr>
            <w:tcW w:w="558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Right-of-use assets under finance leases: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Network equipment and computers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r>
      <w:tr>
        <w:trPr>
          <w:trHeight w:val="212"/>
        </w:trPr>
        <w:tc>
          <w:tcPr>
            <w:tcW w:w="5580" w:type="dxa"/>
            <w:vAlign w:val="bottom"/>
          </w:tcPr>
          <w:p>
            <w:pPr>
              <w:spacing w:after="0"/>
              <w:rPr>
                <w:sz w:val="20"/>
                <w:szCs w:val="20"/>
                <w:color w:val="auto"/>
              </w:rPr>
            </w:pPr>
            <w:r>
              <w:rPr>
                <w:rFonts w:ascii="Arial" w:cs="Arial" w:eastAsia="Arial" w:hAnsi="Arial"/>
                <w:sz w:val="17"/>
                <w:szCs w:val="17"/>
                <w:color w:val="auto"/>
              </w:rPr>
              <w:t>Office furniture and equipment</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725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255</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Motor vehicles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688</w:t>
            </w:r>
          </w:p>
        </w:tc>
      </w:tr>
      <w:tr>
        <w:trPr>
          <w:trHeight w:val="204"/>
        </w:trPr>
        <w:tc>
          <w:tcPr>
            <w:tcW w:w="55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2,598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1,853</w:t>
            </w:r>
          </w:p>
        </w:tc>
      </w:tr>
      <w:tr>
        <w:trPr>
          <w:trHeight w:val="212"/>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(1,382)</w:t>
            </w:r>
          </w:p>
        </w:tc>
      </w:tr>
      <w:tr>
        <w:trPr>
          <w:trHeight w:val="204"/>
        </w:trPr>
        <w:tc>
          <w:tcPr>
            <w:tcW w:w="5580" w:type="dxa"/>
            <w:vAlign w:val="bottom"/>
            <w:tcBorders>
              <w:bottom w:val="single" w:sz="8" w:color="CCEEFF"/>
            </w:tcBorders>
          </w:tcPr>
          <w:p>
            <w:pPr>
              <w:spacing w:after="0"/>
              <w:rPr>
                <w:sz w:val="17"/>
                <w:szCs w:val="17"/>
                <w:color w:val="auto"/>
              </w:rPr>
            </w:pPr>
          </w:p>
        </w:tc>
        <w:tc>
          <w:tcPr>
            <w:tcW w:w="1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w:t>
            </w:r>
          </w:p>
        </w:tc>
      </w:tr>
      <w:tr>
        <w:trPr>
          <w:trHeight w:val="229"/>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86,511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92,875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Capital work in progress represents advances paid towards acquisition of property and equipment and costs incurred on internally developed software not yet ready to be placed in service.</w:t>
      </w:r>
    </w:p>
    <w:p>
      <w:pPr>
        <w:spacing w:after="0" w:line="18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During the three and six months ended June 30, 2021, there were no changes in estimated useful lives of property and equipment.</w:t>
      </w:r>
    </w:p>
    <w:p>
      <w:pPr>
        <w:spacing w:after="0" w:line="204"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The depreciation and amortization expense, excluding amortization of acquisition-related intangibles, recognized in the unaudited consolidated statements of income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40" w:type="dxa"/>
            <w:vAlign w:val="bottom"/>
          </w:tcPr>
          <w:p>
            <w:pPr>
              <w:spacing w:after="0"/>
              <w:rPr>
                <w:sz w:val="15"/>
                <w:szCs w:val="15"/>
                <w:color w:val="auto"/>
              </w:rPr>
            </w:pPr>
          </w:p>
        </w:tc>
        <w:tc>
          <w:tcPr>
            <w:tcW w:w="2300" w:type="dxa"/>
            <w:vAlign w:val="bottom"/>
            <w:tcBorders>
              <w:bottom w:val="single" w:sz="8" w:color="auto"/>
            </w:tcBorders>
            <w:gridSpan w:val="4"/>
          </w:tcPr>
          <w:p>
            <w:pPr>
              <w:ind w:left="560"/>
              <w:spacing w:after="0"/>
              <w:rPr>
                <w:sz w:val="20"/>
                <w:szCs w:val="20"/>
                <w:color w:val="auto"/>
              </w:rPr>
            </w:pPr>
            <w:r>
              <w:rPr>
                <w:rFonts w:ascii="Arial" w:cs="Arial" w:eastAsia="Arial" w:hAnsi="Arial"/>
                <w:sz w:val="13"/>
                <w:szCs w:val="13"/>
                <w:b w:val="1"/>
                <w:bCs w:val="1"/>
                <w:color w:val="auto"/>
                <w:w w:val="93"/>
              </w:rPr>
              <w:t>Three months ended June 30,</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3"/>
                <w:szCs w:val="13"/>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r>
      <w:tr>
        <w:trPr>
          <w:trHeight w:val="171"/>
        </w:trPr>
        <w:tc>
          <w:tcPr>
            <w:tcW w:w="56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231"/>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8,913</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8,975</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17,653</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17,271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effect of foreign exchange gain/(loss) upon settlement of cash flow hedges recorded under depreciation and amortization, was as follows: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85"/>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8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2020</w:t>
            </w:r>
          </w:p>
        </w:tc>
      </w:tr>
      <w:tr>
        <w:trPr>
          <w:trHeight w:val="231"/>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foreign exchange gain/(loss)</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7"/>
                <w:szCs w:val="17"/>
                <w:color w:val="auto"/>
              </w:rPr>
              <w:t>323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Internally developed software costs, included under Software, was as follows:</w:t>
      </w:r>
    </w:p>
    <w:p>
      <w:pPr>
        <w:spacing w:after="0" w:line="34"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586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w w:val="86"/>
              </w:rPr>
              <w:t>As of</w:t>
            </w:r>
          </w:p>
        </w:tc>
        <w:tc>
          <w:tcPr>
            <w:tcW w:w="1760" w:type="dxa"/>
            <w:vAlign w:val="bottom"/>
            <w:tcBorders>
              <w:bottom w:val="single" w:sz="8" w:color="auto"/>
            </w:tcBorders>
          </w:tcPr>
          <w:p>
            <w:pPr>
              <w:spacing w:after="0"/>
              <w:rPr>
                <w:sz w:val="15"/>
                <w:szCs w:val="15"/>
                <w:color w:val="auto"/>
              </w:rPr>
            </w:pPr>
          </w:p>
        </w:tc>
      </w:tr>
      <w:tr>
        <w:trPr>
          <w:trHeight w:val="171"/>
        </w:trPr>
        <w:tc>
          <w:tcPr>
            <w:tcW w:w="5860" w:type="dxa"/>
            <w:vAlign w:val="bottom"/>
            <w:tcBorders>
              <w:bottom w:val="single" w:sz="8" w:color="CCEEFF"/>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June 30, 2021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December 31, 2020</w:t>
            </w:r>
          </w:p>
        </w:tc>
      </w:tr>
      <w:tr>
        <w:trPr>
          <w:trHeight w:val="206"/>
        </w:trPr>
        <w:tc>
          <w:tcPr>
            <w:tcW w:w="58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Cost</w:t>
            </w:r>
          </w:p>
        </w:tc>
        <w:tc>
          <w:tcPr>
            <w:tcW w:w="1800" w:type="dxa"/>
            <w:vAlign w:val="bottom"/>
            <w:shd w:val="clear" w:color="auto" w:fill="CCEEFF"/>
          </w:tcPr>
          <w:p>
            <w:pPr>
              <w:jc w:val="right"/>
              <w:ind w:right="1242"/>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18,827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220"/>
              <w:spacing w:after="0"/>
              <w:rPr>
                <w:sz w:val="20"/>
                <w:szCs w:val="20"/>
                <w:color w:val="auto"/>
              </w:rPr>
            </w:pPr>
            <w:r>
              <w:rPr>
                <w:rFonts w:ascii="Arial" w:cs="Arial" w:eastAsia="Arial" w:hAnsi="Arial"/>
                <w:sz w:val="17"/>
                <w:szCs w:val="17"/>
                <w:color w:val="auto"/>
                <w:w w:val="99"/>
              </w:rPr>
              <w:t>18,371</w:t>
            </w:r>
          </w:p>
        </w:tc>
      </w:tr>
      <w:tr>
        <w:trPr>
          <w:trHeight w:val="212"/>
        </w:trPr>
        <w:tc>
          <w:tcPr>
            <w:tcW w:w="586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Less : Accumulated amortization</w:t>
            </w:r>
          </w:p>
        </w:tc>
        <w:tc>
          <w:tcPr>
            <w:tcW w:w="18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92"/>
              </w:rPr>
              <w:t>(8,070)</w:t>
            </w: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1240"/>
              <w:spacing w:after="0"/>
              <w:rPr>
                <w:sz w:val="20"/>
                <w:szCs w:val="20"/>
                <w:color w:val="auto"/>
              </w:rPr>
            </w:pPr>
            <w:r>
              <w:rPr>
                <w:rFonts w:ascii="Arial" w:cs="Arial" w:eastAsia="Arial" w:hAnsi="Arial"/>
                <w:sz w:val="17"/>
                <w:szCs w:val="17"/>
                <w:color w:val="auto"/>
                <w:w w:val="92"/>
              </w:rPr>
              <w:t>(5,998)</w:t>
            </w:r>
          </w:p>
        </w:tc>
      </w:tr>
      <w:tr>
        <w:trPr>
          <w:trHeight w:val="229"/>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Internally developed software, net</w:t>
            </w:r>
          </w:p>
        </w:tc>
        <w:tc>
          <w:tcPr>
            <w:tcW w:w="1800" w:type="dxa"/>
            <w:vAlign w:val="bottom"/>
            <w:tcBorders>
              <w:bottom w:val="single" w:sz="8" w:color="auto"/>
            </w:tcBorders>
            <w:shd w:val="clear" w:color="auto" w:fill="CCEEFF"/>
          </w:tcPr>
          <w:p>
            <w:pPr>
              <w:jc w:val="right"/>
              <w:ind w:right="1242"/>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99"/>
              </w:rPr>
              <w:t>10,757</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shd w:val="clear" w:color="auto" w:fill="CCEEFF"/>
          </w:tcPr>
          <w:p>
            <w:pPr>
              <w:ind w:left="1220"/>
              <w:spacing w:after="0"/>
              <w:rPr>
                <w:sz w:val="20"/>
                <w:szCs w:val="20"/>
                <w:color w:val="auto"/>
              </w:rPr>
            </w:pPr>
            <w:r>
              <w:rPr>
                <w:rFonts w:ascii="Arial" w:cs="Arial" w:eastAsia="Arial" w:hAnsi="Arial"/>
                <w:sz w:val="17"/>
                <w:szCs w:val="17"/>
                <w:color w:val="auto"/>
                <w:w w:val="99"/>
              </w:rPr>
              <w:t>12,373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amortization expense on internally developed software recognized in the unaudited consolidated statements of income was as follows:</w:t>
      </w:r>
    </w:p>
    <w:p>
      <w:pPr>
        <w:spacing w:after="0" w:line="96" w:lineRule="exact"/>
        <w:rPr>
          <w:sz w:val="20"/>
          <w:szCs w:val="20"/>
          <w:color w:val="auto"/>
        </w:rPr>
      </w:pPr>
    </w:p>
    <w:tbl>
      <w:tblPr>
        <w:tblLayout w:type="fixed"/>
        <w:tblInd w:w="28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tcBorders>
              <w:bottom w:val="single" w:sz="8" w:color="auto"/>
            </w:tcBorders>
            <w:gridSpan w:val="4"/>
          </w:tcPr>
          <w:p>
            <w:pPr>
              <w:jc w:val="right"/>
              <w:ind w:right="145"/>
              <w:spacing w:after="0"/>
              <w:rPr>
                <w:sz w:val="20"/>
                <w:szCs w:val="20"/>
                <w:color w:val="auto"/>
              </w:rPr>
            </w:pPr>
            <w:r>
              <w:rPr>
                <w:rFonts w:ascii="Arial" w:cs="Arial" w:eastAsia="Arial" w:hAnsi="Arial"/>
                <w:sz w:val="13"/>
                <w:szCs w:val="13"/>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r>
      <w:tr>
        <w:trPr>
          <w:trHeight w:val="171"/>
        </w:trPr>
        <w:tc>
          <w:tcPr>
            <w:tcW w:w="46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2020</w:t>
            </w:r>
          </w:p>
        </w:tc>
        <w:tc>
          <w:tcPr>
            <w:tcW w:w="520" w:type="dxa"/>
            <w:vAlign w:val="bottom"/>
            <w:tcBorders>
              <w:bottom w:val="single" w:sz="8" w:color="auto"/>
            </w:tcBorders>
          </w:tcPr>
          <w:p>
            <w:pPr>
              <w:spacing w:after="0"/>
              <w:rPr>
                <w:sz w:val="14"/>
                <w:szCs w:val="14"/>
                <w:color w:val="auto"/>
              </w:rPr>
            </w:pPr>
          </w:p>
        </w:tc>
      </w:tr>
      <w:tr>
        <w:trPr>
          <w:trHeight w:val="206"/>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900" w:type="dxa"/>
            <w:vAlign w:val="bottom"/>
            <w:shd w:val="clear" w:color="auto" w:fill="CCEEFF"/>
          </w:tcPr>
          <w:p>
            <w:pPr>
              <w:jc w:val="right"/>
              <w:ind w:right="728"/>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1,055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1,846</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2,079</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2,677</w:t>
            </w:r>
          </w:p>
        </w:tc>
      </w:tr>
    </w:tbl>
    <w:p>
      <w:pPr>
        <w:spacing w:after="0" w:line="287" w:lineRule="exact"/>
        <w:rPr>
          <w:sz w:val="20"/>
          <w:szCs w:val="20"/>
          <w:color w:val="auto"/>
        </w:rPr>
      </w:pPr>
    </w:p>
    <w:p>
      <w:pPr>
        <w:jc w:val="both"/>
        <w:ind w:firstLine="374"/>
        <w:spacing w:after="0" w:line="220" w:lineRule="auto"/>
        <w:rPr>
          <w:sz w:val="20"/>
          <w:szCs w:val="20"/>
          <w:color w:val="auto"/>
        </w:rPr>
      </w:pPr>
      <w:r>
        <w:rPr>
          <w:rFonts w:ascii="Arial" w:cs="Arial" w:eastAsia="Arial" w:hAnsi="Arial"/>
          <w:sz w:val="17"/>
          <w:szCs w:val="17"/>
          <w:color w:val="auto"/>
        </w:rPr>
        <w:t>As of June 30, 2021 and December 31, 2020, the Company believes no impairment exists because the long-lived asset's future undiscounted net cash flows expected to be generated exceeds its carrying value; however, there can be no assurances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and the asset’s residual value, if any. It is reasonably possible that the judgments and estimates described above could change in future periods. The duration and severity of COVID-19 and continued market volatility is highly uncertain and, as such, the impact on undiscounted cash flows is subject to significant judgment and may cause variability in the Company’s assessment of the existence of any impairment.</w:t>
      </w:r>
    </w:p>
    <w:p>
      <w:pPr>
        <w:spacing w:after="0" w:line="301" w:lineRule="exact"/>
        <w:rPr>
          <w:sz w:val="20"/>
          <w:szCs w:val="20"/>
          <w:color w:val="auto"/>
        </w:rPr>
      </w:pPr>
    </w:p>
    <w:p>
      <w:pPr>
        <w:ind w:right="8860"/>
        <w:spacing w:after="0" w:line="515" w:lineRule="auto"/>
        <w:tabs>
          <w:tab w:leader="none" w:pos="166"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Goodwill and Intangible Assets Goodwill</w:t>
      </w:r>
    </w:p>
    <w:p>
      <w:pPr>
        <w:spacing w:after="0" w:line="1" w:lineRule="exact"/>
        <w:rPr>
          <w:sz w:val="20"/>
          <w:szCs w:val="20"/>
          <w:color w:val="auto"/>
        </w:rPr>
      </w:pPr>
    </w:p>
    <w:p>
      <w:pPr>
        <w:jc w:val="both"/>
        <w:ind w:firstLine="374"/>
        <w:spacing w:after="0" w:line="246" w:lineRule="auto"/>
        <w:rPr>
          <w:sz w:val="20"/>
          <w:szCs w:val="20"/>
          <w:color w:val="auto"/>
        </w:rPr>
      </w:pPr>
      <w:r>
        <w:rPr>
          <w:rFonts w:ascii="Arial" w:cs="Arial" w:eastAsia="Arial" w:hAnsi="Arial"/>
          <w:sz w:val="16"/>
          <w:szCs w:val="16"/>
          <w:color w:val="auto"/>
        </w:rPr>
        <w:t>The Company transitioned to new segment reporting structure effective January 1, 2020, which resulted in certain changes to its operating segments and reporting units. The Company reallocated goodwill to its reporting units using a relative fair value approach. In addition, the Company completed an assessment of any potential goodwill impairment for all its reporting units immediately prior to the reallocation and determined that no impairment existed.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sets forth details of changes in goodwill by reportable segment of the Company: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Insurance</w:t>
            </w: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Healthcare</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9"/>
              </w:rPr>
              <w:t>Emerging</w:t>
            </w: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Analytics</w:t>
            </w:r>
          </w:p>
        </w:tc>
        <w:tc>
          <w:tcPr>
            <w:tcW w:w="240" w:type="dxa"/>
            <w:vAlign w:val="bottom"/>
          </w:tcPr>
          <w:p>
            <w:pPr>
              <w:spacing w:after="0"/>
              <w:rPr>
                <w:sz w:val="14"/>
                <w:szCs w:val="14"/>
                <w:color w:val="auto"/>
              </w:rPr>
            </w:pPr>
          </w:p>
        </w:tc>
        <w:tc>
          <w:tcPr>
            <w:tcW w:w="860" w:type="dxa"/>
            <w:vAlign w:val="bottom"/>
            <w:vMerge w:val="restart"/>
          </w:tcPr>
          <w:p>
            <w:pPr>
              <w:jc w:val="right"/>
              <w:ind w:right="31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80"/>
              </w:rPr>
              <w:t>Business</w:t>
            </w: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50,499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49,348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227,288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349,088</w:t>
            </w:r>
          </w:p>
        </w:tc>
        <w:tc>
          <w:tcPr>
            <w:tcW w:w="0" w:type="dxa"/>
            <w:vAlign w:val="bottom"/>
          </w:tcPr>
          <w:p>
            <w:pPr>
              <w:spacing w:after="0"/>
              <w:rPr>
                <w:sz w:val="1"/>
                <w:szCs w:val="1"/>
                <w:color w:val="auto"/>
              </w:rPr>
            </w:pPr>
          </w:p>
        </w:tc>
      </w:tr>
      <w:tr>
        <w:trPr>
          <w:trHeight w:val="212"/>
        </w:trPr>
        <w:tc>
          <w:tcPr>
            <w:tcW w:w="2580" w:type="dxa"/>
            <w:vAlign w:val="bottom"/>
          </w:tcPr>
          <w:p>
            <w:pPr>
              <w:ind w:left="320"/>
              <w:spacing w:after="0"/>
              <w:rPr>
                <w:sz w:val="20"/>
                <w:szCs w:val="20"/>
                <w:color w:val="auto"/>
              </w:rPr>
            </w:pPr>
            <w:r>
              <w:rPr>
                <w:rFonts w:ascii="Arial" w:cs="Arial" w:eastAsia="Arial" w:hAnsi="Arial"/>
                <w:sz w:val="17"/>
                <w:szCs w:val="17"/>
                <w:color w:val="auto"/>
                <w:w w:val="90"/>
              </w:rPr>
              <w:t>Currency translation adjustments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29"/>
        </w:trPr>
        <w:tc>
          <w:tcPr>
            <w:tcW w:w="258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Balance at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227,287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348,747</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6"/>
          <w:szCs w:val="16"/>
          <w:color w:val="auto"/>
        </w:rPr>
        <w:t>During the fourth quarter of 2020, the Company performed its annual impairment test of goodwill for those reporting units that had goodwill recorded. Based on the results, the fair values of each of the Company’s reporting units exceeded their carrying value and the goodwill was not impaired.</w:t>
      </w:r>
    </w:p>
    <w:p>
      <w:pPr>
        <w:spacing w:after="0" w:line="169"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6"/>
          <w:szCs w:val="16"/>
          <w:color w:val="auto"/>
        </w:rPr>
        <w:t>As of June 30, 2021, the Company evaluated the continuing effects of COVID-19 and its impact on the global economy on each of the Company’s reporting units to assess whether there was a triggering event during the quarter requiring the Company to perform a goodwill impairment test. The Company considered continued improvements in current and forecasted economic and market conditions and qualitative factors, such as the Company’s performance in the first and second quarters, business forecasts for the remainder of the year, stock price movements and the Company’s expansion plans. The Company did not identify any triggers or indications of potential impairment for its reporting units as of June 30, 2021.</w:t>
      </w:r>
    </w:p>
    <w:p>
      <w:pPr>
        <w:spacing w:after="0" w:line="189"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5"/>
          <w:szCs w:val="15"/>
          <w:color w:val="auto"/>
        </w:rPr>
        <w:t>There can be no assurances that goodwill will not be impaired in future periods. Estimating the fair value of reporting units requires the use of estimates and significant judgments that are based on a number of factors including actual operating results. These estimates and judgements may not be within the control of the Company and accordingly it is reasonably possible that the judgments and estimates described above could change in future periods. The duration and severity of COVID-19 and continued market volatility is highly uncertain and, as such, the impact on cash flows, long-term debt-free net cash flow growth rate in the terminal year and discount rates are subject to significant judgments and may cause variability in the Company’s assessment of existence of any impairment. The Company will continue to monitor the impacts of COVID-19 on the Company and significant changes in key assumptions that could result in future period impairment charges.</w:t>
      </w:r>
    </w:p>
    <w:p>
      <w:pPr>
        <w:spacing w:after="0" w:line="181"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regarding the Company’s intangible assets is set forth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2"/>
              </w:rPr>
              <w:t>As of June 30, 2021</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jc w:val="right"/>
              <w:ind w:right="180"/>
              <w:spacing w:after="0" w:line="123" w:lineRule="exact"/>
              <w:rPr>
                <w:sz w:val="20"/>
                <w:szCs w:val="20"/>
                <w:color w:val="auto"/>
              </w:rPr>
            </w:pPr>
            <w:r>
              <w:rPr>
                <w:rFonts w:ascii="Arial" w:cs="Arial" w:eastAsia="Arial" w:hAnsi="Arial"/>
                <w:sz w:val="13"/>
                <w:szCs w:val="13"/>
                <w:b w:val="1"/>
                <w:bCs w:val="1"/>
                <w:color w:val="auto"/>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120"/>
              <w:spacing w:after="0" w:line="123"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3"/>
          </w:tcPr>
          <w:p>
            <w:pPr>
              <w:jc w:val="center"/>
              <w:ind w:right="180"/>
              <w:spacing w:after="0" w:line="123" w:lineRule="exact"/>
              <w:rPr>
                <w:sz w:val="20"/>
                <w:szCs w:val="20"/>
                <w:color w:val="auto"/>
              </w:rPr>
            </w:pPr>
            <w:r>
              <w:rPr>
                <w:rFonts w:ascii="Arial" w:cs="Arial" w:eastAsia="Arial" w:hAnsi="Arial"/>
                <w:sz w:val="13"/>
                <w:szCs w:val="13"/>
                <w:b w:val="1"/>
                <w:bCs w:val="1"/>
                <w:color w:val="auto"/>
                <w:w w:val="97"/>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5"/>
          </w:tcPr>
          <w:p>
            <w:pPr>
              <w:jc w:val="right"/>
              <w:ind w:right="260"/>
              <w:spacing w:after="0"/>
              <w:rPr>
                <w:sz w:val="20"/>
                <w:szCs w:val="20"/>
                <w:color w:val="auto"/>
              </w:rPr>
            </w:pPr>
            <w:r>
              <w:rPr>
                <w:rFonts w:ascii="Arial" w:cs="Arial" w:eastAsia="Arial" w:hAnsi="Arial"/>
                <w:sz w:val="13"/>
                <w:szCs w:val="13"/>
                <w:b w:val="1"/>
                <w:bCs w:val="1"/>
                <w:color w:val="auto"/>
              </w:rPr>
              <w:t>Carrying Amount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Amortization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7"/>
              </w:rPr>
              <w:t>Amount</w:t>
            </w:r>
          </w:p>
        </w:tc>
        <w:tc>
          <w:tcPr>
            <w:tcW w:w="0" w:type="dxa"/>
            <w:vAlign w:val="bottom"/>
          </w:tcPr>
          <w:p>
            <w:pPr>
              <w:spacing w:after="0"/>
              <w:rPr>
                <w:sz w:val="1"/>
                <w:szCs w:val="1"/>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4480" w:type="dxa"/>
            <w:vAlign w:val="bottom"/>
            <w:tcBorders>
              <w:top w:val="single" w:sz="8" w:color="CCEEFF"/>
            </w:tcBorders>
            <w:gridSpan w:val="3"/>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Finite-lived intangible assets:</w:t>
            </w:r>
          </w:p>
        </w:tc>
        <w:tc>
          <w:tcPr>
            <w:tcW w:w="6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45"/>
              <w:spacing w:after="0"/>
              <w:rPr>
                <w:sz w:val="20"/>
                <w:szCs w:val="20"/>
                <w:color w:val="auto"/>
              </w:rPr>
            </w:pPr>
            <w:r>
              <w:rPr>
                <w:rFonts w:ascii="Arial" w:cs="Arial" w:eastAsia="Arial" w:hAnsi="Arial"/>
                <w:sz w:val="17"/>
                <w:szCs w:val="17"/>
                <w:color w:val="auto"/>
              </w:rPr>
              <w:t>$</w:t>
            </w:r>
          </w:p>
        </w:tc>
        <w:tc>
          <w:tcPr>
            <w:tcW w:w="1400" w:type="dxa"/>
            <w:vAlign w:val="bottom"/>
            <w:gridSpan w:val="5"/>
          </w:tcPr>
          <w:p>
            <w:pPr>
              <w:jc w:val="right"/>
              <w:spacing w:after="0"/>
              <w:rPr>
                <w:sz w:val="20"/>
                <w:szCs w:val="20"/>
                <w:color w:val="auto"/>
              </w:rPr>
            </w:pPr>
            <w:r>
              <w:rPr>
                <w:rFonts w:ascii="Arial" w:cs="Arial" w:eastAsia="Arial" w:hAnsi="Arial"/>
                <w:sz w:val="17"/>
                <w:szCs w:val="17"/>
                <w:color w:val="auto"/>
              </w:rPr>
              <w:t>71,416</w:t>
            </w:r>
          </w:p>
        </w:tc>
        <w:tc>
          <w:tcPr>
            <w:tcW w:w="360" w:type="dxa"/>
            <w:vAlign w:val="bottom"/>
            <w:gridSpan w:val="4"/>
          </w:tcPr>
          <w:p>
            <w:pPr>
              <w:jc w:val="right"/>
              <w:ind w:right="25"/>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(29,341)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42,075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Borders>
              <w:right w:val="single" w:sz="8" w:color="CCEEFF"/>
            </w:tcBorders>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23,533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(14,123)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9,410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Trade names and trademarks</w:t>
            </w:r>
          </w:p>
        </w:tc>
        <w:tc>
          <w:tcPr>
            <w:tcW w:w="6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5,100</w:t>
            </w: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(4,632)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468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CCEEFF"/>
            </w:tcBorders>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100,049</w:t>
            </w:r>
          </w:p>
        </w:tc>
        <w:tc>
          <w:tcPr>
            <w:tcW w:w="360" w:type="dxa"/>
            <w:vAlign w:val="bottom"/>
            <w:gridSpan w:val="4"/>
            <w:shd w:val="clear" w:color="auto" w:fill="CCEEFF"/>
          </w:tcPr>
          <w:p>
            <w:pPr>
              <w:jc w:val="right"/>
              <w:ind w:right="25"/>
              <w:spacing w:after="0"/>
              <w:rPr>
                <w:sz w:val="20"/>
                <w:szCs w:val="20"/>
                <w:color w:val="auto"/>
              </w:rPr>
            </w:pPr>
            <w:r>
              <w:rPr>
                <w:rFonts w:ascii="Arial" w:cs="Arial" w:eastAsia="Arial" w:hAnsi="Arial"/>
                <w:sz w:val="17"/>
                <w:szCs w:val="17"/>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(48,096)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51,953</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CCEEFF"/>
            </w:tcBorders>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Trade names and trademarks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900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7"/>
                <w:szCs w:val="17"/>
                <w:b w:val="1"/>
                <w:bCs w:val="1"/>
                <w:color w:val="auto"/>
              </w:rPr>
              <w:t>Total intangible assets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45"/>
              <w:spacing w:after="0"/>
              <w:rPr>
                <w:sz w:val="20"/>
                <w:szCs w:val="20"/>
                <w:color w:val="auto"/>
              </w:rPr>
            </w:pPr>
            <w:r>
              <w:rPr>
                <w:rFonts w:ascii="Arial" w:cs="Arial" w:eastAsia="Arial" w:hAnsi="Arial"/>
                <w:sz w:val="17"/>
                <w:szCs w:val="17"/>
                <w:color w:val="auto"/>
              </w:rPr>
              <w:t>$</w:t>
            </w:r>
          </w:p>
        </w:tc>
        <w:tc>
          <w:tcPr>
            <w:tcW w:w="1400" w:type="dxa"/>
            <w:vAlign w:val="bottom"/>
            <w:gridSpan w:val="5"/>
          </w:tcPr>
          <w:p>
            <w:pPr>
              <w:jc w:val="right"/>
              <w:spacing w:after="0"/>
              <w:rPr>
                <w:sz w:val="20"/>
                <w:szCs w:val="20"/>
                <w:color w:val="auto"/>
              </w:rPr>
            </w:pPr>
            <w:r>
              <w:rPr>
                <w:rFonts w:ascii="Arial" w:cs="Arial" w:eastAsia="Arial" w:hAnsi="Arial"/>
                <w:sz w:val="17"/>
                <w:szCs w:val="17"/>
                <w:color w:val="auto"/>
              </w:rPr>
              <w:t>100,949</w:t>
            </w:r>
          </w:p>
        </w:tc>
        <w:tc>
          <w:tcPr>
            <w:tcW w:w="360" w:type="dxa"/>
            <w:vAlign w:val="bottom"/>
            <w:gridSpan w:val="4"/>
          </w:tcPr>
          <w:p>
            <w:pPr>
              <w:jc w:val="right"/>
              <w:ind w:right="25"/>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(48,096)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jc w:val="right"/>
              <w:ind w:right="17"/>
              <w:spacing w:after="0"/>
              <w:rPr>
                <w:sz w:val="20"/>
                <w:szCs w:val="20"/>
                <w:color w:val="auto"/>
              </w:rPr>
            </w:pPr>
            <w:r>
              <w:rPr>
                <w:rFonts w:ascii="Arial" w:cs="Arial" w:eastAsia="Arial" w:hAnsi="Arial"/>
                <w:sz w:val="17"/>
                <w:szCs w:val="17"/>
                <w:color w:val="auto"/>
                <w:w w:val="84"/>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52,853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3"/>
                <w:szCs w:val="13"/>
                <w:b w:val="1"/>
                <w:bCs w:val="1"/>
                <w:color w:val="auto"/>
                <w:w w:val="91"/>
              </w:rPr>
              <w:t>As of December 31, 2020</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20" w:type="dxa"/>
            <w:vAlign w:val="bottom"/>
            <w:gridSpan w:val="6"/>
            <w:vMerge w:val="restart"/>
          </w:tcPr>
          <w:p>
            <w:pPr>
              <w:jc w:val="right"/>
              <w:ind w:right="160"/>
              <w:spacing w:after="0"/>
              <w:rPr>
                <w:sz w:val="20"/>
                <w:szCs w:val="20"/>
                <w:color w:val="auto"/>
              </w:rPr>
            </w:pPr>
            <w:r>
              <w:rPr>
                <w:rFonts w:ascii="Arial" w:cs="Arial" w:eastAsia="Arial" w:hAnsi="Arial"/>
                <w:sz w:val="13"/>
                <w:szCs w:val="13"/>
                <w:b w:val="1"/>
                <w:bCs w:val="1"/>
                <w:color w:val="auto"/>
                <w:w w:val="97"/>
              </w:rPr>
              <w:t>Gross Carrying 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jc w:val="right"/>
              <w:ind w:right="300"/>
              <w:spacing w:after="0" w:line="123" w:lineRule="exact"/>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3"/>
          </w:tcPr>
          <w:p>
            <w:pPr>
              <w:jc w:val="center"/>
              <w:ind w:right="180"/>
              <w:spacing w:after="0" w:line="123" w:lineRule="exact"/>
              <w:rPr>
                <w:sz w:val="20"/>
                <w:szCs w:val="20"/>
                <w:color w:val="auto"/>
              </w:rPr>
            </w:pPr>
            <w:r>
              <w:rPr>
                <w:rFonts w:ascii="Arial" w:cs="Arial" w:eastAsia="Arial" w:hAnsi="Arial"/>
                <w:sz w:val="13"/>
                <w:szCs w:val="13"/>
                <w:b w:val="1"/>
                <w:bCs w:val="1"/>
                <w:color w:val="auto"/>
                <w:w w:val="97"/>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6"/>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Amortization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3"/>
              </w:rPr>
              <w:t>Amount</w:t>
            </w:r>
          </w:p>
        </w:tc>
        <w:tc>
          <w:tcPr>
            <w:tcW w:w="0" w:type="dxa"/>
            <w:vAlign w:val="bottom"/>
          </w:tcPr>
          <w:p>
            <w:pPr>
              <w:spacing w:after="0"/>
              <w:rPr>
                <w:sz w:val="1"/>
                <w:szCs w:val="1"/>
                <w:color w:val="auto"/>
              </w:rPr>
            </w:pPr>
          </w:p>
        </w:tc>
      </w:tr>
      <w:tr>
        <w:trPr>
          <w:trHeight w:val="193"/>
        </w:trPr>
        <w:tc>
          <w:tcPr>
            <w:tcW w:w="40" w:type="dxa"/>
            <w:vAlign w:val="bottom"/>
            <w:tcBorders>
              <w:right w:val="single" w:sz="8" w:color="CCEEFF"/>
            </w:tcBorders>
          </w:tcPr>
          <w:p>
            <w:pPr>
              <w:spacing w:after="0"/>
              <w:rPr>
                <w:sz w:val="16"/>
                <w:szCs w:val="16"/>
                <w:color w:val="auto"/>
              </w:rPr>
            </w:pPr>
          </w:p>
        </w:tc>
        <w:tc>
          <w:tcPr>
            <w:tcW w:w="4480" w:type="dxa"/>
            <w:vAlign w:val="bottom"/>
            <w:tcBorders>
              <w:top w:val="single" w:sz="8" w:color="CCEEFF"/>
            </w:tcBorders>
            <w:gridSpan w:val="3"/>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Finite-lived intangible assets:</w:t>
            </w:r>
          </w:p>
        </w:tc>
        <w:tc>
          <w:tcPr>
            <w:tcW w:w="6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7"/>
                <w:szCs w:val="17"/>
                <w:color w:val="auto"/>
              </w:rPr>
              <w:t>Customer relationships</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3"/>
          </w:tcPr>
          <w:p>
            <w:pPr>
              <w:jc w:val="right"/>
              <w:ind w:right="105"/>
              <w:spacing w:after="0"/>
              <w:rPr>
                <w:sz w:val="20"/>
                <w:szCs w:val="20"/>
                <w:color w:val="auto"/>
              </w:rPr>
            </w:pPr>
            <w:r>
              <w:rPr>
                <w:rFonts w:ascii="Arial" w:cs="Arial" w:eastAsia="Arial" w:hAnsi="Arial"/>
                <w:sz w:val="17"/>
                <w:szCs w:val="17"/>
                <w:color w:val="auto"/>
              </w:rPr>
              <w:t>$</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73,357</w:t>
            </w:r>
          </w:p>
        </w:tc>
        <w:tc>
          <w:tcPr>
            <w:tcW w:w="20" w:type="dxa"/>
            <w:vAlign w:val="bottom"/>
          </w:tcPr>
          <w:p>
            <w:pPr>
              <w:spacing w:after="0"/>
              <w:rPr>
                <w:sz w:val="18"/>
                <w:szCs w:val="18"/>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(27,464)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45,893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Borders>
              <w:right w:val="single" w:sz="8" w:color="CCEEFF"/>
            </w:tcBorders>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23,510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(11,858)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11,652</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4480" w:type="dxa"/>
            <w:vAlign w:val="bottom"/>
            <w:tcBorders>
              <w:bottom w:val="single" w:sz="8" w:color="CCEEFF"/>
            </w:tcBorders>
            <w:gridSpan w:val="3"/>
          </w:tcPr>
          <w:p>
            <w:pPr>
              <w:spacing w:after="0"/>
              <w:rPr>
                <w:sz w:val="20"/>
                <w:szCs w:val="20"/>
                <w:color w:val="auto"/>
              </w:rPr>
            </w:pPr>
            <w:r>
              <w:rPr>
                <w:rFonts w:ascii="Arial" w:cs="Arial" w:eastAsia="Arial" w:hAnsi="Arial"/>
                <w:sz w:val="17"/>
                <w:szCs w:val="17"/>
                <w:color w:val="auto"/>
              </w:rPr>
              <w:t>Trade names and trademarks</w:t>
            </w:r>
          </w:p>
        </w:tc>
        <w:tc>
          <w:tcPr>
            <w:tcW w:w="6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5,100</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(3,951)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1,149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Borders>
              <w:right w:val="single" w:sz="8" w:color="CCEEFF"/>
            </w:tcBorders>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3"/>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101,967</w:t>
            </w:r>
          </w:p>
        </w:tc>
        <w:tc>
          <w:tcPr>
            <w:tcW w:w="20" w:type="dxa"/>
            <w:vAlign w:val="bottom"/>
            <w:shd w:val="clear" w:color="auto" w:fill="CCEEFF"/>
          </w:tcPr>
          <w:p>
            <w:pPr>
              <w:spacing w:after="0"/>
              <w:rPr>
                <w:sz w:val="17"/>
                <w:szCs w:val="17"/>
                <w:color w:val="auto"/>
              </w:rPr>
            </w:pPr>
          </w:p>
        </w:tc>
        <w:tc>
          <w:tcPr>
            <w:tcW w:w="360" w:type="dxa"/>
            <w:vAlign w:val="bottom"/>
            <w:gridSpan w:val="4"/>
            <w:shd w:val="clear" w:color="auto" w:fill="CCEEFF"/>
          </w:tcPr>
          <w:p>
            <w:pPr>
              <w:jc w:val="right"/>
              <w:ind w:right="105"/>
              <w:spacing w:after="0"/>
              <w:rPr>
                <w:sz w:val="20"/>
                <w:szCs w:val="20"/>
                <w:color w:val="auto"/>
              </w:rPr>
            </w:pPr>
            <w:r>
              <w:rPr>
                <w:rFonts w:ascii="Arial" w:cs="Arial" w:eastAsia="Arial" w:hAnsi="Arial"/>
                <w:sz w:val="17"/>
                <w:szCs w:val="17"/>
                <w:color w:val="auto"/>
              </w:rPr>
              <w:t>$</w:t>
            </w:r>
          </w:p>
        </w:tc>
        <w:tc>
          <w:tcPr>
            <w:tcW w:w="118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(43,273)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58,694</w:t>
            </w:r>
          </w:p>
        </w:tc>
        <w:tc>
          <w:tcPr>
            <w:tcW w:w="4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 w:type="dxa"/>
            <w:vAlign w:val="bottom"/>
            <w:tcBorders>
              <w:right w:val="single" w:sz="8" w:color="CCEEFF"/>
            </w:tcBorders>
          </w:tcPr>
          <w:p>
            <w:pPr>
              <w:spacing w:after="0"/>
              <w:rPr>
                <w:sz w:val="18"/>
                <w:szCs w:val="18"/>
                <w:color w:val="auto"/>
              </w:rPr>
            </w:pPr>
          </w:p>
        </w:tc>
        <w:tc>
          <w:tcPr>
            <w:tcW w:w="44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Trade names and trademarks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w w:val="84"/>
              </w:rPr>
              <w:t>900</w:t>
            </w:r>
          </w:p>
        </w:tc>
        <w:tc>
          <w:tcPr>
            <w:tcW w:w="2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900</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480" w:type="dxa"/>
            <w:vAlign w:val="bottom"/>
            <w:gridSpan w:val="3"/>
          </w:tcPr>
          <w:p>
            <w:pPr>
              <w:spacing w:after="0"/>
              <w:rPr>
                <w:sz w:val="20"/>
                <w:szCs w:val="20"/>
                <w:color w:val="auto"/>
              </w:rPr>
            </w:pPr>
            <w:r>
              <w:rPr>
                <w:rFonts w:ascii="Arial" w:cs="Arial" w:eastAsia="Arial" w:hAnsi="Arial"/>
                <w:sz w:val="17"/>
                <w:szCs w:val="17"/>
                <w:b w:val="1"/>
                <w:bCs w:val="1"/>
                <w:color w:val="auto"/>
              </w:rPr>
              <w:t>Total intangible assets</w:t>
            </w: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gridSpan w:val="3"/>
          </w:tcPr>
          <w:p>
            <w:pPr>
              <w:jc w:val="right"/>
              <w:ind w:right="105"/>
              <w:spacing w:after="0"/>
              <w:rPr>
                <w:sz w:val="20"/>
                <w:szCs w:val="20"/>
                <w:color w:val="auto"/>
              </w:rPr>
            </w:pPr>
            <w:r>
              <w:rPr>
                <w:rFonts w:ascii="Arial" w:cs="Arial" w:eastAsia="Arial" w:hAnsi="Arial"/>
                <w:sz w:val="17"/>
                <w:szCs w:val="17"/>
                <w:color w:val="auto"/>
              </w:rPr>
              <w:t>$</w:t>
            </w:r>
          </w:p>
        </w:tc>
        <w:tc>
          <w:tcPr>
            <w:tcW w:w="1380" w:type="dxa"/>
            <w:vAlign w:val="bottom"/>
            <w:gridSpan w:val="4"/>
          </w:tcPr>
          <w:p>
            <w:pPr>
              <w:jc w:val="right"/>
              <w:spacing w:after="0"/>
              <w:rPr>
                <w:sz w:val="20"/>
                <w:szCs w:val="20"/>
                <w:color w:val="auto"/>
              </w:rPr>
            </w:pPr>
            <w:r>
              <w:rPr>
                <w:rFonts w:ascii="Arial" w:cs="Arial" w:eastAsia="Arial" w:hAnsi="Arial"/>
                <w:sz w:val="17"/>
                <w:szCs w:val="17"/>
                <w:color w:val="auto"/>
              </w:rPr>
              <w:t>102,867</w:t>
            </w:r>
          </w:p>
        </w:tc>
        <w:tc>
          <w:tcPr>
            <w:tcW w:w="20" w:type="dxa"/>
            <w:vAlign w:val="bottom"/>
          </w:tcPr>
          <w:p>
            <w:pPr>
              <w:spacing w:after="0"/>
              <w:rPr>
                <w:sz w:val="17"/>
                <w:szCs w:val="17"/>
                <w:color w:val="auto"/>
              </w:rPr>
            </w:pPr>
          </w:p>
        </w:tc>
        <w:tc>
          <w:tcPr>
            <w:tcW w:w="360" w:type="dxa"/>
            <w:vAlign w:val="bottom"/>
            <w:gridSpan w:val="4"/>
          </w:tcPr>
          <w:p>
            <w:pPr>
              <w:jc w:val="right"/>
              <w:ind w:right="105"/>
              <w:spacing w:after="0"/>
              <w:rPr>
                <w:sz w:val="20"/>
                <w:szCs w:val="20"/>
                <w:color w:val="auto"/>
              </w:rPr>
            </w:pPr>
            <w:r>
              <w:rPr>
                <w:rFonts w:ascii="Arial" w:cs="Arial" w:eastAsia="Arial" w:hAnsi="Arial"/>
                <w:sz w:val="17"/>
                <w:szCs w:val="17"/>
                <w:color w:val="auto"/>
              </w:rPr>
              <w:t>$</w:t>
            </w:r>
          </w:p>
        </w:tc>
        <w:tc>
          <w:tcPr>
            <w:tcW w:w="1180" w:type="dxa"/>
            <w:vAlign w:val="bottom"/>
            <w:gridSpan w:val="4"/>
          </w:tcPr>
          <w:p>
            <w:pPr>
              <w:jc w:val="right"/>
              <w:spacing w:after="0"/>
              <w:rPr>
                <w:sz w:val="20"/>
                <w:szCs w:val="20"/>
                <w:color w:val="auto"/>
              </w:rPr>
            </w:pPr>
            <w:r>
              <w:rPr>
                <w:rFonts w:ascii="Arial" w:cs="Arial" w:eastAsia="Arial" w:hAnsi="Arial"/>
                <w:sz w:val="17"/>
                <w:szCs w:val="17"/>
                <w:color w:val="auto"/>
              </w:rPr>
              <w:t>(43,273)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3"/>
          </w:tcPr>
          <w:p>
            <w:pPr>
              <w:jc w:val="right"/>
              <w:ind w:right="60"/>
              <w:spacing w:after="0"/>
              <w:rPr>
                <w:sz w:val="20"/>
                <w:szCs w:val="20"/>
                <w:color w:val="auto"/>
              </w:rPr>
            </w:pPr>
            <w:r>
              <w:rPr>
                <w:rFonts w:ascii="Arial" w:cs="Arial" w:eastAsia="Arial" w:hAnsi="Arial"/>
                <w:sz w:val="17"/>
                <w:szCs w:val="17"/>
                <w:color w:val="auto"/>
              </w:rPr>
              <w:t>59,594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7740" w:type="dxa"/>
            <w:vAlign w:val="bottom"/>
            <w:gridSpan w:val="10"/>
          </w:tcPr>
          <w:p>
            <w:pPr>
              <w:ind w:left="340"/>
              <w:spacing w:after="0"/>
              <w:rPr>
                <w:sz w:val="20"/>
                <w:szCs w:val="20"/>
                <w:color w:val="auto"/>
              </w:rPr>
            </w:pPr>
            <w:r>
              <w:rPr>
                <w:rFonts w:ascii="Arial" w:cs="Arial" w:eastAsia="Arial" w:hAnsi="Arial"/>
                <w:sz w:val="17"/>
                <w:szCs w:val="17"/>
                <w:color w:val="auto"/>
                <w:w w:val="92"/>
              </w:rPr>
              <w:t>The amortization expense recognized in the unaudited consolidated statements of income was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60" w:type="dxa"/>
            <w:vAlign w:val="bottom"/>
            <w:gridSpan w:val="6"/>
          </w:tcPr>
          <w:p>
            <w:pPr>
              <w:jc w:val="right"/>
              <w:ind w:right="680"/>
              <w:spacing w:after="0"/>
              <w:rPr>
                <w:sz w:val="20"/>
                <w:szCs w:val="20"/>
                <w:color w:val="auto"/>
              </w:rPr>
            </w:pPr>
            <w:r>
              <w:rPr>
                <w:rFonts w:ascii="Arial" w:cs="Arial" w:eastAsia="Arial" w:hAnsi="Arial"/>
                <w:sz w:val="13"/>
                <w:szCs w:val="13"/>
                <w:b w:val="1"/>
                <w:bCs w:val="1"/>
                <w:color w:val="auto"/>
              </w:rPr>
              <w:t>Three months ended June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12"/>
          </w:tcPr>
          <w:p>
            <w:pPr>
              <w:ind w:left="32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3"/>
                <w:szCs w:val="13"/>
                <w:b w:val="1"/>
                <w:bCs w:val="1"/>
                <w:color w:val="auto"/>
              </w:rPr>
              <w:t>2020</w:t>
            </w:r>
          </w:p>
        </w:tc>
        <w:tc>
          <w:tcPr>
            <w:tcW w:w="6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2021</w:t>
            </w:r>
          </w:p>
        </w:tc>
        <w:tc>
          <w:tcPr>
            <w:tcW w:w="2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w w:val="96"/>
              </w:rPr>
              <w:t>2020</w:t>
            </w:r>
          </w:p>
        </w:tc>
        <w:tc>
          <w:tcPr>
            <w:tcW w:w="6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4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Amortization expense</w:t>
            </w:r>
          </w:p>
        </w:tc>
        <w:tc>
          <w:tcPr>
            <w:tcW w:w="6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3,430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6,758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7,584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0" w:type="dxa"/>
            <w:vAlign w:val="bottom"/>
          </w:tcPr>
          <w:p>
            <w:pPr>
              <w:spacing w:after="0"/>
              <w:rPr>
                <w:sz w:val="24"/>
                <w:szCs w:val="24"/>
                <w:color w:val="auto"/>
              </w:rPr>
            </w:pPr>
          </w:p>
        </w:tc>
        <w:tc>
          <w:tcPr>
            <w:tcW w:w="5080" w:type="dxa"/>
            <w:vAlign w:val="bottom"/>
            <w:gridSpan w:val="4"/>
          </w:tcPr>
          <w:p>
            <w:pPr>
              <w:ind w:left="340"/>
              <w:spacing w:after="0"/>
              <w:rPr>
                <w:sz w:val="20"/>
                <w:szCs w:val="20"/>
                <w:color w:val="auto"/>
              </w:rPr>
            </w:pPr>
            <w:r>
              <w:rPr>
                <w:rFonts w:ascii="Arial" w:cs="Arial" w:eastAsia="Arial" w:hAnsi="Arial"/>
                <w:sz w:val="17"/>
                <w:szCs w:val="17"/>
                <w:color w:val="auto"/>
                <w:w w:val="89"/>
              </w:rPr>
              <w:t>The remaining weighted average life of intangible assets is as follows: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b w:val="1"/>
                <w:bCs w:val="1"/>
                <w:color w:val="auto"/>
              </w:rPr>
              <w:t>(in years)</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2"/>
              </w:rPr>
              <w:t>6.5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7"/>
                <w:szCs w:val="17"/>
                <w:color w:val="auto"/>
              </w:rPr>
              <w:t>Developed technology</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300"/>
              <w:spacing w:after="0"/>
              <w:rPr>
                <w:sz w:val="20"/>
                <w:szCs w:val="20"/>
                <w:color w:val="auto"/>
              </w:rPr>
            </w:pPr>
            <w:r>
              <w:rPr>
                <w:rFonts w:ascii="Arial" w:cs="Arial" w:eastAsia="Arial" w:hAnsi="Arial"/>
                <w:sz w:val="17"/>
                <w:szCs w:val="17"/>
                <w:color w:val="auto"/>
                <w:w w:val="92"/>
              </w:rPr>
              <w:t>2.3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names and trademarks (Finite lived)</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2"/>
              </w:rPr>
              <w:t>3.3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0" w:type="dxa"/>
            <w:vAlign w:val="bottom"/>
            <w:gridSpan w:val="17"/>
          </w:tcPr>
          <w:p>
            <w:pPr>
              <w:spacing w:after="0"/>
              <w:rPr>
                <w:sz w:val="20"/>
                <w:szCs w:val="20"/>
                <w:color w:val="auto"/>
              </w:rPr>
            </w:pPr>
            <w:r>
              <w:rPr>
                <w:rFonts w:ascii="Arial" w:cs="Arial" w:eastAsia="Arial" w:hAnsi="Arial"/>
                <w:sz w:val="17"/>
                <w:szCs w:val="17"/>
                <w:color w:val="auto"/>
                <w:w w:val="91"/>
              </w:rPr>
              <w:t>Estimated future amortization expense related to finite-lived intangible assets as of June 30, 2021 was as follows:</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2021 (July 1 - December 31)</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6,018</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gridSpan w:val="4"/>
          </w:tcPr>
          <w:p>
            <w:pPr>
              <w:ind w:left="680"/>
              <w:spacing w:after="0"/>
              <w:rPr>
                <w:sz w:val="20"/>
                <w:szCs w:val="20"/>
                <w:color w:val="auto"/>
              </w:rPr>
            </w:pPr>
            <w:r>
              <w:rPr>
                <w:rFonts w:ascii="Arial" w:cs="Arial" w:eastAsia="Arial" w:hAnsi="Arial"/>
                <w:sz w:val="17"/>
                <w:szCs w:val="17"/>
                <w:color w:val="auto"/>
              </w:rPr>
              <w:t>2022</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11,347</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 w:type="dxa"/>
            <w:vAlign w:val="bottom"/>
            <w:gridSpan w:val="2"/>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2023</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9,054</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gridSpan w:val="4"/>
          </w:tcPr>
          <w:p>
            <w:pPr>
              <w:ind w:left="680"/>
              <w:spacing w:after="0"/>
              <w:rPr>
                <w:sz w:val="20"/>
                <w:szCs w:val="20"/>
                <w:color w:val="auto"/>
              </w:rPr>
            </w:pPr>
            <w:r>
              <w:rPr>
                <w:rFonts w:ascii="Arial" w:cs="Arial" w:eastAsia="Arial" w:hAnsi="Arial"/>
                <w:sz w:val="17"/>
                <w:szCs w:val="17"/>
                <w:color w:val="auto"/>
              </w:rPr>
              <w:t>2024</w:t>
            </w: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6,712</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0" w:type="dxa"/>
            <w:vAlign w:val="bottom"/>
            <w:gridSpan w:val="2"/>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2025</w:t>
            </w: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5,960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2026 and thereafter</w:t>
            </w:r>
          </w:p>
        </w:tc>
        <w:tc>
          <w:tcPr>
            <w:tcW w:w="6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12,862</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4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rPr>
              <w:t>Total</w:t>
            </w:r>
          </w:p>
        </w:tc>
        <w:tc>
          <w:tcPr>
            <w:tcW w:w="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51,953</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CCEEFF"/>
            </w:tcBorders>
            <w:vMerge w:val="restart"/>
          </w:tcPr>
          <w:p>
            <w:pPr>
              <w:jc w:val="right"/>
              <w:ind w:right="365"/>
              <w:spacing w:after="0"/>
              <w:rPr>
                <w:sz w:val="20"/>
                <w:szCs w:val="20"/>
                <w:color w:val="auto"/>
              </w:rPr>
            </w:pPr>
            <w:r>
              <w:rPr>
                <w:rFonts w:ascii="Arial" w:cs="Arial" w:eastAsia="Arial" w:hAnsi="Arial"/>
                <w:sz w:val="17"/>
                <w:szCs w:val="17"/>
                <w:color w:val="auto"/>
              </w:rPr>
              <w:t>21</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Other Current Assets</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Other current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As of</w:t>
            </w:r>
          </w:p>
        </w:tc>
        <w:tc>
          <w:tcPr>
            <w:tcW w:w="1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3"/>
                <w:szCs w:val="13"/>
                <w:b w:val="1"/>
                <w:bCs w:val="1"/>
                <w:color w:val="auto"/>
              </w:rPr>
              <w:t>June 30,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7,560</w:t>
            </w: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7"/>
                <w:szCs w:val="17"/>
                <w:color w:val="auto"/>
              </w:rPr>
              <w:t>Advances to suppliers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Receivables from statutory authorities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16,040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7"/>
                <w:szCs w:val="17"/>
                <w:color w:val="auto"/>
              </w:rPr>
              <w:t>Contract assets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1,742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contract fulfillment costs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tcPr>
          <w:p>
            <w:pPr>
              <w:ind w:left="20"/>
              <w:spacing w:after="0"/>
              <w:rPr>
                <w:sz w:val="20"/>
                <w:szCs w:val="20"/>
                <w:color w:val="auto"/>
              </w:rPr>
            </w:pPr>
            <w:r>
              <w:rPr>
                <w:rFonts w:ascii="Arial" w:cs="Arial" w:eastAsia="Arial" w:hAnsi="Arial"/>
                <w:sz w:val="17"/>
                <w:szCs w:val="17"/>
                <w:color w:val="auto"/>
              </w:rPr>
              <w:t>Interest accrued on term deposits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453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Others</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3,213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2,919</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6780" w:type="dxa"/>
            <w:vAlign w:val="bottom"/>
            <w:gridSpan w:val="2"/>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33,615</w:t>
            </w:r>
          </w:p>
        </w:tc>
        <w:tc>
          <w:tcPr>
            <w:tcW w:w="44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37,109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11. Other Assets</w:t>
            </w: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4"/>
        </w:trPr>
        <w:tc>
          <w:tcPr>
            <w:tcW w:w="71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20" w:type="dxa"/>
            <w:vAlign w:val="bottom"/>
          </w:tcPr>
          <w:p>
            <w:pPr>
              <w:spacing w:after="0"/>
              <w:rPr>
                <w:sz w:val="24"/>
                <w:szCs w:val="24"/>
                <w:color w:val="auto"/>
              </w:rPr>
            </w:pPr>
          </w:p>
        </w:tc>
        <w:tc>
          <w:tcPr>
            <w:tcW w:w="6780" w:type="dxa"/>
            <w:vAlign w:val="bottom"/>
            <w:gridSpan w:val="2"/>
          </w:tcPr>
          <w:p>
            <w:pPr>
              <w:ind w:left="60"/>
              <w:spacing w:after="0"/>
              <w:rPr>
                <w:sz w:val="20"/>
                <w:szCs w:val="20"/>
                <w:color w:val="auto"/>
              </w:rPr>
            </w:pPr>
            <w:r>
              <w:rPr>
                <w:rFonts w:ascii="Arial" w:cs="Arial" w:eastAsia="Arial" w:hAnsi="Arial"/>
                <w:sz w:val="17"/>
                <w:szCs w:val="17"/>
                <w:color w:val="auto"/>
              </w:rPr>
              <w:t>Other assets consist of the following:</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86"/>
              </w:rPr>
              <w:t>As of</w:t>
            </w:r>
          </w:p>
        </w:tc>
        <w:tc>
          <w:tcPr>
            <w:tcW w:w="15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June 30, 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tcPr>
          <w:p>
            <w:pPr>
              <w:jc w:val="right"/>
              <w:ind w:right="359"/>
              <w:spacing w:after="0"/>
              <w:rPr>
                <w:sz w:val="20"/>
                <w:szCs w:val="20"/>
                <w:color w:val="auto"/>
              </w:rPr>
            </w:pPr>
            <w:r>
              <w:rPr>
                <w:rFonts w:ascii="Arial" w:cs="Arial" w:eastAsia="Arial" w:hAnsi="Arial"/>
                <w:sz w:val="13"/>
                <w:szCs w:val="13"/>
                <w:b w:val="1"/>
                <w:bCs w:val="1"/>
                <w:color w:val="auto"/>
                <w:w w:val="95"/>
              </w:rPr>
              <w:t>December 31, 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Lease deposits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7"/>
                <w:szCs w:val="17"/>
                <w:color w:val="auto"/>
              </w:rPr>
              <w:t>Derivative instruments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4,631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6,933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Deposits with statutory authorities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7"/>
                <w:szCs w:val="17"/>
                <w:color w:val="auto"/>
              </w:rPr>
              <w:t>Term deposits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Contract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tcPr>
          <w:p>
            <w:pPr>
              <w:ind w:left="100"/>
              <w:spacing w:after="0"/>
              <w:rPr>
                <w:sz w:val="20"/>
                <w:szCs w:val="20"/>
                <w:color w:val="auto"/>
              </w:rPr>
            </w:pPr>
            <w:r>
              <w:rPr>
                <w:rFonts w:ascii="Arial" w:cs="Arial" w:eastAsia="Arial" w:hAnsi="Arial"/>
                <w:sz w:val="17"/>
                <w:szCs w:val="17"/>
                <w:color w:val="auto"/>
              </w:rPr>
              <w:t>Deferred contract fulfillment costs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2,743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Others</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w:t>
            </w:r>
          </w:p>
        </w:tc>
        <w:tc>
          <w:tcPr>
            <w:tcW w:w="1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27,472</w:t>
            </w:r>
          </w:p>
        </w:tc>
        <w:tc>
          <w:tcPr>
            <w:tcW w:w="100" w:type="dxa"/>
            <w:vAlign w:val="bottom"/>
          </w:tcPr>
          <w:p>
            <w:pPr>
              <w:spacing w:after="0"/>
              <w:rPr>
                <w:sz w:val="17"/>
                <w:szCs w:val="17"/>
                <w:color w:val="auto"/>
              </w:rPr>
            </w:pPr>
          </w:p>
        </w:tc>
        <w:tc>
          <w:tcPr>
            <w:tcW w:w="16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920"/>
          </w:cols>
          <w:pgMar w:left="320" w:top="123" w:right="659" w:bottom="1440" w:gutter="0" w:footer="0" w:header="0"/>
        </w:sectPr>
      </w:pPr>
    </w:p>
    <w:bookmarkStart w:id="22" w:name="page23"/>
    <w:bookmarkEnd w:id="2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Accrued Expenses and Other Current Liabilities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7"/>
              </w:rPr>
              <w:t>December 31, 2020</w:t>
            </w: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6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42,169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39,951</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Payable to statutory authorities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17,850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10,594</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7,857</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Derivative instruments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435</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Client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4,740</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tcPr>
          <w:p>
            <w:pPr>
              <w:ind w:left="20"/>
              <w:spacing w:after="0"/>
              <w:rPr>
                <w:sz w:val="20"/>
                <w:szCs w:val="20"/>
                <w:color w:val="auto"/>
              </w:rPr>
            </w:pPr>
            <w:r>
              <w:rPr>
                <w:rFonts w:ascii="Arial" w:cs="Arial" w:eastAsia="Arial" w:hAnsi="Arial"/>
                <w:sz w:val="17"/>
                <w:szCs w:val="17"/>
                <w:color w:val="auto"/>
              </w:rPr>
              <w:t>Interest payable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7"/>
                <w:szCs w:val="17"/>
                <w:color w:val="auto"/>
              </w:rPr>
              <w:t>1,399</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liabilities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Finance lease liabilities</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6940" w:type="dxa"/>
            <w:vAlign w:val="bottom"/>
            <w:tcBorders>
              <w:bottom w:val="single" w:sz="8" w:color="CCEEFF"/>
            </w:tcBorders>
            <w:gridSpan w:val="2"/>
            <w:shd w:val="clear" w:color="auto" w:fill="CCEEFF"/>
          </w:tcPr>
          <w:p>
            <w:pPr>
              <w:ind w:left="20"/>
              <w:spacing w:after="0" w:line="192"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76,424</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13. Other Non-Current Liabilities</w:t>
            </w: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4"/>
        </w:trPr>
        <w:tc>
          <w:tcPr>
            <w:tcW w:w="73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360" w:type="dxa"/>
            <w:vAlign w:val="bottom"/>
          </w:tcPr>
          <w:p>
            <w:pPr>
              <w:spacing w:after="0"/>
              <w:rPr>
                <w:sz w:val="24"/>
                <w:szCs w:val="24"/>
                <w:color w:val="auto"/>
              </w:rPr>
            </w:pPr>
          </w:p>
        </w:tc>
        <w:tc>
          <w:tcPr>
            <w:tcW w:w="6940" w:type="dxa"/>
            <w:vAlign w:val="bottom"/>
            <w:gridSpan w:val="2"/>
          </w:tcPr>
          <w:p>
            <w:pPr>
              <w:ind w:left="60"/>
              <w:spacing w:after="0"/>
              <w:rPr>
                <w:sz w:val="20"/>
                <w:szCs w:val="20"/>
                <w:color w:val="auto"/>
              </w:rPr>
            </w:pPr>
            <w:r>
              <w:rPr>
                <w:rFonts w:ascii="Arial" w:cs="Arial" w:eastAsia="Arial" w:hAnsi="Arial"/>
                <w:sz w:val="17"/>
                <w:szCs w:val="17"/>
                <w:color w:val="auto"/>
              </w:rPr>
              <w:t>Other non-current liabilities consist of the following:</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w:t>
            </w: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w w:val="97"/>
              </w:rPr>
              <w:t>December 31,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Derivative instruments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Unrecognized tax benefits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907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Retirement benefits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Deferred transition revenue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724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capital expenditures</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3,311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Finance lease liabilities</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60" w:type="dxa"/>
            <w:vAlign w:val="bottom"/>
          </w:tcPr>
          <w:p>
            <w:pPr>
              <w:ind w:left="20"/>
              <w:spacing w:after="0" w:line="192" w:lineRule="exact"/>
              <w:rPr>
                <w:sz w:val="20"/>
                <w:szCs w:val="20"/>
                <w:color w:val="auto"/>
              </w:rPr>
            </w:pPr>
            <w:r>
              <w:rPr>
                <w:rFonts w:ascii="Arial" w:cs="Arial" w:eastAsia="Arial" w:hAnsi="Arial"/>
                <w:sz w:val="17"/>
                <w:szCs w:val="17"/>
                <w:color w:val="auto"/>
              </w:rPr>
              <w:t>Other non-current liabilities</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15,581</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18,135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Loss</w:t>
      </w:r>
    </w:p>
    <w:p>
      <w:pPr>
        <w:spacing w:after="0" w:line="220" w:lineRule="exact"/>
        <w:rPr>
          <w:sz w:val="20"/>
          <w:szCs w:val="20"/>
          <w:color w:val="auto"/>
        </w:rPr>
      </w:pPr>
    </w:p>
    <w:p>
      <w:pPr>
        <w:jc w:val="both"/>
        <w:ind w:firstLine="374"/>
        <w:spacing w:after="0" w:line="222" w:lineRule="auto"/>
        <w:rPr>
          <w:sz w:val="20"/>
          <w:szCs w:val="20"/>
          <w:color w:val="auto"/>
        </w:rPr>
      </w:pPr>
      <w:r>
        <w:rPr>
          <w:rFonts w:ascii="Arial" w:cs="Arial" w:eastAsia="Arial" w:hAnsi="Arial"/>
          <w:sz w:val="17"/>
          <w:szCs w:val="17"/>
          <w:color w:val="auto"/>
        </w:rPr>
        <w:t>Accumulated other comprehensive loss (“AOCL”) consists of actuarial gain/(loss) on retirement benefits and foreign currency translation adjustments. In addition, the Company enters into foreign currency exchange contracts, which are designated as cash flow hedges and net investment hedges in accordance with ASC 815. Cumulative changes in the fair values of these foreign currency exchange contracts are recognized in AOCL on the Company's unaudited consolidated balance sheets. Upon settlement of foreign exchange contracts designated as cash flow hedges, fair value changes are reclassified from AOCL to net income, whereas such fair value changes related to net investment hedges are included in net income when a foreign operation is disposed or partially disposed. The balances as of June 30, 2021 and June 30, 2020 are as follows: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53"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3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Arial" w:cs="Arial" w:eastAsia="Arial" w:hAnsi="Arial"/>
                <w:sz w:val="13"/>
                <w:szCs w:val="13"/>
                <w:b w:val="1"/>
                <w:bCs w:val="1"/>
                <w:color w:val="auto"/>
              </w:rPr>
              <w:t>Foreign currency</w:t>
            </w:r>
          </w:p>
        </w:tc>
        <w:tc>
          <w:tcPr>
            <w:tcW w:w="1880" w:type="dxa"/>
            <w:vAlign w:val="bottom"/>
            <w:gridSpan w:val="3"/>
          </w:tcPr>
          <w:p>
            <w:pPr>
              <w:ind w:left="460"/>
              <w:spacing w:after="0"/>
              <w:rPr>
                <w:sz w:val="20"/>
                <w:szCs w:val="20"/>
                <w:color w:val="auto"/>
              </w:rPr>
            </w:pPr>
            <w:r>
              <w:rPr>
                <w:rFonts w:ascii="Arial" w:cs="Arial" w:eastAsia="Arial" w:hAnsi="Arial"/>
                <w:sz w:val="13"/>
                <w:szCs w:val="13"/>
                <w:b w:val="1"/>
                <w:bCs w:val="1"/>
                <w:color w:val="auto"/>
              </w:rPr>
              <w:t>Unrealized gain/(loss)</w:t>
            </w:r>
          </w:p>
        </w:tc>
        <w:tc>
          <w:tcPr>
            <w:tcW w:w="500" w:type="dxa"/>
            <w:vAlign w:val="bottom"/>
          </w:tcPr>
          <w:p>
            <w:pPr>
              <w:spacing w:after="0"/>
              <w:rPr>
                <w:sz w:val="13"/>
                <w:szCs w:val="13"/>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Retirement benefits</w:t>
            </w:r>
          </w:p>
        </w:tc>
        <w:tc>
          <w:tcPr>
            <w:tcW w:w="720" w:type="dxa"/>
            <w:vAlign w:val="bottom"/>
          </w:tcPr>
          <w:p>
            <w:pPr>
              <w:spacing w:after="0"/>
              <w:rPr>
                <w:sz w:val="13"/>
                <w:szCs w:val="13"/>
                <w:color w:val="auto"/>
              </w:rPr>
            </w:pPr>
          </w:p>
        </w:tc>
        <w:tc>
          <w:tcPr>
            <w:tcW w:w="84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1940" w:type="dxa"/>
            <w:vAlign w:val="bottom"/>
            <w:gridSpan w:val="3"/>
          </w:tcPr>
          <w:p>
            <w:pPr>
              <w:ind w:left="300"/>
              <w:spacing w:after="0"/>
              <w:rPr>
                <w:sz w:val="20"/>
                <w:szCs w:val="20"/>
                <w:color w:val="auto"/>
              </w:rPr>
            </w:pPr>
            <w:r>
              <w:rPr>
                <w:rFonts w:ascii="Arial" w:cs="Arial" w:eastAsia="Arial" w:hAnsi="Arial"/>
                <w:sz w:val="13"/>
                <w:szCs w:val="13"/>
                <w:b w:val="1"/>
                <w:bCs w:val="1"/>
                <w:color w:val="auto"/>
              </w:rPr>
              <w:t>translation (loss)/gain</w:t>
            </w:r>
          </w:p>
        </w:tc>
        <w:tc>
          <w:tcPr>
            <w:tcW w:w="1880" w:type="dxa"/>
            <w:vAlign w:val="bottom"/>
            <w:gridSpan w:val="3"/>
          </w:tcPr>
          <w:p>
            <w:pPr>
              <w:ind w:left="320"/>
              <w:spacing w:after="0"/>
              <w:rPr>
                <w:sz w:val="20"/>
                <w:szCs w:val="20"/>
                <w:color w:val="auto"/>
              </w:rPr>
            </w:pPr>
            <w:r>
              <w:rPr>
                <w:rFonts w:ascii="Arial" w:cs="Arial" w:eastAsia="Arial" w:hAnsi="Arial"/>
                <w:sz w:val="13"/>
                <w:szCs w:val="13"/>
                <w:b w:val="1"/>
                <w:bCs w:val="1"/>
                <w:color w:val="auto"/>
              </w:rPr>
              <w:t>on cash flow hedges</w:t>
            </w:r>
          </w:p>
        </w:tc>
        <w:tc>
          <w:tcPr>
            <w:tcW w:w="5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700" w:type="dxa"/>
            <w:vAlign w:val="bottom"/>
            <w:tcBorders>
              <w:top w:val="single" w:sz="8" w:color="CCEEFF"/>
            </w:tcBorders>
            <w:shd w:val="clear" w:color="auto" w:fill="CCEEFF"/>
          </w:tcPr>
          <w:p>
            <w:pPr>
              <w:ind w:left="380"/>
              <w:spacing w:after="0" w:line="194" w:lineRule="exact"/>
              <w:rPr>
                <w:sz w:val="20"/>
                <w:szCs w:val="20"/>
                <w:color w:val="auto"/>
              </w:rPr>
            </w:pPr>
            <w:r>
              <w:rPr>
                <w:rFonts w:ascii="Arial" w:cs="Arial" w:eastAsia="Arial" w:hAnsi="Arial"/>
                <w:sz w:val="17"/>
                <w:szCs w:val="17"/>
                <w:color w:val="auto"/>
              </w:rPr>
              <w:t>Balance as of January 1, 2021</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(86,185)</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13,799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(2,598)</w:t>
            </w: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0" w:type="dxa"/>
            <w:vAlign w:val="bottom"/>
          </w:tcPr>
          <w:p>
            <w:pPr>
              <w:spacing w:after="0"/>
              <w:rPr>
                <w:sz w:val="1"/>
                <w:szCs w:val="1"/>
                <w:color w:val="auto"/>
              </w:rPr>
            </w:pPr>
          </w:p>
        </w:tc>
      </w:tr>
      <w:tr>
        <w:trPr>
          <w:trHeight w:val="212"/>
        </w:trPr>
        <w:tc>
          <w:tcPr>
            <w:tcW w:w="3700" w:type="dxa"/>
            <w:vAlign w:val="bottom"/>
          </w:tcPr>
          <w:p>
            <w:pPr>
              <w:ind w:left="380"/>
              <w:spacing w:after="0"/>
              <w:rPr>
                <w:sz w:val="20"/>
                <w:szCs w:val="20"/>
                <w:color w:val="auto"/>
              </w:rPr>
            </w:pPr>
            <w:r>
              <w:rPr>
                <w:rFonts w:ascii="Arial" w:cs="Arial" w:eastAsia="Arial" w:hAnsi="Arial"/>
                <w:sz w:val="17"/>
                <w:szCs w:val="17"/>
                <w:color w:val="auto"/>
              </w:rPr>
              <w:t>Losses recognized during the period</w:t>
            </w: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(6,686)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Losses on net investment hedges</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2"/>
        </w:trPr>
        <w:tc>
          <w:tcPr>
            <w:tcW w:w="3700" w:type="dxa"/>
            <w:vAlign w:val="bottom"/>
          </w:tcPr>
          <w:p>
            <w:pPr>
              <w:ind w:left="380"/>
              <w:spacing w:after="0" w:line="212"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1"/>
                <w:szCs w:val="21"/>
                <w:color w:val="auto"/>
                <w:vertAlign w:val="superscript"/>
              </w:rPr>
              <w:t>(1)</w:t>
            </w:r>
          </w:p>
        </w:tc>
        <w:tc>
          <w:tcPr>
            <w:tcW w:w="5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(5,695)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80"/>
              <w:spacing w:after="0" w:line="212"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1"/>
                <w:szCs w:val="21"/>
                <w:color w:val="auto"/>
                <w:vertAlign w:val="superscript"/>
              </w:rPr>
              <w:t>(2)</w:t>
            </w:r>
          </w:p>
        </w:tc>
        <w:tc>
          <w:tcPr>
            <w:tcW w:w="5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42"/>
        </w:trPr>
        <w:tc>
          <w:tcPr>
            <w:tcW w:w="3700" w:type="dxa"/>
            <w:vAlign w:val="bottom"/>
          </w:tcPr>
          <w:p>
            <w:pPr>
              <w:ind w:left="380"/>
              <w:spacing w:after="0" w:line="142" w:lineRule="exact"/>
              <w:rPr>
                <w:sz w:val="20"/>
                <w:szCs w:val="20"/>
                <w:color w:val="auto"/>
              </w:rPr>
            </w:pPr>
            <w:r>
              <w:rPr>
                <w:rFonts w:ascii="Arial" w:cs="Arial" w:eastAsia="Arial" w:hAnsi="Arial"/>
                <w:sz w:val="16"/>
                <w:szCs w:val="16"/>
                <w:color w:val="auto"/>
              </w:rPr>
              <w:t>Accumulated other comprehensive loss as of</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(92,776)</w:t>
            </w:r>
          </w:p>
        </w:tc>
        <w:tc>
          <w:tcPr>
            <w:tcW w:w="100" w:type="dxa"/>
            <w:vAlign w:val="bottom"/>
          </w:tcPr>
          <w:p>
            <w:pPr>
              <w:spacing w:after="0"/>
              <w:rPr>
                <w:sz w:val="12"/>
                <w:szCs w:val="12"/>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8,396</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(2,365)</w:t>
            </w:r>
          </w:p>
        </w:tc>
        <w:tc>
          <w:tcPr>
            <w:tcW w:w="10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(86,7</w:t>
            </w:r>
          </w:p>
        </w:tc>
        <w:tc>
          <w:tcPr>
            <w:tcW w:w="0" w:type="dxa"/>
            <w:vAlign w:val="bottom"/>
          </w:tcPr>
          <w:p>
            <w:pPr>
              <w:spacing w:after="0"/>
              <w:rPr>
                <w:sz w:val="1"/>
                <w:szCs w:val="1"/>
                <w:color w:val="auto"/>
              </w:rPr>
            </w:pPr>
          </w:p>
        </w:tc>
      </w:tr>
      <w:tr>
        <w:trPr>
          <w:trHeight w:val="192"/>
        </w:trPr>
        <w:tc>
          <w:tcPr>
            <w:tcW w:w="3700" w:type="dxa"/>
            <w:vAlign w:val="bottom"/>
          </w:tcPr>
          <w:p>
            <w:pPr>
              <w:ind w:left="20"/>
              <w:spacing w:after="0" w:line="187" w:lineRule="exact"/>
              <w:rPr>
                <w:sz w:val="20"/>
                <w:szCs w:val="20"/>
                <w:color w:val="auto"/>
              </w:rPr>
            </w:pPr>
            <w:r>
              <w:rPr>
                <w:rFonts w:ascii="Arial" w:cs="Arial" w:eastAsia="Arial" w:hAnsi="Arial"/>
                <w:sz w:val="17"/>
                <w:szCs w:val="17"/>
                <w:color w:val="auto"/>
              </w:rPr>
              <w:t>June 30, 2021</w:t>
            </w:r>
          </w:p>
        </w:tc>
        <w:tc>
          <w:tcPr>
            <w:tcW w:w="5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380"/>
              <w:spacing w:after="0"/>
              <w:rPr>
                <w:sz w:val="20"/>
                <w:szCs w:val="20"/>
                <w:color w:val="auto"/>
              </w:rPr>
            </w:pPr>
            <w:r>
              <w:rPr>
                <w:rFonts w:ascii="Arial" w:cs="Arial" w:eastAsia="Arial" w:hAnsi="Arial"/>
                <w:sz w:val="17"/>
                <w:szCs w:val="17"/>
                <w:color w:val="auto"/>
              </w:rPr>
              <w:t>Balance as of January 1, 2020</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(87,591)</w:t>
            </w:r>
          </w:p>
        </w:tc>
        <w:tc>
          <w:tcPr>
            <w:tcW w:w="100" w:type="dxa"/>
            <w:vAlign w:val="bottom"/>
          </w:tcPr>
          <w:p>
            <w:pPr>
              <w:spacing w:after="0"/>
              <w:rPr>
                <w:sz w:val="18"/>
                <w:szCs w:val="18"/>
                <w:color w:val="auto"/>
              </w:rPr>
            </w:pPr>
          </w:p>
        </w:tc>
        <w:tc>
          <w:tcPr>
            <w:tcW w:w="860" w:type="dxa"/>
            <w:vAlign w:val="bottom"/>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4,098</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(1,399)</w:t>
            </w:r>
          </w:p>
        </w:tc>
        <w:tc>
          <w:tcPr>
            <w:tcW w:w="100" w:type="dxa"/>
            <w:vAlign w:val="bottom"/>
          </w:tcPr>
          <w:p>
            <w:pPr>
              <w:spacing w:after="0"/>
              <w:rPr>
                <w:sz w:val="18"/>
                <w:szCs w:val="18"/>
                <w:color w:val="auto"/>
              </w:rPr>
            </w:pPr>
          </w:p>
        </w:tc>
        <w:tc>
          <w:tcPr>
            <w:tcW w:w="72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(84,8</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Losses recognized during the period</w:t>
            </w: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(19,298)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0" w:type="dxa"/>
            <w:vAlign w:val="bottom"/>
          </w:tcPr>
          <w:p>
            <w:pPr>
              <w:spacing w:after="0"/>
              <w:rPr>
                <w:sz w:val="1"/>
                <w:szCs w:val="1"/>
                <w:color w:val="auto"/>
              </w:rPr>
            </w:pPr>
          </w:p>
        </w:tc>
      </w:tr>
      <w:tr>
        <w:trPr>
          <w:trHeight w:val="212"/>
        </w:trPr>
        <w:tc>
          <w:tcPr>
            <w:tcW w:w="3700" w:type="dxa"/>
            <w:vAlign w:val="bottom"/>
          </w:tcPr>
          <w:p>
            <w:pPr>
              <w:ind w:left="380"/>
              <w:spacing w:after="0" w:line="212" w:lineRule="exact"/>
              <w:rPr>
                <w:sz w:val="20"/>
                <w:szCs w:val="20"/>
                <w:color w:val="auto"/>
              </w:rPr>
            </w:pPr>
            <w:r>
              <w:rPr>
                <w:rFonts w:ascii="Arial" w:cs="Arial" w:eastAsia="Arial" w:hAnsi="Arial"/>
                <w:sz w:val="17"/>
                <w:szCs w:val="17"/>
                <w:color w:val="auto"/>
              </w:rPr>
              <w:t xml:space="preserve">Reclassification to net income </w:t>
            </w:r>
            <w:r>
              <w:rPr>
                <w:rFonts w:ascii="Arial" w:cs="Arial" w:eastAsia="Arial" w:hAnsi="Arial"/>
                <w:sz w:val="21"/>
                <w:szCs w:val="21"/>
                <w:color w:val="auto"/>
                <w:vertAlign w:val="superscript"/>
              </w:rPr>
              <w:t>(1)</w:t>
            </w:r>
          </w:p>
        </w:tc>
        <w:tc>
          <w:tcPr>
            <w:tcW w:w="5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8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198</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380"/>
              <w:spacing w:after="0" w:line="212" w:lineRule="exact"/>
              <w:rPr>
                <w:sz w:val="20"/>
                <w:szCs w:val="20"/>
                <w:color w:val="auto"/>
              </w:rPr>
            </w:pPr>
            <w:r>
              <w:rPr>
                <w:rFonts w:ascii="Arial" w:cs="Arial" w:eastAsia="Arial" w:hAnsi="Arial"/>
                <w:sz w:val="17"/>
                <w:szCs w:val="17"/>
                <w:color w:val="auto"/>
              </w:rPr>
              <w:t xml:space="preserve">Income tax effects </w:t>
            </w:r>
            <w:r>
              <w:rPr>
                <w:rFonts w:ascii="Arial" w:cs="Arial" w:eastAsia="Arial" w:hAnsi="Arial"/>
                <w:sz w:val="21"/>
                <w:szCs w:val="21"/>
                <w:color w:val="auto"/>
                <w:vertAlign w:val="superscript"/>
              </w:rPr>
              <w:t>(2)</w:t>
            </w:r>
          </w:p>
        </w:tc>
        <w:tc>
          <w:tcPr>
            <w:tcW w:w="5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4,291</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2,106</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42"/>
        </w:trPr>
        <w:tc>
          <w:tcPr>
            <w:tcW w:w="3700" w:type="dxa"/>
            <w:vAlign w:val="bottom"/>
          </w:tcPr>
          <w:p>
            <w:pPr>
              <w:ind w:left="380"/>
              <w:spacing w:after="0" w:line="142" w:lineRule="exact"/>
              <w:rPr>
                <w:sz w:val="20"/>
                <w:szCs w:val="20"/>
                <w:color w:val="auto"/>
              </w:rPr>
            </w:pPr>
            <w:r>
              <w:rPr>
                <w:rFonts w:ascii="Arial" w:cs="Arial" w:eastAsia="Arial" w:hAnsi="Arial"/>
                <w:sz w:val="16"/>
                <w:szCs w:val="16"/>
                <w:color w:val="auto"/>
              </w:rPr>
              <w:t>Accumulated other comprehensive loss as of</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(102,598)</w:t>
            </w:r>
          </w:p>
        </w:tc>
        <w:tc>
          <w:tcPr>
            <w:tcW w:w="100" w:type="dxa"/>
            <w:vAlign w:val="bottom"/>
          </w:tcPr>
          <w:p>
            <w:pPr>
              <w:spacing w:after="0"/>
              <w:rPr>
                <w:sz w:val="12"/>
                <w:szCs w:val="12"/>
                <w:color w:val="auto"/>
              </w:rPr>
            </w:pPr>
          </w:p>
        </w:tc>
        <w:tc>
          <w:tcPr>
            <w:tcW w:w="860" w:type="dxa"/>
            <w:vAlign w:val="bottom"/>
            <w:vMerge w:val="restart"/>
          </w:tcPr>
          <w:p>
            <w:pPr>
              <w:jc w:val="right"/>
              <w:ind w:right="322"/>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7"/>
                <w:szCs w:val="17"/>
                <w:color w:val="auto"/>
              </w:rPr>
              <w:t>(953)</w:t>
            </w:r>
          </w:p>
        </w:tc>
        <w:tc>
          <w:tcPr>
            <w:tcW w:w="100" w:type="dxa"/>
            <w:vAlign w:val="bottom"/>
          </w:tcPr>
          <w:p>
            <w:pPr>
              <w:spacing w:after="0"/>
              <w:rPr>
                <w:sz w:val="12"/>
                <w:szCs w:val="12"/>
                <w:color w:val="auto"/>
              </w:rPr>
            </w:pPr>
          </w:p>
        </w:tc>
        <w:tc>
          <w:tcPr>
            <w:tcW w:w="720" w:type="dxa"/>
            <w:vAlign w:val="bottom"/>
            <w:vMerge w:val="restart"/>
          </w:tcPr>
          <w:p>
            <w:pPr>
              <w:jc w:val="right"/>
              <w:ind w:right="157"/>
              <w:spacing w:after="0"/>
              <w:rPr>
                <w:sz w:val="20"/>
                <w:szCs w:val="20"/>
                <w:color w:val="auto"/>
              </w:rPr>
            </w:pPr>
            <w:r>
              <w:rPr>
                <w:rFonts w:ascii="Arial" w:cs="Arial" w:eastAsia="Arial" w:hAnsi="Arial"/>
                <w:sz w:val="17"/>
                <w:szCs w:val="17"/>
                <w:color w:val="auto"/>
              </w:rPr>
              <w:t>$</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(104,2</w:t>
            </w:r>
          </w:p>
        </w:tc>
        <w:tc>
          <w:tcPr>
            <w:tcW w:w="0" w:type="dxa"/>
            <w:vAlign w:val="bottom"/>
          </w:tcPr>
          <w:p>
            <w:pPr>
              <w:spacing w:after="0"/>
              <w:rPr>
                <w:sz w:val="1"/>
                <w:szCs w:val="1"/>
                <w:color w:val="auto"/>
              </w:rPr>
            </w:pPr>
          </w:p>
        </w:tc>
      </w:tr>
      <w:tr>
        <w:trPr>
          <w:trHeight w:val="192"/>
        </w:trPr>
        <w:tc>
          <w:tcPr>
            <w:tcW w:w="3700" w:type="dxa"/>
            <w:vAlign w:val="bottom"/>
          </w:tcPr>
          <w:p>
            <w:pPr>
              <w:ind w:left="20"/>
              <w:spacing w:after="0" w:line="187" w:lineRule="exact"/>
              <w:rPr>
                <w:sz w:val="20"/>
                <w:szCs w:val="20"/>
                <w:color w:val="auto"/>
              </w:rPr>
            </w:pPr>
            <w:r>
              <w:rPr>
                <w:rFonts w:ascii="Arial" w:cs="Arial" w:eastAsia="Arial" w:hAnsi="Arial"/>
                <w:sz w:val="17"/>
                <w:szCs w:val="17"/>
                <w:color w:val="auto"/>
              </w:rPr>
              <w:t>June 30, 2020</w:t>
            </w:r>
          </w:p>
        </w:tc>
        <w:tc>
          <w:tcPr>
            <w:tcW w:w="54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440" w:hanging="141"/>
        <w:spacing w:after="0"/>
        <w:tabs>
          <w:tab w:leader="none" w:pos="440" w:val="left"/>
        </w:tabs>
        <w:numPr>
          <w:ilvl w:val="1"/>
          <w:numId w:val="8"/>
        </w:numPr>
        <w:rPr>
          <w:rFonts w:ascii="Arial" w:cs="Arial" w:eastAsia="Arial" w:hAnsi="Arial"/>
          <w:sz w:val="9"/>
          <w:szCs w:val="9"/>
          <w:i w:val="1"/>
          <w:iCs w:val="1"/>
          <w:color w:val="auto"/>
        </w:rPr>
      </w:pPr>
      <w:r>
        <w:rPr>
          <w:rFonts w:ascii="Arial" w:cs="Arial" w:eastAsia="Arial" w:hAnsi="Arial"/>
          <w:sz w:val="13"/>
          <w:szCs w:val="13"/>
          <w:i w:val="1"/>
          <w:iCs w:val="1"/>
          <w:color w:val="auto"/>
        </w:rPr>
        <w:t>Refer to Note 16 - Derivatives and Hedge Accounting and Note 19 - Employee Benefit Plans to the unaudited consolidated financial statements for reclassification to net income.</w:t>
      </w:r>
    </w:p>
    <w:p>
      <w:pPr>
        <w:spacing w:after="0" w:line="237" w:lineRule="exact"/>
        <w:rPr>
          <w:rFonts w:ascii="Arial" w:cs="Arial" w:eastAsia="Arial" w:hAnsi="Arial"/>
          <w:sz w:val="9"/>
          <w:szCs w:val="9"/>
          <w:i w:val="1"/>
          <w:iCs w:val="1"/>
          <w:color w:val="auto"/>
        </w:rPr>
      </w:pPr>
    </w:p>
    <w:p>
      <w:pPr>
        <w:ind w:left="440" w:right="160" w:hanging="141"/>
        <w:spacing w:after="0" w:line="249" w:lineRule="auto"/>
        <w:tabs>
          <w:tab w:leader="none" w:pos="432" w:val="left"/>
        </w:tabs>
        <w:numPr>
          <w:ilvl w:val="1"/>
          <w:numId w:val="8"/>
        </w:numPr>
        <w:rPr>
          <w:rFonts w:ascii="Arial" w:cs="Arial" w:eastAsia="Arial" w:hAnsi="Arial"/>
          <w:sz w:val="10"/>
          <w:szCs w:val="10"/>
          <w:i w:val="1"/>
          <w:iCs w:val="1"/>
          <w:color w:val="auto"/>
        </w:rPr>
      </w:pPr>
      <w:r>
        <w:rPr>
          <w:rFonts w:ascii="Arial" w:cs="Arial" w:eastAsia="Arial" w:hAnsi="Arial"/>
          <w:sz w:val="15"/>
          <w:szCs w:val="15"/>
          <w:i w:val="1"/>
          <w:iCs w:val="1"/>
          <w:color w:val="auto"/>
        </w:rPr>
        <w:t>These are income tax effects recognized on cash flow hedges, retirement benefits and foreign currency translation gains / (losses). Refer to Note 21 - Income Taxes to the unaudited consolidated financial statements.</w:t>
      </w:r>
    </w:p>
    <w:p>
      <w:pPr>
        <w:spacing w:after="0" w:line="200" w:lineRule="exact"/>
        <w:rPr>
          <w:rFonts w:ascii="Arial" w:cs="Arial" w:eastAsia="Arial" w:hAnsi="Arial"/>
          <w:sz w:val="10"/>
          <w:szCs w:val="10"/>
          <w:i w:val="1"/>
          <w:iCs w:val="1"/>
          <w:color w:val="auto"/>
        </w:rPr>
      </w:pPr>
    </w:p>
    <w:p>
      <w:pPr>
        <w:spacing w:after="0" w:line="294" w:lineRule="exact"/>
        <w:rPr>
          <w:rFonts w:ascii="Arial" w:cs="Arial" w:eastAsia="Arial" w:hAnsi="Arial"/>
          <w:sz w:val="10"/>
          <w:szCs w:val="10"/>
          <w:i w:val="1"/>
          <w:iCs w:val="1"/>
          <w:color w:val="auto"/>
        </w:rPr>
      </w:pPr>
    </w:p>
    <w:p>
      <w:pPr>
        <w:ind w:left="240" w:hanging="240"/>
        <w:spacing w:after="0"/>
        <w:tabs>
          <w:tab w:leader="none" w:pos="24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Measured at Fair Value</w:t>
      </w:r>
    </w:p>
    <w:p>
      <w:pPr>
        <w:spacing w:after="0" w:line="2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Company’s assets and liabilities that were accounted for at fair value as of June 30, 2021 and December 31, 2020.</w:t>
      </w:r>
    </w:p>
    <w:p>
      <w:pPr>
        <w:spacing w:after="0" w:line="200" w:lineRule="exact"/>
        <w:rPr>
          <w:sz w:val="20"/>
          <w:szCs w:val="20"/>
          <w:color w:val="auto"/>
        </w:rPr>
      </w:pPr>
    </w:p>
    <w:p>
      <w:pPr>
        <w:spacing w:after="0" w:line="3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68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Quoted Prices</w:t>
            </w:r>
          </w:p>
        </w:tc>
        <w:tc>
          <w:tcPr>
            <w:tcW w:w="5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Significant</w:t>
            </w:r>
          </w:p>
        </w:tc>
        <w:tc>
          <w:tcPr>
            <w:tcW w:w="1420" w:type="dxa"/>
            <w:vAlign w:val="bottom"/>
          </w:tcPr>
          <w:p>
            <w:pPr>
              <w:jc w:val="center"/>
              <w:ind w:left="626"/>
              <w:spacing w:after="0"/>
              <w:rPr>
                <w:sz w:val="20"/>
                <w:szCs w:val="20"/>
                <w:color w:val="auto"/>
              </w:rPr>
            </w:pPr>
            <w:r>
              <w:rPr>
                <w:rFonts w:ascii="Arial" w:cs="Arial" w:eastAsia="Arial" w:hAnsi="Arial"/>
                <w:sz w:val="13"/>
                <w:szCs w:val="13"/>
                <w:b w:val="1"/>
                <w:bCs w:val="1"/>
                <w:color w:val="auto"/>
                <w:w w:val="90"/>
              </w:rPr>
              <w:t>Significant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5"/>
        </w:trPr>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2"/>
          </w:tcPr>
          <w:p>
            <w:pPr>
              <w:jc w:val="center"/>
              <w:ind w:right="660"/>
              <w:spacing w:after="0" w:line="125" w:lineRule="exact"/>
              <w:rPr>
                <w:sz w:val="20"/>
                <w:szCs w:val="20"/>
                <w:color w:val="auto"/>
              </w:rPr>
            </w:pPr>
            <w:r>
              <w:rPr>
                <w:rFonts w:ascii="Arial" w:cs="Arial" w:eastAsia="Arial" w:hAnsi="Arial"/>
                <w:sz w:val="13"/>
                <w:szCs w:val="13"/>
                <w:b w:val="1"/>
                <w:bCs w:val="1"/>
                <w:color w:val="auto"/>
                <w:w w:val="92"/>
              </w:rPr>
              <w:t>in Active</w:t>
            </w:r>
          </w:p>
        </w:tc>
        <w:tc>
          <w:tcPr>
            <w:tcW w:w="540" w:type="dxa"/>
            <w:vAlign w:val="bottom"/>
          </w:tcPr>
          <w:p>
            <w:pPr>
              <w:spacing w:after="0"/>
              <w:rPr>
                <w:sz w:val="10"/>
                <w:szCs w:val="10"/>
                <w:color w:val="auto"/>
              </w:rPr>
            </w:pPr>
          </w:p>
        </w:tc>
        <w:tc>
          <w:tcPr>
            <w:tcW w:w="1380" w:type="dxa"/>
            <w:vAlign w:val="bottom"/>
            <w:gridSpan w:val="2"/>
          </w:tcPr>
          <w:p>
            <w:pPr>
              <w:jc w:val="center"/>
              <w:ind w:right="640"/>
              <w:spacing w:after="0" w:line="125" w:lineRule="exact"/>
              <w:rPr>
                <w:sz w:val="20"/>
                <w:szCs w:val="20"/>
                <w:color w:val="auto"/>
              </w:rPr>
            </w:pPr>
            <w:r>
              <w:rPr>
                <w:rFonts w:ascii="Arial" w:cs="Arial" w:eastAsia="Arial" w:hAnsi="Arial"/>
                <w:sz w:val="13"/>
                <w:szCs w:val="13"/>
                <w:b w:val="1"/>
                <w:bCs w:val="1"/>
                <w:color w:val="auto"/>
                <w:w w:val="97"/>
              </w:rPr>
              <w:t>Other</w:t>
            </w:r>
          </w:p>
        </w:tc>
        <w:tc>
          <w:tcPr>
            <w:tcW w:w="1420" w:type="dxa"/>
            <w:vAlign w:val="bottom"/>
          </w:tcPr>
          <w:p>
            <w:pPr>
              <w:jc w:val="center"/>
              <w:ind w:left="206"/>
              <w:spacing w:after="0" w:line="12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25"/>
        </w:trPr>
        <w:tc>
          <w:tcPr>
            <w:tcW w:w="2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0" w:type="dxa"/>
            <w:vAlign w:val="bottom"/>
            <w:gridSpan w:val="2"/>
          </w:tcPr>
          <w:p>
            <w:pPr>
              <w:jc w:val="center"/>
              <w:ind w:right="660"/>
              <w:spacing w:after="0" w:line="125" w:lineRule="exact"/>
              <w:rPr>
                <w:sz w:val="20"/>
                <w:szCs w:val="20"/>
                <w:color w:val="auto"/>
              </w:rPr>
            </w:pPr>
            <w:r>
              <w:rPr>
                <w:rFonts w:ascii="Arial" w:cs="Arial" w:eastAsia="Arial" w:hAnsi="Arial"/>
                <w:sz w:val="13"/>
                <w:szCs w:val="13"/>
                <w:b w:val="1"/>
                <w:bCs w:val="1"/>
                <w:color w:val="auto"/>
                <w:w w:val="99"/>
              </w:rPr>
              <w:t>Markets for</w:t>
            </w:r>
          </w:p>
        </w:tc>
        <w:tc>
          <w:tcPr>
            <w:tcW w:w="540" w:type="dxa"/>
            <w:vAlign w:val="bottom"/>
          </w:tcPr>
          <w:p>
            <w:pPr>
              <w:spacing w:after="0"/>
              <w:rPr>
                <w:sz w:val="10"/>
                <w:szCs w:val="10"/>
                <w:color w:val="auto"/>
              </w:rPr>
            </w:pPr>
          </w:p>
        </w:tc>
        <w:tc>
          <w:tcPr>
            <w:tcW w:w="1380" w:type="dxa"/>
            <w:vAlign w:val="bottom"/>
            <w:gridSpan w:val="2"/>
          </w:tcPr>
          <w:p>
            <w:pPr>
              <w:jc w:val="center"/>
              <w:ind w:right="660"/>
              <w:spacing w:after="0" w:line="125" w:lineRule="exact"/>
              <w:rPr>
                <w:sz w:val="20"/>
                <w:szCs w:val="20"/>
                <w:color w:val="auto"/>
              </w:rPr>
            </w:pPr>
            <w:r>
              <w:rPr>
                <w:rFonts w:ascii="Arial" w:cs="Arial" w:eastAsia="Arial" w:hAnsi="Arial"/>
                <w:sz w:val="13"/>
                <w:szCs w:val="13"/>
                <w:b w:val="1"/>
                <w:bCs w:val="1"/>
                <w:color w:val="auto"/>
                <w:w w:val="90"/>
              </w:rPr>
              <w:t>Observable</w:t>
            </w:r>
          </w:p>
        </w:tc>
        <w:tc>
          <w:tcPr>
            <w:tcW w:w="1420" w:type="dxa"/>
            <w:vAlign w:val="bottom"/>
          </w:tcPr>
          <w:p>
            <w:pPr>
              <w:jc w:val="center"/>
              <w:ind w:left="206"/>
              <w:spacing w:after="0" w:line="125" w:lineRule="exact"/>
              <w:rPr>
                <w:sz w:val="20"/>
                <w:szCs w:val="20"/>
                <w:color w:val="auto"/>
              </w:rPr>
            </w:pPr>
            <w:r>
              <w:rPr>
                <w:rFonts w:ascii="Arial" w:cs="Arial" w:eastAsia="Arial" w:hAnsi="Arial"/>
                <w:sz w:val="13"/>
                <w:szCs w:val="13"/>
                <w:b w:val="1"/>
                <w:bCs w:val="1"/>
                <w:color w:val="auto"/>
                <w:w w:val="90"/>
              </w:rPr>
              <w:t>Unobservable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72"/>
        </w:trPr>
        <w:tc>
          <w:tcPr>
            <w:tcW w:w="2780" w:type="dxa"/>
            <w:vAlign w:val="bottom"/>
          </w:tcPr>
          <w:p>
            <w:pPr>
              <w:spacing w:after="0"/>
              <w:rPr>
                <w:sz w:val="14"/>
                <w:szCs w:val="14"/>
                <w:color w:val="auto"/>
              </w:rPr>
            </w:pPr>
          </w:p>
        </w:tc>
        <w:tc>
          <w:tcPr>
            <w:tcW w:w="1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Identical Assets</w:t>
            </w:r>
          </w:p>
        </w:tc>
        <w:tc>
          <w:tcPr>
            <w:tcW w:w="540" w:type="dxa"/>
            <w:vAlign w:val="bottom"/>
          </w:tcPr>
          <w:p>
            <w:pPr>
              <w:spacing w:after="0"/>
              <w:rPr>
                <w:sz w:val="14"/>
                <w:szCs w:val="14"/>
                <w:color w:val="auto"/>
              </w:rPr>
            </w:pPr>
          </w:p>
        </w:tc>
        <w:tc>
          <w:tcPr>
            <w:tcW w:w="1380" w:type="dxa"/>
            <w:vAlign w:val="bottom"/>
            <w:gridSpan w:val="2"/>
          </w:tcPr>
          <w:p>
            <w:pPr>
              <w:jc w:val="center"/>
              <w:ind w:right="660"/>
              <w:spacing w:after="0"/>
              <w:rPr>
                <w:sz w:val="20"/>
                <w:szCs w:val="20"/>
                <w:color w:val="auto"/>
              </w:rPr>
            </w:pPr>
            <w:r>
              <w:rPr>
                <w:rFonts w:ascii="Arial" w:cs="Arial" w:eastAsia="Arial" w:hAnsi="Arial"/>
                <w:sz w:val="13"/>
                <w:szCs w:val="13"/>
                <w:b w:val="1"/>
                <w:bCs w:val="1"/>
                <w:color w:val="auto"/>
                <w:w w:val="92"/>
              </w:rPr>
              <w:t>Inputs</w:t>
            </w:r>
          </w:p>
        </w:tc>
        <w:tc>
          <w:tcPr>
            <w:tcW w:w="1420" w:type="dxa"/>
            <w:vAlign w:val="bottom"/>
          </w:tcPr>
          <w:p>
            <w:pPr>
              <w:jc w:val="center"/>
              <w:ind w:left="206"/>
              <w:spacing w:after="0"/>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2780" w:type="dxa"/>
            <w:vAlign w:val="bottom"/>
            <w:tcBorders>
              <w:bottom w:val="single" w:sz="8" w:color="CCEEFF"/>
            </w:tcBorders>
          </w:tcPr>
          <w:p>
            <w:pPr>
              <w:ind w:left="420"/>
              <w:spacing w:after="0"/>
              <w:rPr>
                <w:sz w:val="20"/>
                <w:szCs w:val="20"/>
                <w:color w:val="auto"/>
              </w:rPr>
            </w:pPr>
            <w:r>
              <w:rPr>
                <w:rFonts w:ascii="Arial" w:cs="Arial" w:eastAsia="Arial" w:hAnsi="Arial"/>
                <w:sz w:val="13"/>
                <w:szCs w:val="13"/>
                <w:b w:val="1"/>
                <w:bCs w:val="1"/>
                <w:color w:val="auto"/>
              </w:rPr>
              <w:t>As of June 30, 2021</w:t>
            </w:r>
          </w:p>
        </w:tc>
        <w:tc>
          <w:tcPr>
            <w:tcW w:w="5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w w:val="90"/>
              </w:rPr>
              <w:t>Level 1</w:t>
            </w:r>
          </w:p>
        </w:tc>
        <w:tc>
          <w:tcPr>
            <w:tcW w:w="10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center"/>
              <w:ind w:right="65"/>
              <w:spacing w:after="0"/>
              <w:rPr>
                <w:sz w:val="20"/>
                <w:szCs w:val="20"/>
                <w:color w:val="auto"/>
              </w:rPr>
            </w:pPr>
            <w:r>
              <w:rPr>
                <w:rFonts w:ascii="Arial" w:cs="Arial" w:eastAsia="Arial" w:hAnsi="Arial"/>
                <w:sz w:val="13"/>
                <w:szCs w:val="13"/>
                <w:b w:val="1"/>
                <w:bCs w:val="1"/>
                <w:color w:val="auto"/>
                <w:w w:val="95"/>
              </w:rPr>
              <w:t>Level 2</w:t>
            </w:r>
          </w:p>
        </w:tc>
        <w:tc>
          <w:tcPr>
            <w:tcW w:w="100" w:type="dxa"/>
            <w:vAlign w:val="bottom"/>
            <w:tcBorders>
              <w:bottom w:val="single" w:sz="8" w:color="CCEEFF"/>
            </w:tcBorders>
          </w:tcPr>
          <w:p>
            <w:pPr>
              <w:spacing w:after="0"/>
              <w:rPr>
                <w:sz w:val="14"/>
                <w:szCs w:val="14"/>
                <w:color w:val="auto"/>
              </w:rPr>
            </w:pPr>
          </w:p>
        </w:tc>
        <w:tc>
          <w:tcPr>
            <w:tcW w:w="1420" w:type="dxa"/>
            <w:vAlign w:val="bottom"/>
            <w:tcBorders>
              <w:top w:val="single" w:sz="8" w:color="auto"/>
              <w:bottom w:val="single" w:sz="8" w:color="auto"/>
            </w:tcBorders>
          </w:tcPr>
          <w:p>
            <w:pPr>
              <w:jc w:val="center"/>
              <w:ind w:left="626"/>
              <w:spacing w:after="0"/>
              <w:rPr>
                <w:sz w:val="20"/>
                <w:szCs w:val="20"/>
                <w:color w:val="auto"/>
              </w:rPr>
            </w:pPr>
            <w:r>
              <w:rPr>
                <w:rFonts w:ascii="Arial" w:cs="Arial" w:eastAsia="Arial" w:hAnsi="Arial"/>
                <w:sz w:val="13"/>
                <w:szCs w:val="13"/>
                <w:b w:val="1"/>
                <w:bCs w:val="1"/>
                <w:color w:val="auto"/>
                <w:w w:val="90"/>
              </w:rPr>
              <w:t>Level 3</w:t>
            </w:r>
          </w:p>
        </w:tc>
        <w:tc>
          <w:tcPr>
            <w:tcW w:w="3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3"/>
                <w:szCs w:val="13"/>
                <w:b w:val="1"/>
                <w:bCs w:val="1"/>
                <w:color w:val="auto"/>
              </w:rPr>
              <w:t>Total</w:t>
            </w:r>
          </w:p>
        </w:tc>
      </w:tr>
      <w:tr>
        <w:trPr>
          <w:trHeight w:val="193"/>
        </w:trPr>
        <w:tc>
          <w:tcPr>
            <w:tcW w:w="2780" w:type="dxa"/>
            <w:vAlign w:val="bottom"/>
            <w:shd w:val="clear" w:color="auto" w:fill="CCEEFF"/>
          </w:tcPr>
          <w:p>
            <w:pPr>
              <w:ind w:left="420"/>
              <w:spacing w:after="0" w:line="194" w:lineRule="exact"/>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2"/>
        </w:trPr>
        <w:tc>
          <w:tcPr>
            <w:tcW w:w="2780" w:type="dxa"/>
            <w:vAlign w:val="bottom"/>
          </w:tcPr>
          <w:p>
            <w:pPr>
              <w:ind w:left="420"/>
              <w:spacing w:after="0"/>
              <w:rPr>
                <w:sz w:val="20"/>
                <w:szCs w:val="20"/>
                <w:color w:val="auto"/>
              </w:rPr>
            </w:pPr>
            <w:r>
              <w:rPr>
                <w:rFonts w:ascii="Arial" w:cs="Arial" w:eastAsia="Arial" w:hAnsi="Arial"/>
                <w:sz w:val="17"/>
                <w:szCs w:val="17"/>
                <w:color w:val="auto"/>
              </w:rPr>
              <w:t>Mutual funds*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96,481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96,481</w:t>
            </w:r>
          </w:p>
        </w:tc>
      </w:tr>
      <w:tr>
        <w:trPr>
          <w:trHeight w:val="212"/>
        </w:trPr>
        <w:tc>
          <w:tcPr>
            <w:tcW w:w="27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9"/>
              </w:rPr>
              <w:t>Derivative financial instruments</w:t>
            </w:r>
          </w:p>
        </w:tc>
        <w:tc>
          <w:tcPr>
            <w:tcW w:w="5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12,191</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12,191</w:t>
            </w:r>
          </w:p>
        </w:tc>
      </w:tr>
      <w:tr>
        <w:trPr>
          <w:trHeight w:val="204"/>
        </w:trPr>
        <w:tc>
          <w:tcPr>
            <w:tcW w:w="2780" w:type="dxa"/>
            <w:vAlign w:val="bottom"/>
          </w:tcPr>
          <w:p>
            <w:pPr>
              <w:ind w:left="420"/>
              <w:spacing w:after="0" w:line="192" w:lineRule="exact"/>
              <w:rPr>
                <w:sz w:val="20"/>
                <w:szCs w:val="20"/>
                <w:color w:val="auto"/>
              </w:rPr>
            </w:pPr>
            <w:r>
              <w:rPr>
                <w:rFonts w:ascii="Arial" w:cs="Arial" w:eastAsia="Arial" w:hAnsi="Arial"/>
                <w:sz w:val="17"/>
                <w:szCs w:val="17"/>
                <w:color w:val="auto"/>
              </w:rPr>
              <w:t>Total</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96,481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
              <w:spacing w:after="0"/>
              <w:rPr>
                <w:sz w:val="20"/>
                <w:szCs w:val="20"/>
                <w:color w:val="auto"/>
              </w:rPr>
            </w:pPr>
            <w:r>
              <w:rPr>
                <w:rFonts w:ascii="Arial" w:cs="Arial" w:eastAsia="Arial" w:hAnsi="Arial"/>
                <w:sz w:val="17"/>
                <w:szCs w:val="17"/>
                <w:color w:val="auto"/>
              </w:rPr>
              <w:t>12,191</w:t>
            </w:r>
          </w:p>
        </w:tc>
        <w:tc>
          <w:tcPr>
            <w:tcW w:w="100" w:type="dxa"/>
            <w:vAlign w:val="bottom"/>
          </w:tcPr>
          <w:p>
            <w:pPr>
              <w:spacing w:after="0"/>
              <w:rPr>
                <w:sz w:val="17"/>
                <w:szCs w:val="17"/>
                <w:color w:val="auto"/>
              </w:rPr>
            </w:pP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108,672</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780" w:type="dxa"/>
            <w:vAlign w:val="bottom"/>
            <w:shd w:val="clear" w:color="auto" w:fill="CCEEFF"/>
          </w:tcPr>
          <w:p>
            <w:pPr>
              <w:ind w:left="420"/>
              <w:spacing w:after="0" w:line="177" w:lineRule="exact"/>
              <w:rPr>
                <w:sz w:val="20"/>
                <w:szCs w:val="20"/>
                <w:color w:val="auto"/>
              </w:rPr>
            </w:pPr>
            <w:r>
              <w:rPr>
                <w:rFonts w:ascii="Arial" w:cs="Arial" w:eastAsia="Arial" w:hAnsi="Arial"/>
                <w:sz w:val="17"/>
                <w:szCs w:val="17"/>
                <w:b w:val="1"/>
                <w:bCs w:val="1"/>
                <w:color w:val="auto"/>
              </w:rPr>
              <w:t>Liabilities</w:t>
            </w: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27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w w:val="99"/>
              </w:rPr>
              <w:t>Derivative financial instruments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1,733</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84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1,733</w:t>
            </w:r>
          </w:p>
        </w:tc>
      </w:tr>
      <w:tr>
        <w:trPr>
          <w:trHeight w:val="224"/>
        </w:trPr>
        <w:tc>
          <w:tcPr>
            <w:tcW w:w="27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1,733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1,733</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4"/>
        </w:trPr>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25"/>
        </w:trPr>
        <w:tc>
          <w:tcPr>
            <w:tcW w:w="2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Quoted Prices</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240"/>
              <w:spacing w:after="0" w:line="125" w:lineRule="exact"/>
              <w:rPr>
                <w:sz w:val="20"/>
                <w:szCs w:val="20"/>
                <w:color w:val="auto"/>
              </w:rPr>
            </w:pPr>
            <w:r>
              <w:rPr>
                <w:rFonts w:ascii="Arial" w:cs="Arial" w:eastAsia="Arial" w:hAnsi="Arial"/>
                <w:sz w:val="13"/>
                <w:szCs w:val="13"/>
                <w:b w:val="1"/>
                <w:bCs w:val="1"/>
                <w:color w:val="auto"/>
                <w:w w:val="93"/>
              </w:rPr>
              <w:t>Significant</w:t>
            </w:r>
          </w:p>
        </w:tc>
        <w:tc>
          <w:tcPr>
            <w:tcW w:w="1420" w:type="dxa"/>
            <w:vAlign w:val="bottom"/>
            <w:shd w:val="clear" w:color="auto" w:fill="CCEEFF"/>
          </w:tcPr>
          <w:p>
            <w:pPr>
              <w:jc w:val="center"/>
              <w:ind w:left="626"/>
              <w:spacing w:after="0" w:line="125" w:lineRule="exact"/>
              <w:rPr>
                <w:sz w:val="20"/>
                <w:szCs w:val="20"/>
                <w:color w:val="auto"/>
              </w:rPr>
            </w:pPr>
            <w:r>
              <w:rPr>
                <w:rFonts w:ascii="Arial" w:cs="Arial" w:eastAsia="Arial" w:hAnsi="Arial"/>
                <w:sz w:val="13"/>
                <w:szCs w:val="13"/>
                <w:b w:val="1"/>
                <w:bCs w:val="1"/>
                <w:color w:val="auto"/>
                <w:w w:val="90"/>
              </w:rPr>
              <w:t>Significant</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25"/>
        </w:trPr>
        <w:tc>
          <w:tcPr>
            <w:tcW w:w="2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660"/>
              <w:spacing w:after="0" w:line="125" w:lineRule="exact"/>
              <w:rPr>
                <w:sz w:val="20"/>
                <w:szCs w:val="20"/>
                <w:color w:val="auto"/>
              </w:rPr>
            </w:pPr>
            <w:r>
              <w:rPr>
                <w:rFonts w:ascii="Arial" w:cs="Arial" w:eastAsia="Arial" w:hAnsi="Arial"/>
                <w:sz w:val="13"/>
                <w:szCs w:val="13"/>
                <w:b w:val="1"/>
                <w:bCs w:val="1"/>
                <w:color w:val="auto"/>
                <w:w w:val="92"/>
              </w:rPr>
              <w:t>in Active</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640"/>
              <w:spacing w:after="0" w:line="125" w:lineRule="exact"/>
              <w:rPr>
                <w:sz w:val="20"/>
                <w:szCs w:val="20"/>
                <w:color w:val="auto"/>
              </w:rPr>
            </w:pPr>
            <w:r>
              <w:rPr>
                <w:rFonts w:ascii="Arial" w:cs="Arial" w:eastAsia="Arial" w:hAnsi="Arial"/>
                <w:sz w:val="13"/>
                <w:szCs w:val="13"/>
                <w:b w:val="1"/>
                <w:bCs w:val="1"/>
                <w:color w:val="auto"/>
                <w:w w:val="97"/>
              </w:rPr>
              <w:t>Other</w:t>
            </w:r>
          </w:p>
        </w:tc>
        <w:tc>
          <w:tcPr>
            <w:tcW w:w="1420" w:type="dxa"/>
            <w:vAlign w:val="bottom"/>
            <w:shd w:val="clear" w:color="auto" w:fill="CCEEFF"/>
          </w:tcPr>
          <w:p>
            <w:pPr>
              <w:jc w:val="center"/>
              <w:ind w:left="206"/>
              <w:spacing w:after="0" w:line="12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25"/>
        </w:trPr>
        <w:tc>
          <w:tcPr>
            <w:tcW w:w="27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center"/>
              <w:ind w:right="660"/>
              <w:spacing w:after="0" w:line="125" w:lineRule="exact"/>
              <w:rPr>
                <w:sz w:val="20"/>
                <w:szCs w:val="20"/>
                <w:color w:val="auto"/>
              </w:rPr>
            </w:pPr>
            <w:r>
              <w:rPr>
                <w:rFonts w:ascii="Arial" w:cs="Arial" w:eastAsia="Arial" w:hAnsi="Arial"/>
                <w:sz w:val="13"/>
                <w:szCs w:val="13"/>
                <w:b w:val="1"/>
                <w:bCs w:val="1"/>
                <w:color w:val="auto"/>
                <w:w w:val="99"/>
              </w:rPr>
              <w:t>Markets for</w:t>
            </w:r>
          </w:p>
        </w:tc>
        <w:tc>
          <w:tcPr>
            <w:tcW w:w="54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center"/>
              <w:ind w:right="660"/>
              <w:spacing w:after="0" w:line="125" w:lineRule="exact"/>
              <w:rPr>
                <w:sz w:val="20"/>
                <w:szCs w:val="20"/>
                <w:color w:val="auto"/>
              </w:rPr>
            </w:pPr>
            <w:r>
              <w:rPr>
                <w:rFonts w:ascii="Arial" w:cs="Arial" w:eastAsia="Arial" w:hAnsi="Arial"/>
                <w:sz w:val="13"/>
                <w:szCs w:val="13"/>
                <w:b w:val="1"/>
                <w:bCs w:val="1"/>
                <w:color w:val="auto"/>
                <w:w w:val="90"/>
              </w:rPr>
              <w:t>Observable</w:t>
            </w:r>
          </w:p>
        </w:tc>
        <w:tc>
          <w:tcPr>
            <w:tcW w:w="1420" w:type="dxa"/>
            <w:vAlign w:val="bottom"/>
            <w:shd w:val="clear" w:color="auto" w:fill="CCEEFF"/>
          </w:tcPr>
          <w:p>
            <w:pPr>
              <w:jc w:val="center"/>
              <w:ind w:left="206"/>
              <w:spacing w:after="0" w:line="125" w:lineRule="exact"/>
              <w:rPr>
                <w:sz w:val="20"/>
                <w:szCs w:val="20"/>
                <w:color w:val="auto"/>
              </w:rPr>
            </w:pPr>
            <w:r>
              <w:rPr>
                <w:rFonts w:ascii="Arial" w:cs="Arial" w:eastAsia="Arial" w:hAnsi="Arial"/>
                <w:sz w:val="13"/>
                <w:szCs w:val="13"/>
                <w:b w:val="1"/>
                <w:bCs w:val="1"/>
                <w:color w:val="auto"/>
                <w:w w:val="90"/>
              </w:rPr>
              <w:t>Unobservable</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175"/>
        </w:trPr>
        <w:tc>
          <w:tcPr>
            <w:tcW w:w="2780" w:type="dxa"/>
            <w:vAlign w:val="bottom"/>
            <w:shd w:val="clear" w:color="auto" w:fill="CCEEFF"/>
          </w:tcPr>
          <w:p>
            <w:pPr>
              <w:spacing w:after="0"/>
              <w:rPr>
                <w:sz w:val="15"/>
                <w:szCs w:val="15"/>
                <w:color w:val="auto"/>
              </w:rPr>
            </w:pPr>
          </w:p>
        </w:tc>
        <w:tc>
          <w:tcPr>
            <w:tcW w:w="18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3"/>
                <w:szCs w:val="13"/>
                <w:b w:val="1"/>
                <w:bCs w:val="1"/>
                <w:color w:val="auto"/>
                <w:w w:val="90"/>
              </w:rPr>
              <w:t>Identical Assets</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center"/>
              <w:ind w:right="485"/>
              <w:spacing w:after="0"/>
              <w:rPr>
                <w:sz w:val="20"/>
                <w:szCs w:val="20"/>
                <w:color w:val="auto"/>
              </w:rPr>
            </w:pPr>
            <w:r>
              <w:rPr>
                <w:rFonts w:ascii="Arial" w:cs="Arial" w:eastAsia="Arial" w:hAnsi="Arial"/>
                <w:sz w:val="13"/>
                <w:szCs w:val="13"/>
                <w:b w:val="1"/>
                <w:bCs w:val="1"/>
                <w:color w:val="auto"/>
                <w:w w:val="92"/>
              </w:rPr>
              <w:t>Inputs</w:t>
            </w:r>
          </w:p>
        </w:tc>
        <w:tc>
          <w:tcPr>
            <w:tcW w:w="100" w:type="dxa"/>
            <w:vAlign w:val="bottom"/>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center"/>
              <w:ind w:left="206"/>
              <w:spacing w:after="0"/>
              <w:rPr>
                <w:sz w:val="20"/>
                <w:szCs w:val="20"/>
                <w:color w:val="auto"/>
              </w:rPr>
            </w:pPr>
            <w:r>
              <w:rPr>
                <w:rFonts w:ascii="Arial" w:cs="Arial" w:eastAsia="Arial" w:hAnsi="Arial"/>
                <w:sz w:val="13"/>
                <w:szCs w:val="13"/>
                <w:b w:val="1"/>
                <w:bCs w:val="1"/>
                <w:color w:val="auto"/>
                <w:w w:val="97"/>
              </w:rPr>
              <w:t>Inputs</w:t>
            </w:r>
          </w:p>
        </w:tc>
        <w:tc>
          <w:tcPr>
            <w:tcW w:w="3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r>
      <w:tr>
        <w:trPr>
          <w:trHeight w:val="177"/>
        </w:trPr>
        <w:tc>
          <w:tcPr>
            <w:tcW w:w="2780" w:type="dxa"/>
            <w:vAlign w:val="bottom"/>
          </w:tcPr>
          <w:p>
            <w:pPr>
              <w:ind w:left="420"/>
              <w:spacing w:after="0"/>
              <w:rPr>
                <w:sz w:val="20"/>
                <w:szCs w:val="20"/>
                <w:color w:val="auto"/>
              </w:rPr>
            </w:pPr>
            <w:r>
              <w:rPr>
                <w:rFonts w:ascii="Arial" w:cs="Arial" w:eastAsia="Arial" w:hAnsi="Arial"/>
                <w:sz w:val="15"/>
                <w:szCs w:val="15"/>
                <w:b w:val="1"/>
                <w:bCs w:val="1"/>
                <w:color w:val="auto"/>
              </w:rPr>
              <w:t>As of December 31, 2020</w:t>
            </w:r>
          </w:p>
        </w:tc>
        <w:tc>
          <w:tcPr>
            <w:tcW w:w="5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Level 1</w:t>
            </w:r>
          </w:p>
        </w:tc>
        <w:tc>
          <w:tcPr>
            <w:tcW w:w="5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Level 2</w:t>
            </w:r>
          </w:p>
        </w:tc>
        <w:tc>
          <w:tcPr>
            <w:tcW w:w="1420" w:type="dxa"/>
            <w:vAlign w:val="bottom"/>
          </w:tcPr>
          <w:p>
            <w:pPr>
              <w:jc w:val="center"/>
              <w:ind w:left="626"/>
              <w:spacing w:after="0"/>
              <w:rPr>
                <w:sz w:val="20"/>
                <w:szCs w:val="20"/>
                <w:color w:val="auto"/>
              </w:rPr>
            </w:pPr>
            <w:r>
              <w:rPr>
                <w:rFonts w:ascii="Arial" w:cs="Arial" w:eastAsia="Arial" w:hAnsi="Arial"/>
                <w:sz w:val="13"/>
                <w:szCs w:val="13"/>
                <w:b w:val="1"/>
                <w:bCs w:val="1"/>
                <w:color w:val="auto"/>
                <w:w w:val="90"/>
              </w:rPr>
              <w:t>Level 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jc w:val="right"/>
              <w:ind w:right="500"/>
              <w:spacing w:after="0"/>
              <w:rPr>
                <w:sz w:val="20"/>
                <w:szCs w:val="20"/>
                <w:color w:val="auto"/>
              </w:rPr>
            </w:pPr>
            <w:r>
              <w:rPr>
                <w:rFonts w:ascii="Arial" w:cs="Arial" w:eastAsia="Arial" w:hAnsi="Arial"/>
                <w:sz w:val="13"/>
                <w:szCs w:val="13"/>
                <w:b w:val="1"/>
                <w:bCs w:val="1"/>
                <w:color w:val="auto"/>
              </w:rPr>
              <w:t>Total</w:t>
            </w:r>
          </w:p>
        </w:tc>
      </w:tr>
      <w:tr>
        <w:trPr>
          <w:trHeight w:val="195"/>
        </w:trPr>
        <w:tc>
          <w:tcPr>
            <w:tcW w:w="27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b w:val="1"/>
                <w:bCs w:val="1"/>
                <w:color w:val="auto"/>
              </w:rPr>
              <w:t>Assets</w:t>
            </w:r>
          </w:p>
        </w:tc>
        <w:tc>
          <w:tcPr>
            <w:tcW w:w="5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r>
      <w:tr>
        <w:trPr>
          <w:trHeight w:val="212"/>
        </w:trPr>
        <w:tc>
          <w:tcPr>
            <w:tcW w:w="2780" w:type="dxa"/>
            <w:vAlign w:val="bottom"/>
          </w:tcPr>
          <w:p>
            <w:pPr>
              <w:ind w:left="420"/>
              <w:spacing w:after="0"/>
              <w:rPr>
                <w:sz w:val="20"/>
                <w:szCs w:val="20"/>
                <w:color w:val="auto"/>
              </w:rPr>
            </w:pPr>
            <w:r>
              <w:rPr>
                <w:rFonts w:ascii="Arial" w:cs="Arial" w:eastAsia="Arial" w:hAnsi="Arial"/>
                <w:sz w:val="17"/>
                <w:szCs w:val="17"/>
                <w:color w:val="auto"/>
              </w:rPr>
              <w:t>Mutual funds*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160,441</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160,441</w:t>
            </w:r>
          </w:p>
        </w:tc>
      </w:tr>
      <w:tr>
        <w:trPr>
          <w:trHeight w:val="212"/>
        </w:trPr>
        <w:tc>
          <w:tcPr>
            <w:tcW w:w="278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9"/>
              </w:rPr>
              <w:t>Derivative financial instruments</w:t>
            </w:r>
          </w:p>
        </w:tc>
        <w:tc>
          <w:tcPr>
            <w:tcW w:w="5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16,688</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16,688</w:t>
            </w:r>
          </w:p>
        </w:tc>
      </w:tr>
      <w:tr>
        <w:trPr>
          <w:trHeight w:val="204"/>
        </w:trPr>
        <w:tc>
          <w:tcPr>
            <w:tcW w:w="2780" w:type="dxa"/>
            <w:vAlign w:val="bottom"/>
          </w:tcPr>
          <w:p>
            <w:pPr>
              <w:ind w:left="420"/>
              <w:spacing w:after="0" w:line="192" w:lineRule="exact"/>
              <w:rPr>
                <w:sz w:val="20"/>
                <w:szCs w:val="20"/>
                <w:color w:val="auto"/>
              </w:rPr>
            </w:pPr>
            <w:r>
              <w:rPr>
                <w:rFonts w:ascii="Arial" w:cs="Arial" w:eastAsia="Arial" w:hAnsi="Arial"/>
                <w:sz w:val="17"/>
                <w:szCs w:val="17"/>
                <w:color w:val="auto"/>
              </w:rPr>
              <w:t>Total</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4"/>
              <w:spacing w:after="0"/>
              <w:rPr>
                <w:sz w:val="20"/>
                <w:szCs w:val="20"/>
                <w:color w:val="auto"/>
              </w:rPr>
            </w:pPr>
            <w:r>
              <w:rPr>
                <w:rFonts w:ascii="Arial" w:cs="Arial" w:eastAsia="Arial" w:hAnsi="Arial"/>
                <w:sz w:val="17"/>
                <w:szCs w:val="17"/>
                <w:color w:val="auto"/>
              </w:rPr>
              <w:t>160,441</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5"/>
              <w:spacing w:after="0"/>
              <w:rPr>
                <w:sz w:val="20"/>
                <w:szCs w:val="20"/>
                <w:color w:val="auto"/>
              </w:rPr>
            </w:pPr>
            <w:r>
              <w:rPr>
                <w:rFonts w:ascii="Arial" w:cs="Arial" w:eastAsia="Arial" w:hAnsi="Arial"/>
                <w:sz w:val="17"/>
                <w:szCs w:val="17"/>
                <w:color w:val="auto"/>
              </w:rPr>
              <w:t>16,688</w:t>
            </w:r>
          </w:p>
        </w:tc>
        <w:tc>
          <w:tcPr>
            <w:tcW w:w="100" w:type="dxa"/>
            <w:vAlign w:val="bottom"/>
          </w:tcPr>
          <w:p>
            <w:pPr>
              <w:spacing w:after="0"/>
              <w:rPr>
                <w:sz w:val="17"/>
                <w:szCs w:val="17"/>
                <w:color w:val="auto"/>
              </w:rPr>
            </w:pPr>
          </w:p>
        </w:tc>
        <w:tc>
          <w:tcPr>
            <w:tcW w:w="1420" w:type="dxa"/>
            <w:vAlign w:val="bottom"/>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177,129</w:t>
            </w: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2780" w:type="dxa"/>
            <w:vAlign w:val="bottom"/>
            <w:shd w:val="clear" w:color="auto" w:fill="CCEEFF"/>
          </w:tcPr>
          <w:p>
            <w:pPr>
              <w:ind w:left="420"/>
              <w:spacing w:after="0" w:line="177" w:lineRule="exact"/>
              <w:rPr>
                <w:sz w:val="20"/>
                <w:szCs w:val="20"/>
                <w:color w:val="auto"/>
              </w:rPr>
            </w:pPr>
            <w:r>
              <w:rPr>
                <w:rFonts w:ascii="Arial" w:cs="Arial" w:eastAsia="Arial" w:hAnsi="Arial"/>
                <w:sz w:val="17"/>
                <w:szCs w:val="17"/>
                <w:b w:val="1"/>
                <w:bCs w:val="1"/>
                <w:color w:val="auto"/>
              </w:rPr>
              <w:t>Liabilities</w:t>
            </w:r>
          </w:p>
        </w:tc>
        <w:tc>
          <w:tcPr>
            <w:tcW w:w="5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12"/>
        </w:trPr>
        <w:tc>
          <w:tcPr>
            <w:tcW w:w="278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w w:val="99"/>
              </w:rPr>
              <w:t>Derivative financial instruments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846"/>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w:t>
            </w:r>
          </w:p>
        </w:tc>
      </w:tr>
      <w:tr>
        <w:trPr>
          <w:trHeight w:val="224"/>
        </w:trPr>
        <w:tc>
          <w:tcPr>
            <w:tcW w:w="2780" w:type="dxa"/>
            <w:vAlign w:val="bottom"/>
            <w:shd w:val="clear" w:color="auto" w:fill="CCEEFF"/>
          </w:tcPr>
          <w:p>
            <w:pPr>
              <w:ind w:left="420"/>
              <w:spacing w:after="0" w:line="192" w:lineRule="exact"/>
              <w:rPr>
                <w:sz w:val="20"/>
                <w:szCs w:val="20"/>
                <w:color w:val="auto"/>
              </w:rPr>
            </w:pPr>
            <w:r>
              <w:rPr>
                <w:rFonts w:ascii="Arial" w:cs="Arial" w:eastAsia="Arial" w:hAnsi="Arial"/>
                <w:sz w:val="17"/>
                <w:szCs w:val="17"/>
                <w:color w:val="auto"/>
              </w:rPr>
              <w:t>Total</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464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846"/>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Represents those short-term investments, which are carried at the fair value option under ASC 825 "Financial Instruments”.</w:t>
      </w:r>
    </w:p>
    <w:p>
      <w:pPr>
        <w:jc w:val="both"/>
        <w:ind w:firstLine="299"/>
        <w:spacing w:after="0" w:line="223" w:lineRule="auto"/>
        <w:rPr>
          <w:sz w:val="20"/>
          <w:szCs w:val="20"/>
          <w:color w:val="auto"/>
        </w:rPr>
      </w:pP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The Company’s derivative financial instruments consist of foreign currency forward exchange contracts. Fair values for</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 financial instruments are based on independent sources including highly rated financial institutions and are classified as Level 2. Refer to Note 16 - Derivatives and Hedge Accounting to the unaudited consolidated financial statements for further details.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not carried at fair value</w:t>
      </w:r>
      <w:r>
        <w:rPr>
          <w:rFonts w:ascii="Arial" w:cs="Arial" w:eastAsia="Arial" w:hAnsi="Arial"/>
          <w:sz w:val="17"/>
          <w:szCs w:val="17"/>
          <w:color w:val="auto"/>
        </w:rPr>
        <w:t>:</w:t>
      </w:r>
    </w:p>
    <w:p>
      <w:pPr>
        <w:spacing w:after="0" w:line="20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5"/>
          <w:szCs w:val="15"/>
          <w:color w:val="auto"/>
        </w:rPr>
        <w:t>The Company’s other financial instruments not carried at fair value consist primarily of cash and cash equivalents, short-term investments (except investments in mutual funds, as disclosed above), restricted cash, accrued interest on term deposits, accrued capital expenditures, accrued expenses and interest payable on borrowings for which fair values approximate their carrying amounts due to their short-term nature.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6" w:lineRule="exact"/>
        <w:rPr>
          <w:sz w:val="20"/>
          <w:szCs w:val="20"/>
          <w:color w:val="auto"/>
        </w:rPr>
      </w:pPr>
    </w:p>
    <w:p>
      <w:pPr>
        <w:jc w:val="both"/>
        <w:ind w:firstLine="374"/>
        <w:spacing w:after="0" w:line="246" w:lineRule="auto"/>
        <w:rPr>
          <w:sz w:val="20"/>
          <w:szCs w:val="20"/>
          <w:color w:val="auto"/>
        </w:rPr>
      </w:pPr>
      <w:r>
        <w:rPr>
          <w:rFonts w:ascii="Arial" w:cs="Arial" w:eastAsia="Arial" w:hAnsi="Arial"/>
          <w:sz w:val="16"/>
          <w:szCs w:val="16"/>
          <w:color w:val="auto"/>
        </w:rPr>
        <w:t>The total estimated fair value of the convertible senior notes as of June 30, 2021 and December 31, 2020 was $156,121 and $152,384, respectively. The fair value was determined based on the market yields for similar convertible notes as of the June 30, 2021 and December 31, 2020, respectively. The Company considers the fair value of the convertible senior notes to be a Level 2 measurement due to the limited inputs available for its fair valuation.</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Derivatives and Hedge Accounting</w:t>
      </w:r>
    </w:p>
    <w:p>
      <w:pPr>
        <w:spacing w:after="0" w:line="220"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5"/>
          <w:szCs w:val="15"/>
          <w:color w:val="auto"/>
        </w:rPr>
        <w:t>The Company uses derivative instruments and hedging transactions to mitigate exposure to foreign currency fluctuation risks associated with forecasted transactions denominated in certain foreign currencies so as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$520,560 as of June 30, 2021 and $451,935 as of December 31, 2020.</w:t>
      </w:r>
    </w:p>
    <w:p>
      <w:pPr>
        <w:spacing w:after="0" w:line="173" w:lineRule="exact"/>
        <w:rPr>
          <w:sz w:val="20"/>
          <w:szCs w:val="20"/>
          <w:color w:val="auto"/>
        </w:rPr>
      </w:pPr>
    </w:p>
    <w:p>
      <w:pPr>
        <w:jc w:val="both"/>
        <w:ind w:firstLine="374"/>
        <w:spacing w:after="0" w:line="225" w:lineRule="auto"/>
        <w:rPr>
          <w:sz w:val="20"/>
          <w:szCs w:val="20"/>
          <w:color w:val="auto"/>
        </w:rPr>
      </w:pPr>
      <w:r>
        <w:rPr>
          <w:rFonts w:ascii="Arial" w:cs="Arial" w:eastAsia="Arial" w:hAnsi="Arial"/>
          <w:sz w:val="17"/>
          <w:szCs w:val="17"/>
          <w:color w:val="auto"/>
        </w:rPr>
        <w:t>Changes in the fair value of these cash flow hedges are recorded as a component of accumulated other comprehensive income/(loss), net of tax, until the hedged transactions occurs. The resultant foreign exchange gain/(loss) upon settlement of these cash flow hedges is recorded along with the underlying hedged item in the same line of unaudited consolidated statements of income as either a part of “Cost of revenues,” “General and administrative expenses,” “Selling and marketing expenses”, “Depreciation and amortization expense,” as applicable.</w:t>
      </w:r>
    </w:p>
    <w:p>
      <w:pPr>
        <w:spacing w:after="0" w:line="190"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89"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estimates that approximately $6,891 of derivative gains, net, excluding tax effects, included in AOCL, representing changes in the value of cash flow hedges, could be reclassified into earnings within the next twelve months based on exchange rates prevailing as of June 30, 2021. At June 30, 2021, the maximum outstanding term of the cash flow hedges was 45 months.</w:t>
      </w:r>
    </w:p>
    <w:p>
      <w:pPr>
        <w:spacing w:after="0" w:line="18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5"/>
          <w:szCs w:val="15"/>
          <w:color w:val="auto"/>
        </w:rPr>
        <w:t>The Company also enters into foreign currency forward contracts to economically hedge its intercompany balances and other monetary assets and liabilities denominated in currencies other than functional currencies, against the risk of foreign currency fluctuations associated with remeasurement of such assets and liabilities to functional currency. These derivatives do not qualify as fair value hedges under ASC 815. Changes in the fair value of these derivatives are recognized in the unaudited consolidated statements of income and are included in the foreign exchange gain/(loss) line item. The Company’s primary exchange rate exposure is with the Indian rupee, the U.K. pound sterling (GBP) and the Philippine peso. The Company also has exposure to Colombian pesos (COP), Czech koruna, the Euro (EUR), South African ZAR, the Australian dollar (AUD) and other local currencies in which it operates. Outstanding foreign currency forward contracts amounted to USD 124,195, GBP 6,928, EUR 1,425 and COP 8,172,868 as of June 30, 2021 and USD 143,394, GBP 6,753, EUR 2,447 and COP 8,287,950 as of December 31, 2020.</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 uses forward contracts designated as net investment hedges to hedge the foreign currency risks related to our investments in foreign subsidiaries.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Gains and losses on these net investment hedges are recognized in AOCL as part of foreign currency translation adjustments.</w:t>
      </w:r>
    </w:p>
    <w:p>
      <w:pPr>
        <w:spacing w:after="0" w:line="202"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7"/>
          <w:szCs w:val="17"/>
          <w:color w:val="auto"/>
        </w:rPr>
        <w:t>All of the assets and liabilities related to our foreign exchange forward contracts are subject to master netting arrangements with each individual counterparty. These master netting arrangements generally provide for net settlement of all outstanding contracts with the counterparty in the case of an event of default or a termination event. We have presented all of the assets and liabilities related to our foreign exchange forward contracts on a gross basis, with no offsets, in our unaudited consolidated statements of financial position. There is no financial collateral (including cash collateral) provided or received by us related to our foreign exchange forward contracts.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tables set forth the fair value of the foreign currency exchange contracts and their location on the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jc w:val="right"/>
        <w:ind w:right="252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(In thousands, except share and per share amounts)</w:t>
      </w:r>
    </w:p>
    <w:p>
      <w:pPr>
        <w:sectPr>
          <w:pgSz w:w="11900" w:h="16838" w:orient="portrait"/>
          <w:cols w:equalWidth="0" w:num="1">
            <w:col w:w="11340"/>
          </w:cols>
          <w:pgMar w:left="320" w:top="12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31750</wp:posOffset>
            </wp:positionV>
            <wp:extent cx="340487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4870" cy="7620"/>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8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17145</wp:posOffset>
            </wp:positionV>
            <wp:extent cx="29933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93390" cy="7620"/>
                    </a:xfrm>
                    <a:prstGeom prst="rect">
                      <a:avLst/>
                    </a:prstGeom>
                    <a:noFill/>
                  </pic:spPr>
                </pic:pic>
              </a:graphicData>
            </a:graphic>
          </wp:anchor>
        </w:drawing>
      </w:r>
    </w:p>
    <w:p>
      <w:pPr>
        <w:spacing w:after="0" w:line="20" w:lineRule="exact"/>
        <w:rPr>
          <w:sz w:val="20"/>
          <w:szCs w:val="20"/>
          <w:color w:val="auto"/>
        </w:rPr>
      </w:pPr>
    </w:p>
    <w:p>
      <w:pPr>
        <w:spacing w:after="0"/>
        <w:tabs>
          <w:tab w:leader="none" w:pos="2220" w:val="left"/>
        </w:tabs>
        <w:rPr>
          <w:sz w:val="20"/>
          <w:szCs w:val="20"/>
          <w:color w:val="auto"/>
        </w:rPr>
      </w:pPr>
      <w:r>
        <w:rPr>
          <w:rFonts w:ascii="Arial" w:cs="Arial" w:eastAsia="Arial" w:hAnsi="Arial"/>
          <w:sz w:val="15"/>
          <w:szCs w:val="15"/>
          <w:b w:val="1"/>
          <w:bCs w:val="1"/>
          <w:color w:val="auto"/>
        </w:rPr>
        <w:t>June 30, 2021</w:t>
      </w:r>
      <w:r>
        <w:rPr>
          <w:sz w:val="20"/>
          <w:szCs w:val="20"/>
          <w:color w:val="auto"/>
        </w:rPr>
        <w:tab/>
      </w:r>
      <w:r>
        <w:rPr>
          <w:rFonts w:ascii="Arial" w:cs="Arial" w:eastAsia="Arial" w:hAnsi="Arial"/>
          <w:sz w:val="13"/>
          <w:szCs w:val="13"/>
          <w:b w:val="1"/>
          <w:bCs w:val="1"/>
          <w:color w:val="auto"/>
        </w:rPr>
        <w:t>December 31, 2020</w:t>
      </w:r>
    </w:p>
    <w:p>
      <w:pPr>
        <w:spacing w:after="0" w:line="21" w:lineRule="exact"/>
        <w:rPr>
          <w:sz w:val="20"/>
          <w:szCs w:val="20"/>
          <w:color w:val="auto"/>
        </w:rPr>
      </w:pPr>
    </w:p>
    <w:p>
      <w:pPr>
        <w:sectPr>
          <w:pgSz w:w="11900" w:h="16838" w:orient="portrait"/>
          <w:cols w:equalWidth="0" w:num="2">
            <w:col w:w="6360" w:space="720"/>
            <w:col w:w="4260"/>
          </w:cols>
          <w:pgMar w:left="320" w:top="123" w:right="239" w:bottom="1440" w:gutter="0" w:footer="0" w:header="0"/>
          <w:type w:val="continuous"/>
        </w:sectPr>
      </w:pPr>
    </w:p>
    <w:tbl>
      <w:tblPr>
        <w:tblLayout w:type="fixed"/>
        <w:tblInd w:w="740" w:type="dxa"/>
        <w:tblCellMar>
          <w:top w:w="0" w:type="dxa"/>
          <w:left w:w="0" w:type="dxa"/>
          <w:bottom w:w="0" w:type="dxa"/>
          <w:right w:w="0" w:type="dxa"/>
        </w:tblCellMar>
      </w:tblPr>
      <w:tr>
        <w:trPr>
          <w:trHeight w:val="210"/>
        </w:trPr>
        <w:tc>
          <w:tcPr>
            <w:tcW w:w="53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9,740</w:t>
            </w:r>
          </w:p>
        </w:tc>
      </w:tr>
      <w:tr>
        <w:trPr>
          <w:trHeight w:val="212"/>
        </w:trPr>
        <w:tc>
          <w:tcPr>
            <w:tcW w:w="5480" w:type="dxa"/>
            <w:vAlign w:val="bottom"/>
            <w:gridSpan w:val="2"/>
          </w:tcPr>
          <w:p>
            <w:pPr>
              <w:ind w:left="420"/>
              <w:spacing w:after="0"/>
              <w:rPr>
                <w:sz w:val="20"/>
                <w:szCs w:val="20"/>
                <w:color w:val="auto"/>
              </w:rPr>
            </w:pPr>
            <w:r>
              <w:rPr>
                <w:rFonts w:ascii="Arial" w:cs="Arial" w:eastAsia="Arial" w:hAnsi="Arial"/>
                <w:sz w:val="17"/>
                <w:szCs w:val="17"/>
                <w:color w:val="auto"/>
              </w:rPr>
              <w:t>Other assets</w:t>
            </w:r>
          </w:p>
        </w:tc>
        <w:tc>
          <w:tcPr>
            <w:tcW w:w="1120" w:type="dxa"/>
            <w:vAlign w:val="bottom"/>
          </w:tcPr>
          <w:p>
            <w:pPr>
              <w:jc w:val="right"/>
              <w:ind w:right="53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4,631</w:t>
            </w:r>
          </w:p>
        </w:tc>
        <w:tc>
          <w:tcPr>
            <w:tcW w:w="100" w:type="dxa"/>
            <w:vAlign w:val="bottom"/>
          </w:tcPr>
          <w:p>
            <w:pPr>
              <w:spacing w:after="0"/>
              <w:rPr>
                <w:sz w:val="18"/>
                <w:szCs w:val="18"/>
                <w:color w:val="auto"/>
              </w:rPr>
            </w:pPr>
          </w:p>
        </w:tc>
        <w:tc>
          <w:tcPr>
            <w:tcW w:w="122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6,933</w:t>
            </w:r>
          </w:p>
        </w:tc>
      </w:tr>
      <w:tr>
        <w:trPr>
          <w:trHeight w:val="212"/>
        </w:trPr>
        <w:tc>
          <w:tcPr>
            <w:tcW w:w="5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Accrued expenses and other current liabilities</w:t>
            </w:r>
          </w:p>
        </w:tc>
        <w:tc>
          <w:tcPr>
            <w:tcW w:w="112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2"/>
        </w:trPr>
        <w:tc>
          <w:tcPr>
            <w:tcW w:w="5480" w:type="dxa"/>
            <w:vAlign w:val="bottom"/>
            <w:gridSpan w:val="2"/>
          </w:tcPr>
          <w:p>
            <w:pPr>
              <w:ind w:left="420"/>
              <w:spacing w:after="0"/>
              <w:rPr>
                <w:sz w:val="20"/>
                <w:szCs w:val="20"/>
                <w:color w:val="auto"/>
              </w:rPr>
            </w:pPr>
            <w:r>
              <w:rPr>
                <w:rFonts w:ascii="Arial" w:cs="Arial" w:eastAsia="Arial" w:hAnsi="Arial"/>
                <w:sz w:val="17"/>
                <w:szCs w:val="17"/>
                <w:color w:val="auto"/>
              </w:rPr>
              <w:t>Other non-current liabilities</w:t>
            </w:r>
          </w:p>
        </w:tc>
        <w:tc>
          <w:tcPr>
            <w:tcW w:w="1120" w:type="dxa"/>
            <w:vAlign w:val="bottom"/>
          </w:tcPr>
          <w:p>
            <w:pPr>
              <w:jc w:val="right"/>
              <w:ind w:right="537"/>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1,052</w:t>
            </w:r>
          </w:p>
        </w:tc>
        <w:tc>
          <w:tcPr>
            <w:tcW w:w="100" w:type="dxa"/>
            <w:vAlign w:val="bottom"/>
          </w:tcPr>
          <w:p>
            <w:pPr>
              <w:spacing w:after="0"/>
              <w:rPr>
                <w:sz w:val="18"/>
                <w:szCs w:val="18"/>
                <w:color w:val="auto"/>
              </w:rPr>
            </w:pPr>
          </w:p>
        </w:tc>
        <w:tc>
          <w:tcPr>
            <w:tcW w:w="1220" w:type="dxa"/>
            <w:vAlign w:val="bottom"/>
          </w:tcPr>
          <w:p>
            <w:pPr>
              <w:jc w:val="right"/>
              <w:ind w:right="637"/>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49"/>
        </w:trPr>
        <w:tc>
          <w:tcPr>
            <w:tcW w:w="5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340"/>
          </w:cols>
          <w:pgMar w:left="320" w:top="123" w:right="239" w:bottom="1440" w:gutter="0" w:footer="0" w:header="0"/>
          <w:type w:val="continuous"/>
        </w:sectPr>
      </w:pPr>
    </w:p>
    <w:p>
      <w:pPr>
        <w:ind w:left="1160"/>
        <w:spacing w:after="0"/>
        <w:rPr>
          <w:sz w:val="20"/>
          <w:szCs w:val="20"/>
          <w:color w:val="auto"/>
        </w:rPr>
      </w:pPr>
      <w:r>
        <w:rPr>
          <w:rFonts w:ascii="Arial" w:cs="Arial" w:eastAsia="Arial" w:hAnsi="Arial"/>
          <w:sz w:val="13"/>
          <w:szCs w:val="13"/>
          <w:b w:val="1"/>
          <w:bCs w:val="1"/>
          <w:color w:val="auto"/>
        </w:rPr>
        <w:t>Derivatives not designated as hedging instruments: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5"/>
          <w:szCs w:val="15"/>
          <w:b w:val="1"/>
          <w:bCs w:val="1"/>
          <w:color w:val="auto"/>
        </w:rPr>
        <w:t>Foreign currency exchange contracts</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Arial" w:cs="Arial" w:eastAsia="Arial" w:hAnsi="Arial"/>
          <w:sz w:val="15"/>
          <w:szCs w:val="15"/>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-4020185</wp:posOffset>
            </wp:positionH>
            <wp:positionV relativeFrom="paragraph">
              <wp:posOffset>17145</wp:posOffset>
            </wp:positionV>
            <wp:extent cx="6461760" cy="134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61760" cy="134620"/>
                    </a:xfrm>
                    <a:prstGeom prst="rect">
                      <a:avLst/>
                    </a:prstGeom>
                    <a:noFill/>
                  </pic:spPr>
                </pic:pic>
              </a:graphicData>
            </a:graphic>
          </wp:anchor>
        </w:drawing>
      </w:r>
    </w:p>
    <w:p>
      <w:pPr>
        <w:spacing w:after="0" w:line="20" w:lineRule="exact"/>
        <w:rPr>
          <w:sz w:val="20"/>
          <w:szCs w:val="20"/>
          <w:color w:val="auto"/>
        </w:rPr>
      </w:pPr>
    </w:p>
    <w:p>
      <w:pPr>
        <w:spacing w:after="0"/>
        <w:tabs>
          <w:tab w:leader="none" w:pos="2220" w:val="left"/>
        </w:tabs>
        <w:rPr>
          <w:sz w:val="20"/>
          <w:szCs w:val="20"/>
          <w:color w:val="auto"/>
        </w:rPr>
      </w:pPr>
      <w:r>
        <w:rPr>
          <w:rFonts w:ascii="Arial" w:cs="Arial" w:eastAsia="Arial" w:hAnsi="Arial"/>
          <w:sz w:val="15"/>
          <w:szCs w:val="15"/>
          <w:b w:val="1"/>
          <w:bCs w:val="1"/>
          <w:color w:val="auto"/>
        </w:rPr>
        <w:t>June 30, 2021</w:t>
      </w:r>
      <w:r>
        <w:rPr>
          <w:sz w:val="20"/>
          <w:szCs w:val="20"/>
          <w:color w:val="auto"/>
        </w:rPr>
        <w:tab/>
      </w:r>
      <w:r>
        <w:rPr>
          <w:rFonts w:ascii="Arial" w:cs="Arial" w:eastAsia="Arial" w:hAnsi="Arial"/>
          <w:sz w:val="13"/>
          <w:szCs w:val="13"/>
          <w:b w:val="1"/>
          <w:bCs w:val="1"/>
          <w:color w:val="auto"/>
        </w:rPr>
        <w:t>December 31, 2020</w:t>
      </w:r>
    </w:p>
    <w:p>
      <w:pPr>
        <w:spacing w:after="0" w:line="21" w:lineRule="exact"/>
        <w:rPr>
          <w:sz w:val="20"/>
          <w:szCs w:val="20"/>
          <w:color w:val="auto"/>
        </w:rPr>
      </w:pPr>
    </w:p>
    <w:p>
      <w:pPr>
        <w:sectPr>
          <w:pgSz w:w="11900" w:h="16838" w:orient="portrait"/>
          <w:cols w:equalWidth="0" w:num="2">
            <w:col w:w="6360" w:space="720"/>
            <w:col w:w="4260"/>
          </w:cols>
          <w:pgMar w:left="320" w:top="123" w:right="239" w:bottom="1440" w:gutter="0" w:footer="0" w:header="0"/>
          <w:type w:val="continuous"/>
        </w:sectPr>
      </w:pPr>
    </w:p>
    <w:tbl>
      <w:tblPr>
        <w:tblLayout w:type="fixed"/>
        <w:tblInd w:w="740" w:type="dxa"/>
        <w:tblCellMar>
          <w:top w:w="0" w:type="dxa"/>
          <w:left w:w="0" w:type="dxa"/>
          <w:bottom w:w="0" w:type="dxa"/>
          <w:right w:w="0" w:type="dxa"/>
        </w:tblCellMar>
      </w:tblPr>
      <w:tr>
        <w:trPr>
          <w:trHeight w:val="210"/>
        </w:trPr>
        <w:tc>
          <w:tcPr>
            <w:tcW w:w="5380" w:type="dxa"/>
            <w:vAlign w:val="bottom"/>
            <w:tcBorders>
              <w:top w:val="single" w:sz="8" w:color="auto"/>
            </w:tcBorders>
          </w:tcPr>
          <w:p>
            <w:pPr>
              <w:ind w:left="420"/>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59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ind w:right="717"/>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w:t>
            </w:r>
          </w:p>
        </w:tc>
      </w:tr>
      <w:tr>
        <w:trPr>
          <w:trHeight w:val="212"/>
        </w:trPr>
        <w:tc>
          <w:tcPr>
            <w:tcW w:w="54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Accrued expenses and other current liabilities</w:t>
            </w:r>
          </w:p>
        </w:tc>
        <w:tc>
          <w:tcPr>
            <w:tcW w:w="118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r>
    </w:tbl>
    <w:p>
      <w:pPr>
        <w:spacing w:after="0" w:line="274" w:lineRule="exact"/>
        <w:rPr>
          <w:sz w:val="20"/>
          <w:szCs w:val="20"/>
          <w:color w:val="auto"/>
        </w:rPr>
      </w:pPr>
    </w:p>
    <w:p>
      <w:pPr>
        <w:ind w:right="100" w:firstLine="374"/>
        <w:spacing w:after="0" w:line="237" w:lineRule="auto"/>
        <w:rPr>
          <w:sz w:val="20"/>
          <w:szCs w:val="20"/>
          <w:color w:val="auto"/>
        </w:rPr>
      </w:pPr>
      <w:r>
        <w:rPr>
          <w:rFonts w:ascii="Arial" w:cs="Arial" w:eastAsia="Arial" w:hAnsi="Arial"/>
          <w:sz w:val="17"/>
          <w:szCs w:val="17"/>
          <w:color w:val="auto"/>
        </w:rPr>
        <w:t>The following tables set forth the effect of foreign currency exchange contracts on the unaudited consolidated statements of income and accumulated other comprehensive loss for the three and six months ended June 30, 2021 and 2020: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5"/>
                <w:szCs w:val="15"/>
                <w:b w:val="1"/>
                <w:bCs w:val="1"/>
                <w:color w:val="auto"/>
              </w:rPr>
              <w:t>Three months ended June 30,</w:t>
            </w:r>
          </w:p>
        </w:tc>
        <w:tc>
          <w:tcPr>
            <w:tcW w:w="8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Six months ended June 30,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r>
      <w:tr>
        <w:trPr>
          <w:trHeight w:val="192"/>
        </w:trPr>
        <w:tc>
          <w:tcPr>
            <w:tcW w:w="420" w:type="dxa"/>
            <w:vAlign w:val="bottom"/>
          </w:tcPr>
          <w:p>
            <w:pPr>
              <w:spacing w:after="0"/>
              <w:rPr>
                <w:sz w:val="16"/>
                <w:szCs w:val="16"/>
                <w:color w:val="auto"/>
              </w:rPr>
            </w:pPr>
          </w:p>
        </w:tc>
        <w:tc>
          <w:tcPr>
            <w:tcW w:w="350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Forward Exchange Contracts:</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195"/>
        </w:trPr>
        <w:tc>
          <w:tcPr>
            <w:tcW w:w="420" w:type="dxa"/>
            <w:vAlign w:val="bottom"/>
          </w:tcPr>
          <w:p>
            <w:pPr>
              <w:spacing w:after="0"/>
              <w:rPr>
                <w:sz w:val="16"/>
                <w:szCs w:val="16"/>
                <w:color w:val="auto"/>
              </w:rPr>
            </w:pPr>
          </w:p>
        </w:tc>
        <w:tc>
          <w:tcPr>
            <w:tcW w:w="360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Unrealized gain/(loss) recognized in AOCL</w:t>
            </w:r>
          </w:p>
        </w:tc>
        <w:tc>
          <w:tcPr>
            <w:tcW w:w="7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420" w:type="dxa"/>
            <w:vAlign w:val="bottom"/>
          </w:tcPr>
          <w:p>
            <w:pPr>
              <w:spacing w:after="0"/>
              <w:rPr>
                <w:sz w:val="14"/>
                <w:szCs w:val="14"/>
                <w:color w:val="auto"/>
              </w:rPr>
            </w:pPr>
          </w:p>
        </w:tc>
        <w:tc>
          <w:tcPr>
            <w:tcW w:w="3600" w:type="dxa"/>
            <w:vAlign w:val="bottom"/>
            <w:gridSpan w:val="2"/>
          </w:tcPr>
          <w:p>
            <w:pPr>
              <w:ind w:left="420"/>
              <w:spacing w:after="0" w:line="163" w:lineRule="exact"/>
              <w:rPr>
                <w:sz w:val="20"/>
                <w:szCs w:val="20"/>
                <w:color w:val="auto"/>
              </w:rPr>
            </w:pPr>
            <w:r>
              <w:rPr>
                <w:rFonts w:ascii="Arial" w:cs="Arial" w:eastAsia="Arial" w:hAnsi="Arial"/>
                <w:sz w:val="17"/>
                <w:szCs w:val="17"/>
                <w:color w:val="auto"/>
              </w:rPr>
              <w:t>Derivatives in cash flow hedging</w:t>
            </w:r>
          </w:p>
        </w:tc>
        <w:tc>
          <w:tcPr>
            <w:tcW w:w="720" w:type="dxa"/>
            <w:vAlign w:val="bottom"/>
          </w:tcPr>
          <w:p>
            <w:pPr>
              <w:jc w:val="right"/>
              <w:ind w:right="137"/>
              <w:spacing w:after="0" w:line="163"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63" w:lineRule="exact"/>
              <w:rPr>
                <w:sz w:val="20"/>
                <w:szCs w:val="20"/>
                <w:color w:val="auto"/>
              </w:rPr>
            </w:pPr>
            <w:r>
              <w:rPr>
                <w:rFonts w:ascii="Arial" w:cs="Arial" w:eastAsia="Arial" w:hAnsi="Arial"/>
                <w:sz w:val="17"/>
                <w:szCs w:val="17"/>
                <w:color w:val="auto"/>
              </w:rPr>
              <w:t>(871)</w:t>
            </w:r>
          </w:p>
        </w:tc>
        <w:tc>
          <w:tcPr>
            <w:tcW w:w="100" w:type="dxa"/>
            <w:vAlign w:val="bottom"/>
          </w:tcPr>
          <w:p>
            <w:pPr>
              <w:spacing w:after="0"/>
              <w:rPr>
                <w:sz w:val="14"/>
                <w:szCs w:val="14"/>
                <w:color w:val="auto"/>
              </w:rPr>
            </w:pPr>
          </w:p>
        </w:tc>
        <w:tc>
          <w:tcPr>
            <w:tcW w:w="740" w:type="dxa"/>
            <w:vAlign w:val="bottom"/>
          </w:tcPr>
          <w:p>
            <w:pPr>
              <w:jc w:val="right"/>
              <w:ind w:right="137"/>
              <w:spacing w:after="0" w:line="163" w:lineRule="exact"/>
              <w:rPr>
                <w:sz w:val="20"/>
                <w:szCs w:val="20"/>
                <w:color w:val="auto"/>
              </w:rPr>
            </w:pPr>
            <w:r>
              <w:rPr>
                <w:rFonts w:ascii="Arial" w:cs="Arial" w:eastAsia="Arial" w:hAnsi="Arial"/>
                <w:sz w:val="17"/>
                <w:szCs w:val="17"/>
                <w:color w:val="auto"/>
              </w:rPr>
              <w:t>$</w:t>
            </w:r>
          </w:p>
        </w:tc>
        <w:tc>
          <w:tcPr>
            <w:tcW w:w="1040" w:type="dxa"/>
            <w:vAlign w:val="bottom"/>
          </w:tcPr>
          <w:p>
            <w:pPr>
              <w:jc w:val="right"/>
              <w:spacing w:after="0" w:line="163" w:lineRule="exact"/>
              <w:rPr>
                <w:sz w:val="20"/>
                <w:szCs w:val="20"/>
                <w:color w:val="auto"/>
              </w:rPr>
            </w:pPr>
            <w:r>
              <w:rPr>
                <w:rFonts w:ascii="Arial" w:cs="Arial" w:eastAsia="Arial" w:hAnsi="Arial"/>
                <w:sz w:val="17"/>
                <w:szCs w:val="17"/>
                <w:color w:val="auto"/>
              </w:rPr>
              <w:t>7,721</w:t>
            </w:r>
          </w:p>
        </w:tc>
        <w:tc>
          <w:tcPr>
            <w:tcW w:w="80" w:type="dxa"/>
            <w:vAlign w:val="bottom"/>
          </w:tcPr>
          <w:p>
            <w:pPr>
              <w:spacing w:after="0"/>
              <w:rPr>
                <w:sz w:val="14"/>
                <w:szCs w:val="14"/>
                <w:color w:val="auto"/>
              </w:rPr>
            </w:pPr>
          </w:p>
        </w:tc>
        <w:tc>
          <w:tcPr>
            <w:tcW w:w="1300" w:type="dxa"/>
            <w:vAlign w:val="bottom"/>
          </w:tcPr>
          <w:p>
            <w:pPr>
              <w:jc w:val="right"/>
              <w:ind w:right="701"/>
              <w:spacing w:after="0" w:line="163" w:lineRule="exact"/>
              <w:rPr>
                <w:sz w:val="20"/>
                <w:szCs w:val="20"/>
                <w:color w:val="auto"/>
              </w:rPr>
            </w:pPr>
            <w:r>
              <w:rPr>
                <w:rFonts w:ascii="Arial" w:cs="Arial" w:eastAsia="Arial" w:hAnsi="Arial"/>
                <w:sz w:val="17"/>
                <w:szCs w:val="17"/>
                <w:color w:val="auto"/>
              </w:rPr>
              <w:t>$</w:t>
            </w:r>
          </w:p>
        </w:tc>
        <w:tc>
          <w:tcPr>
            <w:tcW w:w="460" w:type="dxa"/>
            <w:vAlign w:val="bottom"/>
          </w:tcPr>
          <w:p>
            <w:pPr>
              <w:jc w:val="right"/>
              <w:spacing w:after="0" w:line="163" w:lineRule="exact"/>
              <w:rPr>
                <w:sz w:val="20"/>
                <w:szCs w:val="20"/>
                <w:color w:val="auto"/>
              </w:rPr>
            </w:pPr>
            <w:r>
              <w:rPr>
                <w:rFonts w:ascii="Arial" w:cs="Arial" w:eastAsia="Arial" w:hAnsi="Arial"/>
                <w:sz w:val="17"/>
                <w:szCs w:val="17"/>
                <w:color w:val="auto"/>
              </w:rPr>
              <w:t>(303)</w:t>
            </w:r>
          </w:p>
        </w:tc>
        <w:tc>
          <w:tcPr>
            <w:tcW w:w="80" w:type="dxa"/>
            <w:vAlign w:val="bottom"/>
          </w:tcPr>
          <w:p>
            <w:pPr>
              <w:spacing w:after="0"/>
              <w:rPr>
                <w:sz w:val="14"/>
                <w:szCs w:val="14"/>
                <w:color w:val="auto"/>
              </w:rPr>
            </w:pPr>
          </w:p>
        </w:tc>
        <w:tc>
          <w:tcPr>
            <w:tcW w:w="1260" w:type="dxa"/>
            <w:vAlign w:val="bottom"/>
          </w:tcPr>
          <w:p>
            <w:pPr>
              <w:jc w:val="right"/>
              <w:ind w:right="660"/>
              <w:spacing w:after="0" w:line="163" w:lineRule="exact"/>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20"/>
              <w:spacing w:after="0" w:line="163" w:lineRule="exact"/>
              <w:rPr>
                <w:sz w:val="20"/>
                <w:szCs w:val="20"/>
                <w:color w:val="auto"/>
              </w:rPr>
            </w:pPr>
            <w:r>
              <w:rPr>
                <w:rFonts w:ascii="Arial" w:cs="Arial" w:eastAsia="Arial" w:hAnsi="Arial"/>
                <w:sz w:val="17"/>
                <w:szCs w:val="17"/>
                <w:color w:val="auto"/>
                <w:w w:val="92"/>
              </w:rPr>
              <w:t>(7,125)</w:t>
            </w:r>
          </w:p>
        </w:tc>
      </w:tr>
      <w:tr>
        <w:trPr>
          <w:trHeight w:val="212"/>
        </w:trPr>
        <w:tc>
          <w:tcPr>
            <w:tcW w:w="4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7"/>
                <w:szCs w:val="17"/>
                <w:color w:val="auto"/>
              </w:rPr>
              <w:t>relationships</w:t>
            </w:r>
          </w:p>
        </w:tc>
        <w:tc>
          <w:tcPr>
            <w:tcW w:w="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420" w:type="dxa"/>
            <w:vAlign w:val="bottom"/>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50"/>
        </w:trPr>
        <w:tc>
          <w:tcPr>
            <w:tcW w:w="420" w:type="dxa"/>
            <w:vAlign w:val="bottom"/>
          </w:tcPr>
          <w:p>
            <w:pPr>
              <w:spacing w:after="0"/>
              <w:rPr>
                <w:sz w:val="13"/>
                <w:szCs w:val="13"/>
                <w:color w:val="auto"/>
              </w:rPr>
            </w:pPr>
          </w:p>
        </w:tc>
        <w:tc>
          <w:tcPr>
            <w:tcW w:w="3600" w:type="dxa"/>
            <w:vAlign w:val="bottom"/>
            <w:gridSpan w:val="2"/>
          </w:tcPr>
          <w:p>
            <w:pPr>
              <w:ind w:left="420"/>
              <w:spacing w:after="0" w:line="150" w:lineRule="exact"/>
              <w:rPr>
                <w:sz w:val="20"/>
                <w:szCs w:val="20"/>
                <w:color w:val="auto"/>
              </w:rPr>
            </w:pPr>
            <w:r>
              <w:rPr>
                <w:rFonts w:ascii="Arial" w:cs="Arial" w:eastAsia="Arial" w:hAnsi="Arial"/>
                <w:sz w:val="15"/>
                <w:szCs w:val="15"/>
                <w:b w:val="1"/>
                <w:bCs w:val="1"/>
                <w:color w:val="auto"/>
              </w:rPr>
              <w:t>Gain/(loss) recognized in consolidated</w:t>
            </w:r>
          </w:p>
        </w:tc>
        <w:tc>
          <w:tcPr>
            <w:tcW w:w="7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6"/>
        </w:trPr>
        <w:tc>
          <w:tcPr>
            <w:tcW w:w="420" w:type="dxa"/>
            <w:vAlign w:val="bottom"/>
          </w:tcPr>
          <w:p>
            <w:pPr>
              <w:spacing w:after="0"/>
              <w:rPr>
                <w:sz w:val="17"/>
                <w:szCs w:val="17"/>
                <w:color w:val="auto"/>
              </w:rPr>
            </w:pPr>
          </w:p>
        </w:tc>
        <w:tc>
          <w:tcPr>
            <w:tcW w:w="3600" w:type="dxa"/>
            <w:vAlign w:val="bottom"/>
            <w:gridSpan w:val="2"/>
          </w:tcPr>
          <w:p>
            <w:pPr>
              <w:spacing w:after="0"/>
              <w:rPr>
                <w:sz w:val="20"/>
                <w:szCs w:val="20"/>
                <w:color w:val="auto"/>
              </w:rPr>
            </w:pPr>
            <w:r>
              <w:rPr>
                <w:rFonts w:ascii="Arial" w:cs="Arial" w:eastAsia="Arial" w:hAnsi="Arial"/>
                <w:sz w:val="15"/>
                <w:szCs w:val="15"/>
                <w:b w:val="1"/>
                <w:bCs w:val="1"/>
                <w:color w:val="auto"/>
              </w:rPr>
              <w:t>statements of income</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5"/>
        </w:trPr>
        <w:tc>
          <w:tcPr>
            <w:tcW w:w="420" w:type="dxa"/>
            <w:vAlign w:val="bottom"/>
          </w:tcPr>
          <w:p>
            <w:pPr>
              <w:spacing w:after="0"/>
              <w:rPr>
                <w:sz w:val="14"/>
                <w:szCs w:val="14"/>
                <w:color w:val="auto"/>
              </w:rPr>
            </w:pPr>
          </w:p>
        </w:tc>
        <w:tc>
          <w:tcPr>
            <w:tcW w:w="360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rPr>
              <w:t>Derivatives not designated as hedging</w:t>
            </w:r>
          </w:p>
        </w:tc>
        <w:tc>
          <w:tcPr>
            <w:tcW w:w="720" w:type="dxa"/>
            <w:vAlign w:val="bottom"/>
            <w:shd w:val="clear" w:color="auto" w:fill="CCEEFF"/>
          </w:tcPr>
          <w:p>
            <w:pPr>
              <w:jc w:val="right"/>
              <w:ind w:right="137"/>
              <w:spacing w:after="0" w:line="165"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37"/>
              <w:spacing w:after="0" w:line="165"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rPr>
              <w:t>1,897</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701"/>
              <w:spacing w:after="0" w:line="165"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line="165" w:lineRule="exact"/>
              <w:rPr>
                <w:sz w:val="20"/>
                <w:szCs w:val="20"/>
                <w:color w:val="auto"/>
              </w:rPr>
            </w:pPr>
            <w:r>
              <w:rPr>
                <w:rFonts w:ascii="Arial" w:cs="Arial" w:eastAsia="Arial" w:hAnsi="Arial"/>
                <w:sz w:val="17"/>
                <w:szCs w:val="17"/>
                <w:color w:val="auto"/>
              </w:rPr>
              <w:t>(589)</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60"/>
              <w:spacing w:after="0" w:line="165"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20"/>
              <w:spacing w:after="0" w:line="165" w:lineRule="exact"/>
              <w:rPr>
                <w:sz w:val="20"/>
                <w:szCs w:val="20"/>
                <w:color w:val="auto"/>
              </w:rPr>
            </w:pPr>
            <w:r>
              <w:rPr>
                <w:rFonts w:ascii="Arial" w:cs="Arial" w:eastAsia="Arial" w:hAnsi="Arial"/>
                <w:sz w:val="17"/>
                <w:szCs w:val="17"/>
                <w:color w:val="auto"/>
              </w:rPr>
              <w:t>(943)</w:t>
            </w:r>
          </w:p>
        </w:tc>
      </w:tr>
      <w:tr>
        <w:trPr>
          <w:trHeight w:val="212"/>
        </w:trPr>
        <w:tc>
          <w:tcPr>
            <w:tcW w:w="4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instruments</w:t>
            </w: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36"/>
        </w:trPr>
        <w:tc>
          <w:tcPr>
            <w:tcW w:w="4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5"/>
        </w:trPr>
        <w:tc>
          <w:tcPr>
            <w:tcW w:w="4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type w:val="continuous"/>
        </w:sectPr>
      </w:pPr>
    </w:p>
    <w:bookmarkStart w:id="27" w:name="page28"/>
    <w:bookmarkEnd w:id="2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right="20" w:firstLine="412"/>
        <w:spacing w:after="0" w:line="238" w:lineRule="auto"/>
        <w:rPr>
          <w:sz w:val="20"/>
          <w:szCs w:val="20"/>
          <w:color w:val="auto"/>
        </w:rPr>
      </w:pPr>
      <w:r>
        <w:rPr>
          <w:rFonts w:ascii="Arial" w:cs="Arial" w:eastAsia="Arial" w:hAnsi="Arial"/>
          <w:sz w:val="15"/>
          <w:szCs w:val="15"/>
          <w:b w:val="1"/>
          <w:bCs w:val="1"/>
          <w:color w:val="auto"/>
        </w:rPr>
        <w:t>Location and amount of gain/(loss) recognized in unaudited consolidated statements of income for cash flow hedging relationships and derivatives not designated as hedging instruments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 w:type="dxa"/>
            <w:vAlign w:val="bottom"/>
          </w:tcPr>
          <w:p>
            <w:pPr>
              <w:spacing w:after="0"/>
              <w:rPr>
                <w:sz w:val="17"/>
                <w:szCs w:val="17"/>
                <w:color w:val="auto"/>
              </w:rPr>
            </w:pPr>
          </w:p>
        </w:tc>
        <w:tc>
          <w:tcPr>
            <w:tcW w:w="3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spacing w:after="0"/>
              <w:rPr>
                <w:sz w:val="17"/>
                <w:szCs w:val="17"/>
                <w:color w:val="auto"/>
              </w:rPr>
            </w:pPr>
          </w:p>
        </w:tc>
        <w:tc>
          <w:tcPr>
            <w:tcW w:w="2780" w:type="dxa"/>
            <w:vAlign w:val="bottom"/>
            <w:tcBorders>
              <w:top w:val="single" w:sz="8" w:color="auto"/>
              <w:bottom w:val="single" w:sz="8" w:color="auto"/>
            </w:tcBorders>
            <w:gridSpan w:val="4"/>
          </w:tcPr>
          <w:p>
            <w:pPr>
              <w:jc w:val="right"/>
              <w:ind w:right="478"/>
              <w:spacing w:after="0"/>
              <w:rPr>
                <w:sz w:val="20"/>
                <w:szCs w:val="20"/>
                <w:color w:val="auto"/>
              </w:rPr>
            </w:pPr>
            <w:r>
              <w:rPr>
                <w:rFonts w:ascii="Arial" w:cs="Arial" w:eastAsia="Arial" w:hAnsi="Arial"/>
                <w:sz w:val="15"/>
                <w:szCs w:val="15"/>
                <w:b w:val="1"/>
                <w:bCs w:val="1"/>
                <w:color w:val="auto"/>
              </w:rPr>
              <w:t>Three months ended June 30,</w:t>
            </w: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0" w:type="dxa"/>
            <w:vAlign w:val="bottom"/>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5"/>
                <w:szCs w:val="15"/>
                <w:b w:val="1"/>
                <w:bCs w:val="1"/>
                <w:color w:val="auto"/>
              </w:rPr>
              <w:t>2021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5"/>
                <w:szCs w:val="15"/>
                <w:b w:val="1"/>
                <w:bCs w:val="1"/>
                <w:color w:val="auto"/>
              </w:rPr>
              <w:t>2020</w:t>
            </w: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auto"/>
              </w:rPr>
              <w:t>As per unaudited</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Gain/(loss)</w:t>
            </w:r>
          </w:p>
        </w:tc>
        <w:tc>
          <w:tcPr>
            <w:tcW w:w="1660" w:type="dxa"/>
            <w:vAlign w:val="bottom"/>
            <w:gridSpan w:val="2"/>
          </w:tcPr>
          <w:p>
            <w:pPr>
              <w:jc w:val="right"/>
              <w:spacing w:after="0" w:line="146" w:lineRule="exact"/>
              <w:rPr>
                <w:sz w:val="20"/>
                <w:szCs w:val="20"/>
                <w:color w:val="auto"/>
              </w:rPr>
            </w:pPr>
            <w:r>
              <w:rPr>
                <w:rFonts w:ascii="Arial" w:cs="Arial" w:eastAsia="Arial" w:hAnsi="Arial"/>
                <w:sz w:val="15"/>
                <w:szCs w:val="15"/>
                <w:b w:val="1"/>
                <w:bCs w:val="1"/>
                <w:color w:val="auto"/>
              </w:rPr>
              <w:t>As per unaudited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5"/>
                <w:szCs w:val="15"/>
                <w:b w:val="1"/>
                <w:bCs w:val="1"/>
                <w:color w:val="auto"/>
                <w:w w:val="89"/>
              </w:rPr>
              <w:t>Gain/(loss) on</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restart"/>
          </w:tcPr>
          <w:p>
            <w:pPr>
              <w:ind w:left="420"/>
              <w:spacing w:after="0" w:line="150" w:lineRule="exact"/>
              <w:rPr>
                <w:sz w:val="20"/>
                <w:szCs w:val="20"/>
                <w:color w:val="auto"/>
              </w:rPr>
            </w:pPr>
            <w:r>
              <w:rPr>
                <w:rFonts w:ascii="Arial" w:cs="Arial" w:eastAsia="Arial" w:hAnsi="Arial"/>
                <w:sz w:val="15"/>
                <w:szCs w:val="15"/>
                <w:b w:val="1"/>
                <w:bCs w:val="1"/>
                <w:color w:val="auto"/>
              </w:rPr>
              <w:t>consolidated</w:t>
            </w: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660" w:type="dxa"/>
            <w:vAlign w:val="bottom"/>
            <w:gridSpan w:val="2"/>
            <w:vMerge w:val="restart"/>
          </w:tcPr>
          <w:p>
            <w:pPr>
              <w:ind w:left="440"/>
              <w:spacing w:after="0" w:line="150" w:lineRule="exact"/>
              <w:rPr>
                <w:sz w:val="20"/>
                <w:szCs w:val="20"/>
                <w:color w:val="auto"/>
              </w:rPr>
            </w:pPr>
            <w:r>
              <w:rPr>
                <w:rFonts w:ascii="Arial" w:cs="Arial" w:eastAsia="Arial" w:hAnsi="Arial"/>
                <w:sz w:val="15"/>
                <w:szCs w:val="15"/>
                <w:b w:val="1"/>
                <w:bCs w:val="1"/>
                <w:color w:val="auto"/>
              </w:rPr>
              <w:t>consolidated</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jc w:val="center"/>
              <w:ind w:right="120"/>
              <w:spacing w:after="0" w:line="150" w:lineRule="exact"/>
              <w:rPr>
                <w:sz w:val="20"/>
                <w:szCs w:val="20"/>
                <w:color w:val="auto"/>
              </w:rPr>
            </w:pPr>
            <w:r>
              <w:rPr>
                <w:rFonts w:ascii="Arial" w:cs="Arial" w:eastAsia="Arial" w:hAnsi="Arial"/>
                <w:sz w:val="15"/>
                <w:szCs w:val="15"/>
                <w:b w:val="1"/>
                <w:bCs w:val="1"/>
                <w:color w:val="auto"/>
                <w:w w:val="89"/>
              </w:rPr>
              <w:t>on foreign currency</w:t>
            </w: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3"/>
            <w:vMerge w:val="restart"/>
          </w:tcPr>
          <w:p>
            <w:pPr>
              <w:jc w:val="right"/>
              <w:ind w:right="300"/>
              <w:spacing w:after="0" w:line="150" w:lineRule="exact"/>
              <w:rPr>
                <w:sz w:val="20"/>
                <w:szCs w:val="20"/>
                <w:color w:val="auto"/>
              </w:rPr>
            </w:pPr>
            <w:r>
              <w:rPr>
                <w:rFonts w:ascii="Arial" w:cs="Arial" w:eastAsia="Arial" w:hAnsi="Arial"/>
                <w:sz w:val="15"/>
                <w:szCs w:val="15"/>
                <w:b w:val="1"/>
                <w:bCs w:val="1"/>
                <w:color w:val="auto"/>
              </w:rPr>
              <w:t>foreign currency</w:t>
            </w: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restart"/>
          </w:tcPr>
          <w:p>
            <w:pPr>
              <w:jc w:val="right"/>
              <w:ind w:right="338"/>
              <w:spacing w:after="0" w:line="150" w:lineRule="exact"/>
              <w:rPr>
                <w:sz w:val="20"/>
                <w:szCs w:val="20"/>
                <w:color w:val="auto"/>
              </w:rPr>
            </w:pPr>
            <w:r>
              <w:rPr>
                <w:rFonts w:ascii="Arial" w:cs="Arial" w:eastAsia="Arial" w:hAnsi="Arial"/>
                <w:sz w:val="15"/>
                <w:szCs w:val="15"/>
                <w:b w:val="1"/>
                <w:bCs w:val="1"/>
                <w:color w:val="auto"/>
              </w:rPr>
              <w:t>statements of</w:t>
            </w:r>
          </w:p>
        </w:tc>
        <w:tc>
          <w:tcPr>
            <w:tcW w:w="10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660" w:type="dxa"/>
            <w:vAlign w:val="bottom"/>
            <w:gridSpan w:val="2"/>
            <w:vMerge w:val="restart"/>
          </w:tcPr>
          <w:p>
            <w:pPr>
              <w:jc w:val="right"/>
              <w:ind w:right="318"/>
              <w:spacing w:after="0" w:line="150" w:lineRule="exact"/>
              <w:rPr>
                <w:sz w:val="20"/>
                <w:szCs w:val="20"/>
                <w:color w:val="auto"/>
              </w:rPr>
            </w:pPr>
            <w:r>
              <w:rPr>
                <w:rFonts w:ascii="Arial" w:cs="Arial" w:eastAsia="Arial" w:hAnsi="Arial"/>
                <w:sz w:val="15"/>
                <w:szCs w:val="15"/>
                <w:b w:val="1"/>
                <w:bCs w:val="1"/>
                <w:color w:val="auto"/>
              </w:rPr>
              <w:t>statements of</w:t>
            </w:r>
          </w:p>
        </w:tc>
        <w:tc>
          <w:tcPr>
            <w:tcW w:w="100" w:type="dxa"/>
            <w:vAlign w:val="bottom"/>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20" w:type="dxa"/>
            <w:vAlign w:val="bottom"/>
          </w:tcPr>
          <w:p>
            <w:pPr>
              <w:spacing w:after="0"/>
              <w:rPr>
                <w:sz w:val="6"/>
                <w:szCs w:val="6"/>
                <w:color w:val="auto"/>
              </w:rPr>
            </w:pPr>
          </w:p>
        </w:tc>
        <w:tc>
          <w:tcPr>
            <w:tcW w:w="3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jc w:val="center"/>
              <w:ind w:right="120"/>
              <w:spacing w:after="0"/>
              <w:rPr>
                <w:sz w:val="20"/>
                <w:szCs w:val="20"/>
                <w:color w:val="auto"/>
              </w:rPr>
            </w:pPr>
            <w:r>
              <w:rPr>
                <w:rFonts w:ascii="Arial" w:cs="Arial" w:eastAsia="Arial" w:hAnsi="Arial"/>
                <w:sz w:val="15"/>
                <w:szCs w:val="15"/>
                <w:b w:val="1"/>
                <w:bCs w:val="1"/>
                <w:color w:val="auto"/>
                <w:w w:val="86"/>
              </w:rPr>
              <w:t>exchange contracts</w:t>
            </w:r>
          </w:p>
        </w:tc>
        <w:tc>
          <w:tcPr>
            <w:tcW w:w="16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40" w:type="dxa"/>
            <w:vAlign w:val="bottom"/>
            <w:gridSpan w:val="3"/>
            <w:vMerge w:val="restart"/>
          </w:tcPr>
          <w:p>
            <w:pPr>
              <w:jc w:val="right"/>
              <w:ind w:right="220"/>
              <w:spacing w:after="0"/>
              <w:rPr>
                <w:sz w:val="20"/>
                <w:szCs w:val="20"/>
                <w:color w:val="auto"/>
              </w:rPr>
            </w:pPr>
            <w:r>
              <w:rPr>
                <w:rFonts w:ascii="Arial" w:cs="Arial" w:eastAsia="Arial" w:hAnsi="Arial"/>
                <w:sz w:val="15"/>
                <w:szCs w:val="15"/>
                <w:b w:val="1"/>
                <w:bCs w:val="1"/>
                <w:color w:val="auto"/>
                <w:w w:val="99"/>
              </w:rPr>
              <w:t>exchange contracts</w:t>
            </w: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1"/>
              </w:rPr>
              <w:t>income</w:t>
            </w: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1"/>
              </w:rPr>
              <w:t>income</w:t>
            </w:r>
          </w:p>
        </w:tc>
        <w:tc>
          <w:tcPr>
            <w:tcW w:w="100" w:type="dxa"/>
            <w:vAlign w:val="bottom"/>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20" w:type="dxa"/>
            <w:vAlign w:val="bottom"/>
          </w:tcPr>
          <w:p>
            <w:pPr>
              <w:spacing w:after="0"/>
              <w:rPr>
                <w:sz w:val="16"/>
                <w:szCs w:val="16"/>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Cash flow hedging relationships</w:t>
            </w: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000" w:type="dxa"/>
            <w:vAlign w:val="bottom"/>
            <w:gridSpan w:val="2"/>
          </w:tcPr>
          <w:p>
            <w:pPr>
              <w:ind w:left="420"/>
              <w:spacing w:after="0" w:line="163" w:lineRule="exact"/>
              <w:rPr>
                <w:sz w:val="20"/>
                <w:szCs w:val="20"/>
                <w:color w:val="auto"/>
              </w:rPr>
            </w:pPr>
            <w:r>
              <w:rPr>
                <w:rFonts w:ascii="Arial" w:cs="Arial" w:eastAsia="Arial" w:hAnsi="Arial"/>
                <w:sz w:val="17"/>
                <w:szCs w:val="17"/>
                <w:color w:val="auto"/>
                <w:w w:val="96"/>
              </w:rPr>
              <w:t>Location in unaudited consolidated statements of</w:t>
            </w: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7"/>
                <w:szCs w:val="17"/>
                <w:color w:val="auto"/>
              </w:rPr>
              <w:t>income where gain/(loss) was reclassed from AOCL</w:t>
            </w: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3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tcPr>
          <w:p>
            <w:pPr>
              <w:ind w:left="420"/>
              <w:spacing w:after="0"/>
              <w:rPr>
                <w:sz w:val="20"/>
                <w:szCs w:val="20"/>
                <w:color w:val="auto"/>
              </w:rPr>
            </w:pPr>
            <w:r>
              <w:rPr>
                <w:rFonts w:ascii="Arial" w:cs="Arial" w:eastAsia="Arial" w:hAnsi="Arial"/>
                <w:sz w:val="17"/>
                <w:szCs w:val="17"/>
                <w:color w:val="auto"/>
              </w:rPr>
              <w:t>Cost of revenues</w:t>
            </w: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170,701</w:t>
            </w: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2,418</w:t>
            </w:r>
          </w:p>
        </w:tc>
        <w:tc>
          <w:tcPr>
            <w:tcW w:w="100" w:type="dxa"/>
            <w:vAlign w:val="bottom"/>
          </w:tcPr>
          <w:p>
            <w:pPr>
              <w:spacing w:after="0"/>
              <w:rPr>
                <w:sz w:val="18"/>
                <w:szCs w:val="18"/>
                <w:color w:val="auto"/>
              </w:rPr>
            </w:pP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158,401</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(851)</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36,499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28,750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tcPr>
          <w:p>
            <w:pPr>
              <w:ind w:left="420"/>
              <w:spacing w:after="0"/>
              <w:rPr>
                <w:sz w:val="20"/>
                <w:szCs w:val="20"/>
                <w:color w:val="auto"/>
              </w:rPr>
            </w:pPr>
            <w:r>
              <w:rPr>
                <w:rFonts w:ascii="Arial" w:cs="Arial" w:eastAsia="Arial" w:hAnsi="Arial"/>
                <w:sz w:val="17"/>
                <w:szCs w:val="17"/>
                <w:color w:val="auto"/>
              </w:rPr>
              <w:t>Selling and marketing expenses</w:t>
            </w: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19,724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8"/>
                <w:szCs w:val="18"/>
                <w:color w:val="auto"/>
              </w:rPr>
            </w:pP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13,051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expense</w:t>
            </w:r>
          </w:p>
        </w:tc>
        <w:tc>
          <w:tcPr>
            <w:tcW w:w="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12,310</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00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before tax</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2,866</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(1,127)</w:t>
            </w: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Income tax benefit/(expense) relating to above</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4000" w:type="dxa"/>
            <w:vAlign w:val="bottom"/>
            <w:gridSpan w:val="2"/>
          </w:tcPr>
          <w:p>
            <w:pPr>
              <w:ind w:left="420"/>
              <w:spacing w:after="0"/>
              <w:rPr>
                <w:sz w:val="20"/>
                <w:szCs w:val="20"/>
                <w:color w:val="auto"/>
              </w:rPr>
            </w:pPr>
            <w:r>
              <w:rPr>
                <w:rFonts w:ascii="Arial" w:cs="Arial" w:eastAsia="Arial" w:hAnsi="Arial"/>
                <w:sz w:val="15"/>
                <w:szCs w:val="15"/>
                <w:b w:val="1"/>
                <w:bCs w:val="1"/>
                <w:color w:val="auto"/>
              </w:rPr>
              <w:t>Net of tax</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2,439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(1,003)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4000" w:type="dxa"/>
            <w:vAlign w:val="bottom"/>
            <w:gridSpan w:val="2"/>
          </w:tcPr>
          <w:p>
            <w:pPr>
              <w:ind w:left="420"/>
              <w:spacing w:after="0"/>
              <w:rPr>
                <w:sz w:val="20"/>
                <w:szCs w:val="20"/>
                <w:color w:val="auto"/>
              </w:rPr>
            </w:pPr>
            <w:r>
              <w:rPr>
                <w:rFonts w:ascii="Arial" w:cs="Arial" w:eastAsia="Arial" w:hAnsi="Arial"/>
                <w:sz w:val="15"/>
                <w:szCs w:val="15"/>
                <w:b w:val="1"/>
                <w:bCs w:val="1"/>
                <w:color w:val="auto"/>
                <w:w w:val="97"/>
              </w:rPr>
              <w:t>Derivatives not designated as hedging instruments</w:t>
            </w: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0" w:type="dxa"/>
            <w:vAlign w:val="bottom"/>
          </w:tcPr>
          <w:p>
            <w:pPr>
              <w:spacing w:after="0"/>
              <w:rPr>
                <w:sz w:val="14"/>
                <w:szCs w:val="14"/>
                <w:color w:val="auto"/>
              </w:rPr>
            </w:pPr>
          </w:p>
        </w:tc>
        <w:tc>
          <w:tcPr>
            <w:tcW w:w="400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w w:val="96"/>
              </w:rPr>
              <w:t>Location in unaudited consolidated statements of</w:t>
            </w: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where gain/(loss) was recognized</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20" w:type="dxa"/>
            <w:vAlign w:val="bottom"/>
          </w:tcPr>
          <w:p>
            <w:pPr>
              <w:spacing w:after="0"/>
              <w:rPr>
                <w:sz w:val="18"/>
                <w:szCs w:val="18"/>
                <w:color w:val="auto"/>
              </w:rPr>
            </w:pPr>
          </w:p>
        </w:tc>
        <w:tc>
          <w:tcPr>
            <w:tcW w:w="400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gain/(loss), net</w:t>
            </w:r>
          </w:p>
        </w:tc>
        <w:tc>
          <w:tcPr>
            <w:tcW w:w="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1,353</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1,359</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1,897</w:t>
            </w:r>
          </w:p>
        </w:tc>
        <w:tc>
          <w:tcPr>
            <w:tcW w:w="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1,353</w:t>
            </w:r>
          </w:p>
        </w:tc>
        <w:tc>
          <w:tcPr>
            <w:tcW w:w="680" w:type="dxa"/>
            <w:vAlign w:val="bottom"/>
            <w:gridSpan w:val="2"/>
          </w:tcPr>
          <w:p>
            <w:pPr>
              <w:jc w:val="right"/>
              <w:ind w:right="2"/>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7"/>
                <w:szCs w:val="17"/>
                <w:color w:val="auto"/>
              </w:rPr>
            </w:pPr>
          </w:p>
        </w:tc>
        <w:tc>
          <w:tcPr>
            <w:tcW w:w="560" w:type="dxa"/>
            <w:vAlign w:val="bottom"/>
          </w:tcPr>
          <w:p>
            <w:pPr>
              <w:ind w:left="4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1,359</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6"/>
        </w:trPr>
        <w:tc>
          <w:tcPr>
            <w:tcW w:w="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jc w:val="right"/>
              <w:ind w:right="298"/>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80"/>
          </w:cols>
          <w:pgMar w:left="320" w:top="123" w:right="2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20" w:right="80" w:firstLine="412"/>
        <w:spacing w:after="0" w:line="238" w:lineRule="auto"/>
        <w:rPr>
          <w:sz w:val="20"/>
          <w:szCs w:val="20"/>
          <w:color w:val="auto"/>
        </w:rPr>
      </w:pPr>
      <w:r>
        <w:rPr>
          <w:rFonts w:ascii="Arial" w:cs="Arial" w:eastAsia="Arial" w:hAnsi="Arial"/>
          <w:sz w:val="15"/>
          <w:szCs w:val="15"/>
          <w:b w:val="1"/>
          <w:bCs w:val="1"/>
          <w:color w:val="auto"/>
        </w:rPr>
        <w:t>Location and amount of gain/(loss) recognized in unaudited consolidated statements of income for cash flow hedging relationships and derivatives not designated as hedging instruments</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4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2900" w:type="dxa"/>
            <w:vAlign w:val="bottom"/>
            <w:tcBorders>
              <w:top w:val="single" w:sz="8" w:color="auto"/>
              <w:bottom w:val="single" w:sz="8" w:color="auto"/>
            </w:tcBorders>
            <w:gridSpan w:val="5"/>
          </w:tcPr>
          <w:p>
            <w:pPr>
              <w:ind w:left="480"/>
              <w:spacing w:after="0"/>
              <w:rPr>
                <w:sz w:val="20"/>
                <w:szCs w:val="20"/>
                <w:color w:val="auto"/>
              </w:rPr>
            </w:pPr>
            <w:r>
              <w:rPr>
                <w:rFonts w:ascii="Arial" w:cs="Arial" w:eastAsia="Arial" w:hAnsi="Arial"/>
                <w:sz w:val="15"/>
                <w:szCs w:val="15"/>
                <w:b w:val="1"/>
                <w:bCs w:val="1"/>
                <w:color w:val="auto"/>
              </w:rPr>
              <w:t>Six months ended June 30,</w:t>
            </w:r>
          </w:p>
        </w:tc>
        <w:tc>
          <w:tcPr>
            <w:tcW w:w="6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242"/>
              <w:spacing w:after="0"/>
              <w:rPr>
                <w:sz w:val="20"/>
                <w:szCs w:val="20"/>
                <w:color w:val="auto"/>
              </w:rPr>
            </w:pPr>
            <w:r>
              <w:rPr>
                <w:rFonts w:ascii="Arial" w:cs="Arial" w:eastAsia="Arial" w:hAnsi="Arial"/>
                <w:sz w:val="15"/>
                <w:szCs w:val="15"/>
                <w:b w:val="1"/>
                <w:bCs w:val="1"/>
                <w:color w:val="auto"/>
                <w:w w:val="89"/>
              </w:rPr>
              <w:t>2021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5"/>
                <w:szCs w:val="15"/>
                <w:b w:val="1"/>
                <w:bCs w:val="1"/>
                <w:color w:val="auto"/>
              </w:rPr>
              <w:t>2020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tcPr>
          <w:p>
            <w:pPr>
              <w:jc w:val="right"/>
              <w:ind w:right="59"/>
              <w:spacing w:after="0" w:line="146" w:lineRule="exact"/>
              <w:rPr>
                <w:sz w:val="20"/>
                <w:szCs w:val="20"/>
                <w:color w:val="auto"/>
              </w:rPr>
            </w:pPr>
            <w:r>
              <w:rPr>
                <w:rFonts w:ascii="Arial" w:cs="Arial" w:eastAsia="Arial" w:hAnsi="Arial"/>
                <w:sz w:val="15"/>
                <w:szCs w:val="15"/>
                <w:b w:val="1"/>
                <w:bCs w:val="1"/>
                <w:color w:val="auto"/>
                <w:w w:val="89"/>
              </w:rPr>
              <w:t>As per unaudited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Gain/(loss) on</w:t>
            </w:r>
          </w:p>
        </w:tc>
        <w:tc>
          <w:tcPr>
            <w:tcW w:w="1740" w:type="dxa"/>
            <w:vAlign w:val="bottom"/>
            <w:gridSpan w:val="3"/>
          </w:tcPr>
          <w:p>
            <w:pPr>
              <w:ind w:left="480"/>
              <w:spacing w:after="0" w:line="146" w:lineRule="exact"/>
              <w:rPr>
                <w:sz w:val="20"/>
                <w:szCs w:val="20"/>
                <w:color w:val="auto"/>
              </w:rPr>
            </w:pPr>
            <w:r>
              <w:rPr>
                <w:rFonts w:ascii="Arial" w:cs="Arial" w:eastAsia="Arial" w:hAnsi="Arial"/>
                <w:sz w:val="15"/>
                <w:szCs w:val="15"/>
                <w:b w:val="1"/>
                <w:bCs w:val="1"/>
                <w:color w:val="auto"/>
              </w:rPr>
              <w:t>As per unaudited</w:t>
            </w:r>
          </w:p>
        </w:tc>
        <w:tc>
          <w:tcPr>
            <w:tcW w:w="6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Gain/(loss)</w:t>
            </w: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gridSpan w:val="2"/>
            <w:vMerge w:val="restart"/>
          </w:tcPr>
          <w:p>
            <w:pPr>
              <w:jc w:val="center"/>
              <w:spacing w:after="0" w:line="150" w:lineRule="exact"/>
              <w:rPr>
                <w:sz w:val="20"/>
                <w:szCs w:val="20"/>
                <w:color w:val="auto"/>
              </w:rPr>
            </w:pPr>
            <w:r>
              <w:rPr>
                <w:rFonts w:ascii="Arial" w:cs="Arial" w:eastAsia="Arial" w:hAnsi="Arial"/>
                <w:sz w:val="15"/>
                <w:szCs w:val="15"/>
                <w:b w:val="1"/>
                <w:bCs w:val="1"/>
                <w:color w:val="auto"/>
                <w:w w:val="86"/>
              </w:rPr>
              <w:t>consolidated</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740" w:type="dxa"/>
            <w:vAlign w:val="bottom"/>
            <w:gridSpan w:val="3"/>
            <w:vMerge w:val="restart"/>
          </w:tcPr>
          <w:p>
            <w:pPr>
              <w:ind w:left="440"/>
              <w:spacing w:after="0" w:line="150" w:lineRule="exact"/>
              <w:rPr>
                <w:sz w:val="20"/>
                <w:szCs w:val="20"/>
                <w:color w:val="auto"/>
              </w:rPr>
            </w:pPr>
            <w:r>
              <w:rPr>
                <w:rFonts w:ascii="Arial" w:cs="Arial" w:eastAsia="Arial" w:hAnsi="Arial"/>
                <w:sz w:val="15"/>
                <w:szCs w:val="15"/>
                <w:b w:val="1"/>
                <w:bCs w:val="1"/>
                <w:color w:val="auto"/>
              </w:rPr>
              <w:t>consolidated</w:t>
            </w:r>
          </w:p>
        </w:tc>
        <w:tc>
          <w:tcPr>
            <w:tcW w:w="6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jc w:val="center"/>
              <w:ind w:right="80"/>
              <w:spacing w:after="0" w:line="150" w:lineRule="exact"/>
              <w:rPr>
                <w:sz w:val="20"/>
                <w:szCs w:val="20"/>
                <w:color w:val="auto"/>
              </w:rPr>
            </w:pPr>
            <w:r>
              <w:rPr>
                <w:rFonts w:ascii="Arial" w:cs="Arial" w:eastAsia="Arial" w:hAnsi="Arial"/>
                <w:sz w:val="15"/>
                <w:szCs w:val="15"/>
                <w:b w:val="1"/>
                <w:bCs w:val="1"/>
                <w:color w:val="auto"/>
                <w:w w:val="89"/>
              </w:rPr>
              <w:t>foreign currency</w:t>
            </w:r>
          </w:p>
        </w:tc>
        <w:tc>
          <w:tcPr>
            <w:tcW w:w="1740" w:type="dxa"/>
            <w:vAlign w:val="bottom"/>
            <w:gridSpan w:val="3"/>
            <w:vMerge w:val="continue"/>
          </w:tcPr>
          <w:p>
            <w:pPr>
              <w:spacing w:after="0"/>
              <w:rPr>
                <w:sz w:val="6"/>
                <w:szCs w:val="6"/>
                <w:color w:val="auto"/>
              </w:rPr>
            </w:pPr>
          </w:p>
        </w:tc>
        <w:tc>
          <w:tcPr>
            <w:tcW w:w="1460" w:type="dxa"/>
            <w:vAlign w:val="bottom"/>
            <w:gridSpan w:val="2"/>
            <w:vMerge w:val="restart"/>
          </w:tcPr>
          <w:p>
            <w:pPr>
              <w:jc w:val="right"/>
              <w:spacing w:after="0" w:line="150" w:lineRule="exact"/>
              <w:rPr>
                <w:sz w:val="20"/>
                <w:szCs w:val="20"/>
                <w:color w:val="auto"/>
              </w:rPr>
            </w:pPr>
            <w:r>
              <w:rPr>
                <w:rFonts w:ascii="Arial" w:cs="Arial" w:eastAsia="Arial" w:hAnsi="Arial"/>
                <w:sz w:val="15"/>
                <w:szCs w:val="15"/>
                <w:b w:val="1"/>
                <w:bCs w:val="1"/>
                <w:color w:val="auto"/>
              </w:rPr>
              <w:t>on foreign currenc</w:t>
            </w: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gridSpan w:val="2"/>
            <w:vMerge w:val="restart"/>
          </w:tcPr>
          <w:p>
            <w:pPr>
              <w:jc w:val="center"/>
              <w:spacing w:after="0" w:line="150" w:lineRule="exact"/>
              <w:rPr>
                <w:sz w:val="20"/>
                <w:szCs w:val="20"/>
                <w:color w:val="auto"/>
              </w:rPr>
            </w:pPr>
            <w:r>
              <w:rPr>
                <w:rFonts w:ascii="Arial" w:cs="Arial" w:eastAsia="Arial" w:hAnsi="Arial"/>
                <w:sz w:val="15"/>
                <w:szCs w:val="15"/>
                <w:b w:val="1"/>
                <w:bCs w:val="1"/>
                <w:color w:val="auto"/>
                <w:w w:val="86"/>
              </w:rPr>
              <w:t>statements of</w:t>
            </w:r>
          </w:p>
        </w:tc>
        <w:tc>
          <w:tcPr>
            <w:tcW w:w="10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1740" w:type="dxa"/>
            <w:vAlign w:val="bottom"/>
            <w:gridSpan w:val="3"/>
            <w:vMerge w:val="restart"/>
          </w:tcPr>
          <w:p>
            <w:pPr>
              <w:ind w:left="420"/>
              <w:spacing w:after="0" w:line="150" w:lineRule="exact"/>
              <w:rPr>
                <w:sz w:val="20"/>
                <w:szCs w:val="20"/>
                <w:color w:val="auto"/>
              </w:rPr>
            </w:pPr>
            <w:r>
              <w:rPr>
                <w:rFonts w:ascii="Arial" w:cs="Arial" w:eastAsia="Arial" w:hAnsi="Arial"/>
                <w:sz w:val="15"/>
                <w:szCs w:val="15"/>
                <w:b w:val="1"/>
                <w:bCs w:val="1"/>
                <w:color w:val="auto"/>
              </w:rPr>
              <w:t>statements of</w:t>
            </w:r>
          </w:p>
        </w:tc>
        <w:tc>
          <w:tcPr>
            <w:tcW w:w="14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40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3"/>
            <w:vMerge w:val="restart"/>
          </w:tcPr>
          <w:p>
            <w:pPr>
              <w:jc w:val="center"/>
              <w:ind w:right="80"/>
              <w:spacing w:after="0"/>
              <w:rPr>
                <w:sz w:val="20"/>
                <w:szCs w:val="20"/>
                <w:color w:val="auto"/>
              </w:rPr>
            </w:pPr>
            <w:r>
              <w:rPr>
                <w:rFonts w:ascii="Arial" w:cs="Arial" w:eastAsia="Arial" w:hAnsi="Arial"/>
                <w:sz w:val="15"/>
                <w:szCs w:val="15"/>
                <w:b w:val="1"/>
                <w:bCs w:val="1"/>
                <w:color w:val="auto"/>
                <w:w w:val="86"/>
              </w:rPr>
              <w:t>exchange contracts</w:t>
            </w:r>
          </w:p>
        </w:tc>
        <w:tc>
          <w:tcPr>
            <w:tcW w:w="1740" w:type="dxa"/>
            <w:vAlign w:val="bottom"/>
            <w:gridSpan w:val="3"/>
            <w:vMerge w:val="continue"/>
          </w:tcPr>
          <w:p>
            <w:pPr>
              <w:spacing w:after="0"/>
              <w:rPr>
                <w:sz w:val="6"/>
                <w:szCs w:val="6"/>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exchange contract</w:t>
            </w: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60" w:type="dxa"/>
            <w:vAlign w:val="bottom"/>
            <w:vMerge w:val="restart"/>
          </w:tcPr>
          <w:p>
            <w:pPr>
              <w:jc w:val="center"/>
              <w:ind w:right="439"/>
              <w:spacing w:after="0"/>
              <w:rPr>
                <w:sz w:val="20"/>
                <w:szCs w:val="20"/>
                <w:color w:val="auto"/>
              </w:rPr>
            </w:pPr>
            <w:r>
              <w:rPr>
                <w:rFonts w:ascii="Arial" w:cs="Arial" w:eastAsia="Arial" w:hAnsi="Arial"/>
                <w:sz w:val="15"/>
                <w:szCs w:val="15"/>
                <w:b w:val="1"/>
                <w:bCs w:val="1"/>
                <w:color w:val="auto"/>
                <w:w w:val="87"/>
              </w:rPr>
              <w:t>income</w:t>
            </w: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vMerge w:val="restart"/>
          </w:tcPr>
          <w:p>
            <w:pPr>
              <w:jc w:val="right"/>
              <w:ind w:right="518"/>
              <w:spacing w:after="0"/>
              <w:rPr>
                <w:sz w:val="20"/>
                <w:szCs w:val="20"/>
                <w:color w:val="auto"/>
              </w:rPr>
            </w:pPr>
            <w:r>
              <w:rPr>
                <w:rFonts w:ascii="Arial" w:cs="Arial" w:eastAsia="Arial" w:hAnsi="Arial"/>
                <w:sz w:val="15"/>
                <w:szCs w:val="15"/>
                <w:b w:val="1"/>
                <w:bCs w:val="1"/>
                <w:color w:val="auto"/>
                <w:w w:val="91"/>
              </w:rPr>
              <w:t>income</w:t>
            </w:r>
          </w:p>
        </w:tc>
        <w:tc>
          <w:tcPr>
            <w:tcW w:w="80" w:type="dxa"/>
            <w:vAlign w:val="bottom"/>
            <w:vMerge w:val="restart"/>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0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CCEEFF"/>
            </w:tcBorders>
            <w:vMerge w:val="continue"/>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5"/>
        </w:trPr>
        <w:tc>
          <w:tcPr>
            <w:tcW w:w="4120" w:type="dxa"/>
            <w:vAlign w:val="bottom"/>
            <w:gridSpan w:val="2"/>
            <w:shd w:val="clear" w:color="auto" w:fill="CCEEFF"/>
          </w:tcPr>
          <w:p>
            <w:pPr>
              <w:ind w:left="420"/>
              <w:spacing w:after="0"/>
              <w:rPr>
                <w:sz w:val="20"/>
                <w:szCs w:val="20"/>
                <w:color w:val="auto"/>
              </w:rPr>
            </w:pPr>
            <w:r>
              <w:rPr>
                <w:rFonts w:ascii="Arial" w:cs="Arial" w:eastAsia="Arial" w:hAnsi="Arial"/>
                <w:sz w:val="15"/>
                <w:szCs w:val="15"/>
                <w:b w:val="1"/>
                <w:bCs w:val="1"/>
                <w:color w:val="auto"/>
              </w:rPr>
              <w:t>Cash flow hedging relationships</w:t>
            </w:r>
          </w:p>
        </w:tc>
        <w:tc>
          <w:tcPr>
            <w:tcW w:w="5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120" w:type="dxa"/>
            <w:vAlign w:val="bottom"/>
            <w:gridSpan w:val="2"/>
          </w:tcPr>
          <w:p>
            <w:pPr>
              <w:ind w:left="420"/>
              <w:spacing w:after="0" w:line="163" w:lineRule="exact"/>
              <w:rPr>
                <w:sz w:val="20"/>
                <w:szCs w:val="20"/>
                <w:color w:val="auto"/>
              </w:rPr>
            </w:pPr>
            <w:r>
              <w:rPr>
                <w:rFonts w:ascii="Arial" w:cs="Arial" w:eastAsia="Arial" w:hAnsi="Arial"/>
                <w:sz w:val="17"/>
                <w:szCs w:val="17"/>
                <w:color w:val="auto"/>
                <w:w w:val="99"/>
              </w:rPr>
              <w:t>Location in unaudited consolidated statements of</w:t>
            </w:r>
          </w:p>
        </w:tc>
        <w:tc>
          <w:tcPr>
            <w:tcW w:w="5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7"/>
                <w:szCs w:val="17"/>
                <w:color w:val="auto"/>
              </w:rPr>
              <w:t>income where gain/(loss) was reclassed from AOCL</w:t>
            </w:r>
          </w:p>
        </w:tc>
        <w:tc>
          <w:tcPr>
            <w:tcW w:w="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ind w:left="420"/>
              <w:spacing w:after="0"/>
              <w:rPr>
                <w:sz w:val="20"/>
                <w:szCs w:val="20"/>
                <w:color w:val="auto"/>
              </w:rPr>
            </w:pPr>
            <w:r>
              <w:rPr>
                <w:rFonts w:ascii="Arial" w:cs="Arial" w:eastAsia="Arial" w:hAnsi="Arial"/>
                <w:sz w:val="17"/>
                <w:szCs w:val="17"/>
                <w:color w:val="auto"/>
              </w:rPr>
              <w:t>Cost of revenues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329,522</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4,842</w:t>
            </w:r>
          </w:p>
        </w:tc>
        <w:tc>
          <w:tcPr>
            <w:tcW w:w="8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321,057</w:t>
            </w:r>
          </w:p>
        </w:tc>
        <w:tc>
          <w:tcPr>
            <w:tcW w:w="8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General and administrative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67,202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57,691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120" w:type="dxa"/>
            <w:vAlign w:val="bottom"/>
            <w:gridSpan w:val="2"/>
          </w:tcPr>
          <w:p>
            <w:pPr>
              <w:ind w:left="420"/>
              <w:spacing w:after="0"/>
              <w:rPr>
                <w:sz w:val="20"/>
                <w:szCs w:val="20"/>
                <w:color w:val="auto"/>
              </w:rPr>
            </w:pPr>
            <w:r>
              <w:rPr>
                <w:rFonts w:ascii="Arial" w:cs="Arial" w:eastAsia="Arial" w:hAnsi="Arial"/>
                <w:sz w:val="17"/>
                <w:szCs w:val="17"/>
                <w:color w:val="auto"/>
              </w:rPr>
              <w:t>Selling and marketing expenses</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37,959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27,507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Depreciation and amortization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24,855</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20" w:type="dxa"/>
            <w:vAlign w:val="bottom"/>
            <w:gridSpan w:val="2"/>
          </w:tcPr>
          <w:p>
            <w:pPr>
              <w:ind w:left="420"/>
              <w:spacing w:after="0"/>
              <w:rPr>
                <w:sz w:val="20"/>
                <w:szCs w:val="20"/>
                <w:color w:val="auto"/>
              </w:rPr>
            </w:pPr>
            <w:r>
              <w:rPr>
                <w:rFonts w:ascii="Arial" w:cs="Arial" w:eastAsia="Arial" w:hAnsi="Arial"/>
                <w:sz w:val="17"/>
                <w:szCs w:val="17"/>
                <w:b w:val="1"/>
                <w:bCs w:val="1"/>
                <w:color w:val="auto"/>
              </w:rPr>
              <w:t>Total before tax</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5,695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Income tax benefit/(expense) relating to above</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20" w:type="dxa"/>
            <w:vAlign w:val="bottom"/>
            <w:gridSpan w:val="2"/>
          </w:tcPr>
          <w:p>
            <w:pPr>
              <w:ind w:left="420"/>
              <w:spacing w:after="0"/>
              <w:rPr>
                <w:sz w:val="20"/>
                <w:szCs w:val="20"/>
                <w:color w:val="auto"/>
              </w:rPr>
            </w:pPr>
            <w:r>
              <w:rPr>
                <w:rFonts w:ascii="Arial" w:cs="Arial" w:eastAsia="Arial" w:hAnsi="Arial"/>
                <w:sz w:val="15"/>
                <w:szCs w:val="15"/>
                <w:b w:val="1"/>
                <w:bCs w:val="1"/>
                <w:color w:val="auto"/>
              </w:rPr>
              <w:t>Net of tax</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4,879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20" w:type="dxa"/>
            <w:vAlign w:val="bottom"/>
            <w:gridSpan w:val="2"/>
          </w:tcPr>
          <w:p>
            <w:pPr>
              <w:ind w:left="420"/>
              <w:spacing w:after="0"/>
              <w:rPr>
                <w:sz w:val="20"/>
                <w:szCs w:val="20"/>
                <w:color w:val="auto"/>
              </w:rPr>
            </w:pPr>
            <w:r>
              <w:rPr>
                <w:rFonts w:ascii="Arial" w:cs="Arial" w:eastAsia="Arial" w:hAnsi="Arial"/>
                <w:sz w:val="15"/>
                <w:szCs w:val="15"/>
                <w:b w:val="1"/>
                <w:bCs w:val="1"/>
                <w:color w:val="auto"/>
              </w:rPr>
              <w:t>Derivatives not designated as hedging instruments</w:t>
            </w:r>
          </w:p>
        </w:tc>
        <w:tc>
          <w:tcPr>
            <w:tcW w:w="5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120" w:type="dxa"/>
            <w:vAlign w:val="bottom"/>
            <w:gridSpan w:val="2"/>
            <w:shd w:val="clear" w:color="auto" w:fill="CCEEFF"/>
          </w:tcPr>
          <w:p>
            <w:pPr>
              <w:ind w:left="420"/>
              <w:spacing w:after="0" w:line="165" w:lineRule="exact"/>
              <w:rPr>
                <w:sz w:val="20"/>
                <w:szCs w:val="20"/>
                <w:color w:val="auto"/>
              </w:rPr>
            </w:pPr>
            <w:r>
              <w:rPr>
                <w:rFonts w:ascii="Arial" w:cs="Arial" w:eastAsia="Arial" w:hAnsi="Arial"/>
                <w:sz w:val="17"/>
                <w:szCs w:val="17"/>
                <w:color w:val="auto"/>
                <w:w w:val="99"/>
              </w:rPr>
              <w:t>Location in unaudited consolidated statements of</w:t>
            </w:r>
          </w:p>
        </w:tc>
        <w:tc>
          <w:tcPr>
            <w:tcW w:w="5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where gain/(loss) was recognized</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41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gain /(loss), net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1,787</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(589)</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2,736</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1,787</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(589)</w:t>
            </w:r>
          </w:p>
        </w:tc>
        <w:tc>
          <w:tcPr>
            <w:tcW w:w="80" w:type="dxa"/>
            <w:vAlign w:val="bottom"/>
          </w:tcPr>
          <w:p>
            <w:pPr>
              <w:spacing w:after="0"/>
              <w:rPr>
                <w:sz w:val="17"/>
                <w:szCs w:val="17"/>
                <w:color w:val="auto"/>
              </w:rPr>
            </w:pPr>
          </w:p>
        </w:tc>
        <w:tc>
          <w:tcPr>
            <w:tcW w:w="560" w:type="dxa"/>
            <w:vAlign w:val="bottom"/>
          </w:tcPr>
          <w:p>
            <w:pPr>
              <w:ind w:left="4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2,736</w:t>
            </w:r>
          </w:p>
        </w:tc>
        <w:tc>
          <w:tcPr>
            <w:tcW w:w="80" w:type="dxa"/>
            <w:vAlign w:val="bottom"/>
          </w:tcPr>
          <w:p>
            <w:pPr>
              <w:spacing w:after="0"/>
              <w:rPr>
                <w:sz w:val="17"/>
                <w:szCs w:val="17"/>
                <w:color w:val="auto"/>
              </w:rPr>
            </w:pPr>
          </w:p>
        </w:tc>
        <w:tc>
          <w:tcPr>
            <w:tcW w:w="620" w:type="dxa"/>
            <w:vAlign w:val="bottom"/>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Effect of net investment hedges on accumulated other comprehensive loss:</w:t>
      </w:r>
    </w:p>
    <w:p>
      <w:pPr>
        <w:spacing w:after="0" w:line="154" w:lineRule="exact"/>
        <w:rPr>
          <w:sz w:val="20"/>
          <w:szCs w:val="20"/>
          <w:color w:val="auto"/>
        </w:rPr>
      </w:pPr>
    </w:p>
    <w:tbl>
      <w:tblPr>
        <w:tblLayout w:type="fixed"/>
        <w:tblInd w:w="420" w:type="dxa"/>
        <w:tblCellMar>
          <w:top w:w="0" w:type="dxa"/>
          <w:left w:w="0" w:type="dxa"/>
          <w:bottom w:w="0" w:type="dxa"/>
          <w:right w:w="0" w:type="dxa"/>
        </w:tblCellMar>
      </w:tblPr>
      <w:tr>
        <w:trPr>
          <w:trHeight w:val="196"/>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20" w:type="dxa"/>
            <w:vAlign w:val="bottom"/>
            <w:tcBorders>
              <w:bottom w:val="single" w:sz="8" w:color="auto"/>
            </w:tcBorders>
            <w:gridSpan w:val="4"/>
          </w:tcPr>
          <w:p>
            <w:pPr>
              <w:jc w:val="center"/>
              <w:ind w:left="783"/>
              <w:spacing w:after="0"/>
              <w:rPr>
                <w:sz w:val="20"/>
                <w:szCs w:val="20"/>
                <w:color w:val="auto"/>
              </w:rPr>
            </w:pPr>
            <w:r>
              <w:rPr>
                <w:rFonts w:ascii="Arial" w:cs="Arial" w:eastAsia="Arial" w:hAnsi="Arial"/>
                <w:sz w:val="15"/>
                <w:szCs w:val="15"/>
                <w:b w:val="1"/>
                <w:bCs w:val="1"/>
                <w:color w:val="auto"/>
                <w:w w:val="88"/>
              </w:rPr>
              <w:t>Three months ended 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20" w:type="dxa"/>
            <w:vAlign w:val="bottom"/>
            <w:tcBorders>
              <w:bottom w:val="single" w:sz="8" w:color="auto"/>
            </w:tcBorders>
            <w:gridSpan w:val="4"/>
          </w:tcPr>
          <w:p>
            <w:pPr>
              <w:jc w:val="center"/>
              <w:ind w:left="663"/>
              <w:spacing w:after="0"/>
              <w:rPr>
                <w:sz w:val="20"/>
                <w:szCs w:val="20"/>
                <w:color w:val="auto"/>
              </w:rPr>
            </w:pPr>
            <w:r>
              <w:rPr>
                <w:rFonts w:ascii="Arial" w:cs="Arial" w:eastAsia="Arial" w:hAnsi="Arial"/>
                <w:sz w:val="15"/>
                <w:szCs w:val="15"/>
                <w:b w:val="1"/>
                <w:bCs w:val="1"/>
                <w:color w:val="auto"/>
                <w:w w:val="87"/>
              </w:rPr>
              <w:t>Six months ended June 30,</w:t>
            </w:r>
          </w:p>
        </w:tc>
      </w:tr>
      <w:tr>
        <w:trPr>
          <w:trHeight w:val="192"/>
        </w:trPr>
        <w:tc>
          <w:tcPr>
            <w:tcW w:w="3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20" w:type="dxa"/>
            <w:vAlign w:val="bottom"/>
            <w:tcBorders>
              <w:bottom w:val="single" w:sz="8" w:color="auto"/>
            </w:tcBorders>
            <w:gridSpan w:val="4"/>
          </w:tcPr>
          <w:p>
            <w:pPr>
              <w:jc w:val="center"/>
              <w:ind w:left="783"/>
              <w:spacing w:after="0"/>
              <w:rPr>
                <w:sz w:val="20"/>
                <w:szCs w:val="20"/>
                <w:color w:val="auto"/>
              </w:rPr>
            </w:pPr>
            <w:r>
              <w:rPr>
                <w:rFonts w:ascii="Arial" w:cs="Arial" w:eastAsia="Arial" w:hAnsi="Arial"/>
                <w:sz w:val="15"/>
                <w:szCs w:val="15"/>
                <w:b w:val="1"/>
                <w:bCs w:val="1"/>
                <w:color w:val="auto"/>
                <w:w w:val="90"/>
              </w:rPr>
              <w:t>Amount of loss recognized in AOCL</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Borders>
              <w:bottom w:val="single" w:sz="8" w:color="auto"/>
            </w:tcBorders>
            <w:gridSpan w:val="4"/>
          </w:tcPr>
          <w:p>
            <w:pPr>
              <w:jc w:val="center"/>
              <w:ind w:left="643"/>
              <w:spacing w:after="0"/>
              <w:rPr>
                <w:sz w:val="20"/>
                <w:szCs w:val="20"/>
                <w:color w:val="auto"/>
              </w:rPr>
            </w:pPr>
            <w:r>
              <w:rPr>
                <w:rFonts w:ascii="Arial" w:cs="Arial" w:eastAsia="Arial" w:hAnsi="Arial"/>
                <w:sz w:val="15"/>
                <w:szCs w:val="15"/>
                <w:b w:val="1"/>
                <w:bCs w:val="1"/>
                <w:color w:val="auto"/>
                <w:w w:val="90"/>
              </w:rPr>
              <w:t>Amount of loss recognized in AOCL</w:t>
            </w:r>
          </w:p>
        </w:tc>
      </w:tr>
      <w:tr>
        <w:trPr>
          <w:trHeight w:val="207"/>
        </w:trPr>
        <w:tc>
          <w:tcPr>
            <w:tcW w:w="3340" w:type="dxa"/>
            <w:vAlign w:val="bottom"/>
            <w:tcBorders>
              <w:bottom w:val="single" w:sz="8" w:color="auto"/>
            </w:tcBorders>
          </w:tcPr>
          <w:p>
            <w:pPr>
              <w:ind w:left="420"/>
              <w:spacing w:after="0"/>
              <w:rPr>
                <w:sz w:val="20"/>
                <w:szCs w:val="20"/>
                <w:color w:val="auto"/>
              </w:rPr>
            </w:pPr>
            <w:r>
              <w:rPr>
                <w:rFonts w:ascii="Arial" w:cs="Arial" w:eastAsia="Arial" w:hAnsi="Arial"/>
                <w:sz w:val="17"/>
                <w:szCs w:val="17"/>
                <w:b w:val="1"/>
                <w:bCs w:val="1"/>
                <w:color w:val="auto"/>
                <w:w w:val="95"/>
              </w:rPr>
              <w:t>Net investment hedging relationships</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21"/>
              <w:spacing w:after="0"/>
              <w:rPr>
                <w:sz w:val="20"/>
                <w:szCs w:val="20"/>
                <w:color w:val="auto"/>
              </w:rPr>
            </w:pPr>
            <w:r>
              <w:rPr>
                <w:rFonts w:ascii="Arial" w:cs="Arial" w:eastAsia="Arial" w:hAnsi="Arial"/>
                <w:sz w:val="15"/>
                <w:szCs w:val="15"/>
                <w:b w:val="1"/>
                <w:bCs w:val="1"/>
                <w:color w:val="auto"/>
              </w:rPr>
              <w:t>2020</w:t>
            </w:r>
          </w:p>
        </w:tc>
      </w:tr>
      <w:tr>
        <w:trPr>
          <w:trHeight w:val="204"/>
        </w:trPr>
        <w:tc>
          <w:tcPr>
            <w:tcW w:w="34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Foreign exchange contracts</w:t>
            </w:r>
          </w:p>
        </w:tc>
        <w:tc>
          <w:tcPr>
            <w:tcW w:w="1460" w:type="dxa"/>
            <w:vAlign w:val="bottom"/>
            <w:shd w:val="clear" w:color="auto" w:fill="CCEEFF"/>
          </w:tcPr>
          <w:p>
            <w:pPr>
              <w:jc w:val="right"/>
              <w:ind w:right="86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941"/>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1,134</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Borrowings</w:t>
      </w:r>
    </w:p>
    <w:p>
      <w:pPr>
        <w:spacing w:after="0" w:line="30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the Company’s debt position as of June 30, 2021 and December 31, 2020.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8"/>
          </w:tcPr>
          <w:p>
            <w:pPr>
              <w:ind w:left="20"/>
              <w:spacing w:after="0"/>
              <w:rPr>
                <w:sz w:val="20"/>
                <w:szCs w:val="20"/>
                <w:color w:val="auto"/>
              </w:rPr>
            </w:pPr>
            <w:r>
              <w:rPr>
                <w:rFonts w:ascii="Arial" w:cs="Arial" w:eastAsia="Arial" w:hAnsi="Arial"/>
                <w:sz w:val="15"/>
                <w:szCs w:val="15"/>
                <w:b w:val="1"/>
                <w:bCs w:val="1"/>
                <w:color w:val="auto"/>
              </w:rPr>
              <w:t>As of June 30, 2021</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59"/>
              <w:spacing w:after="0" w:line="146" w:lineRule="exact"/>
              <w:rPr>
                <w:sz w:val="20"/>
                <w:szCs w:val="20"/>
                <w:color w:val="auto"/>
              </w:rPr>
            </w:pPr>
            <w:r>
              <w:rPr>
                <w:rFonts w:ascii="Arial" w:cs="Arial" w:eastAsia="Arial" w:hAnsi="Arial"/>
                <w:sz w:val="15"/>
                <w:szCs w:val="15"/>
                <w:b w:val="1"/>
                <w:bCs w:val="1"/>
                <w:color w:val="auto"/>
                <w:w w:val="90"/>
              </w:rPr>
              <w:t>Revolving Credit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ind w:left="160"/>
              <w:spacing w:after="0"/>
              <w:rPr>
                <w:sz w:val="20"/>
                <w:szCs w:val="20"/>
                <w:color w:val="auto"/>
              </w:rPr>
            </w:pPr>
            <w:r>
              <w:rPr>
                <w:rFonts w:ascii="Arial" w:cs="Arial" w:eastAsia="Arial" w:hAnsi="Arial"/>
                <w:sz w:val="15"/>
                <w:szCs w:val="15"/>
                <w:b w:val="1"/>
                <w:bCs w:val="1"/>
                <w:color w:val="auto"/>
              </w:rPr>
              <w:t>Notes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Arial" w:cs="Arial" w:eastAsia="Arial" w:hAnsi="Arial"/>
                <w:sz w:val="15"/>
                <w:szCs w:val="15"/>
                <w:b w:val="1"/>
                <w:bCs w:val="1"/>
                <w:color w:val="auto"/>
                <w:w w:val="92"/>
              </w:rPr>
              <w:t>Facility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15,000</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5"/>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Unamortized debt discount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(9,871)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00" w:type="dxa"/>
            <w:vAlign w:val="bottom"/>
            <w:gridSpan w:val="5"/>
          </w:tcPr>
          <w:p>
            <w:pPr>
              <w:jc w:val="right"/>
              <w:ind w:right="97"/>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139,432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139,432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borrowings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15,000</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bottom w:val="single" w:sz="8" w:color="auto"/>
            </w:tcBorders>
            <w:gridSpan w:val="2"/>
          </w:tcPr>
          <w:p>
            <w:pPr>
              <w:jc w:val="right"/>
              <w:ind w:right="9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139,432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37"/>
              <w:spacing w:after="0"/>
              <w:rPr>
                <w:sz w:val="20"/>
                <w:szCs w:val="20"/>
                <w:color w:val="auto"/>
              </w:rPr>
            </w:pPr>
            <w:r>
              <w:rPr>
                <w:rFonts w:ascii="Arial" w:cs="Arial" w:eastAsia="Arial" w:hAnsi="Arial"/>
                <w:sz w:val="17"/>
                <w:szCs w:val="17"/>
                <w:b w:val="1"/>
                <w:bCs w:val="1"/>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154,432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6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1"/>
          </w:tcPr>
          <w:p>
            <w:pPr>
              <w:jc w:val="right"/>
              <w:ind w:right="217"/>
              <w:spacing w:after="0"/>
              <w:rPr>
                <w:sz w:val="20"/>
                <w:szCs w:val="20"/>
                <w:color w:val="auto"/>
              </w:rPr>
            </w:pPr>
            <w:r>
              <w:rPr>
                <w:rFonts w:ascii="Arial" w:cs="Arial" w:eastAsia="Arial" w:hAnsi="Arial"/>
                <w:sz w:val="15"/>
                <w:szCs w:val="15"/>
                <w:b w:val="1"/>
                <w:bCs w:val="1"/>
                <w:color w:val="auto"/>
              </w:rPr>
              <w:t>As of December 31, 2020</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39"/>
              <w:spacing w:after="0" w:line="146" w:lineRule="exact"/>
              <w:rPr>
                <w:sz w:val="20"/>
                <w:szCs w:val="20"/>
                <w:color w:val="auto"/>
              </w:rPr>
            </w:pPr>
            <w:r>
              <w:rPr>
                <w:rFonts w:ascii="Arial" w:cs="Arial" w:eastAsia="Arial" w:hAnsi="Arial"/>
                <w:sz w:val="15"/>
                <w:szCs w:val="15"/>
                <w:b w:val="1"/>
                <w:bCs w:val="1"/>
                <w:color w:val="auto"/>
                <w:w w:val="92"/>
              </w:rPr>
              <w:t>Revolving Credit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vMerge w:val="restart"/>
          </w:tcPr>
          <w:p>
            <w:pPr>
              <w:ind w:left="180"/>
              <w:spacing w:after="0"/>
              <w:rPr>
                <w:sz w:val="20"/>
                <w:szCs w:val="20"/>
                <w:color w:val="auto"/>
              </w:rPr>
            </w:pPr>
            <w:r>
              <w:rPr>
                <w:rFonts w:ascii="Arial" w:cs="Arial" w:eastAsia="Arial" w:hAnsi="Arial"/>
                <w:sz w:val="15"/>
                <w:szCs w:val="15"/>
                <w:b w:val="1"/>
                <w:bCs w:val="1"/>
                <w:color w:val="auto"/>
              </w:rPr>
              <w:t>Notes</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center"/>
              <w:ind w:right="19"/>
              <w:spacing w:after="0"/>
              <w:rPr>
                <w:sz w:val="20"/>
                <w:szCs w:val="20"/>
                <w:color w:val="auto"/>
              </w:rPr>
            </w:pPr>
            <w:r>
              <w:rPr>
                <w:rFonts w:ascii="Arial" w:cs="Arial" w:eastAsia="Arial" w:hAnsi="Arial"/>
                <w:sz w:val="15"/>
                <w:szCs w:val="15"/>
                <w:b w:val="1"/>
                <w:bCs w:val="1"/>
                <w:color w:val="auto"/>
                <w:w w:val="92"/>
              </w:rPr>
              <w:t>Facility</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25,000</w:t>
            </w:r>
          </w:p>
        </w:tc>
        <w:tc>
          <w:tcPr>
            <w:tcW w:w="6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25,000</w:t>
            </w:r>
          </w:p>
        </w:tc>
        <w:tc>
          <w:tcPr>
            <w:tcW w:w="0" w:type="dxa"/>
            <w:vAlign w:val="bottom"/>
          </w:tcPr>
          <w:p>
            <w:pPr>
              <w:spacing w:after="0"/>
              <w:rPr>
                <w:sz w:val="1"/>
                <w:szCs w:val="1"/>
                <w:color w:val="auto"/>
              </w:rPr>
            </w:pPr>
          </w:p>
        </w:tc>
      </w:tr>
      <w:tr>
        <w:trPr>
          <w:trHeight w:val="249"/>
        </w:trPr>
        <w:tc>
          <w:tcPr>
            <w:tcW w:w="6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 w:type="dxa"/>
            <w:vAlign w:val="bottom"/>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6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60" w:type="dxa"/>
            <w:vAlign w:val="bottom"/>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64,000</w:t>
            </w:r>
          </w:p>
        </w:tc>
        <w:tc>
          <w:tcPr>
            <w:tcW w:w="400" w:type="dxa"/>
            <w:vAlign w:val="bottom"/>
            <w:gridSpan w:val="5"/>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214,000</w:t>
            </w:r>
          </w:p>
        </w:tc>
        <w:tc>
          <w:tcPr>
            <w:tcW w:w="0" w:type="dxa"/>
            <w:vAlign w:val="bottom"/>
          </w:tcPr>
          <w:p>
            <w:pPr>
              <w:spacing w:after="0"/>
              <w:rPr>
                <w:sz w:val="1"/>
                <w:szCs w:val="1"/>
                <w:color w:val="auto"/>
              </w:rPr>
            </w:pP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7"/>
                <w:szCs w:val="17"/>
                <w:color w:val="auto"/>
              </w:rPr>
              <w:t>Unamortized debt discount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(11,235)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7"/>
                <w:szCs w:val="17"/>
                <w:color w:val="auto"/>
              </w:rPr>
              <w:t>(11,235)</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7"/>
        </w:trPr>
        <w:tc>
          <w:tcPr>
            <w:tcW w:w="6640" w:type="dxa"/>
            <w:vAlign w:val="bottom"/>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64,000</w:t>
            </w:r>
          </w:p>
        </w:tc>
        <w:tc>
          <w:tcPr>
            <w:tcW w:w="60" w:type="dxa"/>
            <w:vAlign w:val="bottom"/>
            <w:tcBorders>
              <w:bottom w:val="single" w:sz="8" w:color="auto"/>
            </w:tcBorders>
            <w:gridSpan w:val="2"/>
          </w:tcPr>
          <w:p>
            <w:pPr>
              <w:spacing w:after="0"/>
              <w:rPr>
                <w:sz w:val="18"/>
                <w:szCs w:val="18"/>
                <w:color w:val="auto"/>
              </w:rPr>
            </w:pPr>
          </w:p>
        </w:tc>
        <w:tc>
          <w:tcPr>
            <w:tcW w:w="80" w:type="dxa"/>
            <w:vAlign w:val="bottom"/>
            <w:gridSpan w:val="2"/>
          </w:tcPr>
          <w:p>
            <w:pPr>
              <w:spacing w:after="0"/>
              <w:rPr>
                <w:sz w:val="18"/>
                <w:szCs w:val="18"/>
                <w:color w:val="auto"/>
              </w:rPr>
            </w:pPr>
          </w:p>
        </w:tc>
        <w:tc>
          <w:tcPr>
            <w:tcW w:w="2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137,961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b w:val="1"/>
                <w:bCs w:val="1"/>
                <w:color w:val="auto"/>
              </w:rPr>
              <w:t>201,961</w:t>
            </w:r>
          </w:p>
        </w:tc>
        <w:tc>
          <w:tcPr>
            <w:tcW w:w="0" w:type="dxa"/>
            <w:vAlign w:val="bottom"/>
          </w:tcPr>
          <w:p>
            <w:pPr>
              <w:spacing w:after="0"/>
              <w:rPr>
                <w:sz w:val="1"/>
                <w:szCs w:val="1"/>
                <w:color w:val="auto"/>
              </w:rPr>
            </w:pPr>
          </w:p>
        </w:tc>
      </w:tr>
      <w:tr>
        <w:trPr>
          <w:trHeight w:val="204"/>
        </w:trPr>
        <w:tc>
          <w:tcPr>
            <w:tcW w:w="6660" w:type="dxa"/>
            <w:vAlign w:val="bottom"/>
            <w:gridSpan w:val="2"/>
          </w:tcPr>
          <w:p>
            <w:pPr>
              <w:ind w:left="20"/>
              <w:spacing w:after="0"/>
              <w:rPr>
                <w:sz w:val="20"/>
                <w:szCs w:val="20"/>
                <w:color w:val="auto"/>
              </w:rPr>
            </w:pPr>
            <w:r>
              <w:rPr>
                <w:rFonts w:ascii="Arial" w:cs="Arial" w:eastAsia="Arial" w:hAnsi="Arial"/>
                <w:sz w:val="17"/>
                <w:szCs w:val="17"/>
                <w:b w:val="1"/>
                <w:bCs w:val="1"/>
                <w:color w:val="auto"/>
              </w:rPr>
              <w:t>Total borrowings</w:t>
            </w:r>
          </w:p>
        </w:tc>
        <w:tc>
          <w:tcPr>
            <w:tcW w:w="160" w:type="dxa"/>
            <w:vAlign w:val="bottom"/>
          </w:tcPr>
          <w:p>
            <w:pPr>
              <w:jc w:val="right"/>
              <w:ind w:right="2"/>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b w:val="1"/>
                <w:bCs w:val="1"/>
                <w:color w:val="auto"/>
              </w:rPr>
              <w:t>89,000</w:t>
            </w:r>
          </w:p>
        </w:tc>
        <w:tc>
          <w:tcPr>
            <w:tcW w:w="6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b w:val="1"/>
                <w:bCs w:val="1"/>
                <w:color w:val="auto"/>
              </w:rPr>
              <w:t>137,961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17"/>
              <w:spacing w:after="0"/>
              <w:rPr>
                <w:sz w:val="20"/>
                <w:szCs w:val="20"/>
                <w:color w:val="auto"/>
              </w:rPr>
            </w:pPr>
            <w:r>
              <w:rPr>
                <w:rFonts w:ascii="Arial" w:cs="Arial" w:eastAsia="Arial" w:hAnsi="Arial"/>
                <w:sz w:val="17"/>
                <w:szCs w:val="17"/>
                <w:b w:val="1"/>
                <w:bCs w:val="1"/>
                <w:color w:val="auto"/>
                <w:w w:val="84"/>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226,961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firstLine="411"/>
        <w:spacing w:after="0" w:line="237" w:lineRule="auto"/>
        <w:rPr>
          <w:sz w:val="20"/>
          <w:szCs w:val="20"/>
          <w:color w:val="auto"/>
        </w:rPr>
      </w:pPr>
      <w:r>
        <w:rPr>
          <w:rFonts w:ascii="Arial" w:cs="Arial" w:eastAsia="Arial" w:hAnsi="Arial"/>
          <w:sz w:val="17"/>
          <w:szCs w:val="17"/>
          <w:color w:val="auto"/>
        </w:rPr>
        <w:t>*Unamortized debt issuance costs for the Company’s revolving Credit Facility of $361 and $490 as of June 30, 2021 and December 31, 2020, respectively, is presented under “Other current assets” and “Other assets” in the consolidated balance sheets.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Agreement</w:t>
      </w:r>
    </w:p>
    <w:p>
      <w:pPr>
        <w:spacing w:after="0" w:line="204" w:lineRule="exact"/>
        <w:rPr>
          <w:sz w:val="20"/>
          <w:szCs w:val="20"/>
          <w:color w:val="auto"/>
        </w:rPr>
      </w:pPr>
    </w:p>
    <w:p>
      <w:pPr>
        <w:ind w:firstLine="374"/>
        <w:spacing w:after="0" w:line="237" w:lineRule="auto"/>
        <w:rPr>
          <w:sz w:val="20"/>
          <w:szCs w:val="20"/>
          <w:color w:val="auto"/>
        </w:rPr>
      </w:pPr>
      <w:r>
        <w:rPr>
          <w:rFonts w:ascii="Arial" w:cs="Arial" w:eastAsia="Arial" w:hAnsi="Arial"/>
          <w:sz w:val="17"/>
          <w:szCs w:val="17"/>
          <w:color w:val="auto"/>
        </w:rPr>
        <w:t>The Company’s $300,000 revolving credit facility pursuant to its credit agreement (the “Credit Agreement”) with certain lenders and Citibank N.A. as Administrative Agent (the “Credit Facility”) carried an effective interest rate as shown below.</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80" w:type="dxa"/>
            <w:vAlign w:val="bottom"/>
            <w:gridSpan w:val="4"/>
          </w:tcPr>
          <w:p>
            <w:pPr>
              <w:jc w:val="right"/>
              <w:ind w:right="297"/>
              <w:spacing w:after="0"/>
              <w:rPr>
                <w:sz w:val="20"/>
                <w:szCs w:val="20"/>
                <w:color w:val="auto"/>
              </w:rPr>
            </w:pPr>
            <w:r>
              <w:rPr>
                <w:rFonts w:ascii="Arial" w:cs="Arial" w:eastAsia="Arial" w:hAnsi="Arial"/>
                <w:sz w:val="17"/>
                <w:szCs w:val="17"/>
                <w:b w:val="1"/>
                <w:bCs w:val="1"/>
                <w:color w:val="auto"/>
                <w:w w:val="88"/>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4"/>
          </w:tcPr>
          <w:p>
            <w:pPr>
              <w:jc w:val="right"/>
              <w:ind w:right="397"/>
              <w:spacing w:after="0"/>
              <w:rPr>
                <w:sz w:val="20"/>
                <w:szCs w:val="20"/>
                <w:color w:val="auto"/>
              </w:rPr>
            </w:pPr>
            <w:r>
              <w:rPr>
                <w:rFonts w:ascii="Arial" w:cs="Arial" w:eastAsia="Arial" w:hAnsi="Arial"/>
                <w:sz w:val="17"/>
                <w:szCs w:val="17"/>
                <w:b w:val="1"/>
                <w:bCs w:val="1"/>
                <w:color w:val="auto"/>
                <w:w w:val="84"/>
              </w:rPr>
              <w:t>Six months ended</w:t>
            </w:r>
          </w:p>
        </w:tc>
        <w:tc>
          <w:tcPr>
            <w:tcW w:w="280" w:type="dxa"/>
            <w:vAlign w:val="bottom"/>
          </w:tcPr>
          <w:p>
            <w:pPr>
              <w:spacing w:after="0"/>
              <w:rPr>
                <w:sz w:val="16"/>
                <w:szCs w:val="16"/>
                <w:color w:val="auto"/>
              </w:rPr>
            </w:pPr>
          </w:p>
        </w:tc>
      </w:tr>
      <w:tr>
        <w:trPr>
          <w:trHeight w:val="212"/>
        </w:trPr>
        <w:tc>
          <w:tcPr>
            <w:tcW w:w="4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04"/>
        </w:trPr>
        <w:tc>
          <w:tcPr>
            <w:tcW w:w="438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gridSpan w:val="2"/>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2020</w:t>
            </w:r>
          </w:p>
        </w:tc>
        <w:tc>
          <w:tcPr>
            <w:tcW w:w="280" w:type="dxa"/>
            <w:vAlign w:val="bottom"/>
            <w:tcBorders>
              <w:bottom w:val="single" w:sz="8" w:color="auto"/>
            </w:tcBorders>
          </w:tcPr>
          <w:p>
            <w:pPr>
              <w:spacing w:after="0"/>
              <w:rPr>
                <w:sz w:val="17"/>
                <w:szCs w:val="17"/>
                <w:color w:val="auto"/>
              </w:rPr>
            </w:pPr>
          </w:p>
        </w:tc>
      </w:tr>
      <w:tr>
        <w:trPr>
          <w:trHeight w:val="204"/>
        </w:trPr>
        <w:tc>
          <w:tcPr>
            <w:tcW w:w="4380" w:type="dxa"/>
            <w:vAlign w:val="bottom"/>
            <w:shd w:val="clear" w:color="auto" w:fill="CCEEFF"/>
          </w:tcPr>
          <w:p>
            <w:pPr>
              <w:ind w:left="380"/>
              <w:spacing w:after="0" w:line="192" w:lineRule="exact"/>
              <w:rPr>
                <w:sz w:val="20"/>
                <w:szCs w:val="20"/>
                <w:color w:val="auto"/>
              </w:rPr>
            </w:pPr>
            <w:r>
              <w:rPr>
                <w:rFonts w:ascii="Arial" w:cs="Arial" w:eastAsia="Arial" w:hAnsi="Arial"/>
                <w:sz w:val="17"/>
                <w:szCs w:val="17"/>
                <w:color w:val="auto"/>
              </w:rPr>
              <w:t>Effective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2.2</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2.6</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1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June 30, 2021 and December 31, 2020, the Company was in compliance with all financial and non-financial covenants listed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6"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5"/>
          <w:szCs w:val="15"/>
          <w:color w:val="auto"/>
        </w:rPr>
        <w:t>On October 1, 2018, the Company entered into an investment agreement (the “Investment Agreement”) with Orogen Echo LLC (the “Purchaser”), an affiliate of The Orogen Group LLC, relating to the issuance to the Purchaser of $150,000 in an aggregate principal amount of 3.5% per annum Convertible Senior Notes due October 1, 2024 (the “Notes”). The transactions contemplated by the Investment Agreement, including the issuance of the Notes, closed on October 4, 2018. The Notes bear interest at a rate of 3.5% per annum, payable semi-annually in arrears in cash on April 1 and October 1 of each year. Until October 4, 2020, under the Investment Agreement, the Purchaser was restricted from transferring the Notes or any shares of common stock issuable upon conversion of the Notes, or entering into any transaction that transfers such interests to a third party. The Notes carried an effective interest rate as shown below:</w:t>
      </w:r>
    </w:p>
    <w:p>
      <w:pPr>
        <w:spacing w:after="0" w:line="198"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60" w:type="dxa"/>
            <w:vAlign w:val="bottom"/>
            <w:gridSpan w:val="2"/>
          </w:tcPr>
          <w:p>
            <w:pPr>
              <w:jc w:val="right"/>
              <w:ind w:right="277"/>
              <w:spacing w:after="0"/>
              <w:rPr>
                <w:sz w:val="20"/>
                <w:szCs w:val="20"/>
                <w:color w:val="auto"/>
              </w:rPr>
            </w:pPr>
            <w:r>
              <w:rPr>
                <w:rFonts w:ascii="Arial" w:cs="Arial" w:eastAsia="Arial" w:hAnsi="Arial"/>
                <w:sz w:val="17"/>
                <w:szCs w:val="17"/>
                <w:b w:val="1"/>
                <w:bCs w:val="1"/>
                <w:color w:val="auto"/>
                <w:w w:val="88"/>
              </w:rPr>
              <w:t>Three months ended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40" w:type="dxa"/>
            <w:vAlign w:val="bottom"/>
            <w:gridSpan w:val="2"/>
          </w:tcPr>
          <w:p>
            <w:pPr>
              <w:jc w:val="right"/>
              <w:ind w:right="397"/>
              <w:spacing w:after="0"/>
              <w:rPr>
                <w:sz w:val="20"/>
                <w:szCs w:val="20"/>
                <w:color w:val="auto"/>
              </w:rPr>
            </w:pPr>
            <w:r>
              <w:rPr>
                <w:rFonts w:ascii="Arial" w:cs="Arial" w:eastAsia="Arial" w:hAnsi="Arial"/>
                <w:sz w:val="17"/>
                <w:szCs w:val="17"/>
                <w:b w:val="1"/>
                <w:bCs w:val="1"/>
                <w:color w:val="auto"/>
                <w:w w:val="84"/>
              </w:rPr>
              <w:t>Six months ended</w:t>
            </w:r>
          </w:p>
        </w:tc>
        <w:tc>
          <w:tcPr>
            <w:tcW w:w="280" w:type="dxa"/>
            <w:vAlign w:val="bottom"/>
          </w:tcPr>
          <w:p>
            <w:pPr>
              <w:spacing w:after="0"/>
              <w:rPr>
                <w:sz w:val="16"/>
                <w:szCs w:val="16"/>
                <w:color w:val="auto"/>
              </w:rPr>
            </w:pPr>
          </w:p>
        </w:tc>
      </w:tr>
      <w:tr>
        <w:trPr>
          <w:trHeight w:val="212"/>
        </w:trPr>
        <w:tc>
          <w:tcPr>
            <w:tcW w:w="4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04"/>
        </w:trPr>
        <w:tc>
          <w:tcPr>
            <w:tcW w:w="4380" w:type="dxa"/>
            <w:vAlign w:val="bottom"/>
          </w:tcPr>
          <w:p>
            <w:pPr>
              <w:spacing w:after="0"/>
              <w:rPr>
                <w:sz w:val="17"/>
                <w:szCs w:val="17"/>
                <w:color w:val="auto"/>
              </w:rPr>
            </w:pPr>
          </w:p>
        </w:tc>
        <w:tc>
          <w:tcPr>
            <w:tcW w:w="2100" w:type="dxa"/>
            <w:vAlign w:val="bottom"/>
            <w:gridSpan w:val="2"/>
          </w:tcPr>
          <w:p>
            <w:pPr>
              <w:jc w:val="right"/>
              <w:ind w:right="917"/>
              <w:spacing w:after="0"/>
              <w:rPr>
                <w:sz w:val="20"/>
                <w:szCs w:val="20"/>
                <w:color w:val="auto"/>
              </w:rPr>
            </w:pPr>
            <w:r>
              <w:rPr>
                <w:rFonts w:ascii="Arial" w:cs="Arial" w:eastAsia="Arial" w:hAnsi="Arial"/>
                <w:sz w:val="17"/>
                <w:szCs w:val="17"/>
                <w:b w:val="1"/>
                <w:bCs w:val="1"/>
                <w:color w:val="auto"/>
              </w:rPr>
              <w:t>2021</w:t>
            </w:r>
          </w:p>
        </w:tc>
        <w:tc>
          <w:tcPr>
            <w:tcW w:w="740" w:type="dxa"/>
            <w:vAlign w:val="bottom"/>
          </w:tcPr>
          <w:p>
            <w:pPr>
              <w:jc w:val="right"/>
              <w:ind w:right="17"/>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1000" w:type="dxa"/>
            <w:vAlign w:val="bottom"/>
          </w:tcPr>
          <w:p>
            <w:pPr>
              <w:spacing w:after="0"/>
              <w:rPr>
                <w:sz w:val="17"/>
                <w:szCs w:val="17"/>
                <w:color w:val="auto"/>
              </w:rPr>
            </w:pPr>
          </w:p>
        </w:tc>
        <w:tc>
          <w:tcPr>
            <w:tcW w:w="740" w:type="dxa"/>
            <w:vAlign w:val="bottom"/>
          </w:tcPr>
          <w:p>
            <w:pPr>
              <w:jc w:val="right"/>
              <w:ind w:right="37"/>
              <w:spacing w:after="0"/>
              <w:rPr>
                <w:sz w:val="20"/>
                <w:szCs w:val="20"/>
                <w:color w:val="auto"/>
              </w:rPr>
            </w:pPr>
            <w:r>
              <w:rPr>
                <w:rFonts w:ascii="Arial" w:cs="Arial" w:eastAsia="Arial" w:hAnsi="Arial"/>
                <w:sz w:val="17"/>
                <w:szCs w:val="17"/>
                <w:b w:val="1"/>
                <w:bCs w:val="1"/>
                <w:color w:val="auto"/>
              </w:rPr>
              <w:t>2020</w:t>
            </w:r>
          </w:p>
        </w:tc>
        <w:tc>
          <w:tcPr>
            <w:tcW w:w="280" w:type="dxa"/>
            <w:vAlign w:val="bottom"/>
          </w:tcPr>
          <w:p>
            <w:pPr>
              <w:spacing w:after="0"/>
              <w:rPr>
                <w:sz w:val="17"/>
                <w:szCs w:val="17"/>
                <w:color w:val="auto"/>
              </w:rPr>
            </w:pPr>
          </w:p>
        </w:tc>
      </w:tr>
      <w:tr>
        <w:trPr>
          <w:trHeight w:val="212"/>
        </w:trPr>
        <w:tc>
          <w:tcPr>
            <w:tcW w:w="43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Effective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12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3.7</w:t>
            </w:r>
          </w:p>
        </w:tc>
        <w:tc>
          <w:tcPr>
            <w:tcW w:w="100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auto"/>
              </w:rPr>
              <w:t>3.7</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87" w:lineRule="exact"/>
        <w:rPr>
          <w:sz w:val="20"/>
          <w:szCs w:val="20"/>
          <w:color w:val="auto"/>
        </w:rPr>
      </w:pPr>
    </w:p>
    <w:p>
      <w:pPr>
        <w:ind w:firstLine="374"/>
        <w:spacing w:after="0" w:line="237" w:lineRule="auto"/>
        <w:rPr>
          <w:sz w:val="20"/>
          <w:szCs w:val="20"/>
          <w:color w:val="auto"/>
        </w:rPr>
      </w:pPr>
      <w:r>
        <w:rPr>
          <w:rFonts w:ascii="Arial" w:cs="Arial" w:eastAsia="Arial" w:hAnsi="Arial"/>
          <w:sz w:val="17"/>
          <w:szCs w:val="17"/>
          <w:color w:val="auto"/>
        </w:rPr>
        <w:t>During the three and six months ended June 30, 2021 and 2020, the Company recognized interest expense and amortization of debt discount, on the Notes as below:</w:t>
      </w:r>
    </w:p>
    <w:p>
      <w:pPr>
        <w:spacing w:after="0" w:line="204" w:lineRule="exact"/>
        <w:rPr>
          <w:sz w:val="20"/>
          <w:szCs w:val="20"/>
          <w:color w:val="auto"/>
        </w:rPr>
      </w:pPr>
    </w:p>
    <w:tbl>
      <w:tblPr>
        <w:tblLayout w:type="fixed"/>
        <w:tblInd w:w="380" w:type="dxa"/>
        <w:tblCellMar>
          <w:top w:w="0" w:type="dxa"/>
          <w:left w:w="0" w:type="dxa"/>
          <w:bottom w:w="0" w:type="dxa"/>
          <w:right w:w="0" w:type="dxa"/>
        </w:tblCellMar>
      </w:tblPr>
      <w:tr>
        <w:trPr>
          <w:trHeight w:val="195"/>
        </w:trPr>
        <w:tc>
          <w:tcPr>
            <w:tcW w:w="4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80" w:type="dxa"/>
            <w:vAlign w:val="bottom"/>
            <w:gridSpan w:val="6"/>
          </w:tcPr>
          <w:p>
            <w:pPr>
              <w:ind w:left="340"/>
              <w:spacing w:after="0"/>
              <w:rPr>
                <w:sz w:val="20"/>
                <w:szCs w:val="20"/>
                <w:color w:val="auto"/>
              </w:rPr>
            </w:pPr>
            <w:r>
              <w:rPr>
                <w:rFonts w:ascii="Arial" w:cs="Arial" w:eastAsia="Arial" w:hAnsi="Arial"/>
                <w:sz w:val="17"/>
                <w:szCs w:val="17"/>
                <w:b w:val="1"/>
                <w:bCs w:val="1"/>
                <w:color w:val="auto"/>
              </w:rPr>
              <w:t>Three months ended</w:t>
            </w:r>
          </w:p>
        </w:tc>
        <w:tc>
          <w:tcPr>
            <w:tcW w:w="620" w:type="dxa"/>
            <w:vAlign w:val="bottom"/>
          </w:tcPr>
          <w:p>
            <w:pPr>
              <w:spacing w:after="0"/>
              <w:rPr>
                <w:sz w:val="16"/>
                <w:szCs w:val="16"/>
                <w:color w:val="auto"/>
              </w:rPr>
            </w:pPr>
          </w:p>
        </w:tc>
        <w:tc>
          <w:tcPr>
            <w:tcW w:w="2540" w:type="dxa"/>
            <w:vAlign w:val="bottom"/>
            <w:gridSpan w:val="5"/>
          </w:tcPr>
          <w:p>
            <w:pPr>
              <w:jc w:val="right"/>
              <w:ind w:right="697"/>
              <w:spacing w:after="0"/>
              <w:rPr>
                <w:sz w:val="20"/>
                <w:szCs w:val="20"/>
                <w:color w:val="auto"/>
              </w:rPr>
            </w:pPr>
            <w:r>
              <w:rPr>
                <w:rFonts w:ascii="Arial" w:cs="Arial" w:eastAsia="Arial" w:hAnsi="Arial"/>
                <w:sz w:val="17"/>
                <w:szCs w:val="17"/>
                <w:b w:val="1"/>
                <w:bCs w:val="1"/>
                <w:color w:val="auto"/>
              </w:rPr>
              <w:t>Six months ended</w:t>
            </w:r>
          </w:p>
        </w:tc>
      </w:tr>
      <w:tr>
        <w:trPr>
          <w:trHeight w:val="212"/>
        </w:trPr>
        <w:tc>
          <w:tcPr>
            <w:tcW w:w="45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7"/>
                <w:szCs w:val="17"/>
                <w:b w:val="1"/>
                <w:bCs w:val="1"/>
                <w:color w:val="auto"/>
                <w:w w:val="93"/>
              </w:rPr>
              <w:t>June 30,</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60"/>
              <w:spacing w:after="0"/>
              <w:rPr>
                <w:sz w:val="20"/>
                <w:szCs w:val="20"/>
                <w:color w:val="auto"/>
              </w:rPr>
            </w:pPr>
            <w:r>
              <w:rPr>
                <w:rFonts w:ascii="Arial" w:cs="Arial" w:eastAsia="Arial" w:hAnsi="Arial"/>
                <w:sz w:val="17"/>
                <w:szCs w:val="17"/>
                <w:b w:val="1"/>
                <w:bCs w:val="1"/>
                <w:color w:val="auto"/>
                <w:w w:val="91"/>
              </w:rPr>
              <w:t>June 30,</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4"/>
        </w:trPr>
        <w:tc>
          <w:tcPr>
            <w:tcW w:w="45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2020</w:t>
            </w:r>
          </w:p>
        </w:tc>
      </w:tr>
      <w:tr>
        <w:trPr>
          <w:trHeight w:val="204"/>
        </w:trPr>
        <w:tc>
          <w:tcPr>
            <w:tcW w:w="45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Interest expense on the Notes</w:t>
            </w: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2,625</w:t>
            </w:r>
          </w:p>
        </w:tc>
      </w:tr>
      <w:tr>
        <w:trPr>
          <w:trHeight w:val="212"/>
        </w:trPr>
        <w:tc>
          <w:tcPr>
            <w:tcW w:w="4580" w:type="dxa"/>
            <w:vAlign w:val="bottom"/>
          </w:tcPr>
          <w:p>
            <w:pPr>
              <w:ind w:left="380"/>
              <w:spacing w:after="0"/>
              <w:rPr>
                <w:sz w:val="20"/>
                <w:szCs w:val="20"/>
                <w:color w:val="auto"/>
              </w:rPr>
            </w:pPr>
            <w:r>
              <w:rPr>
                <w:rFonts w:ascii="Arial" w:cs="Arial" w:eastAsia="Arial" w:hAnsi="Arial"/>
                <w:sz w:val="17"/>
                <w:szCs w:val="17"/>
                <w:color w:val="auto"/>
              </w:rPr>
              <w:t>Amortization of debt discount on the Notes</w:t>
            </w:r>
          </w:p>
        </w:tc>
        <w:tc>
          <w:tcPr>
            <w:tcW w:w="62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654</w:t>
            </w:r>
          </w:p>
        </w:tc>
        <w:tc>
          <w:tcPr>
            <w:tcW w:w="100" w:type="dxa"/>
            <w:vAlign w:val="bottom"/>
          </w:tcPr>
          <w:p>
            <w:pPr>
              <w:spacing w:after="0"/>
              <w:rPr>
                <w:sz w:val="18"/>
                <w:szCs w:val="18"/>
                <w:color w:val="auto"/>
              </w:rPr>
            </w:pPr>
          </w:p>
        </w:tc>
        <w:tc>
          <w:tcPr>
            <w:tcW w:w="6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1,289</w:t>
            </w:r>
          </w:p>
        </w:tc>
      </w:tr>
    </w:tbl>
    <w:p>
      <w:pPr>
        <w:spacing w:after="0" w:line="2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Payments / maturities for all of the Company's borrowings as of June 30, 2021 were as follows:</w:t>
      </w:r>
    </w:p>
    <w:p>
      <w:pPr>
        <w:spacing w:after="0" w:line="208"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7"/>
                <w:szCs w:val="17"/>
                <w:b w:val="1"/>
                <w:bCs w:val="1"/>
                <w:color w:val="auto"/>
              </w:rPr>
              <w:t>Revolving Credit</w:t>
            </w:r>
          </w:p>
        </w:tc>
        <w:tc>
          <w:tcPr>
            <w:tcW w:w="640" w:type="dxa"/>
            <w:vAlign w:val="bottom"/>
          </w:tcPr>
          <w:p>
            <w:pPr>
              <w:spacing w:after="0"/>
              <w:rPr>
                <w:sz w:val="16"/>
                <w:szCs w:val="16"/>
                <w:color w:val="auto"/>
              </w:rPr>
            </w:pPr>
          </w:p>
        </w:tc>
        <w:tc>
          <w:tcPr>
            <w:tcW w:w="1000" w:type="dxa"/>
            <w:vAlign w:val="bottom"/>
            <w:vMerge w:val="restart"/>
          </w:tcPr>
          <w:p>
            <w:pPr>
              <w:jc w:val="right"/>
              <w:ind w:right="37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25"/>
        </w:trPr>
        <w:tc>
          <w:tcPr>
            <w:tcW w:w="4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vMerge w:val="restart"/>
          </w:tcPr>
          <w:p>
            <w:pPr>
              <w:jc w:val="right"/>
              <w:ind w:right="377"/>
              <w:spacing w:after="0"/>
              <w:rPr>
                <w:sz w:val="20"/>
                <w:szCs w:val="20"/>
                <w:color w:val="auto"/>
              </w:rPr>
            </w:pPr>
            <w:r>
              <w:rPr>
                <w:rFonts w:ascii="Arial" w:cs="Arial" w:eastAsia="Arial" w:hAnsi="Arial"/>
                <w:sz w:val="17"/>
                <w:szCs w:val="17"/>
                <w:b w:val="1"/>
                <w:bCs w:val="1"/>
                <w:color w:val="auto"/>
              </w:rPr>
              <w:t>Notes</w:t>
            </w:r>
          </w:p>
        </w:tc>
        <w:tc>
          <w:tcPr>
            <w:tcW w:w="100" w:type="dxa"/>
            <w:vAlign w:val="bottom"/>
            <w:vMerge w:val="restart"/>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restart"/>
          </w:tcPr>
          <w:p>
            <w:pPr>
              <w:jc w:val="right"/>
              <w:ind w:right="577"/>
              <w:spacing w:after="0"/>
              <w:rPr>
                <w:sz w:val="20"/>
                <w:szCs w:val="20"/>
                <w:color w:val="auto"/>
              </w:rPr>
            </w:pPr>
            <w:r>
              <w:rPr>
                <w:rFonts w:ascii="Arial" w:cs="Arial" w:eastAsia="Arial" w:hAnsi="Arial"/>
                <w:sz w:val="17"/>
                <w:szCs w:val="17"/>
                <w:b w:val="1"/>
                <w:bCs w:val="1"/>
                <w:color w:val="auto"/>
              </w:rPr>
              <w:t>Facility</w:t>
            </w:r>
          </w:p>
        </w:tc>
        <w:tc>
          <w:tcPr>
            <w:tcW w:w="100" w:type="dxa"/>
            <w:vAlign w:val="bottom"/>
            <w:vMerge w:val="restart"/>
          </w:tcPr>
          <w:p>
            <w:pPr>
              <w:spacing w:after="0"/>
              <w:rPr>
                <w:sz w:val="10"/>
                <w:szCs w:val="10"/>
                <w:color w:val="auto"/>
              </w:rPr>
            </w:pPr>
          </w:p>
        </w:tc>
        <w:tc>
          <w:tcPr>
            <w:tcW w:w="6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800" w:type="dxa"/>
            <w:vAlign w:val="bottom"/>
            <w:tcBorders>
              <w:bottom w:val="single" w:sz="8" w:color="CCEEFF"/>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2021 (July - December)</w:t>
            </w: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12"/>
        </w:trPr>
        <w:tc>
          <w:tcPr>
            <w:tcW w:w="4800" w:type="dxa"/>
            <w:vAlign w:val="bottom"/>
          </w:tcPr>
          <w:p>
            <w:pPr>
              <w:ind w:left="400"/>
              <w:spacing w:after="0"/>
              <w:rPr>
                <w:sz w:val="20"/>
                <w:szCs w:val="20"/>
                <w:color w:val="auto"/>
              </w:rPr>
            </w:pPr>
            <w:r>
              <w:rPr>
                <w:rFonts w:ascii="Arial" w:cs="Arial" w:eastAsia="Arial" w:hAnsi="Arial"/>
                <w:sz w:val="17"/>
                <w:szCs w:val="17"/>
                <w:color w:val="auto"/>
              </w:rPr>
              <w:t>2022</w:t>
            </w:r>
          </w:p>
        </w:tc>
        <w:tc>
          <w:tcPr>
            <w:tcW w:w="6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2023</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00" w:type="dxa"/>
            <w:vAlign w:val="bottom"/>
          </w:tcPr>
          <w:p>
            <w:pPr>
              <w:ind w:left="400"/>
              <w:spacing w:after="0"/>
              <w:rPr>
                <w:sz w:val="20"/>
                <w:szCs w:val="20"/>
                <w:color w:val="auto"/>
              </w:rPr>
            </w:pPr>
            <w:r>
              <w:rPr>
                <w:rFonts w:ascii="Arial" w:cs="Arial" w:eastAsia="Arial" w:hAnsi="Arial"/>
                <w:sz w:val="17"/>
                <w:szCs w:val="17"/>
                <w:color w:val="auto"/>
              </w:rPr>
              <w:t>2024</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150,000</w:t>
            </w:r>
          </w:p>
        </w:tc>
        <w:tc>
          <w:tcPr>
            <w:tcW w:w="0" w:type="dxa"/>
            <w:vAlign w:val="bottom"/>
          </w:tcPr>
          <w:p>
            <w:pPr>
              <w:spacing w:after="0"/>
              <w:rPr>
                <w:sz w:val="1"/>
                <w:szCs w:val="1"/>
                <w:color w:val="auto"/>
              </w:rPr>
            </w:pPr>
          </w:p>
        </w:tc>
      </w:tr>
      <w:tr>
        <w:trPr>
          <w:trHeight w:val="229"/>
        </w:trPr>
        <w:tc>
          <w:tcPr>
            <w:tcW w:w="480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7"/>
                <w:szCs w:val="17"/>
                <w:b w:val="1"/>
                <w:bCs w:val="1"/>
                <w:color w:val="auto"/>
              </w:rPr>
              <w:t>Total</w:t>
            </w:r>
          </w:p>
        </w:tc>
        <w:tc>
          <w:tcPr>
            <w:tcW w:w="66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165,000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Letters of Credit</w:t>
      </w:r>
    </w:p>
    <w:p>
      <w:pPr>
        <w:spacing w:after="0" w:line="216" w:lineRule="exact"/>
        <w:rPr>
          <w:sz w:val="20"/>
          <w:szCs w:val="20"/>
          <w:color w:val="auto"/>
        </w:rPr>
      </w:pPr>
    </w:p>
    <w:p>
      <w:pPr>
        <w:ind w:firstLine="374"/>
        <w:spacing w:after="0" w:line="264" w:lineRule="auto"/>
        <w:rPr>
          <w:sz w:val="20"/>
          <w:szCs w:val="20"/>
          <w:color w:val="auto"/>
        </w:rPr>
      </w:pPr>
      <w:r>
        <w:rPr>
          <w:rFonts w:ascii="Arial" w:cs="Arial" w:eastAsia="Arial" w:hAnsi="Arial"/>
          <w:sz w:val="16"/>
          <w:szCs w:val="16"/>
          <w:color w:val="auto"/>
        </w:rPr>
        <w:t>In the ordinary course of business, the Company provides standby letters of credit to third parties primarily for facility leases. As of June 30, 2021 and December 31, 2020, the Company had outstanding letters of credit of $461, each, that were not recognized in the consolidated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Capital Structure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one class of common stock outstanding.</w:t>
      </w:r>
    </w:p>
    <w:p>
      <w:pPr>
        <w:spacing w:after="0" w:line="216" w:lineRule="exact"/>
        <w:rPr>
          <w:sz w:val="20"/>
          <w:szCs w:val="20"/>
          <w:color w:val="auto"/>
        </w:rPr>
      </w:pPr>
    </w:p>
    <w:p>
      <w:pPr>
        <w:ind w:firstLine="411"/>
        <w:spacing w:after="0" w:line="237" w:lineRule="auto"/>
        <w:rPr>
          <w:sz w:val="20"/>
          <w:szCs w:val="20"/>
          <w:color w:val="auto"/>
        </w:rPr>
      </w:pPr>
      <w:r>
        <w:rPr>
          <w:rFonts w:ascii="Arial" w:cs="Arial" w:eastAsia="Arial" w:hAnsi="Arial"/>
          <w:sz w:val="17"/>
          <w:szCs w:val="17"/>
          <w:color w:val="auto"/>
        </w:rPr>
        <w:t>The Company purchased shares of common stock from employees in connection with withholding tax payments related to the vesting of restricted stock units and performance-based restricted stock units, as below:</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Shares</w:t>
            </w:r>
          </w:p>
        </w:tc>
        <w:tc>
          <w:tcPr>
            <w:tcW w:w="1840" w:type="dxa"/>
            <w:vAlign w:val="bottom"/>
            <w:gridSpan w:val="2"/>
            <w:vMerge w:val="restart"/>
          </w:tcPr>
          <w:p>
            <w:pPr>
              <w:ind w:left="440"/>
              <w:spacing w:after="0"/>
              <w:rPr>
                <w:sz w:val="20"/>
                <w:szCs w:val="20"/>
                <w:color w:val="auto"/>
              </w:rPr>
            </w:pPr>
            <w:r>
              <w:rPr>
                <w:rFonts w:ascii="Arial" w:cs="Arial" w:eastAsia="Arial" w:hAnsi="Arial"/>
                <w:sz w:val="17"/>
                <w:szCs w:val="17"/>
                <w:b w:val="1"/>
                <w:bCs w:val="1"/>
                <w:color w:val="auto"/>
                <w:w w:val="87"/>
              </w:rPr>
              <w:t>Total consideration</w:t>
            </w:r>
          </w:p>
        </w:tc>
        <w:tc>
          <w:tcPr>
            <w:tcW w:w="80" w:type="dxa"/>
            <w:vAlign w:val="bottom"/>
            <w:vMerge w:val="restart"/>
          </w:tcPr>
          <w:p>
            <w:pPr>
              <w:spacing w:after="0"/>
              <w:rPr>
                <w:sz w:val="16"/>
                <w:szCs w:val="16"/>
                <w:color w:val="auto"/>
              </w:rPr>
            </w:pPr>
          </w:p>
        </w:tc>
        <w:tc>
          <w:tcPr>
            <w:tcW w:w="600" w:type="dxa"/>
            <w:vAlign w:val="bottom"/>
          </w:tcPr>
          <w:p>
            <w:pPr>
              <w:spacing w:after="0"/>
              <w:rPr>
                <w:sz w:val="16"/>
                <w:szCs w:val="16"/>
                <w:color w:val="auto"/>
              </w:rPr>
            </w:pPr>
          </w:p>
        </w:tc>
        <w:tc>
          <w:tcPr>
            <w:tcW w:w="1600" w:type="dxa"/>
            <w:vAlign w:val="bottom"/>
          </w:tcPr>
          <w:p>
            <w:pPr>
              <w:jc w:val="right"/>
              <w:ind w:right="177"/>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212"/>
        </w:trPr>
        <w:tc>
          <w:tcPr>
            <w:tcW w:w="512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repurchased</w:t>
            </w:r>
          </w:p>
        </w:tc>
        <w:tc>
          <w:tcPr>
            <w:tcW w:w="100" w:type="dxa"/>
            <w:vAlign w:val="bottom"/>
            <w:tcBorders>
              <w:bottom w:val="single" w:sz="8" w:color="CCEEFF"/>
            </w:tcBorders>
          </w:tcPr>
          <w:p>
            <w:pPr>
              <w:spacing w:after="0"/>
              <w:rPr>
                <w:sz w:val="18"/>
                <w:szCs w:val="18"/>
                <w:color w:val="auto"/>
              </w:rPr>
            </w:pPr>
          </w:p>
        </w:tc>
        <w:tc>
          <w:tcPr>
            <w:tcW w:w="184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0" w:type="dxa"/>
            <w:vAlign w:val="bottom"/>
            <w:tcBorders>
              <w:bottom w:val="single" w:sz="8" w:color="auto"/>
            </w:tcBorders>
            <w:gridSpan w:val="2"/>
          </w:tcPr>
          <w:p>
            <w:pPr>
              <w:jc w:val="right"/>
              <w:ind w:right="57"/>
              <w:spacing w:after="0" w:line="212" w:lineRule="exact"/>
              <w:rPr>
                <w:sz w:val="20"/>
                <w:szCs w:val="20"/>
                <w:color w:val="auto"/>
              </w:rPr>
            </w:pPr>
            <w:r>
              <w:rPr>
                <w:rFonts w:ascii="Arial" w:cs="Arial" w:eastAsia="Arial" w:hAnsi="Arial"/>
                <w:sz w:val="17"/>
                <w:szCs w:val="17"/>
                <w:b w:val="1"/>
                <w:bCs w:val="1"/>
                <w:color w:val="auto"/>
                <w:w w:val="91"/>
              </w:rPr>
              <w:t xml:space="preserve">purchase price per share </w:t>
            </w:r>
            <w:r>
              <w:rPr>
                <w:rFonts w:ascii="Arial" w:cs="Arial" w:eastAsia="Arial" w:hAnsi="Arial"/>
                <w:sz w:val="21"/>
                <w:szCs w:val="21"/>
                <w:b w:val="1"/>
                <w:bCs w:val="1"/>
                <w:color w:val="auto"/>
                <w:w w:val="91"/>
                <w:vertAlign w:val="superscript"/>
              </w:rPr>
              <w:t>(1)</w:t>
            </w:r>
          </w:p>
        </w:tc>
        <w:tc>
          <w:tcPr>
            <w:tcW w:w="0" w:type="dxa"/>
            <w:vAlign w:val="bottom"/>
          </w:tcPr>
          <w:p>
            <w:pPr>
              <w:spacing w:after="0"/>
              <w:rPr>
                <w:sz w:val="1"/>
                <w:szCs w:val="1"/>
                <w:color w:val="auto"/>
              </w:rPr>
            </w:pPr>
          </w:p>
        </w:tc>
      </w:tr>
      <w:tr>
        <w:trPr>
          <w:trHeight w:val="204"/>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Three months ended June 30, 2021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120" w:type="dxa"/>
            <w:vAlign w:val="bottom"/>
          </w:tcPr>
          <w:p>
            <w:pPr>
              <w:ind w:left="420"/>
              <w:spacing w:after="0"/>
              <w:rPr>
                <w:sz w:val="20"/>
                <w:szCs w:val="20"/>
                <w:color w:val="auto"/>
              </w:rPr>
            </w:pPr>
            <w:r>
              <w:rPr>
                <w:rFonts w:ascii="Arial" w:cs="Arial" w:eastAsia="Arial" w:hAnsi="Arial"/>
                <w:sz w:val="17"/>
                <w:szCs w:val="17"/>
                <w:color w:val="auto"/>
              </w:rPr>
              <w:t>Three months ended June 30, 2020</w:t>
            </w: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940" w:type="dxa"/>
            <w:vAlign w:val="bottom"/>
          </w:tcPr>
          <w:p>
            <w:pPr>
              <w:ind w:left="4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120" w:type="dxa"/>
            <w:vAlign w:val="bottom"/>
          </w:tcPr>
          <w:p>
            <w:pPr>
              <w:ind w:left="420"/>
              <w:spacing w:after="0"/>
              <w:rPr>
                <w:sz w:val="20"/>
                <w:szCs w:val="20"/>
                <w:color w:val="auto"/>
              </w:rPr>
            </w:pPr>
            <w:r>
              <w:rPr>
                <w:rFonts w:ascii="Arial" w:cs="Arial" w:eastAsia="Arial" w:hAnsi="Arial"/>
                <w:sz w:val="17"/>
                <w:szCs w:val="17"/>
                <w:color w:val="auto"/>
              </w:rPr>
              <w:t>Six months ended June 30, 2021</w:t>
            </w:r>
          </w:p>
        </w:tc>
        <w:tc>
          <w:tcPr>
            <w:tcW w:w="1340" w:type="dxa"/>
            <w:vAlign w:val="bottom"/>
          </w:tcPr>
          <w:p>
            <w:pPr>
              <w:jc w:val="right"/>
              <w:spacing w:after="0"/>
              <w:rPr>
                <w:sz w:val="20"/>
                <w:szCs w:val="20"/>
                <w:color w:val="auto"/>
              </w:rPr>
            </w:pPr>
            <w:r>
              <w:rPr>
                <w:rFonts w:ascii="Arial" w:cs="Arial" w:eastAsia="Arial" w:hAnsi="Arial"/>
                <w:sz w:val="17"/>
                <w:szCs w:val="17"/>
                <w:color w:val="auto"/>
              </w:rPr>
              <w:t>25,450</w:t>
            </w:r>
          </w:p>
        </w:tc>
        <w:tc>
          <w:tcPr>
            <w:tcW w:w="10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2,015</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79.18</w:t>
            </w:r>
          </w:p>
        </w:tc>
        <w:tc>
          <w:tcPr>
            <w:tcW w:w="0" w:type="dxa"/>
            <w:vAlign w:val="bottom"/>
          </w:tcPr>
          <w:p>
            <w:pPr>
              <w:spacing w:after="0"/>
              <w:rPr>
                <w:sz w:val="1"/>
                <w:szCs w:val="1"/>
                <w:color w:val="auto"/>
              </w:rPr>
            </w:pPr>
          </w:p>
        </w:tc>
      </w:tr>
      <w:tr>
        <w:trPr>
          <w:trHeight w:val="212"/>
        </w:trPr>
        <w:tc>
          <w:tcPr>
            <w:tcW w:w="5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Six months ended June 30, 2020</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26,601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75.63</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74"/>
        <w:spacing w:after="0" w:line="225" w:lineRule="auto"/>
        <w:rPr>
          <w:sz w:val="20"/>
          <w:szCs w:val="20"/>
          <w:color w:val="auto"/>
        </w:rPr>
      </w:pPr>
      <w:r>
        <w:rPr>
          <w:rFonts w:ascii="Arial" w:cs="Arial" w:eastAsia="Arial" w:hAnsi="Arial"/>
          <w:sz w:val="17"/>
          <w:szCs w:val="17"/>
          <w:color w:val="auto"/>
        </w:rPr>
        <w:t>On December 16, 2019, the Company’s Board of Directors authorized a $200,000 common stock repurchase program beginning January 1, 2020 through December 31, 2022 (the "2019 Repurchase Program"). Under the 2019 Repurchase Program,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Company purchased shares of its common stock, including commissions, under the 2019 Repurchase Program, as below:</w:t>
      </w:r>
    </w:p>
    <w:p>
      <w:pPr>
        <w:spacing w:after="0" w:line="195"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Shares</w:t>
            </w:r>
          </w:p>
        </w:tc>
        <w:tc>
          <w:tcPr>
            <w:tcW w:w="540" w:type="dxa"/>
            <w:vAlign w:val="bottom"/>
          </w:tcPr>
          <w:p>
            <w:pPr>
              <w:spacing w:after="0"/>
              <w:rPr>
                <w:sz w:val="16"/>
                <w:szCs w:val="16"/>
                <w:color w:val="auto"/>
              </w:rPr>
            </w:pPr>
          </w:p>
        </w:tc>
        <w:tc>
          <w:tcPr>
            <w:tcW w:w="1640" w:type="dxa"/>
            <w:vAlign w:val="bottom"/>
            <w:gridSpan w:val="2"/>
          </w:tcPr>
          <w:p>
            <w:pPr>
              <w:ind w:left="40"/>
              <w:spacing w:after="0"/>
              <w:rPr>
                <w:sz w:val="20"/>
                <w:szCs w:val="20"/>
                <w:color w:val="auto"/>
              </w:rPr>
            </w:pPr>
            <w:r>
              <w:rPr>
                <w:rFonts w:ascii="Arial" w:cs="Arial" w:eastAsia="Arial" w:hAnsi="Arial"/>
                <w:sz w:val="17"/>
                <w:szCs w:val="17"/>
                <w:b w:val="1"/>
                <w:bCs w:val="1"/>
                <w:color w:val="auto"/>
              </w:rPr>
              <w:t>Total consideration</w:t>
            </w:r>
          </w:p>
        </w:tc>
        <w:tc>
          <w:tcPr>
            <w:tcW w:w="600" w:type="dxa"/>
            <w:vAlign w:val="bottom"/>
          </w:tcPr>
          <w:p>
            <w:pPr>
              <w:spacing w:after="0"/>
              <w:rPr>
                <w:sz w:val="16"/>
                <w:szCs w:val="16"/>
                <w:color w:val="auto"/>
              </w:rPr>
            </w:pPr>
          </w:p>
        </w:tc>
        <w:tc>
          <w:tcPr>
            <w:tcW w:w="1640" w:type="dxa"/>
            <w:vAlign w:val="bottom"/>
          </w:tcPr>
          <w:p>
            <w:pPr>
              <w:jc w:val="right"/>
              <w:ind w:right="197"/>
              <w:spacing w:after="0"/>
              <w:rPr>
                <w:sz w:val="20"/>
                <w:szCs w:val="20"/>
                <w:color w:val="auto"/>
              </w:rPr>
            </w:pPr>
            <w:r>
              <w:rPr>
                <w:rFonts w:ascii="Arial" w:cs="Arial" w:eastAsia="Arial" w:hAnsi="Arial"/>
                <w:sz w:val="17"/>
                <w:szCs w:val="17"/>
                <w:b w:val="1"/>
                <w:bCs w:val="1"/>
                <w:color w:val="auto"/>
                <w:w w:val="92"/>
              </w:rPr>
              <w:t>Weighted average</w:t>
            </w:r>
          </w:p>
        </w:tc>
      </w:tr>
      <w:tr>
        <w:trPr>
          <w:trHeight w:val="212"/>
        </w:trPr>
        <w:tc>
          <w:tcPr>
            <w:tcW w:w="47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repurchased</w:t>
            </w:r>
          </w:p>
        </w:tc>
        <w:tc>
          <w:tcPr>
            <w:tcW w:w="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jc w:val="right"/>
              <w:ind w:right="77"/>
              <w:spacing w:after="0" w:line="212" w:lineRule="exact"/>
              <w:rPr>
                <w:sz w:val="20"/>
                <w:szCs w:val="20"/>
                <w:color w:val="auto"/>
              </w:rPr>
            </w:pPr>
            <w:r>
              <w:rPr>
                <w:rFonts w:ascii="Arial" w:cs="Arial" w:eastAsia="Arial" w:hAnsi="Arial"/>
                <w:sz w:val="17"/>
                <w:szCs w:val="17"/>
                <w:b w:val="1"/>
                <w:bCs w:val="1"/>
                <w:color w:val="auto"/>
                <w:w w:val="91"/>
              </w:rPr>
              <w:t xml:space="preserve">purchase price per share </w:t>
            </w:r>
            <w:r>
              <w:rPr>
                <w:rFonts w:ascii="Arial" w:cs="Arial" w:eastAsia="Arial" w:hAnsi="Arial"/>
                <w:sz w:val="21"/>
                <w:szCs w:val="21"/>
                <w:b w:val="1"/>
                <w:bCs w:val="1"/>
                <w:color w:val="auto"/>
                <w:w w:val="91"/>
                <w:vertAlign w:val="superscript"/>
              </w:rPr>
              <w:t>(1)</w:t>
            </w:r>
          </w:p>
        </w:tc>
      </w:tr>
      <w:tr>
        <w:trPr>
          <w:trHeight w:val="204"/>
        </w:trPr>
        <w:tc>
          <w:tcPr>
            <w:tcW w:w="4700" w:type="dxa"/>
            <w:vAlign w:val="bottom"/>
            <w:tcBorders>
              <w:top w:val="single" w:sz="8" w:color="CCEEFF"/>
            </w:tcBorders>
            <w:shd w:val="clear" w:color="auto" w:fill="CCEEFF"/>
          </w:tcPr>
          <w:p>
            <w:pPr>
              <w:ind w:left="420"/>
              <w:spacing w:after="0" w:line="192" w:lineRule="exact"/>
              <w:rPr>
                <w:sz w:val="20"/>
                <w:szCs w:val="20"/>
                <w:color w:val="auto"/>
              </w:rPr>
            </w:pPr>
            <w:r>
              <w:rPr>
                <w:rFonts w:ascii="Arial" w:cs="Arial" w:eastAsia="Arial" w:hAnsi="Arial"/>
                <w:sz w:val="17"/>
                <w:szCs w:val="17"/>
                <w:color w:val="auto"/>
              </w:rPr>
              <w:t>Three months ended June 30, 2021</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287,044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28,409</w:t>
            </w: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98.97</w:t>
            </w:r>
          </w:p>
        </w:tc>
      </w:tr>
      <w:tr>
        <w:trPr>
          <w:trHeight w:val="212"/>
        </w:trPr>
        <w:tc>
          <w:tcPr>
            <w:tcW w:w="4700" w:type="dxa"/>
            <w:vAlign w:val="bottom"/>
          </w:tcPr>
          <w:p>
            <w:pPr>
              <w:ind w:left="420"/>
              <w:spacing w:after="0"/>
              <w:rPr>
                <w:sz w:val="20"/>
                <w:szCs w:val="20"/>
                <w:color w:val="auto"/>
              </w:rPr>
            </w:pPr>
            <w:r>
              <w:rPr>
                <w:rFonts w:ascii="Arial" w:cs="Arial" w:eastAsia="Arial" w:hAnsi="Arial"/>
                <w:sz w:val="17"/>
                <w:szCs w:val="17"/>
                <w:color w:val="auto"/>
              </w:rPr>
              <w:t>Three months ended June 30, 2020</w:t>
            </w:r>
          </w:p>
        </w:tc>
        <w:tc>
          <w:tcPr>
            <w:tcW w:w="14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9"/>
        </w:trPr>
        <w:tc>
          <w:tcPr>
            <w:tcW w:w="47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r>
      <w:tr>
        <w:trPr>
          <w:trHeight w:val="212"/>
        </w:trPr>
        <w:tc>
          <w:tcPr>
            <w:tcW w:w="4700" w:type="dxa"/>
            <w:vAlign w:val="bottom"/>
          </w:tcPr>
          <w:p>
            <w:pPr>
              <w:ind w:left="420"/>
              <w:spacing w:after="0"/>
              <w:rPr>
                <w:sz w:val="20"/>
                <w:szCs w:val="20"/>
                <w:color w:val="auto"/>
              </w:rPr>
            </w:pPr>
            <w:r>
              <w:rPr>
                <w:rFonts w:ascii="Arial" w:cs="Arial" w:eastAsia="Arial" w:hAnsi="Arial"/>
                <w:sz w:val="17"/>
                <w:szCs w:val="17"/>
                <w:color w:val="auto"/>
              </w:rPr>
              <w:t>Six months ended June 30, 2021</w:t>
            </w:r>
          </w:p>
        </w:tc>
        <w:tc>
          <w:tcPr>
            <w:tcW w:w="1400" w:type="dxa"/>
            <w:vAlign w:val="bottom"/>
          </w:tcPr>
          <w:p>
            <w:pPr>
              <w:jc w:val="right"/>
              <w:spacing w:after="0"/>
              <w:rPr>
                <w:sz w:val="20"/>
                <w:szCs w:val="20"/>
                <w:color w:val="auto"/>
              </w:rPr>
            </w:pPr>
            <w:r>
              <w:rPr>
                <w:rFonts w:ascii="Arial" w:cs="Arial" w:eastAsia="Arial" w:hAnsi="Arial"/>
                <w:sz w:val="17"/>
                <w:szCs w:val="17"/>
                <w:color w:val="auto"/>
              </w:rPr>
              <w:t>600,076</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55,409</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92.34</w:t>
            </w:r>
          </w:p>
        </w:tc>
      </w:tr>
      <w:tr>
        <w:trPr>
          <w:trHeight w:val="212"/>
        </w:trPr>
        <w:tc>
          <w:tcPr>
            <w:tcW w:w="47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Six months ended June 30, 2020</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175,765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68.18</w:t>
            </w:r>
          </w:p>
        </w:tc>
      </w:tr>
    </w:tbl>
    <w:p>
      <w:pPr>
        <w:spacing w:after="0" w:line="274" w:lineRule="exact"/>
        <w:rPr>
          <w:sz w:val="20"/>
          <w:szCs w:val="20"/>
          <w:color w:val="auto"/>
        </w:rPr>
      </w:pPr>
    </w:p>
    <w:p>
      <w:pPr>
        <w:ind w:firstLine="411"/>
        <w:spacing w:after="0" w:line="237" w:lineRule="auto"/>
        <w:tabs>
          <w:tab w:leader="none" w:pos="577"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The weighted average purchase price per share was the closing price of the Company's share of common stock on the Nasdaq Global Select Market on the trading day prior to the vesting date of the shares of restricted stock.</w:t>
      </w:r>
    </w:p>
    <w:p>
      <w:pPr>
        <w:spacing w:after="0" w:line="188"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Repurchased shares have been recorded as treasury shares and will be held until the Company’s Board of Directors designates that these shares be retired or used for other purposes.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2019 Repurchase Program may be suspended or discontinued at any time.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Employee Benefit Plans</w:t>
      </w:r>
    </w:p>
    <w:p>
      <w:pPr>
        <w:spacing w:after="0" w:line="220" w:lineRule="exact"/>
        <w:rPr>
          <w:sz w:val="20"/>
          <w:szCs w:val="20"/>
          <w:color w:val="auto"/>
        </w:rPr>
      </w:pPr>
    </w:p>
    <w:p>
      <w:pPr>
        <w:jc w:val="both"/>
        <w:ind w:firstLine="374"/>
        <w:spacing w:after="0" w:line="220" w:lineRule="auto"/>
        <w:rPr>
          <w:sz w:val="20"/>
          <w:szCs w:val="20"/>
          <w:color w:val="auto"/>
        </w:rPr>
      </w:pPr>
      <w:r>
        <w:rPr>
          <w:rFonts w:ascii="Arial" w:cs="Arial" w:eastAsia="Arial" w:hAnsi="Arial"/>
          <w:sz w:val="17"/>
          <w:szCs w:val="17"/>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Components of net periodic benefit costs, were as follows:</w:t>
      </w:r>
    </w:p>
    <w:p>
      <w:pPr>
        <w:spacing w:after="0" w:line="109" w:lineRule="exact"/>
        <w:rPr>
          <w:sz w:val="20"/>
          <w:szCs w:val="20"/>
          <w:color w:val="auto"/>
        </w:rPr>
      </w:pPr>
    </w:p>
    <w:tbl>
      <w:tblPr>
        <w:tblLayout w:type="fixed"/>
        <w:tblInd w:w="60" w:type="dxa"/>
        <w:tblCellMar>
          <w:top w:w="0" w:type="dxa"/>
          <w:left w:w="0" w:type="dxa"/>
          <w:bottom w:w="0" w:type="dxa"/>
          <w:right w:w="0" w:type="dxa"/>
        </w:tblCellMar>
      </w:tblPr>
      <w:tr>
        <w:trPr>
          <w:trHeight w:val="177"/>
        </w:trPr>
        <w:tc>
          <w:tcPr>
            <w:tcW w:w="5260" w:type="dxa"/>
            <w:vAlign w:val="bottom"/>
          </w:tcPr>
          <w:p>
            <w:pPr>
              <w:spacing w:after="0"/>
              <w:rPr>
                <w:sz w:val="15"/>
                <w:szCs w:val="15"/>
                <w:color w:val="auto"/>
              </w:rPr>
            </w:pPr>
          </w:p>
        </w:tc>
        <w:tc>
          <w:tcPr>
            <w:tcW w:w="24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3"/>
                <w:szCs w:val="13"/>
                <w:b w:val="1"/>
                <w:bCs w:val="1"/>
                <w:color w:val="auto"/>
              </w:rPr>
              <w:t>Three months ended June 30,</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5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3"/>
                <w:szCs w:val="13"/>
                <w:b w:val="1"/>
                <w:bCs w:val="1"/>
                <w:color w:val="auto"/>
              </w:rPr>
              <w:t>2020</w:t>
            </w:r>
          </w:p>
        </w:tc>
      </w:tr>
      <w:tr>
        <w:trPr>
          <w:trHeight w:val="206"/>
        </w:trPr>
        <w:tc>
          <w:tcPr>
            <w:tcW w:w="526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Service cost</w:t>
            </w: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885</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w:t>
            </w:r>
          </w:p>
        </w:tc>
      </w:tr>
      <w:tr>
        <w:trPr>
          <w:trHeight w:val="212"/>
        </w:trPr>
        <w:tc>
          <w:tcPr>
            <w:tcW w:w="526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9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480</w:t>
            </w: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return on plan assets</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r>
      <w:tr>
        <w:trPr>
          <w:trHeight w:val="212"/>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Amortization of actuarial loss, gross of tax</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r>
      <w:tr>
        <w:trPr>
          <w:trHeight w:val="229"/>
        </w:trPr>
        <w:tc>
          <w:tcPr>
            <w:tcW w:w="52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Net gratuity cost</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5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benefit on amortization of actuarial loss</w:t>
            </w: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04"/>
        </w:trPr>
        <w:tc>
          <w:tcPr>
            <w:tcW w:w="5260" w:type="dxa"/>
            <w:vAlign w:val="bottom"/>
          </w:tcPr>
          <w:p>
            <w:pPr>
              <w:ind w:left="20"/>
              <w:spacing w:after="0" w:line="192" w:lineRule="exact"/>
              <w:rPr>
                <w:sz w:val="20"/>
                <w:szCs w:val="20"/>
                <w:color w:val="auto"/>
              </w:rPr>
            </w:pPr>
            <w:r>
              <w:rPr>
                <w:rFonts w:ascii="Arial" w:cs="Arial" w:eastAsia="Arial" w:hAnsi="Arial"/>
                <w:sz w:val="17"/>
                <w:szCs w:val="17"/>
                <w:color w:val="auto"/>
              </w:rPr>
              <w:t>Amortization of actuarial loss, net of tax</w:t>
            </w: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Arial" w:cs="Arial" w:eastAsia="Arial" w:hAnsi="Arial"/>
                <w:sz w:val="17"/>
                <w:szCs w:val="17"/>
                <w:color w:val="auto"/>
                <w:w w:val="84"/>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r>
    </w:tbl>
    <w:p>
      <w:pPr>
        <w:spacing w:after="0" w:line="287" w:lineRule="exact"/>
        <w:rPr>
          <w:sz w:val="20"/>
          <w:szCs w:val="20"/>
          <w:color w:val="auto"/>
        </w:rPr>
      </w:pPr>
    </w:p>
    <w:p>
      <w:pPr>
        <w:jc w:val="both"/>
        <w:ind w:firstLine="374"/>
        <w:spacing w:after="0" w:line="223" w:lineRule="auto"/>
        <w:rPr>
          <w:sz w:val="20"/>
          <w:szCs w:val="20"/>
          <w:color w:val="auto"/>
        </w:rPr>
      </w:pPr>
      <w:r>
        <w:rPr>
          <w:rFonts w:ascii="Arial" w:cs="Arial" w:eastAsia="Arial" w:hAnsi="Arial"/>
          <w:sz w:val="17"/>
          <w:szCs w:val="17"/>
          <w:color w:val="auto"/>
        </w:rPr>
        <w:t>The India Plan is partially funded whereas the Philippines plan is unfunded. The Company makes annual contributions to the employees' gratuity fund of the India Plan established with Life Insurance Corporation of India and HDFC Standard Life Insurance Company. Fund managers manage these funds and calculate the annual contribution required to be made by the Company and manage the India Plan, including any required payouts. These funds are managed on a cash accumulation basis and interest is declared retrospectively on March 31 of each year. The Company expects to earn a return of approximately 7.0% per annum on the India Plan for the year ended December 31, 2021.</w:t>
      </w:r>
    </w:p>
    <w:p>
      <w:pPr>
        <w:spacing w:after="0" w:line="322"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7620" w:type="dxa"/>
            <w:vAlign w:val="bottom"/>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Plan assets at January 1, 2021</w:t>
            </w:r>
          </w:p>
        </w:tc>
        <w:tc>
          <w:tcPr>
            <w:tcW w:w="580" w:type="dxa"/>
            <w:vAlign w:val="bottom"/>
            <w:shd w:val="clear" w:color="auto" w:fill="CCEEFF"/>
          </w:tcPr>
          <w:p>
            <w:pPr>
              <w:jc w:val="right"/>
              <w:ind w:right="397"/>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11,512</w:t>
            </w:r>
          </w:p>
        </w:tc>
      </w:tr>
      <w:tr>
        <w:trPr>
          <w:trHeight w:val="212"/>
        </w:trPr>
        <w:tc>
          <w:tcPr>
            <w:tcW w:w="7620" w:type="dxa"/>
            <w:vAlign w:val="bottom"/>
          </w:tcPr>
          <w:p>
            <w:pPr>
              <w:ind w:left="20"/>
              <w:spacing w:after="0"/>
              <w:rPr>
                <w:sz w:val="20"/>
                <w:szCs w:val="20"/>
                <w:color w:val="auto"/>
              </w:rPr>
            </w:pPr>
            <w:r>
              <w:rPr>
                <w:rFonts w:ascii="Arial" w:cs="Arial" w:eastAsia="Arial" w:hAnsi="Arial"/>
                <w:sz w:val="17"/>
                <w:szCs w:val="17"/>
                <w:color w:val="auto"/>
              </w:rPr>
              <w:t>Actual return</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394</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Employer contribution</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620" w:type="dxa"/>
            <w:vAlign w:val="bottom"/>
          </w:tcPr>
          <w:p>
            <w:pPr>
              <w:ind w:left="20"/>
              <w:spacing w:after="0"/>
              <w:rPr>
                <w:sz w:val="20"/>
                <w:szCs w:val="20"/>
                <w:color w:val="auto"/>
              </w:rPr>
            </w:pPr>
            <w:r>
              <w:rPr>
                <w:rFonts w:ascii="Arial" w:cs="Arial" w:eastAsia="Arial" w:hAnsi="Arial"/>
                <w:sz w:val="17"/>
                <w:szCs w:val="17"/>
                <w:color w:val="auto"/>
              </w:rPr>
              <w:t>Benefits paid</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(774)</w:t>
            </w:r>
          </w:p>
        </w:tc>
      </w:tr>
      <w:tr>
        <w:trPr>
          <w:trHeight w:val="212"/>
        </w:trPr>
        <w:tc>
          <w:tcPr>
            <w:tcW w:w="7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5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r>
      <w:tr>
        <w:trPr>
          <w:trHeight w:val="204"/>
        </w:trPr>
        <w:tc>
          <w:tcPr>
            <w:tcW w:w="7620" w:type="dxa"/>
            <w:vAlign w:val="bottom"/>
          </w:tcPr>
          <w:p>
            <w:pPr>
              <w:ind w:left="20"/>
              <w:spacing w:after="0"/>
              <w:rPr>
                <w:sz w:val="20"/>
                <w:szCs w:val="20"/>
                <w:color w:val="auto"/>
              </w:rPr>
            </w:pPr>
            <w:r>
              <w:rPr>
                <w:rFonts w:ascii="Arial" w:cs="Arial" w:eastAsia="Arial" w:hAnsi="Arial"/>
                <w:sz w:val="17"/>
                <w:szCs w:val="17"/>
                <w:color w:val="auto"/>
              </w:rPr>
              <w:t>Plan assets at June 30, 2021</w:t>
            </w:r>
          </w:p>
        </w:tc>
        <w:tc>
          <w:tcPr>
            <w:tcW w:w="580" w:type="dxa"/>
            <w:vAlign w:val="bottom"/>
            <w:tcBorders>
              <w:bottom w:val="single" w:sz="8" w:color="auto"/>
            </w:tcBorders>
          </w:tcPr>
          <w:p>
            <w:pPr>
              <w:jc w:val="right"/>
              <w:ind w:right="397"/>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10,941</w:t>
            </w:r>
          </w:p>
        </w:tc>
      </w:tr>
      <w:tr>
        <w:trPr>
          <w:trHeight w:val="20"/>
        </w:trPr>
        <w:tc>
          <w:tcPr>
            <w:tcW w:w="7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maintains several 401(k) plans (the “401(k) Plans”) under Section 401(k) of the Internal Revenue Code of 1986, as amended (the “Code”), covering all eligible employees, as defined in the Code as a defined contribution plan. The Company may make discretionary contributions of up to a maximum of 4.0% of employee compensation within certain limits.</w:t>
      </w:r>
    </w:p>
    <w:p>
      <w:pPr>
        <w:spacing w:after="0" w:line="201" w:lineRule="exact"/>
        <w:rPr>
          <w:sz w:val="20"/>
          <w:szCs w:val="20"/>
          <w:color w:val="auto"/>
        </w:rPr>
      </w:pPr>
    </w:p>
    <w:tbl>
      <w:tblPr>
        <w:tblLayout w:type="fixed"/>
        <w:tblInd w:w="380" w:type="dxa"/>
        <w:tblCellMar>
          <w:top w:w="0" w:type="dxa"/>
          <w:left w:w="0" w:type="dxa"/>
          <w:bottom w:w="0" w:type="dxa"/>
          <w:right w:w="0" w:type="dxa"/>
        </w:tblCellMar>
      </w:tblPr>
      <w:tr>
        <w:trPr>
          <w:trHeight w:val="212"/>
        </w:trPr>
        <w:tc>
          <w:tcPr>
            <w:tcW w:w="5320" w:type="dxa"/>
            <w:vAlign w:val="bottom"/>
            <w:gridSpan w:val="2"/>
          </w:tcPr>
          <w:p>
            <w:pPr>
              <w:ind w:left="60"/>
              <w:spacing w:after="0"/>
              <w:rPr>
                <w:sz w:val="20"/>
                <w:szCs w:val="20"/>
                <w:color w:val="auto"/>
              </w:rPr>
            </w:pPr>
            <w:r>
              <w:rPr>
                <w:rFonts w:ascii="Arial" w:cs="Arial" w:eastAsia="Arial" w:hAnsi="Arial"/>
                <w:sz w:val="17"/>
                <w:szCs w:val="17"/>
                <w:color w:val="auto"/>
                <w:w w:val="90"/>
              </w:rPr>
              <w:t>The Company's accrual for contributions to the 401(k) Plans were as follows: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49"/>
        </w:trPr>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ind w:left="60"/>
              <w:spacing w:after="0"/>
              <w:rPr>
                <w:sz w:val="20"/>
                <w:szCs w:val="20"/>
                <w:color w:val="auto"/>
              </w:rPr>
            </w:pPr>
            <w:r>
              <w:rPr>
                <w:rFonts w:ascii="Arial" w:cs="Arial" w:eastAsia="Arial" w:hAnsi="Arial"/>
                <w:sz w:val="17"/>
                <w:szCs w:val="17"/>
                <w:b w:val="1"/>
                <w:bCs w:val="1"/>
                <w:color w:val="auto"/>
                <w:w w:val="98"/>
              </w:rPr>
              <w:t>Three months ended June 30,</w:t>
            </w:r>
          </w:p>
        </w:tc>
        <w:tc>
          <w:tcPr>
            <w:tcW w:w="580" w:type="dxa"/>
            <w:vAlign w:val="bottom"/>
          </w:tcPr>
          <w:p>
            <w:pPr>
              <w:spacing w:after="0"/>
              <w:rPr>
                <w:sz w:val="24"/>
                <w:szCs w:val="24"/>
                <w:color w:val="auto"/>
              </w:rPr>
            </w:pPr>
          </w:p>
        </w:tc>
        <w:tc>
          <w:tcPr>
            <w:tcW w:w="2280" w:type="dxa"/>
            <w:vAlign w:val="bottom"/>
            <w:gridSpan w:val="4"/>
          </w:tcPr>
          <w:p>
            <w:pPr>
              <w:jc w:val="right"/>
              <w:ind w:right="225"/>
              <w:spacing w:after="0"/>
              <w:rPr>
                <w:sz w:val="20"/>
                <w:szCs w:val="20"/>
                <w:color w:val="auto"/>
              </w:rPr>
            </w:pPr>
            <w:r>
              <w:rPr>
                <w:rFonts w:ascii="Arial" w:cs="Arial" w:eastAsia="Arial" w:hAnsi="Arial"/>
                <w:sz w:val="17"/>
                <w:szCs w:val="17"/>
                <w:b w:val="1"/>
                <w:bCs w:val="1"/>
                <w:color w:val="auto"/>
                <w:w w:val="89"/>
              </w:rPr>
              <w:t>Six months ended June 30,</w:t>
            </w:r>
          </w:p>
        </w:tc>
      </w:tr>
      <w:tr>
        <w:trPr>
          <w:trHeight w:val="166"/>
        </w:trPr>
        <w:tc>
          <w:tcPr>
            <w:tcW w:w="504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3"/>
                <w:szCs w:val="13"/>
                <w:b w:val="1"/>
                <w:bCs w:val="1"/>
                <w:color w:val="auto"/>
              </w:rPr>
              <w:t>2020</w:t>
            </w:r>
          </w:p>
        </w:tc>
      </w:tr>
      <w:tr>
        <w:trPr>
          <w:trHeight w:val="226"/>
        </w:trPr>
        <w:tc>
          <w:tcPr>
            <w:tcW w:w="53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Contribution to the 401(k) Plans</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ind w:right="5"/>
              <w:spacing w:after="0"/>
              <w:rPr>
                <w:sz w:val="20"/>
                <w:szCs w:val="20"/>
                <w:color w:val="auto"/>
              </w:rPr>
            </w:pPr>
            <w:r>
              <w:rPr>
                <w:rFonts w:ascii="Arial" w:cs="Arial" w:eastAsia="Arial" w:hAnsi="Arial"/>
                <w:sz w:val="17"/>
                <w:szCs w:val="17"/>
                <w:color w:val="auto"/>
              </w:rPr>
              <w:t>255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1" w:lineRule="exact"/>
        <w:rPr>
          <w:sz w:val="20"/>
          <w:szCs w:val="20"/>
          <w:color w:val="auto"/>
        </w:rPr>
      </w:pPr>
    </w:p>
    <w:p>
      <w:pPr>
        <w:ind w:right="360" w:firstLine="449"/>
        <w:spacing w:after="0" w:line="265" w:lineRule="auto"/>
        <w:rPr>
          <w:sz w:val="20"/>
          <w:szCs w:val="20"/>
          <w:color w:val="auto"/>
        </w:rPr>
      </w:pPr>
      <w:r>
        <w:rPr>
          <w:rFonts w:ascii="Arial" w:cs="Arial" w:eastAsia="Arial" w:hAnsi="Arial"/>
          <w:sz w:val="17"/>
          <w:szCs w:val="17"/>
          <w:color w:val="auto"/>
        </w:rPr>
        <w:t>The Company's contribution for various defined benefit plans on behalf of employees in India, the Philippines, the Czech Republic, South Africa, Colombia, Australia and Singapore were as follows:</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20" w:type="dxa"/>
            <w:vAlign w:val="bottom"/>
            <w:gridSpan w:val="5"/>
          </w:tcPr>
          <w:p>
            <w:pPr>
              <w:ind w:left="40"/>
              <w:spacing w:after="0"/>
              <w:rPr>
                <w:sz w:val="20"/>
                <w:szCs w:val="20"/>
                <w:color w:val="auto"/>
              </w:rPr>
            </w:pPr>
            <w:r>
              <w:rPr>
                <w:rFonts w:ascii="Arial" w:cs="Arial" w:eastAsia="Arial" w:hAnsi="Arial"/>
                <w:sz w:val="17"/>
                <w:szCs w:val="17"/>
                <w:b w:val="1"/>
                <w:bCs w:val="1"/>
                <w:color w:val="auto"/>
                <w:w w:val="98"/>
              </w:rPr>
              <w:t>Three months ended June 30,</w:t>
            </w:r>
          </w:p>
        </w:tc>
        <w:tc>
          <w:tcPr>
            <w:tcW w:w="560" w:type="dxa"/>
            <w:vAlign w:val="bottom"/>
          </w:tcPr>
          <w:p>
            <w:pPr>
              <w:spacing w:after="0"/>
              <w:rPr>
                <w:sz w:val="18"/>
                <w:szCs w:val="18"/>
                <w:color w:val="auto"/>
              </w:rPr>
            </w:pPr>
          </w:p>
        </w:tc>
        <w:tc>
          <w:tcPr>
            <w:tcW w:w="2280" w:type="dxa"/>
            <w:vAlign w:val="bottom"/>
            <w:gridSpan w:val="4"/>
          </w:tcPr>
          <w:p>
            <w:pPr>
              <w:jc w:val="right"/>
              <w:ind w:right="205"/>
              <w:spacing w:after="0"/>
              <w:rPr>
                <w:sz w:val="20"/>
                <w:szCs w:val="20"/>
                <w:color w:val="auto"/>
              </w:rPr>
            </w:pPr>
            <w:r>
              <w:rPr>
                <w:rFonts w:ascii="Arial" w:cs="Arial" w:eastAsia="Arial" w:hAnsi="Arial"/>
                <w:sz w:val="17"/>
                <w:szCs w:val="17"/>
                <w:b w:val="1"/>
                <w:bCs w:val="1"/>
                <w:color w:val="auto"/>
                <w:w w:val="90"/>
              </w:rPr>
              <w:t>Six months ended June 30,</w:t>
            </w:r>
          </w:p>
        </w:tc>
      </w:tr>
      <w:tr>
        <w:trPr>
          <w:trHeight w:val="166"/>
        </w:trPr>
        <w:tc>
          <w:tcPr>
            <w:tcW w:w="4940" w:type="dxa"/>
            <w:vAlign w:val="bottom"/>
            <w:tcBorders>
              <w:bottom w:val="single" w:sz="8" w:color="CCEEFF"/>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8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3"/>
                <w:szCs w:val="13"/>
                <w:b w:val="1"/>
                <w:bCs w:val="1"/>
                <w:color w:val="auto"/>
              </w:rPr>
              <w:t>2020</w:t>
            </w:r>
          </w:p>
        </w:tc>
      </w:tr>
      <w:tr>
        <w:trPr>
          <w:trHeight w:val="231"/>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Contribution to the defined benefit plans</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7"/>
                <w:szCs w:val="17"/>
                <w:color w:val="auto"/>
              </w:rPr>
              <w:t>2,646</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Leases</w:t>
      </w:r>
    </w:p>
    <w:p>
      <w:pPr>
        <w:spacing w:after="0" w:line="233"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7"/>
          <w:szCs w:val="17"/>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89" w:lineRule="exact"/>
        <w:rPr>
          <w:sz w:val="20"/>
          <w:szCs w:val="20"/>
          <w:color w:val="auto"/>
        </w:rPr>
      </w:pPr>
    </w:p>
    <w:p>
      <w:pPr>
        <w:jc w:val="both"/>
        <w:ind w:firstLine="374"/>
        <w:spacing w:after="0" w:line="235" w:lineRule="auto"/>
        <w:rPr>
          <w:sz w:val="20"/>
          <w:szCs w:val="20"/>
          <w:color w:val="auto"/>
        </w:rPr>
      </w:pPr>
      <w:r>
        <w:rPr>
          <w:rFonts w:ascii="Arial" w:cs="Arial" w:eastAsia="Arial" w:hAnsi="Arial"/>
          <w:sz w:val="16"/>
          <w:szCs w:val="16"/>
          <w:color w:val="auto"/>
        </w:rPr>
        <w:t xml:space="preserve">The Company had performed an evaluation of its contracts with suppliers in accordance with Topic 842, </w:t>
      </w:r>
      <w:r>
        <w:rPr>
          <w:rFonts w:ascii="Arial" w:cs="Arial" w:eastAsia="Arial" w:hAnsi="Arial"/>
          <w:sz w:val="16"/>
          <w:szCs w:val="16"/>
          <w:i w:val="1"/>
          <w:iCs w:val="1"/>
          <w:color w:val="auto"/>
        </w:rPr>
        <w:t>Leases</w:t>
      </w:r>
      <w:r>
        <w:rPr>
          <w:rFonts w:ascii="Arial" w:cs="Arial" w:eastAsia="Arial" w:hAnsi="Arial"/>
          <w:sz w:val="16"/>
          <w:szCs w:val="16"/>
          <w:color w:val="auto"/>
        </w:rPr>
        <w:t>, and had determined that, except for leases for office facilities, motor vehicles and other equipment as described above, none of the Company’s contracts contain a lease. In assessment of the lease term, the Company considers the extension option as part of its lease term for those lease arrangements where the Company is reasonably certain of availing the extension option. As part of the Company’s effort to moderate the impact of COVID-19, the Company continued to evaluate its office facilities to determine where it can exit, consolidate, or otherwise optimize its use of office space. During the year ended December 31, 2020, the Company changed the lease term for certain of its leases and recognized the resultant amount of the remeasurement of the lease liability as an adjustment to the ROU assets.</w:t>
      </w:r>
    </w:p>
    <w:p>
      <w:pPr>
        <w:spacing w:after="0" w:line="19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The impact of COVID-19 on the economic environment is uncertain and has caused variability in the determination of the incremental borrowing rate and extension option, which have an impact on measurement of lease liabilities and ROU assets.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Supplemental balance sheet information</w:t>
      </w:r>
    </w:p>
    <w:p>
      <w:pPr>
        <w:spacing w:after="0" w:line="216" w:lineRule="exact"/>
        <w:rPr>
          <w:sz w:val="20"/>
          <w:szCs w:val="20"/>
          <w:color w:val="auto"/>
        </w:rPr>
      </w:pPr>
    </w:p>
    <w:tbl>
      <w:tblPr>
        <w:tblLayout w:type="fixed"/>
        <w:tblInd w:w="48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As of</w:t>
            </w:r>
          </w:p>
        </w:tc>
        <w:tc>
          <w:tcPr>
            <w:tcW w:w="1520" w:type="dxa"/>
            <w:vAlign w:val="bottom"/>
            <w:tcBorders>
              <w:bottom w:val="single" w:sz="8" w:color="auto"/>
            </w:tcBorders>
          </w:tcPr>
          <w:p>
            <w:pPr>
              <w:spacing w:after="0"/>
              <w:rPr>
                <w:sz w:val="17"/>
                <w:szCs w:val="17"/>
                <w:color w:val="auto"/>
              </w:rPr>
            </w:pPr>
          </w:p>
        </w:tc>
      </w:tr>
      <w:tr>
        <w:trPr>
          <w:trHeight w:val="192"/>
        </w:trPr>
        <w:tc>
          <w:tcPr>
            <w:tcW w:w="6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5"/>
                <w:szCs w:val="15"/>
                <w:b w:val="1"/>
                <w:bCs w:val="1"/>
                <w:color w:val="auto"/>
              </w:rPr>
              <w:t>June 30, 2021</w:t>
            </w:r>
          </w:p>
        </w:tc>
        <w:tc>
          <w:tcPr>
            <w:tcW w:w="580" w:type="dxa"/>
            <w:vAlign w:val="bottom"/>
          </w:tcPr>
          <w:p>
            <w:pPr>
              <w:spacing w:after="0"/>
              <w:rPr>
                <w:sz w:val="16"/>
                <w:szCs w:val="16"/>
                <w:color w:val="auto"/>
              </w:rPr>
            </w:pPr>
          </w:p>
        </w:tc>
        <w:tc>
          <w:tcPr>
            <w:tcW w:w="1520" w:type="dxa"/>
            <w:vAlign w:val="bottom"/>
          </w:tcPr>
          <w:p>
            <w:pPr>
              <w:jc w:val="right"/>
              <w:ind w:right="165"/>
              <w:spacing w:after="0"/>
              <w:rPr>
                <w:sz w:val="20"/>
                <w:szCs w:val="20"/>
                <w:color w:val="auto"/>
              </w:rPr>
            </w:pPr>
            <w:r>
              <w:rPr>
                <w:rFonts w:ascii="Arial" w:cs="Arial" w:eastAsia="Arial" w:hAnsi="Arial"/>
                <w:sz w:val="15"/>
                <w:szCs w:val="15"/>
                <w:b w:val="1"/>
                <w:bCs w:val="1"/>
                <w:color w:val="auto"/>
                <w:w w:val="93"/>
              </w:rPr>
              <w:t>December 31, 2020</w:t>
            </w:r>
          </w:p>
        </w:tc>
      </w:tr>
      <w:tr>
        <w:trPr>
          <w:trHeight w:val="182"/>
        </w:trPr>
        <w:tc>
          <w:tcPr>
            <w:tcW w:w="66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5"/>
                <w:szCs w:val="15"/>
                <w:b w:val="1"/>
                <w:bCs w:val="1"/>
                <w:color w:val="auto"/>
              </w:rPr>
              <w:t>Operating Lease</w:t>
            </w:r>
          </w:p>
        </w:tc>
        <w:tc>
          <w:tcPr>
            <w:tcW w:w="6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r>
      <w:tr>
        <w:trPr>
          <w:trHeight w:val="197"/>
        </w:trPr>
        <w:tc>
          <w:tcPr>
            <w:tcW w:w="662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Operating lease right-of-use assets</w:t>
            </w: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83,280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91,918</w:t>
            </w:r>
          </w:p>
        </w:tc>
      </w:tr>
      <w:tr>
        <w:trPr>
          <w:trHeight w:val="232"/>
        </w:trPr>
        <w:tc>
          <w:tcPr>
            <w:tcW w:w="66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197"/>
        </w:trPr>
        <w:tc>
          <w:tcPr>
            <w:tcW w:w="6620" w:type="dxa"/>
            <w:vAlign w:val="bottom"/>
          </w:tcPr>
          <w:p>
            <w:pPr>
              <w:ind w:left="420"/>
              <w:spacing w:after="0"/>
              <w:rPr>
                <w:sz w:val="20"/>
                <w:szCs w:val="20"/>
                <w:color w:val="auto"/>
              </w:rPr>
            </w:pPr>
            <w:r>
              <w:rPr>
                <w:rFonts w:ascii="Arial" w:cs="Arial" w:eastAsia="Arial" w:hAnsi="Arial"/>
                <w:sz w:val="15"/>
                <w:szCs w:val="15"/>
                <w:color w:val="auto"/>
              </w:rPr>
              <w:t>Operating lease liabilities - Current</w:t>
            </w:r>
          </w:p>
        </w:tc>
        <w:tc>
          <w:tcPr>
            <w:tcW w:w="600" w:type="dxa"/>
            <w:vAlign w:val="bottom"/>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18,039</w:t>
            </w:r>
          </w:p>
        </w:tc>
        <w:tc>
          <w:tcPr>
            <w:tcW w:w="100" w:type="dxa"/>
            <w:vAlign w:val="bottom"/>
          </w:tcPr>
          <w:p>
            <w:pPr>
              <w:spacing w:after="0"/>
              <w:rPr>
                <w:sz w:val="17"/>
                <w:szCs w:val="17"/>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tcPr>
          <w:p>
            <w:pPr>
              <w:jc w:val="right"/>
              <w:spacing w:after="0"/>
              <w:rPr>
                <w:sz w:val="20"/>
                <w:szCs w:val="20"/>
                <w:color w:val="auto"/>
              </w:rPr>
            </w:pPr>
            <w:r>
              <w:rPr>
                <w:rFonts w:ascii="Arial" w:cs="Arial" w:eastAsia="Arial" w:hAnsi="Arial"/>
                <w:sz w:val="15"/>
                <w:szCs w:val="15"/>
                <w:color w:val="auto"/>
              </w:rPr>
              <w:t>18,894</w:t>
            </w:r>
          </w:p>
        </w:tc>
      </w:tr>
      <w:tr>
        <w:trPr>
          <w:trHeight w:val="202"/>
        </w:trPr>
        <w:tc>
          <w:tcPr>
            <w:tcW w:w="6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Operating lease liabilities - Non-current</w:t>
            </w:r>
          </w:p>
        </w:tc>
        <w:tc>
          <w:tcPr>
            <w:tcW w:w="6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76,518</w:t>
            </w:r>
          </w:p>
        </w:tc>
        <w:tc>
          <w:tcPr>
            <w:tcW w:w="1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84,874</w:t>
            </w:r>
          </w:p>
        </w:tc>
      </w:tr>
      <w:tr>
        <w:trPr>
          <w:trHeight w:val="189"/>
        </w:trPr>
        <w:tc>
          <w:tcPr>
            <w:tcW w:w="6620" w:type="dxa"/>
            <w:vAlign w:val="bottom"/>
            <w:tcBorders>
              <w:bottom w:val="single" w:sz="8" w:color="CCEEFF"/>
            </w:tcBorders>
          </w:tcPr>
          <w:p>
            <w:pPr>
              <w:ind w:left="620"/>
              <w:spacing w:after="0"/>
              <w:rPr>
                <w:sz w:val="20"/>
                <w:szCs w:val="20"/>
                <w:color w:val="auto"/>
              </w:rPr>
            </w:pPr>
            <w:r>
              <w:rPr>
                <w:rFonts w:ascii="Arial" w:cs="Arial" w:eastAsia="Arial" w:hAnsi="Arial"/>
                <w:sz w:val="15"/>
                <w:szCs w:val="15"/>
                <w:b w:val="1"/>
                <w:bCs w:val="1"/>
                <w:color w:val="auto"/>
              </w:rPr>
              <w:t>Total operating lease liabilities</w:t>
            </w:r>
          </w:p>
        </w:tc>
        <w:tc>
          <w:tcPr>
            <w:tcW w:w="60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94,557</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103,768</w:t>
            </w:r>
          </w:p>
        </w:tc>
      </w:tr>
      <w:tr>
        <w:trPr>
          <w:trHeight w:val="182"/>
        </w:trPr>
        <w:tc>
          <w:tcPr>
            <w:tcW w:w="66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7"/>
        </w:trPr>
        <w:tc>
          <w:tcPr>
            <w:tcW w:w="6620" w:type="dxa"/>
            <w:vAlign w:val="bottom"/>
          </w:tcPr>
          <w:p>
            <w:pPr>
              <w:ind w:left="420"/>
              <w:spacing w:after="0"/>
              <w:rPr>
                <w:sz w:val="20"/>
                <w:szCs w:val="20"/>
                <w:color w:val="auto"/>
              </w:rPr>
            </w:pPr>
            <w:r>
              <w:rPr>
                <w:rFonts w:ascii="Arial" w:cs="Arial" w:eastAsia="Arial" w:hAnsi="Arial"/>
                <w:sz w:val="15"/>
                <w:szCs w:val="15"/>
                <w:b w:val="1"/>
                <w:bCs w:val="1"/>
                <w:color w:val="auto"/>
              </w:rPr>
              <w:t>Finance Lease</w:t>
            </w:r>
          </w:p>
        </w:tc>
        <w:tc>
          <w:tcPr>
            <w:tcW w:w="6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2"/>
        </w:trPr>
        <w:tc>
          <w:tcPr>
            <w:tcW w:w="6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Property and equipment, gross</w:t>
            </w:r>
          </w:p>
        </w:tc>
        <w:tc>
          <w:tcPr>
            <w:tcW w:w="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2,598</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1,853</w:t>
            </w:r>
          </w:p>
        </w:tc>
      </w:tr>
      <w:tr>
        <w:trPr>
          <w:trHeight w:val="197"/>
        </w:trPr>
        <w:tc>
          <w:tcPr>
            <w:tcW w:w="662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Accumulated depreciation</w:t>
            </w: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(2,196)</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(1,382)</w:t>
            </w:r>
          </w:p>
        </w:tc>
      </w:tr>
      <w:tr>
        <w:trPr>
          <w:trHeight w:val="192"/>
        </w:trPr>
        <w:tc>
          <w:tcPr>
            <w:tcW w:w="6620" w:type="dxa"/>
            <w:vAlign w:val="bottom"/>
            <w:shd w:val="clear" w:color="auto" w:fill="CCEEFF"/>
          </w:tcPr>
          <w:p>
            <w:pPr>
              <w:ind w:left="620"/>
              <w:spacing w:after="0"/>
              <w:rPr>
                <w:sz w:val="20"/>
                <w:szCs w:val="20"/>
                <w:color w:val="auto"/>
              </w:rPr>
            </w:pPr>
            <w:r>
              <w:rPr>
                <w:rFonts w:ascii="Arial" w:cs="Arial" w:eastAsia="Arial" w:hAnsi="Arial"/>
                <w:sz w:val="15"/>
                <w:szCs w:val="15"/>
                <w:color w:val="auto"/>
              </w:rPr>
              <w:t>Property and equipment, net</w:t>
            </w:r>
          </w:p>
        </w:tc>
        <w:tc>
          <w:tcPr>
            <w:tcW w:w="6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402</w:t>
            </w:r>
          </w:p>
        </w:tc>
        <w:tc>
          <w:tcPr>
            <w:tcW w:w="10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471</w:t>
            </w:r>
          </w:p>
        </w:tc>
      </w:tr>
      <w:tr>
        <w:trPr>
          <w:trHeight w:val="182"/>
        </w:trPr>
        <w:tc>
          <w:tcPr>
            <w:tcW w:w="6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0"/>
        </w:trPr>
        <w:tc>
          <w:tcPr>
            <w:tcW w:w="6620" w:type="dxa"/>
            <w:vAlign w:val="bottom"/>
            <w:shd w:val="clear" w:color="auto" w:fill="CCEEFF"/>
          </w:tcPr>
          <w:p>
            <w:pPr>
              <w:ind w:left="420"/>
              <w:spacing w:after="0"/>
              <w:rPr>
                <w:sz w:val="20"/>
                <w:szCs w:val="20"/>
                <w:color w:val="auto"/>
              </w:rPr>
            </w:pPr>
            <w:r>
              <w:rPr>
                <w:rFonts w:ascii="Arial" w:cs="Arial" w:eastAsia="Arial" w:hAnsi="Arial"/>
                <w:sz w:val="15"/>
                <w:szCs w:val="15"/>
                <w:color w:val="auto"/>
              </w:rPr>
              <w:t>Finance lease liabilities - Current</w:t>
            </w:r>
          </w:p>
        </w:tc>
        <w:tc>
          <w:tcPr>
            <w:tcW w:w="6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w:t>
            </w:r>
          </w:p>
        </w:tc>
      </w:tr>
      <w:tr>
        <w:trPr>
          <w:trHeight w:val="197"/>
        </w:trPr>
        <w:tc>
          <w:tcPr>
            <w:tcW w:w="662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Finance lease liabilities - Non-current</w:t>
            </w:r>
          </w:p>
        </w:tc>
        <w:tc>
          <w:tcPr>
            <w:tcW w:w="6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281</w:t>
            </w:r>
          </w:p>
        </w:tc>
      </w:tr>
      <w:tr>
        <w:trPr>
          <w:trHeight w:val="217"/>
        </w:trPr>
        <w:tc>
          <w:tcPr>
            <w:tcW w:w="662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5"/>
                <w:szCs w:val="15"/>
                <w:b w:val="1"/>
                <w:bCs w:val="1"/>
                <w:color w:val="auto"/>
              </w:rPr>
              <w:t>Total finance lease liabilities</w:t>
            </w:r>
          </w:p>
        </w:tc>
        <w:tc>
          <w:tcPr>
            <w:tcW w:w="6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right="580" w:firstLine="449"/>
        <w:spacing w:after="0" w:line="237" w:lineRule="auto"/>
        <w:rPr>
          <w:sz w:val="20"/>
          <w:szCs w:val="20"/>
          <w:color w:val="auto"/>
        </w:rPr>
      </w:pPr>
      <w:r>
        <w:rPr>
          <w:rFonts w:ascii="Arial" w:cs="Arial" w:eastAsia="Arial" w:hAnsi="Arial"/>
          <w:sz w:val="17"/>
          <w:szCs w:val="17"/>
          <w:color w:val="auto"/>
        </w:rPr>
        <w:t>Finance lease liabilities are presented as a part of “Accrued expenses and other current liabilities” and “Other non-current liabilities,” as applicable, in the Company’s consolidated balance sheets.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components of lease cost, which are included in the Company's unaudited consolidated statements of income, are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4220" w:type="dxa"/>
            <w:vAlign w:val="bottom"/>
            <w:tcBorders>
              <w:bottom w:val="single" w:sz="8" w:color="CCEEFF"/>
            </w:tcBorders>
          </w:tcPr>
          <w:p>
            <w:pPr>
              <w:ind w:left="480"/>
              <w:spacing w:after="0"/>
              <w:rPr>
                <w:sz w:val="20"/>
                <w:szCs w:val="20"/>
                <w:color w:val="auto"/>
              </w:rPr>
            </w:pPr>
            <w:r>
              <w:rPr>
                <w:rFonts w:ascii="Arial" w:cs="Arial" w:eastAsia="Arial" w:hAnsi="Arial"/>
                <w:sz w:val="15"/>
                <w:szCs w:val="15"/>
                <w:b w:val="1"/>
                <w:bCs w:val="1"/>
                <w:color w:val="auto"/>
              </w:rPr>
              <w:t>Lease cost</w:t>
            </w:r>
          </w:p>
        </w:tc>
        <w:tc>
          <w:tcPr>
            <w:tcW w:w="740" w:type="dxa"/>
            <w:vAlign w:val="bottom"/>
            <w:tcBorders>
              <w:top w:val="single" w:sz="8" w:color="auto"/>
              <w:bottom w:val="single" w:sz="8" w:color="auto"/>
            </w:tcBorders>
          </w:tcPr>
          <w:p>
            <w:pPr>
              <w:spacing w:after="0"/>
              <w:rPr>
                <w:sz w:val="18"/>
                <w:szCs w:val="18"/>
                <w:color w:val="auto"/>
              </w:rPr>
            </w:pPr>
          </w:p>
        </w:tc>
        <w:tc>
          <w:tcPr>
            <w:tcW w:w="2300" w:type="dxa"/>
            <w:vAlign w:val="bottom"/>
            <w:tcBorders>
              <w:top w:val="single" w:sz="8" w:color="auto"/>
              <w:bottom w:val="single" w:sz="8" w:color="auto"/>
            </w:tcBorders>
            <w:gridSpan w:val="3"/>
          </w:tcPr>
          <w:p>
            <w:pPr>
              <w:jc w:val="right"/>
              <w:ind w:right="65"/>
              <w:spacing w:after="0"/>
              <w:rPr>
                <w:sz w:val="20"/>
                <w:szCs w:val="20"/>
                <w:color w:val="auto"/>
              </w:rPr>
            </w:pPr>
            <w:r>
              <w:rPr>
                <w:rFonts w:ascii="Arial" w:cs="Arial" w:eastAsia="Arial" w:hAnsi="Arial"/>
                <w:sz w:val="15"/>
                <w:szCs w:val="15"/>
                <w:b w:val="1"/>
                <w:bCs w:val="1"/>
                <w:color w:val="auto"/>
              </w:rPr>
              <w:t>Three months ended June 30,</w:t>
            </w:r>
          </w:p>
        </w:tc>
        <w:tc>
          <w:tcPr>
            <w:tcW w:w="4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420" w:type="dxa"/>
            <w:vAlign w:val="bottom"/>
            <w:tcBorders>
              <w:top w:val="single" w:sz="8" w:color="auto"/>
              <w:bottom w:val="single" w:sz="8" w:color="auto"/>
            </w:tcBorders>
            <w:gridSpan w:val="4"/>
          </w:tcPr>
          <w:p>
            <w:pPr>
              <w:jc w:val="right"/>
              <w:ind w:right="325"/>
              <w:spacing w:after="0"/>
              <w:rPr>
                <w:sz w:val="20"/>
                <w:szCs w:val="20"/>
                <w:color w:val="auto"/>
              </w:rPr>
            </w:pPr>
            <w:r>
              <w:rPr>
                <w:rFonts w:ascii="Arial" w:cs="Arial" w:eastAsia="Arial" w:hAnsi="Arial"/>
                <w:sz w:val="15"/>
                <w:szCs w:val="15"/>
                <w:b w:val="1"/>
                <w:bCs w:val="1"/>
                <w:color w:val="auto"/>
              </w:rPr>
              <w:t>Six months ended June 30,</w:t>
            </w:r>
          </w:p>
        </w:tc>
      </w:tr>
      <w:tr>
        <w:trPr>
          <w:trHeight w:val="192"/>
        </w:trPr>
        <w:tc>
          <w:tcPr>
            <w:tcW w:w="4220" w:type="dxa"/>
            <w:vAlign w:val="bottom"/>
            <w:shd w:val="clear" w:color="auto" w:fill="CCEEFF"/>
          </w:tcPr>
          <w:p>
            <w:pPr>
              <w:ind w:left="480"/>
              <w:spacing w:after="0"/>
              <w:rPr>
                <w:sz w:val="20"/>
                <w:szCs w:val="20"/>
                <w:color w:val="auto"/>
              </w:rPr>
            </w:pPr>
            <w:r>
              <w:rPr>
                <w:rFonts w:ascii="Arial" w:cs="Arial" w:eastAsia="Arial" w:hAnsi="Arial"/>
                <w:sz w:val="15"/>
                <w:szCs w:val="15"/>
                <w:b w:val="1"/>
                <w:bCs w:val="1"/>
                <w:color w:val="auto"/>
              </w:rPr>
              <w:t>Finance lease:</w:t>
            </w:r>
          </w:p>
        </w:tc>
        <w:tc>
          <w:tcPr>
            <w:tcW w:w="7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b w:val="1"/>
                <w:bCs w:val="1"/>
                <w:color w:val="auto"/>
              </w:rPr>
              <w:t>2021</w:t>
            </w:r>
          </w:p>
        </w:tc>
        <w:tc>
          <w:tcPr>
            <w:tcW w:w="1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2020</w:t>
            </w:r>
          </w:p>
        </w:tc>
        <w:tc>
          <w:tcPr>
            <w:tcW w:w="4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b w:val="1"/>
                <w:bCs w:val="1"/>
                <w:color w:val="auto"/>
              </w:rPr>
              <w:t>2021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b w:val="1"/>
                <w:bCs w:val="1"/>
                <w:color w:val="auto"/>
              </w:rPr>
              <w:t>2020</w:t>
            </w:r>
          </w:p>
        </w:tc>
      </w:tr>
      <w:tr>
        <w:trPr>
          <w:trHeight w:val="189"/>
        </w:trPr>
        <w:tc>
          <w:tcPr>
            <w:tcW w:w="4220" w:type="dxa"/>
            <w:vAlign w:val="bottom"/>
          </w:tcPr>
          <w:p>
            <w:pPr>
              <w:ind w:left="780"/>
              <w:spacing w:after="0"/>
              <w:rPr>
                <w:sz w:val="20"/>
                <w:szCs w:val="20"/>
                <w:color w:val="auto"/>
              </w:rPr>
            </w:pPr>
            <w:r>
              <w:rPr>
                <w:rFonts w:ascii="Arial" w:cs="Arial" w:eastAsia="Arial" w:hAnsi="Arial"/>
                <w:sz w:val="15"/>
                <w:szCs w:val="15"/>
                <w:color w:val="auto"/>
              </w:rPr>
              <w:t>Amortization of right-of-use assets</w:t>
            </w:r>
          </w:p>
        </w:tc>
        <w:tc>
          <w:tcPr>
            <w:tcW w:w="74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16"/>
                <w:szCs w:val="16"/>
                <w:color w:val="auto"/>
              </w:rPr>
            </w:pPr>
          </w:p>
        </w:tc>
        <w:tc>
          <w:tcPr>
            <w:tcW w:w="1240" w:type="dxa"/>
            <w:vAlign w:val="bottom"/>
          </w:tcPr>
          <w:p>
            <w:pPr>
              <w:jc w:val="right"/>
              <w:ind w:right="625"/>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5"/>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102</w:t>
            </w:r>
          </w:p>
        </w:tc>
        <w:tc>
          <w:tcPr>
            <w:tcW w:w="100" w:type="dxa"/>
            <w:vAlign w:val="bottom"/>
          </w:tcPr>
          <w:p>
            <w:pPr>
              <w:spacing w:after="0"/>
              <w:rPr>
                <w:sz w:val="16"/>
                <w:szCs w:val="16"/>
                <w:color w:val="auto"/>
              </w:rPr>
            </w:pPr>
          </w:p>
        </w:tc>
        <w:tc>
          <w:tcPr>
            <w:tcW w:w="700" w:type="dxa"/>
            <w:vAlign w:val="bottom"/>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202"/>
        </w:trPr>
        <w:tc>
          <w:tcPr>
            <w:tcW w:w="4220" w:type="dxa"/>
            <w:vAlign w:val="bottom"/>
            <w:shd w:val="clear" w:color="auto" w:fill="CCEEFF"/>
          </w:tcPr>
          <w:p>
            <w:pPr>
              <w:ind w:left="780"/>
              <w:spacing w:after="0"/>
              <w:rPr>
                <w:sz w:val="20"/>
                <w:szCs w:val="20"/>
                <w:color w:val="auto"/>
              </w:rPr>
            </w:pPr>
            <w:r>
              <w:rPr>
                <w:rFonts w:ascii="Arial" w:cs="Arial" w:eastAsia="Arial" w:hAnsi="Arial"/>
                <w:sz w:val="15"/>
                <w:szCs w:val="15"/>
                <w:color w:val="auto"/>
              </w:rPr>
              <w:t>Interest on lease liabilities</w:t>
            </w:r>
          </w:p>
        </w:tc>
        <w:tc>
          <w:tcPr>
            <w:tcW w:w="7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0"/>
        </w:trPr>
        <w:tc>
          <w:tcPr>
            <w:tcW w:w="4220" w:type="dxa"/>
            <w:vAlign w:val="bottom"/>
            <w:tcBorders>
              <w:bottom w:val="single" w:sz="8" w:color="CCEEFF"/>
            </w:tcBorders>
          </w:tcPr>
          <w:p>
            <w:pPr>
              <w:ind w:left="480"/>
              <w:spacing w:after="0" w:line="200" w:lineRule="exact"/>
              <w:rPr>
                <w:sz w:val="20"/>
                <w:szCs w:val="20"/>
                <w:color w:val="auto"/>
              </w:rPr>
            </w:pPr>
            <w:r>
              <w:rPr>
                <w:rFonts w:ascii="Arial" w:cs="Arial" w:eastAsia="Arial" w:hAnsi="Arial"/>
                <w:sz w:val="15"/>
                <w:szCs w:val="15"/>
                <w:b w:val="1"/>
                <w:bCs w:val="1"/>
                <w:color w:val="auto"/>
              </w:rPr>
              <w:t>Operating lease</w:t>
            </w:r>
            <w:r>
              <w:rPr>
                <w:rFonts w:ascii="Arial" w:cs="Arial" w:eastAsia="Arial" w:hAnsi="Arial"/>
                <w:sz w:val="19"/>
                <w:szCs w:val="19"/>
                <w:b w:val="1"/>
                <w:bCs w:val="1"/>
                <w:color w:val="auto"/>
                <w:vertAlign w:val="superscript"/>
              </w:rPr>
              <w:t>(a)</w:t>
            </w:r>
          </w:p>
        </w:tc>
        <w:tc>
          <w:tcPr>
            <w:tcW w:w="7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6,871</w:t>
            </w: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0"/>
              </w:rPr>
              <w:t>6,850</w:t>
            </w: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13,632</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13,70</w:t>
            </w:r>
          </w:p>
        </w:tc>
      </w:tr>
      <w:tr>
        <w:trPr>
          <w:trHeight w:val="217"/>
        </w:trPr>
        <w:tc>
          <w:tcPr>
            <w:tcW w:w="42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5"/>
                <w:szCs w:val="15"/>
                <w:b w:val="1"/>
                <w:bCs w:val="1"/>
                <w:color w:val="auto"/>
              </w:rPr>
              <w:t>Total lease cost</w:t>
            </w:r>
          </w:p>
        </w:tc>
        <w:tc>
          <w:tcPr>
            <w:tcW w:w="7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6,943</w:t>
            </w: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0"/>
              </w:rPr>
              <w:t>6,933</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13,773</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13,87</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Includes short-term leases, which are immaterial.</w:t>
      </w:r>
    </w:p>
    <w:p>
      <w:pPr>
        <w:spacing w:after="0" w:line="32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Supplemental cash flow and other information related to leases are as follows:</w:t>
      </w:r>
    </w:p>
    <w:p>
      <w:pPr>
        <w:spacing w:after="0" w:line="129"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3260" w:type="dxa"/>
            <w:vAlign w:val="bottom"/>
            <w:tcBorders>
              <w:bottom w:val="single" w:sz="8" w:color="auto"/>
            </w:tcBorders>
            <w:gridSpan w:val="5"/>
          </w:tcPr>
          <w:p>
            <w:pPr>
              <w:jc w:val="right"/>
              <w:ind w:right="704"/>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7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2020</w:t>
            </w:r>
          </w:p>
        </w:tc>
      </w:tr>
      <w:tr>
        <w:trPr>
          <w:trHeight w:val="182"/>
        </w:trPr>
        <w:tc>
          <w:tcPr>
            <w:tcW w:w="7100" w:type="dxa"/>
            <w:vAlign w:val="bottom"/>
          </w:tcPr>
          <w:p>
            <w:pPr>
              <w:ind w:left="20"/>
              <w:spacing w:after="0"/>
              <w:rPr>
                <w:sz w:val="20"/>
                <w:szCs w:val="20"/>
                <w:color w:val="auto"/>
              </w:rPr>
            </w:pPr>
            <w:r>
              <w:rPr>
                <w:rFonts w:ascii="Arial" w:cs="Arial" w:eastAsia="Arial" w:hAnsi="Arial"/>
                <w:sz w:val="15"/>
                <w:szCs w:val="15"/>
                <w:color w:val="auto"/>
              </w:rPr>
              <w:t>Cash payments for amounts included in the measurement of lease liabilities :</w:t>
            </w: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2"/>
        </w:trPr>
        <w:tc>
          <w:tcPr>
            <w:tcW w:w="7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cash outflows for operating leases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13,327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12,831</w:t>
            </w:r>
          </w:p>
        </w:tc>
      </w:tr>
      <w:tr>
        <w:trPr>
          <w:trHeight w:val="197"/>
        </w:trPr>
        <w:tc>
          <w:tcPr>
            <w:tcW w:w="7100" w:type="dxa"/>
            <w:vAlign w:val="bottom"/>
          </w:tcPr>
          <w:p>
            <w:pPr>
              <w:ind w:left="300"/>
              <w:spacing w:after="0"/>
              <w:rPr>
                <w:sz w:val="20"/>
                <w:szCs w:val="20"/>
                <w:color w:val="auto"/>
              </w:rPr>
            </w:pPr>
            <w:r>
              <w:rPr>
                <w:rFonts w:ascii="Arial" w:cs="Arial" w:eastAsia="Arial" w:hAnsi="Arial"/>
                <w:sz w:val="15"/>
                <w:szCs w:val="15"/>
                <w:color w:val="auto"/>
              </w:rPr>
              <w:t>Operating cash outflows for finance leases</w:t>
            </w:r>
          </w:p>
        </w:tc>
        <w:tc>
          <w:tcPr>
            <w:tcW w:w="1080" w:type="dxa"/>
            <w:vAlign w:val="bottom"/>
          </w:tcPr>
          <w:p>
            <w:pPr>
              <w:jc w:val="right"/>
              <w:ind w:right="905"/>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123"/>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50</w:t>
            </w:r>
          </w:p>
        </w:tc>
      </w:tr>
      <w:tr>
        <w:trPr>
          <w:trHeight w:val="202"/>
        </w:trPr>
        <w:tc>
          <w:tcPr>
            <w:tcW w:w="7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Financing cash outflows for finance leases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124</w:t>
            </w:r>
          </w:p>
        </w:tc>
      </w:tr>
      <w:tr>
        <w:trPr>
          <w:trHeight w:val="197"/>
        </w:trPr>
        <w:tc>
          <w:tcPr>
            <w:tcW w:w="7100" w:type="dxa"/>
            <w:vAlign w:val="bottom"/>
          </w:tcPr>
          <w:p>
            <w:pPr>
              <w:ind w:left="20"/>
              <w:spacing w:after="0"/>
              <w:rPr>
                <w:sz w:val="20"/>
                <w:szCs w:val="20"/>
                <w:color w:val="auto"/>
              </w:rPr>
            </w:pPr>
            <w:r>
              <w:rPr>
                <w:rFonts w:ascii="Arial" w:cs="Arial" w:eastAsia="Arial" w:hAnsi="Arial"/>
                <w:sz w:val="15"/>
                <w:szCs w:val="15"/>
                <w:color w:val="auto"/>
              </w:rPr>
              <w:t>Right-of-use assets obtained in exchange for new operating lease liabilities</w:t>
            </w:r>
          </w:p>
        </w:tc>
        <w:tc>
          <w:tcPr>
            <w:tcW w:w="1080" w:type="dxa"/>
            <w:vAlign w:val="bottom"/>
          </w:tcPr>
          <w:p>
            <w:pPr>
              <w:jc w:val="right"/>
              <w:ind w:right="905"/>
              <w:spacing w:after="0"/>
              <w:rPr>
                <w:sz w:val="20"/>
                <w:szCs w:val="20"/>
                <w:color w:val="auto"/>
              </w:rPr>
            </w:pPr>
            <w:r>
              <w:rPr>
                <w:rFonts w:ascii="Arial" w:cs="Arial" w:eastAsia="Arial" w:hAnsi="Arial"/>
                <w:sz w:val="15"/>
                <w:szCs w:val="15"/>
                <w:color w:val="auto"/>
                <w:w w:val="95"/>
              </w:rPr>
              <w:t>$</w:t>
            </w:r>
          </w:p>
        </w:tc>
        <w:tc>
          <w:tcPr>
            <w:tcW w:w="660" w:type="dxa"/>
            <w:vAlign w:val="bottom"/>
          </w:tcPr>
          <w:p>
            <w:pPr>
              <w:jc w:val="right"/>
              <w:ind w:right="123"/>
              <w:spacing w:after="0"/>
              <w:rPr>
                <w:sz w:val="20"/>
                <w:szCs w:val="20"/>
                <w:color w:val="auto"/>
              </w:rPr>
            </w:pPr>
            <w:r>
              <w:rPr>
                <w:rFonts w:ascii="Arial" w:cs="Arial" w:eastAsia="Arial" w:hAnsi="Arial"/>
                <w:sz w:val="15"/>
                <w:szCs w:val="15"/>
                <w:color w:val="auto"/>
              </w:rPr>
              <w:t>1,659</w:t>
            </w:r>
          </w:p>
        </w:tc>
        <w:tc>
          <w:tcPr>
            <w:tcW w:w="100" w:type="dxa"/>
            <w:vAlign w:val="bottom"/>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104"/>
              <w:spacing w:after="0"/>
              <w:rPr>
                <w:sz w:val="20"/>
                <w:szCs w:val="20"/>
                <w:color w:val="auto"/>
              </w:rPr>
            </w:pPr>
            <w:r>
              <w:rPr>
                <w:rFonts w:ascii="Arial" w:cs="Arial" w:eastAsia="Arial" w:hAnsi="Arial"/>
                <w:sz w:val="15"/>
                <w:szCs w:val="15"/>
                <w:color w:val="auto"/>
              </w:rPr>
              <w:t>17,999</w:t>
            </w:r>
          </w:p>
        </w:tc>
      </w:tr>
      <w:tr>
        <w:trPr>
          <w:trHeight w:val="202"/>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Right-of-use assets obtained in exchange for new finance lease liabilities</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75</w:t>
            </w:r>
          </w:p>
        </w:tc>
      </w:tr>
      <w:tr>
        <w:trPr>
          <w:trHeight w:val="197"/>
        </w:trPr>
        <w:tc>
          <w:tcPr>
            <w:tcW w:w="7100" w:type="dxa"/>
            <w:vAlign w:val="bottom"/>
          </w:tcPr>
          <w:p>
            <w:pPr>
              <w:ind w:left="20"/>
              <w:spacing w:after="0"/>
              <w:rPr>
                <w:sz w:val="20"/>
                <w:szCs w:val="20"/>
                <w:color w:val="auto"/>
              </w:rPr>
            </w:pPr>
            <w:r>
              <w:rPr>
                <w:rFonts w:ascii="Arial" w:cs="Arial" w:eastAsia="Arial" w:hAnsi="Arial"/>
                <w:sz w:val="15"/>
                <w:szCs w:val="15"/>
                <w:color w:val="auto"/>
              </w:rPr>
              <w:t>Weighted-average remaining lease term (in years)</w:t>
            </w: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5"/>
        </w:trPr>
        <w:tc>
          <w:tcPr>
            <w:tcW w:w="7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Finance lease</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2"/>
        </w:trPr>
        <w:tc>
          <w:tcPr>
            <w:tcW w:w="7100" w:type="dxa"/>
            <w:vAlign w:val="bottom"/>
          </w:tcPr>
          <w:p>
            <w:pPr>
              <w:ind w:left="300"/>
              <w:spacing w:after="0"/>
              <w:rPr>
                <w:sz w:val="20"/>
                <w:szCs w:val="20"/>
                <w:color w:val="auto"/>
              </w:rPr>
            </w:pPr>
            <w:r>
              <w:rPr>
                <w:rFonts w:ascii="Arial" w:cs="Arial" w:eastAsia="Arial" w:hAnsi="Arial"/>
                <w:sz w:val="15"/>
                <w:szCs w:val="15"/>
                <w:color w:val="auto"/>
              </w:rPr>
              <w:t>Operating lease</w:t>
            </w:r>
          </w:p>
        </w:tc>
        <w:tc>
          <w:tcPr>
            <w:tcW w:w="1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0"/>
        </w:trPr>
        <w:tc>
          <w:tcPr>
            <w:tcW w:w="7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discount rate</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7"/>
        </w:trPr>
        <w:tc>
          <w:tcPr>
            <w:tcW w:w="7100" w:type="dxa"/>
            <w:vAlign w:val="bottom"/>
          </w:tcPr>
          <w:p>
            <w:pPr>
              <w:ind w:left="300"/>
              <w:spacing w:after="0"/>
              <w:rPr>
                <w:sz w:val="20"/>
                <w:szCs w:val="20"/>
                <w:color w:val="auto"/>
              </w:rPr>
            </w:pPr>
            <w:r>
              <w:rPr>
                <w:rFonts w:ascii="Arial" w:cs="Arial" w:eastAsia="Arial" w:hAnsi="Arial"/>
                <w:sz w:val="15"/>
                <w:szCs w:val="15"/>
                <w:color w:val="auto"/>
              </w:rPr>
              <w:t>Finance lease</w:t>
            </w:r>
          </w:p>
        </w:tc>
        <w:tc>
          <w:tcPr>
            <w:tcW w:w="10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14.1 %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10.2 %</w:t>
            </w:r>
          </w:p>
        </w:tc>
      </w:tr>
      <w:tr>
        <w:trPr>
          <w:trHeight w:val="202"/>
        </w:trPr>
        <w:tc>
          <w:tcPr>
            <w:tcW w:w="7100" w:type="dxa"/>
            <w:vAlign w:val="bottom"/>
            <w:shd w:val="clear" w:color="auto" w:fill="CCEEFF"/>
          </w:tcPr>
          <w:p>
            <w:pPr>
              <w:ind w:left="300"/>
              <w:spacing w:after="0"/>
              <w:rPr>
                <w:sz w:val="20"/>
                <w:szCs w:val="20"/>
                <w:color w:val="auto"/>
              </w:rPr>
            </w:pPr>
            <w:r>
              <w:rPr>
                <w:rFonts w:ascii="Arial" w:cs="Arial" w:eastAsia="Arial" w:hAnsi="Arial"/>
                <w:sz w:val="15"/>
                <w:szCs w:val="15"/>
                <w:color w:val="auto"/>
              </w:rPr>
              <w:t>Operating lease</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7.4 %</w:t>
            </w:r>
          </w:p>
        </w:tc>
      </w:tr>
    </w:tbl>
    <w:p>
      <w:pPr>
        <w:spacing w:after="0" w:line="362" w:lineRule="exact"/>
        <w:rPr>
          <w:sz w:val="20"/>
          <w:szCs w:val="20"/>
          <w:color w:val="auto"/>
        </w:rPr>
      </w:pPr>
    </w:p>
    <w:p>
      <w:pPr>
        <w:ind w:right="100" w:firstLine="374"/>
        <w:spacing w:after="0" w:line="237" w:lineRule="auto"/>
        <w:rPr>
          <w:sz w:val="20"/>
          <w:szCs w:val="20"/>
          <w:color w:val="auto"/>
        </w:rPr>
      </w:pPr>
      <w:r>
        <w:rPr>
          <w:rFonts w:ascii="Arial" w:cs="Arial" w:eastAsia="Arial" w:hAnsi="Arial"/>
          <w:sz w:val="17"/>
          <w:szCs w:val="17"/>
          <w:color w:val="auto"/>
        </w:rPr>
        <w:t>The Company determines the incremental borrowing rate by adjusting the benchmark reference rates, with appropriate financing spreads applicable to the respective geographies where the leases were entered and lease specific adjustments for the effects of collateral.</w:t>
      </w:r>
    </w:p>
    <w:p>
      <w:pPr>
        <w:spacing w:after="0" w:line="188" w:lineRule="exact"/>
        <w:rPr>
          <w:sz w:val="20"/>
          <w:szCs w:val="20"/>
          <w:color w:val="auto"/>
        </w:rPr>
      </w:pPr>
    </w:p>
    <w:p>
      <w:pPr>
        <w:ind w:right="100" w:firstLine="374"/>
        <w:spacing w:after="0" w:line="237" w:lineRule="auto"/>
        <w:rPr>
          <w:sz w:val="20"/>
          <w:szCs w:val="20"/>
          <w:color w:val="auto"/>
        </w:rPr>
      </w:pPr>
      <w:r>
        <w:rPr>
          <w:rFonts w:ascii="Arial" w:cs="Arial" w:eastAsia="Arial" w:hAnsi="Arial"/>
          <w:sz w:val="17"/>
          <w:szCs w:val="17"/>
          <w:color w:val="auto"/>
        </w:rPr>
        <w:t>During the six months ended June 30, 2021 and year ended December 31, 2020, the Company modified certain of its operating leases, resulting in a reduction of its lease liabilities by $547 and $3,143 respectively, with a corresponding reduction in ROU assets.</w:t>
      </w:r>
    </w:p>
    <w:p>
      <w:pPr>
        <w:spacing w:after="0" w:line="188" w:lineRule="exact"/>
        <w:rPr>
          <w:sz w:val="20"/>
          <w:szCs w:val="20"/>
          <w:color w:val="auto"/>
        </w:rPr>
      </w:pPr>
    </w:p>
    <w:p>
      <w:pPr>
        <w:ind w:right="100" w:firstLine="374"/>
        <w:spacing w:after="0" w:line="237" w:lineRule="auto"/>
        <w:rPr>
          <w:sz w:val="20"/>
          <w:szCs w:val="20"/>
          <w:color w:val="auto"/>
        </w:rPr>
      </w:pPr>
      <w:r>
        <w:rPr>
          <w:rFonts w:ascii="Arial" w:cs="Arial" w:eastAsia="Arial" w:hAnsi="Arial"/>
          <w:sz w:val="17"/>
          <w:szCs w:val="17"/>
          <w:color w:val="auto"/>
        </w:rPr>
        <w:t>As of June 30, 2021, the Company did not have any significant leases that have not yet commenced but that create significant rights and obligations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Maturities of lease liabilities as of June 30, 2021 were as follows:</w:t>
      </w:r>
    </w:p>
    <w:p>
      <w:pPr>
        <w:spacing w:after="0" w:line="233" w:lineRule="exact"/>
        <w:rPr>
          <w:sz w:val="20"/>
          <w:szCs w:val="20"/>
          <w:color w:val="auto"/>
        </w:rPr>
      </w:pPr>
    </w:p>
    <w:tbl>
      <w:tblPr>
        <w:tblLayout w:type="fixed"/>
        <w:tblInd w:w="380" w:type="dxa"/>
        <w:tblCellMar>
          <w:top w:w="0" w:type="dxa"/>
          <w:left w:w="0" w:type="dxa"/>
          <w:bottom w:w="0" w:type="dxa"/>
          <w:right w:w="0" w:type="dxa"/>
        </w:tblCellMar>
      </w:tblPr>
      <w:tr>
        <w:trPr>
          <w:trHeight w:val="196"/>
        </w:trPr>
        <w:tc>
          <w:tcPr>
            <w:tcW w:w="65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5"/>
                <w:szCs w:val="15"/>
                <w:b w:val="1"/>
                <w:bCs w:val="1"/>
                <w:color w:val="auto"/>
              </w:rPr>
              <w:t>Operating Leases</w:t>
            </w:r>
          </w:p>
        </w:tc>
        <w:tc>
          <w:tcPr>
            <w:tcW w:w="100" w:type="dxa"/>
            <w:vAlign w:val="bottom"/>
            <w:tcBorders>
              <w:bottom w:val="single" w:sz="8" w:color="CCEEFF"/>
            </w:tcBorders>
            <w:gridSpan w:val="2"/>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b w:val="1"/>
                <w:bCs w:val="1"/>
                <w:color w:val="auto"/>
                <w:w w:val="96"/>
              </w:rPr>
              <w:t>Finance Leases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2021 (July 1 - December 31)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12,366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24,094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22,715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17,095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ind w:right="5"/>
              <w:spacing w:after="0"/>
              <w:rPr>
                <w:sz w:val="20"/>
                <w:szCs w:val="20"/>
                <w:color w:val="auto"/>
              </w:rPr>
            </w:pPr>
            <w:r>
              <w:rPr>
                <w:rFonts w:ascii="Arial" w:cs="Arial" w:eastAsia="Arial" w:hAnsi="Arial"/>
                <w:sz w:val="15"/>
                <w:szCs w:val="15"/>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2026 and thereafter</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33,965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lease payments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120,113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25,556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7"/>
                <w:szCs w:val="17"/>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94,557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95"/>
              </w:rPr>
              <w:t>$</w:t>
            </w:r>
          </w:p>
        </w:tc>
        <w:tc>
          <w:tcPr>
            <w:tcW w:w="15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Maturities of lease liabilities as of December 31, 2020 were as follows:</w:t>
            </w: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7"/>
        </w:trPr>
        <w:tc>
          <w:tcPr>
            <w:tcW w:w="6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6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4"/>
          </w:tcPr>
          <w:p>
            <w:pPr>
              <w:ind w:left="40"/>
              <w:spacing w:after="0"/>
              <w:rPr>
                <w:sz w:val="20"/>
                <w:szCs w:val="20"/>
                <w:color w:val="auto"/>
              </w:rPr>
            </w:pPr>
            <w:r>
              <w:rPr>
                <w:rFonts w:ascii="Arial" w:cs="Arial" w:eastAsia="Arial" w:hAnsi="Arial"/>
                <w:sz w:val="15"/>
                <w:szCs w:val="15"/>
                <w:b w:val="1"/>
                <w:bCs w:val="1"/>
                <w:color w:val="auto"/>
              </w:rPr>
              <w:t>Operating Leases</w:t>
            </w:r>
          </w:p>
        </w:tc>
        <w:tc>
          <w:tcPr>
            <w:tcW w:w="240" w:type="dxa"/>
            <w:vAlign w:val="bottom"/>
          </w:tcPr>
          <w:p>
            <w:pPr>
              <w:spacing w:after="0"/>
              <w:rPr>
                <w:sz w:val="24"/>
                <w:szCs w:val="24"/>
                <w:color w:val="auto"/>
              </w:rPr>
            </w:pPr>
          </w:p>
        </w:tc>
        <w:tc>
          <w:tcPr>
            <w:tcW w:w="1500" w:type="dxa"/>
            <w:vAlign w:val="bottom"/>
          </w:tcPr>
          <w:p>
            <w:pPr>
              <w:jc w:val="right"/>
              <w:ind w:right="305"/>
              <w:spacing w:after="0"/>
              <w:rPr>
                <w:sz w:val="20"/>
                <w:szCs w:val="20"/>
                <w:color w:val="auto"/>
              </w:rPr>
            </w:pPr>
            <w:r>
              <w:rPr>
                <w:rFonts w:ascii="Arial" w:cs="Arial" w:eastAsia="Arial" w:hAnsi="Arial"/>
                <w:sz w:val="15"/>
                <w:szCs w:val="15"/>
                <w:b w:val="1"/>
                <w:bCs w:val="1"/>
                <w:color w:val="auto"/>
                <w:w w:val="98"/>
              </w:rPr>
              <w:t>Finance Leases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2021</w:t>
            </w: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25,829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262</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24,316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2023</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22,066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20" w:type="dxa"/>
            <w:vAlign w:val="bottom"/>
          </w:tcPr>
          <w:p>
            <w:pPr>
              <w:ind w:left="20"/>
              <w:spacing w:after="0"/>
              <w:rPr>
                <w:sz w:val="20"/>
                <w:szCs w:val="20"/>
                <w:color w:val="auto"/>
              </w:rPr>
            </w:pPr>
            <w:r>
              <w:rPr>
                <w:rFonts w:ascii="Arial" w:cs="Arial" w:eastAsia="Arial" w:hAnsi="Arial"/>
                <w:sz w:val="15"/>
                <w:szCs w:val="15"/>
                <w:color w:val="auto"/>
              </w:rPr>
              <w:t>2024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17,084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9,749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2026 and thereafter</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34,334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lease payments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133,378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Imputed interest</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29,610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103,768</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Income Taxes</w:t>
      </w:r>
    </w:p>
    <w:p>
      <w:pPr>
        <w:spacing w:after="0" w:line="220"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 The impact of COVID-19 on the economic environment is uncertain and may change the annual effective tax rate, which could impact tax expense.</w:t>
      </w:r>
    </w:p>
    <w:p>
      <w:pPr>
        <w:spacing w:after="0" w:line="189"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5"/>
          <w:szCs w:val="15"/>
          <w:color w:val="auto"/>
        </w:rPr>
        <w:t>The Company's effective tax rate decreased from 32.4% during the three months ended June 30, 2020 to 24.0% during the three months ended June 30, 2021. The Company recorded income tax expense of $8,865 and $4,072 for the three months ended June 30, 2021 and 2020, respectively. The increase in income tax expense was primarily as a result of higher profit during the three months ended June 30, 2021, compared to the three months ended June 30, 2020, partially offset by recording of a one-time tax expense of $1,320 due to election of a new tax regime, during the three months ended June 30, 2020, for two of the Company's Indian subsidiaries that provides for a lower tax rate on earnings in exchange for foregoing certain tax credits, including minimum alternative tax credits.</w:t>
      </w:r>
    </w:p>
    <w:p>
      <w:pPr>
        <w:spacing w:after="0" w:line="178" w:lineRule="exact"/>
        <w:rPr>
          <w:sz w:val="20"/>
          <w:szCs w:val="20"/>
          <w:color w:val="auto"/>
        </w:rPr>
      </w:pPr>
    </w:p>
    <w:p>
      <w:pPr>
        <w:jc w:val="both"/>
        <w:ind w:firstLine="411"/>
        <w:spacing w:after="0" w:line="220" w:lineRule="auto"/>
        <w:rPr>
          <w:sz w:val="20"/>
          <w:szCs w:val="20"/>
          <w:color w:val="auto"/>
        </w:rPr>
      </w:pPr>
      <w:r>
        <w:rPr>
          <w:rFonts w:ascii="Arial" w:cs="Arial" w:eastAsia="Arial" w:hAnsi="Arial"/>
          <w:sz w:val="17"/>
          <w:szCs w:val="17"/>
          <w:color w:val="auto"/>
        </w:rPr>
        <w:t>The Company's effective tax rate decreased from 24.3% during the six months ended June 30, 2020 to 22.9% during the six months ended June 30, 2021. The Company recorded income tax expense of $17,823 and $9,927 for the six months ended June 30, 2021 and 2020, respectively. The increase in the income tax expense was primarily as a result of higher profit during the six months ended June 30, 2021, compared to the six months ended June 30, 2020, which was partially offset by (i) recording of a one-time tax expense of $1,320 due to election of a new tax regime, during the six months ended June 30, 2020, for two of the Company's Indian subsidiaries that provides for a lower tax rate on earnings in exchange for foregoing certain tax credits, including minimum alternative tax credits and (ii) recording of higher excess tax benefits related to stock awards of $1,822 pursuant to ASU No. 2016-09 during the six months ended June 30, 2020, compared to $1,028 during the six months ended June 30, 2021.</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100" w:firstLine="411"/>
        <w:spacing w:after="0" w:line="253" w:lineRule="auto"/>
        <w:rPr>
          <w:sz w:val="20"/>
          <w:szCs w:val="20"/>
          <w:color w:val="auto"/>
        </w:rPr>
      </w:pPr>
      <w:r>
        <w:rPr>
          <w:rFonts w:ascii="Arial" w:cs="Arial" w:eastAsia="Arial" w:hAnsi="Arial"/>
          <w:sz w:val="15"/>
          <w:szCs w:val="15"/>
          <w:color w:val="auto"/>
        </w:rPr>
        <w:t>During the three months ended June 30, 2021, the Company repatriated to the United States $49,000 (net of $2,586 withholding taxes) from India, $42,500 (net of $7,494 withholding taxes) from the Philippines and $17,000 (net of $908 withholding taxes) from India in July 2021. As of June 30, 2021, the Company accrued withholding taxes of $10,988 associated with these distributions and increased the Company’s deferred tax assets. These distributions do not constitute a change in the Company’s permanent reinvestment assertion. The Company bases its decision to continue to indefinitely reinvest earnings in India and the Philippines on its estimate of the working capital required to support its operations in these geographies and periodically reviews its capital initiatives to support and expand the Company’s global operations, as well as an economically viable rate of return on its investments made in India and the Philippines as compared to those made in the United States.</w:t>
      </w: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Income tax (deferred) recognized in “Other comprehensive income / (loss)”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660" w:type="dxa"/>
            <w:vAlign w:val="bottom"/>
            <w:shd w:val="clear" w:color="auto" w:fill="CCEEFF"/>
          </w:tcPr>
          <w:p>
            <w:pPr>
              <w:spacing w:after="0"/>
              <w:rPr>
                <w:sz w:val="17"/>
                <w:szCs w:val="17"/>
                <w:color w:val="auto"/>
              </w:rPr>
            </w:pPr>
          </w:p>
        </w:tc>
        <w:tc>
          <w:tcPr>
            <w:tcW w:w="25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2980" w:type="dxa"/>
            <w:vAlign w:val="bottom"/>
            <w:tcBorders>
              <w:bottom w:val="single" w:sz="8" w:color="auto"/>
            </w:tcBorders>
            <w:gridSpan w:val="4"/>
            <w:shd w:val="clear" w:color="auto" w:fill="CCEEFF"/>
          </w:tcPr>
          <w:p>
            <w:pPr>
              <w:jc w:val="right"/>
              <w:ind w:right="738"/>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9"/>
        </w:trPr>
        <w:tc>
          <w:tcPr>
            <w:tcW w:w="46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8"/>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taxes benefit / (expense) recognized on:</w:t>
            </w: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color w:val="auto"/>
              </w:rPr>
              <w:t>Unrealized gain / (loss) on cash flow hedges</w:t>
            </w:r>
          </w:p>
        </w:tc>
        <w:tc>
          <w:tcPr>
            <w:tcW w:w="960" w:type="dxa"/>
            <w:vAlign w:val="bottom"/>
          </w:tcPr>
          <w:p>
            <w:pPr>
              <w:jc w:val="right"/>
              <w:ind w:right="781"/>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8"/>
                <w:szCs w:val="18"/>
                <w:color w:val="auto"/>
              </w:rPr>
            </w:pPr>
          </w:p>
        </w:tc>
        <w:tc>
          <w:tcPr>
            <w:tcW w:w="1000" w:type="dxa"/>
            <w:vAlign w:val="bottom"/>
          </w:tcPr>
          <w:p>
            <w:pPr>
              <w:jc w:val="right"/>
              <w:ind w:right="820"/>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(2,578)</w:t>
            </w:r>
          </w:p>
        </w:tc>
        <w:tc>
          <w:tcPr>
            <w:tcW w:w="8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(221)</w:t>
            </w:r>
          </w:p>
        </w:tc>
        <w:tc>
          <w:tcPr>
            <w:tcW w:w="80" w:type="dxa"/>
            <w:vAlign w:val="bottom"/>
          </w:tcPr>
          <w:p>
            <w:pPr>
              <w:spacing w:after="0"/>
              <w:rPr>
                <w:sz w:val="18"/>
                <w:szCs w:val="18"/>
                <w:color w:val="auto"/>
              </w:rPr>
            </w:pPr>
          </w:p>
        </w:tc>
        <w:tc>
          <w:tcPr>
            <w:tcW w:w="380" w:type="dxa"/>
            <w:vAlign w:val="bottom"/>
          </w:tcPr>
          <w:p>
            <w:pPr>
              <w:jc w:val="right"/>
              <w:ind w:right="197"/>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2,128</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Reclassification adjustment for cash flow hedges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2"/>
        </w:trPr>
        <w:tc>
          <w:tcPr>
            <w:tcW w:w="4660" w:type="dxa"/>
            <w:vAlign w:val="bottom"/>
          </w:tcPr>
          <w:p>
            <w:pPr>
              <w:ind w:left="20"/>
              <w:spacing w:after="0"/>
              <w:rPr>
                <w:sz w:val="20"/>
                <w:szCs w:val="20"/>
                <w:color w:val="auto"/>
              </w:rPr>
            </w:pPr>
            <w:r>
              <w:rPr>
                <w:rFonts w:ascii="Arial" w:cs="Arial" w:eastAsia="Arial" w:hAnsi="Arial"/>
                <w:sz w:val="17"/>
                <w:szCs w:val="17"/>
                <w:color w:val="auto"/>
              </w:rPr>
              <w:t>Reclassification adjustment for retirement benefits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tax rate changes on retirement benefits</w:t>
            </w:r>
          </w:p>
        </w:tc>
        <w:tc>
          <w:tcPr>
            <w:tcW w:w="9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12"/>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Foreign currency translation loss</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945</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4,291</w:t>
            </w:r>
          </w:p>
        </w:tc>
        <w:tc>
          <w:tcPr>
            <w:tcW w:w="0" w:type="dxa"/>
            <w:vAlign w:val="bottom"/>
          </w:tcPr>
          <w:p>
            <w:pPr>
              <w:spacing w:after="0"/>
              <w:rPr>
                <w:sz w:val="1"/>
                <w:szCs w:val="1"/>
                <w:color w:val="auto"/>
              </w:rPr>
            </w:pPr>
          </w:p>
        </w:tc>
      </w:tr>
      <w:tr>
        <w:trPr>
          <w:trHeight w:val="142"/>
        </w:trPr>
        <w:tc>
          <w:tcPr>
            <w:tcW w:w="4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Income tax benefit recognized in other comprehensive</w:t>
            </w:r>
          </w:p>
        </w:tc>
        <w:tc>
          <w:tcPr>
            <w:tcW w:w="960" w:type="dxa"/>
            <w:vAlign w:val="bottom"/>
            <w:vMerge w:val="restart"/>
            <w:shd w:val="clear" w:color="auto" w:fill="CCEEFF"/>
          </w:tcPr>
          <w:p>
            <w:pPr>
              <w:jc w:val="right"/>
              <w:ind w:right="781"/>
              <w:spacing w:after="0"/>
              <w:rPr>
                <w:sz w:val="20"/>
                <w:szCs w:val="20"/>
                <w:color w:val="auto"/>
              </w:rPr>
            </w:pPr>
            <w:r>
              <w:rPr>
                <w:rFonts w:ascii="Arial" w:cs="Arial" w:eastAsia="Arial" w:hAnsi="Arial"/>
                <w:sz w:val="17"/>
                <w:szCs w:val="17"/>
                <w:b w:val="1"/>
                <w:bCs w:val="1"/>
                <w:color w:val="auto"/>
                <w:w w:val="84"/>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8"/>
              </w:rPr>
              <w:t>1,478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820"/>
              <w:spacing w:after="0"/>
              <w:rPr>
                <w:sz w:val="20"/>
                <w:szCs w:val="20"/>
                <w:color w:val="auto"/>
              </w:rPr>
            </w:pPr>
            <w:r>
              <w:rPr>
                <w:rFonts w:ascii="Arial" w:cs="Arial" w:eastAsia="Arial" w:hAnsi="Arial"/>
                <w:sz w:val="17"/>
                <w:szCs w:val="17"/>
                <w:b w:val="1"/>
                <w:bCs w:val="1"/>
                <w:color w:val="auto"/>
                <w:w w:val="84"/>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(2,388)</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1,702</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7"/>
              <w:spacing w:after="0"/>
              <w:rPr>
                <w:sz w:val="20"/>
                <w:szCs w:val="20"/>
                <w:color w:val="auto"/>
              </w:rPr>
            </w:pPr>
            <w:r>
              <w:rPr>
                <w:rFonts w:ascii="Arial" w:cs="Arial" w:eastAsia="Arial" w:hAnsi="Arial"/>
                <w:sz w:val="17"/>
                <w:szCs w:val="17"/>
                <w:b w:val="1"/>
                <w:bCs w:val="1"/>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6,645</w:t>
            </w:r>
          </w:p>
        </w:tc>
        <w:tc>
          <w:tcPr>
            <w:tcW w:w="0" w:type="dxa"/>
            <w:vAlign w:val="bottom"/>
          </w:tcPr>
          <w:p>
            <w:pPr>
              <w:spacing w:after="0"/>
              <w:rPr>
                <w:sz w:val="1"/>
                <w:szCs w:val="1"/>
                <w:color w:val="auto"/>
              </w:rPr>
            </w:pPr>
          </w:p>
        </w:tc>
      </w:tr>
      <w:tr>
        <w:trPr>
          <w:trHeight w:val="207"/>
        </w:trPr>
        <w:tc>
          <w:tcPr>
            <w:tcW w:w="466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b w:val="1"/>
                <w:bCs w:val="1"/>
                <w:color w:val="auto"/>
              </w:rPr>
              <w:t>income / (loss)</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Stock-Based Compensation</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109"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3"/>
                <w:szCs w:val="13"/>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3"/>
                <w:szCs w:val="13"/>
                <w:b w:val="1"/>
                <w:bCs w:val="1"/>
                <w:color w:val="auto"/>
              </w:rPr>
              <w:t>Six months ended June 30,</w:t>
            </w:r>
          </w:p>
        </w:tc>
      </w:tr>
      <w:tr>
        <w:trPr>
          <w:trHeight w:val="171"/>
        </w:trPr>
        <w:tc>
          <w:tcPr>
            <w:tcW w:w="4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3"/>
                <w:szCs w:val="13"/>
                <w:b w:val="1"/>
                <w:bCs w:val="1"/>
                <w:color w:val="auto"/>
              </w:rPr>
              <w:t>2020</w:t>
            </w:r>
          </w:p>
        </w:tc>
      </w:tr>
      <w:tr>
        <w:trPr>
          <w:trHeight w:val="206"/>
        </w:trPr>
        <w:tc>
          <w:tcPr>
            <w:tcW w:w="430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color w:val="auto"/>
              </w:rPr>
              <w:t>Cost of revenues</w:t>
            </w:r>
          </w:p>
        </w:tc>
        <w:tc>
          <w:tcPr>
            <w:tcW w:w="6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1,624</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3,042</w:t>
            </w:r>
          </w:p>
        </w:tc>
      </w:tr>
      <w:tr>
        <w:trPr>
          <w:trHeight w:val="212"/>
        </w:trPr>
        <w:tc>
          <w:tcPr>
            <w:tcW w:w="4300" w:type="dxa"/>
            <w:vAlign w:val="bottom"/>
          </w:tcPr>
          <w:p>
            <w:pPr>
              <w:ind w:left="380"/>
              <w:spacing w:after="0"/>
              <w:rPr>
                <w:sz w:val="20"/>
                <w:szCs w:val="20"/>
                <w:color w:val="auto"/>
              </w:rPr>
            </w:pPr>
            <w:r>
              <w:rPr>
                <w:rFonts w:ascii="Arial" w:cs="Arial" w:eastAsia="Arial" w:hAnsi="Arial"/>
                <w:sz w:val="17"/>
                <w:szCs w:val="17"/>
                <w:color w:val="auto"/>
              </w:rPr>
              <w:t>General and administrative expenses</w:t>
            </w:r>
          </w:p>
        </w:tc>
        <w:tc>
          <w:tcPr>
            <w:tcW w:w="6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4,608</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3,112</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7,906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4,680</w:t>
            </w:r>
          </w:p>
        </w:tc>
      </w:tr>
      <w:tr>
        <w:trPr>
          <w:trHeight w:val="212"/>
        </w:trPr>
        <w:tc>
          <w:tcPr>
            <w:tcW w:w="43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Selling and marketing expenses</w:t>
            </w:r>
          </w:p>
        </w:tc>
        <w:tc>
          <w:tcPr>
            <w:tcW w:w="6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2,990</w:t>
            </w:r>
          </w:p>
        </w:tc>
        <w:tc>
          <w:tcPr>
            <w:tcW w:w="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6,606</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4,782</w:t>
            </w:r>
          </w:p>
        </w:tc>
      </w:tr>
      <w:tr>
        <w:trPr>
          <w:trHeight w:val="204"/>
        </w:trPr>
        <w:tc>
          <w:tcPr>
            <w:tcW w:w="4300" w:type="dxa"/>
            <w:vAlign w:val="bottom"/>
          </w:tcPr>
          <w:p>
            <w:pPr>
              <w:ind w:left="380"/>
              <w:spacing w:after="0" w:line="192" w:lineRule="exact"/>
              <w:rPr>
                <w:sz w:val="20"/>
                <w:szCs w:val="20"/>
                <w:color w:val="auto"/>
              </w:rPr>
            </w:pPr>
            <w:r>
              <w:rPr>
                <w:rFonts w:ascii="Arial" w:cs="Arial" w:eastAsia="Arial" w:hAnsi="Arial"/>
                <w:sz w:val="17"/>
                <w:szCs w:val="17"/>
                <w:color w:val="auto"/>
              </w:rPr>
              <w:t>Total</w:t>
            </w: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10,070</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582"/>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7,726</w:t>
            </w:r>
          </w:p>
        </w:tc>
        <w:tc>
          <w:tcPr>
            <w:tcW w:w="80" w:type="dxa"/>
            <w:vAlign w:val="bottom"/>
          </w:tcPr>
          <w:p>
            <w:pPr>
              <w:spacing w:after="0"/>
              <w:rPr>
                <w:sz w:val="17"/>
                <w:szCs w:val="17"/>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17,902</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12,504</w:t>
            </w:r>
          </w:p>
        </w:tc>
      </w:tr>
      <w:tr>
        <w:trPr>
          <w:trHeight w:val="20"/>
        </w:trPr>
        <w:tc>
          <w:tcPr>
            <w:tcW w:w="4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2021, the Company had 1,892,706 shares available for grant under the 2018 Omnibus Incentive Plan.</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Stock Options</w:t>
      </w:r>
    </w:p>
    <w:p>
      <w:pPr>
        <w:spacing w:after="0" w:line="22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Stock option activity under the Company’s stock-based compensation plans is shown below:</w:t>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38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2"/>
              </w:rPr>
              <w:t>Weighted-Average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0"/>
              </w:rPr>
              <w:t>Aggregate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1"/>
              </w:rPr>
              <w:t>Weighted-Average</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80" w:type="dxa"/>
            <w:vAlign w:val="bottom"/>
            <w:gridSpan w:val="2"/>
            <w:vMerge w:val="restart"/>
          </w:tcPr>
          <w:p>
            <w:pPr>
              <w:jc w:val="center"/>
              <w:ind w:right="100"/>
              <w:spacing w:after="0" w:line="125"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25" w:lineRule="exact"/>
              <w:rPr>
                <w:sz w:val="20"/>
                <w:szCs w:val="20"/>
                <w:color w:val="auto"/>
              </w:rPr>
            </w:pPr>
            <w:r>
              <w:rPr>
                <w:rFonts w:ascii="Arial" w:cs="Arial" w:eastAsia="Arial" w:hAnsi="Arial"/>
                <w:sz w:val="13"/>
                <w:szCs w:val="13"/>
                <w:b w:val="1"/>
                <w:bCs w:val="1"/>
                <w:color w:val="auto"/>
                <w:w w:val="93"/>
              </w:rPr>
              <w:t>Remaining</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jc w:val="center"/>
              <w:ind w:right="200"/>
              <w:spacing w:after="0" w:line="125" w:lineRule="exact"/>
              <w:rPr>
                <w:sz w:val="20"/>
                <w:szCs w:val="20"/>
                <w:color w:val="auto"/>
              </w:rPr>
            </w:pPr>
            <w:r>
              <w:rPr>
                <w:rFonts w:ascii="Arial" w:cs="Arial" w:eastAsia="Arial" w:hAnsi="Arial"/>
                <w:sz w:val="13"/>
                <w:szCs w:val="13"/>
                <w:b w:val="1"/>
                <w:bCs w:val="1"/>
                <w:color w:val="auto"/>
                <w:w w:val="85"/>
              </w:rPr>
              <w:t>Exercise</w:t>
            </w:r>
          </w:p>
        </w:tc>
        <w:tc>
          <w:tcPr>
            <w:tcW w:w="220" w:type="dxa"/>
            <w:vAlign w:val="bottom"/>
          </w:tcPr>
          <w:p>
            <w:pPr>
              <w:spacing w:after="0"/>
              <w:rPr>
                <w:sz w:val="5"/>
                <w:szCs w:val="5"/>
                <w:color w:val="auto"/>
              </w:rPr>
            </w:pPr>
          </w:p>
        </w:tc>
        <w:tc>
          <w:tcPr>
            <w:tcW w:w="1160" w:type="dxa"/>
            <w:vAlign w:val="bottom"/>
            <w:gridSpan w:val="2"/>
            <w:vMerge w:val="restart"/>
          </w:tcPr>
          <w:p>
            <w:pPr>
              <w:jc w:val="center"/>
              <w:ind w:right="320"/>
              <w:spacing w:after="0" w:line="125" w:lineRule="exact"/>
              <w:rPr>
                <w:sz w:val="20"/>
                <w:szCs w:val="20"/>
                <w:color w:val="auto"/>
              </w:rPr>
            </w:pPr>
            <w:r>
              <w:rPr>
                <w:rFonts w:ascii="Arial" w:cs="Arial" w:eastAsia="Arial" w:hAnsi="Arial"/>
                <w:sz w:val="13"/>
                <w:szCs w:val="13"/>
                <w:b w:val="1"/>
                <w:bCs w:val="1"/>
                <w:color w:val="auto"/>
                <w:w w:val="94"/>
              </w:rPr>
              <w:t>Intrinsic</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80" w:type="dxa"/>
            <w:vAlign w:val="bottom"/>
            <w:gridSpan w:val="2"/>
            <w:vMerge w:val="restart"/>
          </w:tcPr>
          <w:p>
            <w:pPr>
              <w:jc w:val="center"/>
              <w:ind w:right="100"/>
              <w:spacing w:after="0" w:line="125"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60" w:type="dxa"/>
            <w:vAlign w:val="bottom"/>
            <w:vMerge w:val="restart"/>
          </w:tcPr>
          <w:p>
            <w:pPr>
              <w:jc w:val="center"/>
              <w:spacing w:after="0" w:line="125" w:lineRule="exact"/>
              <w:rPr>
                <w:sz w:val="20"/>
                <w:szCs w:val="20"/>
                <w:color w:val="auto"/>
              </w:rPr>
            </w:pPr>
            <w:r>
              <w:rPr>
                <w:rFonts w:ascii="Arial" w:cs="Arial" w:eastAsia="Arial" w:hAnsi="Arial"/>
                <w:sz w:val="13"/>
                <w:szCs w:val="13"/>
                <w:b w:val="1"/>
                <w:bCs w:val="1"/>
                <w:color w:val="auto"/>
                <w:w w:val="94"/>
              </w:rPr>
              <w:t>Contractual</w:t>
            </w:r>
          </w:p>
        </w:tc>
        <w:tc>
          <w:tcPr>
            <w:tcW w:w="0" w:type="dxa"/>
            <w:vAlign w:val="bottom"/>
          </w:tcPr>
          <w:p>
            <w:pPr>
              <w:spacing w:after="0"/>
              <w:rPr>
                <w:sz w:val="1"/>
                <w:szCs w:val="1"/>
                <w:color w:val="auto"/>
              </w:rPr>
            </w:pPr>
          </w:p>
        </w:tc>
      </w:tr>
      <w:tr>
        <w:trPr>
          <w:trHeight w:val="62"/>
        </w:trPr>
        <w:tc>
          <w:tcPr>
            <w:tcW w:w="488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Price</w:t>
            </w:r>
          </w:p>
        </w:tc>
        <w:tc>
          <w:tcPr>
            <w:tcW w:w="220" w:type="dxa"/>
            <w:vAlign w:val="bottom"/>
          </w:tcPr>
          <w:p>
            <w:pPr>
              <w:spacing w:after="0"/>
              <w:rPr>
                <w:sz w:val="5"/>
                <w:szCs w:val="5"/>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92"/>
              </w:rPr>
              <w:t>Value</w:t>
            </w: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48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Life (Years)</w:t>
            </w:r>
          </w:p>
        </w:tc>
        <w:tc>
          <w:tcPr>
            <w:tcW w:w="0" w:type="dxa"/>
            <w:vAlign w:val="bottom"/>
          </w:tcPr>
          <w:p>
            <w:pPr>
              <w:spacing w:after="0"/>
              <w:rPr>
                <w:sz w:val="1"/>
                <w:szCs w:val="1"/>
                <w:color w:val="auto"/>
              </w:rPr>
            </w:pPr>
          </w:p>
        </w:tc>
      </w:tr>
      <w:tr>
        <w:trPr>
          <w:trHeight w:val="63"/>
        </w:trPr>
        <w:tc>
          <w:tcPr>
            <w:tcW w:w="4880" w:type="dxa"/>
            <w:vAlign w:val="bottom"/>
            <w:tcBorders>
              <w:bottom w:val="single" w:sz="8" w:color="CCEEFF"/>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8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Outstanding at December 31, 2020</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31,265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1,866</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7"/>
                <w:szCs w:val="17"/>
                <w:color w:val="auto"/>
                <w:w w:val="84"/>
              </w:rPr>
              <w:t>1.9</w:t>
            </w:r>
          </w:p>
        </w:tc>
        <w:tc>
          <w:tcPr>
            <w:tcW w:w="0" w:type="dxa"/>
            <w:vAlign w:val="bottom"/>
          </w:tcPr>
          <w:p>
            <w:pPr>
              <w:spacing w:after="0"/>
              <w:rPr>
                <w:sz w:val="1"/>
                <w:szCs w:val="1"/>
                <w:color w:val="auto"/>
              </w:rPr>
            </w:pPr>
          </w:p>
        </w:tc>
      </w:tr>
      <w:tr>
        <w:trPr>
          <w:trHeight w:val="212"/>
        </w:trPr>
        <w:tc>
          <w:tcPr>
            <w:tcW w:w="4880" w:type="dxa"/>
            <w:vAlign w:val="bottom"/>
          </w:tcPr>
          <w:p>
            <w:pPr>
              <w:ind w:left="400"/>
              <w:spacing w:after="0"/>
              <w:rPr>
                <w:sz w:val="20"/>
                <w:szCs w:val="20"/>
                <w:color w:val="auto"/>
              </w:rPr>
            </w:pPr>
            <w:r>
              <w:rPr>
                <w:rFonts w:ascii="Arial" w:cs="Arial" w:eastAsia="Arial" w:hAnsi="Arial"/>
                <w:sz w:val="17"/>
                <w:szCs w:val="17"/>
                <w:color w:val="auto"/>
              </w:rPr>
              <w:t>Granted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Exercised</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880" w:type="dxa"/>
            <w:vAlign w:val="bottom"/>
          </w:tcPr>
          <w:p>
            <w:pPr>
              <w:ind w:left="400"/>
              <w:spacing w:after="0"/>
              <w:rPr>
                <w:sz w:val="20"/>
                <w:szCs w:val="20"/>
                <w:color w:val="auto"/>
              </w:rPr>
            </w:pPr>
            <w:r>
              <w:rPr>
                <w:rFonts w:ascii="Arial" w:cs="Arial" w:eastAsia="Arial" w:hAnsi="Arial"/>
                <w:sz w:val="17"/>
                <w:szCs w:val="17"/>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260" w:type="dxa"/>
            <w:vAlign w:val="bottom"/>
          </w:tcPr>
          <w:p>
            <w:pPr>
              <w:ind w:left="10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9"/>
        </w:trPr>
        <w:tc>
          <w:tcPr>
            <w:tcW w:w="4880" w:type="dxa"/>
            <w:vAlign w:val="bottom"/>
            <w:tcBorders>
              <w:top w:val="single" w:sz="8" w:color="CCEEFF"/>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Outstanding at June 30, 2021</w:t>
            </w:r>
          </w:p>
        </w:tc>
        <w:tc>
          <w:tcPr>
            <w:tcW w:w="12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24,249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7"/>
                <w:szCs w:val="17"/>
                <w:color w:val="auto"/>
                <w:w w:val="84"/>
              </w:rPr>
              <w:t>1.6</w:t>
            </w:r>
          </w:p>
        </w:tc>
        <w:tc>
          <w:tcPr>
            <w:tcW w:w="0" w:type="dxa"/>
            <w:vAlign w:val="bottom"/>
          </w:tcPr>
          <w:p>
            <w:pPr>
              <w:spacing w:after="0"/>
              <w:rPr>
                <w:sz w:val="1"/>
                <w:szCs w:val="1"/>
                <w:color w:val="auto"/>
              </w:rPr>
            </w:pPr>
          </w:p>
        </w:tc>
      </w:tr>
      <w:tr>
        <w:trPr>
          <w:trHeight w:val="182"/>
        </w:trPr>
        <w:tc>
          <w:tcPr>
            <w:tcW w:w="4880" w:type="dxa"/>
            <w:vAlign w:val="bottom"/>
            <w:tcBorders>
              <w:top w:val="single" w:sz="8" w:color="CCEEFF"/>
            </w:tcBorders>
          </w:tcPr>
          <w:p>
            <w:pPr>
              <w:ind w:left="20"/>
              <w:spacing w:after="0" w:line="182" w:lineRule="exact"/>
              <w:rPr>
                <w:sz w:val="20"/>
                <w:szCs w:val="20"/>
                <w:color w:val="auto"/>
              </w:rPr>
            </w:pPr>
            <w:r>
              <w:rPr>
                <w:rFonts w:ascii="Arial" w:cs="Arial" w:eastAsia="Arial" w:hAnsi="Arial"/>
                <w:sz w:val="17"/>
                <w:szCs w:val="17"/>
                <w:color w:val="auto"/>
              </w:rPr>
              <w:t>Vested and exercisable at June 30, 2021</w:t>
            </w:r>
          </w:p>
        </w:tc>
        <w:tc>
          <w:tcPr>
            <w:tcW w:w="1280" w:type="dxa"/>
            <w:vAlign w:val="bottom"/>
            <w:tcBorders>
              <w:top w:val="single" w:sz="8" w:color="auto"/>
              <w:bottom w:val="single" w:sz="8" w:color="auto"/>
            </w:tcBorders>
          </w:tcPr>
          <w:p>
            <w:pPr>
              <w:jc w:val="right"/>
              <w:ind w:right="1"/>
              <w:spacing w:after="0" w:line="182" w:lineRule="exact"/>
              <w:rPr>
                <w:sz w:val="20"/>
                <w:szCs w:val="20"/>
                <w:color w:val="auto"/>
              </w:rPr>
            </w:pPr>
            <w:r>
              <w:rPr>
                <w:rFonts w:ascii="Arial" w:cs="Arial" w:eastAsia="Arial" w:hAnsi="Arial"/>
                <w:sz w:val="17"/>
                <w:szCs w:val="17"/>
                <w:b w:val="1"/>
                <w:bCs w:val="1"/>
                <w:color w:val="auto"/>
              </w:rPr>
              <w:t>24,249</w:t>
            </w:r>
          </w:p>
        </w:tc>
        <w:tc>
          <w:tcPr>
            <w:tcW w:w="10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w w:val="84"/>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25.63</w:t>
            </w:r>
          </w:p>
        </w:tc>
        <w:tc>
          <w:tcPr>
            <w:tcW w:w="10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37"/>
              <w:spacing w:after="0" w:line="182" w:lineRule="exact"/>
              <w:rPr>
                <w:sz w:val="20"/>
                <w:szCs w:val="20"/>
                <w:color w:val="auto"/>
              </w:rPr>
            </w:pPr>
            <w:r>
              <w:rPr>
                <w:rFonts w:ascii="Arial" w:cs="Arial" w:eastAsia="Arial" w:hAnsi="Arial"/>
                <w:sz w:val="17"/>
                <w:szCs w:val="17"/>
                <w:b w:val="1"/>
                <w:bCs w:val="1"/>
                <w:color w:val="auto"/>
                <w:w w:val="84"/>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7"/>
                <w:szCs w:val="17"/>
                <w:b w:val="1"/>
                <w:bCs w:val="1"/>
                <w:color w:val="auto"/>
              </w:rPr>
              <w:t>1,955</w:t>
            </w:r>
          </w:p>
        </w:tc>
        <w:tc>
          <w:tcPr>
            <w:tcW w:w="100" w:type="dxa"/>
            <w:vAlign w:val="bottom"/>
            <w:tcBorders>
              <w:top w:val="single" w:sz="8" w:color="CCEEFF"/>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ind w:left="1040"/>
              <w:spacing w:after="0" w:line="182" w:lineRule="exact"/>
              <w:rPr>
                <w:sz w:val="20"/>
                <w:szCs w:val="20"/>
                <w:color w:val="auto"/>
              </w:rPr>
            </w:pPr>
            <w:r>
              <w:rPr>
                <w:rFonts w:ascii="Arial" w:cs="Arial" w:eastAsia="Arial" w:hAnsi="Arial"/>
                <w:sz w:val="17"/>
                <w:szCs w:val="17"/>
                <w:color w:val="auto"/>
                <w:w w:val="84"/>
              </w:rPr>
              <w:t>1.6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Restricted Stock Units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Restricted stock unit activity under the Company’s stock-based compensation plans is shown below:</w:t>
      </w:r>
    </w:p>
    <w:p>
      <w:pPr>
        <w:spacing w:after="0" w:line="121"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594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3"/>
                <w:szCs w:val="13"/>
                <w:b w:val="1"/>
                <w:bCs w:val="1"/>
                <w:color w:val="auto"/>
                <w:w w:val="91"/>
              </w:rPr>
              <w:t>Restricted Stock</w:t>
            </w:r>
          </w:p>
        </w:tc>
        <w:tc>
          <w:tcPr>
            <w:tcW w:w="0" w:type="dxa"/>
            <w:vAlign w:val="bottom"/>
          </w:tcPr>
          <w:p>
            <w:pPr>
              <w:spacing w:after="0"/>
              <w:rPr>
                <w:sz w:val="1"/>
                <w:szCs w:val="1"/>
                <w:color w:val="auto"/>
              </w:rPr>
            </w:pPr>
          </w:p>
        </w:tc>
      </w:tr>
      <w:tr>
        <w:trPr>
          <w:trHeight w:val="122"/>
        </w:trPr>
        <w:tc>
          <w:tcPr>
            <w:tcW w:w="5940" w:type="dxa"/>
            <w:vAlign w:val="bottom"/>
          </w:tcPr>
          <w:p>
            <w:pPr>
              <w:spacing w:after="0"/>
              <w:rPr>
                <w:sz w:val="10"/>
                <w:szCs w:val="10"/>
                <w:color w:val="auto"/>
              </w:rPr>
            </w:pPr>
          </w:p>
        </w:tc>
        <w:tc>
          <w:tcPr>
            <w:tcW w:w="1320" w:type="dxa"/>
            <w:vAlign w:val="bottom"/>
            <w:vMerge w:val="restart"/>
          </w:tcPr>
          <w:p>
            <w:pPr>
              <w:jc w:val="right"/>
              <w:ind w:right="160"/>
              <w:spacing w:after="0"/>
              <w:rPr>
                <w:sz w:val="20"/>
                <w:szCs w:val="20"/>
                <w:color w:val="auto"/>
              </w:rPr>
            </w:pPr>
            <w:r>
              <w:rPr>
                <w:rFonts w:ascii="Arial" w:cs="Arial" w:eastAsia="Arial" w:hAnsi="Arial"/>
                <w:sz w:val="13"/>
                <w:szCs w:val="13"/>
                <w:b w:val="1"/>
                <w:bCs w:val="1"/>
                <w:color w:val="auto"/>
              </w:rPr>
              <w:t>Number</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jc w:val="right"/>
              <w:ind w:right="122"/>
              <w:spacing w:after="0" w:line="123" w:lineRule="exact"/>
              <w:rPr>
                <w:sz w:val="20"/>
                <w:szCs w:val="20"/>
                <w:color w:val="auto"/>
              </w:rPr>
            </w:pPr>
            <w:r>
              <w:rPr>
                <w:rFonts w:ascii="Arial" w:cs="Arial" w:eastAsia="Arial" w:hAnsi="Arial"/>
                <w:sz w:val="13"/>
                <w:szCs w:val="13"/>
                <w:b w:val="1"/>
                <w:bCs w:val="1"/>
                <w:color w:val="auto"/>
                <w:w w:val="95"/>
              </w:rPr>
              <w:t>Weighted Average</w:t>
            </w:r>
          </w:p>
        </w:tc>
        <w:tc>
          <w:tcPr>
            <w:tcW w:w="0" w:type="dxa"/>
            <w:vAlign w:val="bottom"/>
          </w:tcPr>
          <w:p>
            <w:pPr>
              <w:spacing w:after="0"/>
              <w:rPr>
                <w:sz w:val="1"/>
                <w:szCs w:val="1"/>
                <w:color w:val="auto"/>
              </w:rPr>
            </w:pPr>
          </w:p>
        </w:tc>
      </w:tr>
      <w:tr>
        <w:trPr>
          <w:trHeight w:val="102"/>
        </w:trPr>
        <w:tc>
          <w:tcPr>
            <w:tcW w:w="594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00" w:type="dxa"/>
            <w:vAlign w:val="bottom"/>
            <w:vMerge w:val="restart"/>
          </w:tcPr>
          <w:p>
            <w:pPr>
              <w:jc w:val="right"/>
              <w:ind w:right="542"/>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71"/>
        </w:trPr>
        <w:tc>
          <w:tcPr>
            <w:tcW w:w="5940" w:type="dxa"/>
            <w:vAlign w:val="bottom"/>
            <w:tcBorders>
              <w:bottom w:val="single" w:sz="8" w:color="CCEEFF"/>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ind w:left="380"/>
              <w:spacing w:after="0" w:line="194" w:lineRule="exact"/>
              <w:rPr>
                <w:sz w:val="20"/>
                <w:szCs w:val="20"/>
                <w:color w:val="auto"/>
              </w:rPr>
            </w:pPr>
            <w:r>
              <w:rPr>
                <w:rFonts w:ascii="Arial" w:cs="Arial" w:eastAsia="Arial" w:hAnsi="Arial"/>
                <w:sz w:val="17"/>
                <w:szCs w:val="17"/>
                <w:color w:val="auto"/>
              </w:rPr>
              <w:t>Outstanding at December 31, 2020*</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903,666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67.84</w:t>
            </w:r>
          </w:p>
        </w:tc>
        <w:tc>
          <w:tcPr>
            <w:tcW w:w="0" w:type="dxa"/>
            <w:vAlign w:val="bottom"/>
          </w:tcPr>
          <w:p>
            <w:pPr>
              <w:spacing w:after="0"/>
              <w:rPr>
                <w:sz w:val="1"/>
                <w:szCs w:val="1"/>
                <w:color w:val="auto"/>
              </w:rPr>
            </w:pPr>
          </w:p>
        </w:tc>
      </w:tr>
      <w:tr>
        <w:trPr>
          <w:trHeight w:val="212"/>
        </w:trPr>
        <w:tc>
          <w:tcPr>
            <w:tcW w:w="5940" w:type="dxa"/>
            <w:vAlign w:val="bottom"/>
          </w:tcPr>
          <w:p>
            <w:pPr>
              <w:ind w:left="760"/>
              <w:spacing w:after="0"/>
              <w:rPr>
                <w:sz w:val="20"/>
                <w:szCs w:val="20"/>
                <w:color w:val="auto"/>
              </w:rPr>
            </w:pPr>
            <w:r>
              <w:rPr>
                <w:rFonts w:ascii="Arial" w:cs="Arial" w:eastAsia="Arial" w:hAnsi="Arial"/>
                <w:sz w:val="17"/>
                <w:szCs w:val="17"/>
                <w:color w:val="auto"/>
              </w:rPr>
              <w:t>Granted</w:t>
            </w:r>
          </w:p>
        </w:tc>
        <w:tc>
          <w:tcPr>
            <w:tcW w:w="1320" w:type="dxa"/>
            <w:vAlign w:val="bottom"/>
          </w:tcPr>
          <w:p>
            <w:pPr>
              <w:jc w:val="right"/>
              <w:spacing w:after="0"/>
              <w:rPr>
                <w:sz w:val="20"/>
                <w:szCs w:val="20"/>
                <w:color w:val="auto"/>
              </w:rPr>
            </w:pPr>
            <w:r>
              <w:rPr>
                <w:rFonts w:ascii="Arial" w:cs="Arial" w:eastAsia="Arial" w:hAnsi="Arial"/>
                <w:sz w:val="17"/>
                <w:szCs w:val="17"/>
                <w:color w:val="auto"/>
              </w:rPr>
              <w:t>356,177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84.59</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(327,689)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63.74</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CCEEFF"/>
            </w:tcBorders>
          </w:tcPr>
          <w:p>
            <w:pPr>
              <w:ind w:left="760"/>
              <w:spacing w:after="0"/>
              <w:rPr>
                <w:sz w:val="20"/>
                <w:szCs w:val="20"/>
                <w:color w:val="auto"/>
              </w:rPr>
            </w:pPr>
            <w:r>
              <w:rPr>
                <w:rFonts w:ascii="Arial" w:cs="Arial" w:eastAsia="Arial" w:hAnsi="Arial"/>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(31,491)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71.32</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380"/>
              <w:spacing w:after="0" w:line="192" w:lineRule="exact"/>
              <w:rPr>
                <w:sz w:val="20"/>
                <w:szCs w:val="20"/>
                <w:color w:val="auto"/>
              </w:rPr>
            </w:pPr>
            <w:r>
              <w:rPr>
                <w:rFonts w:ascii="Arial" w:cs="Arial" w:eastAsia="Arial" w:hAnsi="Arial"/>
                <w:sz w:val="17"/>
                <w:szCs w:val="17"/>
                <w:color w:val="auto"/>
              </w:rPr>
              <w:t>Outstanding at June 30, 2021*</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900,663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75.83</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firstLine="374"/>
        <w:spacing w:after="0" w:line="237" w:lineRule="auto"/>
        <w:tabs>
          <w:tab w:leader="none" w:pos="509"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As of June 30, 2021 and December 31, 2020 restricted stock units vested for which the underlying common stock is yet to be issued was 200,542 and 181,638 respectively.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2021, unrecognized compensation cost of $57,540 is expected to be expensed over a weighted average period of 2.8 years.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Based Stock Awards</w:t>
      </w:r>
    </w:p>
    <w:p>
      <w:pPr>
        <w:spacing w:after="0" w:line="220"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6"/>
          <w:szCs w:val="16"/>
          <w:color w:val="auto"/>
        </w:rPr>
        <w:t>Under the 2018 Plan, the Company grants performance-based restricted stock units (“PRSUs”) to executive officers and other specified employees. During the six months ended June 30, 2021, the Company granted PRSUs that cliff vest at the end of a three year period based on a market condition that is contingent on the Company's meeting the total shareholder return relative to a group of peer companies specified under the program measured over a three-year performance period. The award recipient may earn up to two hundred percent (200%) of the PRSUs granted based on the actual achievement of targets.</w:t>
      </w:r>
    </w:p>
    <w:p>
      <w:pPr>
        <w:spacing w:after="0" w:line="19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Performance restricted stock unit activity under the Company’s stock plans is shown below:</w:t>
      </w:r>
    </w:p>
    <w:p>
      <w:pPr>
        <w:spacing w:after="0" w:line="109"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3100" w:type="dxa"/>
            <w:vAlign w:val="bottom"/>
            <w:gridSpan w:val="5"/>
          </w:tcPr>
          <w:p>
            <w:pPr>
              <w:ind w:left="1040"/>
              <w:spacing w:after="0"/>
              <w:rPr>
                <w:sz w:val="20"/>
                <w:szCs w:val="20"/>
                <w:color w:val="auto"/>
              </w:rPr>
            </w:pPr>
            <w:r>
              <w:rPr>
                <w:rFonts w:ascii="Arial" w:cs="Arial" w:eastAsia="Arial" w:hAnsi="Arial"/>
                <w:sz w:val="13"/>
                <w:szCs w:val="13"/>
                <w:b w:val="1"/>
                <w:bCs w:val="1"/>
                <w:color w:val="auto"/>
              </w:rPr>
              <w:t>Revenue Based PRSUs</w:t>
            </w:r>
          </w:p>
        </w:tc>
        <w:tc>
          <w:tcPr>
            <w:tcW w:w="3020" w:type="dxa"/>
            <w:vAlign w:val="bottom"/>
            <w:gridSpan w:val="4"/>
          </w:tcPr>
          <w:p>
            <w:pPr>
              <w:jc w:val="right"/>
              <w:ind w:right="342"/>
              <w:spacing w:after="0"/>
              <w:rPr>
                <w:sz w:val="20"/>
                <w:szCs w:val="20"/>
                <w:color w:val="auto"/>
              </w:rPr>
            </w:pPr>
            <w:r>
              <w:rPr>
                <w:rFonts w:ascii="Arial" w:cs="Arial" w:eastAsia="Arial" w:hAnsi="Arial"/>
                <w:sz w:val="13"/>
                <w:szCs w:val="13"/>
                <w:b w:val="1"/>
                <w:bCs w:val="1"/>
                <w:color w:val="auto"/>
              </w:rPr>
              <w:t>Market Condition Based PRSUs</w:t>
            </w:r>
          </w:p>
        </w:tc>
        <w:tc>
          <w:tcPr>
            <w:tcW w:w="0" w:type="dxa"/>
            <w:vAlign w:val="bottom"/>
          </w:tcPr>
          <w:p>
            <w:pPr>
              <w:spacing w:after="0"/>
              <w:rPr>
                <w:sz w:val="1"/>
                <w:szCs w:val="1"/>
                <w:color w:val="auto"/>
              </w:rPr>
            </w:pPr>
          </w:p>
        </w:tc>
      </w:tr>
      <w:tr>
        <w:trPr>
          <w:trHeight w:val="122"/>
        </w:trPr>
        <w:tc>
          <w:tcPr>
            <w:tcW w:w="4320" w:type="dxa"/>
            <w:vAlign w:val="bottom"/>
          </w:tcPr>
          <w:p>
            <w:pPr>
              <w:spacing w:after="0"/>
              <w:rPr>
                <w:sz w:val="10"/>
                <w:szCs w:val="10"/>
                <w:color w:val="auto"/>
              </w:rPr>
            </w:pPr>
          </w:p>
        </w:tc>
        <w:tc>
          <w:tcPr>
            <w:tcW w:w="136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3"/>
                <w:szCs w:val="13"/>
                <w:b w:val="1"/>
                <w:bCs w:val="1"/>
                <w:color w:val="auto"/>
              </w:rPr>
              <w:t>Number</w:t>
            </w:r>
          </w:p>
        </w:tc>
        <w:tc>
          <w:tcPr>
            <w:tcW w:w="4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3"/>
                <w:szCs w:val="13"/>
                <w:b w:val="1"/>
                <w:bCs w:val="1"/>
                <w:color w:val="auto"/>
                <w:w w:val="89"/>
              </w:rPr>
              <w:t>Weighted Average</w:t>
            </w:r>
          </w:p>
        </w:tc>
        <w:tc>
          <w:tcPr>
            <w:tcW w:w="100" w:type="dxa"/>
            <w:vAlign w:val="bottom"/>
          </w:tcPr>
          <w:p>
            <w:pPr>
              <w:spacing w:after="0"/>
              <w:rPr>
                <w:sz w:val="10"/>
                <w:szCs w:val="10"/>
                <w:color w:val="auto"/>
              </w:rPr>
            </w:pPr>
          </w:p>
        </w:tc>
        <w:tc>
          <w:tcPr>
            <w:tcW w:w="1380" w:type="dxa"/>
            <w:vAlign w:val="bottom"/>
            <w:tcBorders>
              <w:top w:val="single" w:sz="8" w:color="auto"/>
            </w:tcBorders>
            <w:gridSpan w:val="2"/>
            <w:vMerge w:val="restart"/>
          </w:tcPr>
          <w:p>
            <w:pPr>
              <w:ind w:left="580"/>
              <w:spacing w:after="0"/>
              <w:rPr>
                <w:sz w:val="20"/>
                <w:szCs w:val="20"/>
                <w:color w:val="auto"/>
              </w:rPr>
            </w:pPr>
            <w:r>
              <w:rPr>
                <w:rFonts w:ascii="Arial" w:cs="Arial" w:eastAsia="Arial" w:hAnsi="Arial"/>
                <w:sz w:val="13"/>
                <w:szCs w:val="13"/>
                <w:b w:val="1"/>
                <w:bCs w:val="1"/>
                <w:color w:val="auto"/>
              </w:rPr>
              <w:t>Number</w:t>
            </w:r>
          </w:p>
        </w:tc>
        <w:tc>
          <w:tcPr>
            <w:tcW w:w="4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42"/>
              <w:spacing w:after="0" w:line="123"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02"/>
        </w:trPr>
        <w:tc>
          <w:tcPr>
            <w:tcW w:w="43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138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vMerge w:val="restart"/>
          </w:tcPr>
          <w:p>
            <w:pPr>
              <w:jc w:val="right"/>
              <w:ind w:right="462"/>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71"/>
        </w:trPr>
        <w:tc>
          <w:tcPr>
            <w:tcW w:w="43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4320" w:type="dxa"/>
            <w:vAlign w:val="bottom"/>
            <w:tcBorders>
              <w:top w:val="single" w:sz="8" w:color="CCEEFF"/>
            </w:tcBorders>
            <w:shd w:val="clear" w:color="auto" w:fill="CCEEFF"/>
          </w:tcPr>
          <w:p>
            <w:pPr>
              <w:ind w:left="380"/>
              <w:spacing w:after="0" w:line="194" w:lineRule="exact"/>
              <w:rPr>
                <w:sz w:val="20"/>
                <w:szCs w:val="20"/>
                <w:color w:val="auto"/>
              </w:rPr>
            </w:pPr>
            <w:r>
              <w:rPr>
                <w:rFonts w:ascii="Arial" w:cs="Arial" w:eastAsia="Arial" w:hAnsi="Arial"/>
                <w:sz w:val="17"/>
                <w:szCs w:val="17"/>
                <w:color w:val="auto"/>
              </w:rPr>
              <w:t>Outstanding at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105,892</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72.32</w:t>
            </w: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105,868</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97.85</w:t>
            </w:r>
          </w:p>
        </w:tc>
        <w:tc>
          <w:tcPr>
            <w:tcW w:w="0" w:type="dxa"/>
            <w:vAlign w:val="bottom"/>
          </w:tcPr>
          <w:p>
            <w:pPr>
              <w:spacing w:after="0"/>
              <w:rPr>
                <w:sz w:val="1"/>
                <w:szCs w:val="1"/>
                <w:color w:val="auto"/>
              </w:rPr>
            </w:pPr>
          </w:p>
        </w:tc>
      </w:tr>
      <w:tr>
        <w:trPr>
          <w:trHeight w:val="212"/>
        </w:trPr>
        <w:tc>
          <w:tcPr>
            <w:tcW w:w="4320" w:type="dxa"/>
            <w:vAlign w:val="bottom"/>
          </w:tcPr>
          <w:p>
            <w:pPr>
              <w:ind w:left="56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2"/>
              <w:spacing w:after="0"/>
              <w:rPr>
                <w:sz w:val="20"/>
                <w:szCs w:val="20"/>
                <w:color w:val="auto"/>
              </w:rPr>
            </w:pPr>
            <w:r>
              <w:rPr>
                <w:rFonts w:ascii="Arial" w:cs="Arial" w:eastAsia="Arial" w:hAnsi="Arial"/>
                <w:sz w:val="17"/>
                <w:szCs w:val="17"/>
                <w:color w:val="auto"/>
              </w:rPr>
              <w:t>121,180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7"/>
                <w:szCs w:val="17"/>
                <w:color w:val="auto"/>
              </w:rPr>
              <w:t>119.80</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56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432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78.34</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102.10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shd w:val="clear" w:color="auto" w:fill="CCEEFF"/>
          </w:tcPr>
          <w:p>
            <w:pPr>
              <w:ind w:left="380"/>
              <w:spacing w:after="0" w:line="192" w:lineRule="exact"/>
              <w:rPr>
                <w:sz w:val="20"/>
                <w:szCs w:val="20"/>
                <w:color w:val="auto"/>
              </w:rPr>
            </w:pPr>
            <w:r>
              <w:rPr>
                <w:rFonts w:ascii="Arial" w:cs="Arial" w:eastAsia="Arial" w:hAnsi="Arial"/>
                <w:sz w:val="17"/>
                <w:szCs w:val="17"/>
                <w:color w:val="auto"/>
              </w:rPr>
              <w:t>Outstanding at June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105,735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72.31</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226,891</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109.57</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2021, unrecognized compensation cost of $18,481 is expected to be expensed over a weighted average period of 2.1 years.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411"/>
        <w:spacing w:after="0" w:line="264" w:lineRule="auto"/>
        <w:rPr>
          <w:sz w:val="20"/>
          <w:szCs w:val="20"/>
          <w:color w:val="auto"/>
        </w:rPr>
      </w:pPr>
      <w:r>
        <w:rPr>
          <w:rFonts w:ascii="Arial" w:cs="Arial" w:eastAsia="Arial" w:hAnsi="Arial"/>
          <w:sz w:val="16"/>
          <w:szCs w:val="16"/>
          <w:color w:val="auto"/>
        </w:rPr>
        <w:t>The impact of COVID-19 on the economic environment is uncertain and has caused variability in the estimation of number of performance based restricted stock units that will eventually vest and the related compensation cost to be recognized in the unaudited consolidated statements of income.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Related Party Disclosures</w:t>
      </w:r>
    </w:p>
    <w:p>
      <w:pPr>
        <w:spacing w:after="0" w:line="220"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189"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The Company had outstanding Notes with a principal amount of $150,000 each as of June 30, 2021 and December 31, 2020 and interest accrued of $1,312 and $1,313 as of June 30, 2021 and December 31, 2020, respectively, related to the Investment Agreement.</w:t>
      </w:r>
    </w:p>
    <w:p>
      <w:pPr>
        <w:spacing w:after="0" w:line="188"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The Company recognized interest expense on the Notes related to the Investment Agreements as below. Refer to Note 17 – Borrowings to the unaudited consolidated financial statements for details.</w:t>
      </w:r>
    </w:p>
    <w:p>
      <w:pPr>
        <w:sectPr>
          <w:pgSz w:w="11900" w:h="16838" w:orient="portrait"/>
          <w:cols w:equalWidth="0" w:num="1">
            <w:col w:w="11240"/>
          </w:cols>
          <w:pgMar w:left="320" w:top="123" w:right="339" w:bottom="1440" w:gutter="0" w:footer="0" w:header="0"/>
        </w:sectPr>
      </w:pPr>
    </w:p>
    <w:p>
      <w:pPr>
        <w:spacing w:after="0" w:line="9" w:lineRule="exact"/>
        <w:rPr>
          <w:sz w:val="20"/>
          <w:szCs w:val="20"/>
          <w:color w:val="auto"/>
        </w:rPr>
      </w:pPr>
    </w:p>
    <w:p>
      <w:pPr>
        <w:jc w:val="center"/>
        <w:ind w:left="55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34925</wp:posOffset>
            </wp:positionV>
            <wp:extent cx="18211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1180" cy="7620"/>
                    </a:xfrm>
                    <a:prstGeom prst="rect">
                      <a:avLst/>
                    </a:prstGeom>
                    <a:noFill/>
                  </pic:spPr>
                </pic:pic>
              </a:graphicData>
            </a:graphic>
          </wp:anchor>
        </w:drawing>
      </w:r>
    </w:p>
    <w:p>
      <w:pPr>
        <w:spacing w:after="0" w:line="43" w:lineRule="exact"/>
        <w:rPr>
          <w:sz w:val="20"/>
          <w:szCs w:val="20"/>
          <w:color w:val="auto"/>
        </w:rPr>
      </w:pPr>
    </w:p>
    <w:p>
      <w:pPr>
        <w:ind w:left="5960"/>
        <w:spacing w:after="0"/>
        <w:tabs>
          <w:tab w:leader="none" w:pos="7380" w:val="left"/>
        </w:tabs>
        <w:rPr>
          <w:sz w:val="20"/>
          <w:szCs w:val="20"/>
          <w:color w:val="auto"/>
        </w:rPr>
      </w:pPr>
      <w:r>
        <w:rPr>
          <w:rFonts w:ascii="Arial" w:cs="Arial" w:eastAsia="Arial" w:hAnsi="Arial"/>
          <w:sz w:val="17"/>
          <w:szCs w:val="17"/>
          <w:b w:val="1"/>
          <w:bCs w:val="1"/>
          <w:color w:val="auto"/>
        </w:rPr>
        <w:t>2021</w:t>
      </w:r>
      <w:r>
        <w:rPr>
          <w:sz w:val="20"/>
          <w:szCs w:val="20"/>
          <w:color w:val="auto"/>
        </w:rPr>
        <w:tab/>
      </w:r>
      <w:r>
        <w:rPr>
          <w:rFonts w:ascii="Arial" w:cs="Arial" w:eastAsia="Arial" w:hAnsi="Arial"/>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13335</wp:posOffset>
            </wp:positionV>
            <wp:extent cx="6817995" cy="142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179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34925</wp:posOffset>
            </wp:positionV>
            <wp:extent cx="186118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61185" cy="7620"/>
                    </a:xfrm>
                    <a:prstGeom prst="rect">
                      <a:avLst/>
                    </a:prstGeom>
                    <a:noFill/>
                  </pic:spPr>
                </pic:pic>
              </a:graphicData>
            </a:graphic>
          </wp:anchor>
        </w:drawing>
      </w:r>
    </w:p>
    <w:p>
      <w:pPr>
        <w:spacing w:after="0" w:line="43" w:lineRule="exact"/>
        <w:rPr>
          <w:sz w:val="20"/>
          <w:szCs w:val="20"/>
          <w:color w:val="auto"/>
        </w:rPr>
      </w:pPr>
    </w:p>
    <w:p>
      <w:pPr>
        <w:ind w:left="60"/>
        <w:spacing w:after="0"/>
        <w:tabs>
          <w:tab w:leader="none" w:pos="1540" w:val="left"/>
        </w:tabs>
        <w:rPr>
          <w:sz w:val="20"/>
          <w:szCs w:val="20"/>
          <w:color w:val="auto"/>
        </w:rPr>
      </w:pPr>
      <w:r>
        <w:rPr>
          <w:rFonts w:ascii="Arial" w:cs="Arial" w:eastAsia="Arial" w:hAnsi="Arial"/>
          <w:sz w:val="15"/>
          <w:szCs w:val="15"/>
          <w:b w:val="1"/>
          <w:bCs w:val="1"/>
          <w:color w:val="auto"/>
        </w:rPr>
        <w:t>2021</w:t>
      </w:r>
      <w:r>
        <w:rPr>
          <w:sz w:val="20"/>
          <w:szCs w:val="20"/>
          <w:color w:val="auto"/>
        </w:rPr>
        <w:tab/>
      </w:r>
      <w:r>
        <w:rPr>
          <w:rFonts w:ascii="Arial" w:cs="Arial" w:eastAsia="Arial" w:hAnsi="Arial"/>
          <w:sz w:val="15"/>
          <w:szCs w:val="15"/>
          <w:b w:val="1"/>
          <w:bCs w:val="1"/>
          <w:color w:val="auto"/>
        </w:rPr>
        <w:t>2020</w:t>
      </w:r>
    </w:p>
    <w:p>
      <w:pPr>
        <w:spacing w:after="0" w:line="55" w:lineRule="exact"/>
        <w:rPr>
          <w:sz w:val="20"/>
          <w:szCs w:val="20"/>
          <w:color w:val="auto"/>
        </w:rPr>
      </w:pPr>
    </w:p>
    <w:p>
      <w:pPr>
        <w:sectPr>
          <w:pgSz w:w="11900" w:h="16838" w:orient="portrait"/>
          <w:cols w:equalWidth="0" w:num="2">
            <w:col w:w="8160" w:space="720"/>
            <w:col w:w="2360"/>
          </w:cols>
          <w:pgMar w:left="320" w:top="123" w:right="339" w:bottom="1440" w:gutter="0" w:footer="0" w:header="0"/>
          <w:type w:val="continuous"/>
        </w:sectPr>
      </w:pPr>
    </w:p>
    <w:p>
      <w:pPr>
        <w:ind w:left="760"/>
        <w:spacing w:after="0"/>
        <w:tabs>
          <w:tab w:leader="none" w:pos="5600" w:val="left"/>
          <w:tab w:leader="none" w:pos="6200" w:val="left"/>
          <w:tab w:leader="none" w:pos="7020" w:val="left"/>
          <w:tab w:leader="none" w:pos="7640" w:val="left"/>
          <w:tab w:leader="none" w:pos="8560" w:val="left"/>
          <w:tab w:leader="none" w:pos="9180" w:val="left"/>
          <w:tab w:leader="none" w:pos="10100" w:val="left"/>
          <w:tab w:leader="none" w:pos="10660" w:val="left"/>
        </w:tabs>
        <w:rPr>
          <w:sz w:val="20"/>
          <w:szCs w:val="20"/>
          <w:color w:val="auto"/>
        </w:rPr>
      </w:pPr>
      <w:r>
        <w:rPr>
          <w:rFonts w:ascii="Arial" w:cs="Arial" w:eastAsia="Arial" w:hAnsi="Arial"/>
          <w:sz w:val="17"/>
          <w:szCs w:val="17"/>
          <w:color w:val="auto"/>
        </w:rPr>
        <w:t>Interest expense on Notes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1,312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2,625</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4"/>
          <w:szCs w:val="14"/>
          <w:color w:val="auto"/>
        </w:rPr>
        <w:t>2,625</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Commitments and Contingencies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Commitments</w:t>
      </w:r>
    </w:p>
    <w:p>
      <w:pPr>
        <w:spacing w:after="0" w:line="216"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5"/>
          <w:szCs w:val="15"/>
          <w:color w:val="auto"/>
        </w:rPr>
        <w:t>At June 30, 2021, the Company had committed to spend approximately $7,100 under agreements to purchase property and equipment. This amount is net of capital advances paid which are recognized in the unaudited consolidated balance sheets as “Capital work in progress” under “Property and equipment, net”.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Commitments</w:t>
      </w:r>
    </w:p>
    <w:p>
      <w:pPr>
        <w:spacing w:after="0" w:line="216"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189" w:lineRule="exact"/>
        <w:rPr>
          <w:sz w:val="20"/>
          <w:szCs w:val="20"/>
          <w:color w:val="auto"/>
        </w:rPr>
      </w:pPr>
    </w:p>
    <w:p>
      <w:pPr>
        <w:jc w:val="both"/>
        <w:ind w:firstLine="374"/>
        <w:spacing w:after="0" w:line="270" w:lineRule="auto"/>
        <w:rPr>
          <w:sz w:val="20"/>
          <w:szCs w:val="20"/>
          <w:color w:val="auto"/>
        </w:rPr>
      </w:pPr>
      <w:r>
        <w:rPr>
          <w:rFonts w:ascii="Arial" w:cs="Arial" w:eastAsia="Arial" w:hAnsi="Arial"/>
          <w:sz w:val="15"/>
          <w:szCs w:val="15"/>
          <w:color w:val="auto"/>
        </w:rPr>
        <w:t>The Company’s operations centers in the Philippines are registered with the Philippine Economic Zone Authority. The registration provides the Company with certain fiscal incentives on the import of capital goods and local purchase of services and materials and requires ExlService Philippines, Inc. to meet certain performance and investment criteria. The Company believes that these centers have in the past satisfied and will continue to satisfy the required criteria.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29"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6"/>
          <w:szCs w:val="16"/>
          <w:color w:val="auto"/>
        </w:rPr>
        <w:t>Transfer pricing regulations generally require that any controlled intercompany transactions involving related entities be at an arm’s-length price. Accordingly, the Company determines the appropriate transfer prices for transactions among its related entities on the basis of a detailed functional and economic analysis involving benchmarking against transactions among entities that are unrelated. Tax authorities have jurisdiction to review transfer pricing results, and in the event that they determine that the transfer price applied was not appropriate, the Company may incur additional tax, interest and penalties. The Company is currently involved in transfer pricing disputes with Indian tax authorities regarding transactions with some of its related entities.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39" w:name="page40"/>
    <w:bookmarkEnd w:id="3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EXLSERVICE HOLDINGS, INC.</w:t>
      </w:r>
    </w:p>
    <w:p>
      <w:pPr>
        <w:spacing w:after="0" w:line="87"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NOTES TO UNAUDITED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2021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0" w:lineRule="exact"/>
        <w:rPr>
          <w:sz w:val="20"/>
          <w:szCs w:val="20"/>
          <w:color w:val="auto"/>
        </w:rPr>
      </w:pPr>
    </w:p>
    <w:p>
      <w:pPr>
        <w:spacing w:after="0" w:line="3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Further, the Company and a U.S. subsidiary are engaged in tax litigation with Indian tax authorities regarding a permanent establishment matter. For the United States, the Philippines and India, tax year 2016 and subsequent tax years remain open for examination by the tax authorities as of June 30, 2021.</w:t>
      </w:r>
    </w:p>
    <w:p>
      <w:pPr>
        <w:spacing w:after="0" w:line="157" w:lineRule="exact"/>
        <w:rPr>
          <w:sz w:val="20"/>
          <w:szCs w:val="20"/>
          <w:color w:val="auto"/>
        </w:rPr>
      </w:pPr>
    </w:p>
    <w:p>
      <w:pPr>
        <w:jc w:val="both"/>
        <w:ind w:firstLine="374"/>
        <w:spacing w:after="0" w:line="253" w:lineRule="auto"/>
        <w:rPr>
          <w:sz w:val="20"/>
          <w:szCs w:val="20"/>
          <w:color w:val="auto"/>
        </w:rPr>
      </w:pPr>
      <w:r>
        <w:rPr>
          <w:rFonts w:ascii="Arial" w:cs="Arial" w:eastAsia="Arial" w:hAnsi="Arial"/>
          <w:sz w:val="15"/>
          <w:szCs w:val="15"/>
          <w:color w:val="auto"/>
        </w:rPr>
        <w:t>The aggregate amount demanded by Indian tax authorities (net of advance payments, if any) from the Company related to its transfer pricing and other corporate tax issues for tax years 2003 to 2019 and its permanent establishment issues for tax years 2003 to 2006 as of June 30, 2021 and December 31, 2020 is $26,180 and $16,748, respectively. The Company has made payments and/or provided bank guarantees against these demands in the amounts of $8,003 and $8,120, respectively. Amounts paid as deposits in respect of such assessments aggregating to $6,221 and $6,307 as of June 30, 2021 and December 31, 2020, respectively, are included in “Other assets” and amounts deposited for bank guarantees aggregating to $1,782 and $1,813 as of June 30, 2021 and December 31, 2020, respectively, are included in “Restricted cash” in the non-current assets section of the Company’s unaudited consolidated balance sheets.</w:t>
      </w:r>
    </w:p>
    <w:p>
      <w:pPr>
        <w:spacing w:after="0" w:line="181"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6"/>
          <w:szCs w:val="16"/>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18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5"/>
          <w:szCs w:val="15"/>
          <w:color w:val="auto"/>
        </w:rPr>
        <w:t>In February 2019, there was a judicial pronouncement in India with respect to defined social security contribution benefits payments interpreting certain statutory defined contribution obligations of employees and employers. Currently some of the Company's subsidiaries in India are undergoing assessment with the statutory authorities. As of the reporting date,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The Company will continue to monitor and evaluate its position based on future events and developments in this matter for the implications on the financial statements, if any.</w:t>
      </w:r>
    </w:p>
    <w:p>
      <w:pPr>
        <w:spacing w:after="0" w:line="179"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16"/>
          <w:szCs w:val="16"/>
          <w:color w:val="auto"/>
        </w:rPr>
        <w:t>In September 2020, the Indian Parliament passed various consolidating labor codes, including the Code on Social Security, 2020 (the “Indian Social Security Code”) which aims to rationalize labor laws. The Indian Social Security Code has implications on defined social security contribution plans, provision of certain benefits or facilities to employees at employer’s costs and post-retirement benefits. Most specifically, it broadens the definition of an employee and wages and liberalizes the definition of “continuous period” for the purpose of determining employee benefits, amongst others. However, the rules for the Indian Social Security Code are yet to be published and the effective date from which these changes are applicable is yet to be notified. The Company will complete its evaluation once the subject rules are notified and will give appropriate impact in the financial statements in the period in which, the Indian Social Security Code becomes effective and the related rules to determine the financial impact are published.</w:t>
      </w:r>
    </w:p>
    <w:p>
      <w:pPr>
        <w:spacing w:after="0" w:line="191" w:lineRule="exact"/>
        <w:rPr>
          <w:sz w:val="20"/>
          <w:szCs w:val="20"/>
          <w:color w:val="auto"/>
        </w:rPr>
      </w:pPr>
    </w:p>
    <w:p>
      <w:pPr>
        <w:jc w:val="both"/>
        <w:ind w:firstLine="374"/>
        <w:spacing w:after="0" w:line="223" w:lineRule="auto"/>
        <w:rPr>
          <w:sz w:val="20"/>
          <w:szCs w:val="20"/>
          <w:color w:val="auto"/>
        </w:rPr>
      </w:pPr>
      <w:r>
        <w:rPr>
          <w:rFonts w:ascii="Arial" w:cs="Arial" w:eastAsia="Arial" w:hAnsi="Arial"/>
          <w:sz w:val="17"/>
          <w:szCs w:val="17"/>
          <w:color w:val="auto"/>
        </w:rPr>
        <w:t>From time to time, the Company, its subsidiaries, and/or their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89" w:lineRule="exact"/>
        <w:rPr>
          <w:sz w:val="20"/>
          <w:szCs w:val="20"/>
          <w:color w:val="auto"/>
        </w:rPr>
      </w:pPr>
    </w:p>
    <w:p>
      <w:pPr>
        <w:jc w:val="both"/>
        <w:ind w:firstLine="374"/>
        <w:spacing w:after="0" w:line="222" w:lineRule="auto"/>
        <w:rPr>
          <w:sz w:val="20"/>
          <w:szCs w:val="20"/>
          <w:color w:val="auto"/>
        </w:rPr>
      </w:pPr>
      <w:r>
        <w:rPr>
          <w:rFonts w:ascii="Arial" w:cs="Arial" w:eastAsia="Arial" w:hAnsi="Arial"/>
          <w:sz w:val="17"/>
          <w:szCs w:val="17"/>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33"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2020. Some of the statements in the following discussion are forward looking statements. Dollar amounts within Item 2 are presented as actual, rounded, dollar amounts.</w:t>
      </w:r>
    </w:p>
    <w:p>
      <w:pPr>
        <w:spacing w:after="0" w:line="205"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i w:val="1"/>
          <w:iCs w:val="1"/>
          <w:color w:val="auto"/>
        </w:rPr>
        <w:t>We have described in this Quarterly Report on Form 10-Q, the impact of the global Coronavirus Disease 2019 pandemic (“COVID-19”) on our financial results for the three months ended June 30, 2021. See "Cautionary Note Regarding Forward-Looking Statements" below, Item 1A -“Risk Factors” included elsewhere in this Quarterly Report on Form 10-Q and Part I, Item 1A, “Risk Factors” in our Annual Report on Form 10-K for the fiscal year ended December 31, 2020 for further information regarding risks and uncertainties relating to COVID-19.</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33" w:lineRule="exact"/>
        <w:rPr>
          <w:sz w:val="20"/>
          <w:szCs w:val="20"/>
          <w:color w:val="auto"/>
        </w:rPr>
      </w:pPr>
    </w:p>
    <w:p>
      <w:pPr>
        <w:jc w:val="both"/>
        <w:ind w:firstLine="374"/>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Many of the following risks, uncertainties and other factors identified below have been, and will be, amplified by the COVID-19 pandemic (“COVID-19”). These factors include but are not limited to:</w:t>
      </w:r>
    </w:p>
    <w:p>
      <w:pPr>
        <w:spacing w:after="0" w:line="244" w:lineRule="exact"/>
        <w:rPr>
          <w:sz w:val="20"/>
          <w:szCs w:val="20"/>
          <w:color w:val="auto"/>
        </w:rPr>
      </w:pPr>
    </w:p>
    <w:p>
      <w:pPr>
        <w:ind w:left="600" w:right="260" w:hanging="301"/>
        <w:spacing w:after="0" w:line="265" w:lineRule="auto"/>
        <w:tabs>
          <w:tab w:leader="none" w:pos="59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COVID-19 and related response measures on our business, results of operations and financial condition, including the impact of governmental lockdowns and other restrictions on our operations and processes and those of our clients and suppliers;</w:t>
      </w:r>
    </w:p>
    <w:p>
      <w:pPr>
        <w:spacing w:after="0" w:line="17"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dependence on a limited number of clients in a limited number of industries;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worldwide political, economic or business conditions;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negative public reaction in the U.S. or elsewhere to offshore outsourcing;</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fluctuations in our earnings;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attract and retain clients including in a timely manner;</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successfully consummate or integrate strategic acquisitions;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accurately estimate and/or manage the costs and/or timing of winding down businesses;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immigration;</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hire and retain enough sufficiently trained employees to support our operations;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grow our business or effectively manage growth and international operations;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changes in the senior management team;</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increasing competition in our industry;</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telecommunications or technology disruptions or breaches, natural or other disasters, or medical epidemics or pandemics;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withstand the loss of a significant customer;</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ability to realize the entire book value of goodwill and other intangible assets from acquisitions;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make accurate estimates and assumptions in connection with the preparation of our consolidated financial statements;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tax laws or decisions regarding repatriation of funds held abroad;</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ability to service debt or obtain additional financing on favorable terms;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legal liability arising out of customer contracts;</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technological innovation;</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political or economic instability in the geographies in which we operate;</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operational and information security failures arising as a result of remote work solutions adopted due to COVID-19;</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cyber security incidents, data breaches, or other unauthorized disclosure of sensitive or confidential client and customer data; and</w:t>
      </w:r>
    </w:p>
    <w:p>
      <w:pPr>
        <w:spacing w:after="0" w:line="5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adverse outcome of our disputes with the Indian tax authorities.</w:t>
      </w:r>
    </w:p>
    <w:p>
      <w:pPr>
        <w:spacing w:after="0" w:line="328"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color w:val="auto"/>
        </w:rPr>
        <w:t>These and other factors are more fully discussed in our Annual Report on Form 10-K for the fiscal year ended December 31, 2020. These and other risks could cause actual results to differ materially from those implied by forward-looking statements in this Quarterly Report on Form 10-Q.</w:t>
      </w:r>
    </w:p>
    <w:p>
      <w:pPr>
        <w:spacing w:after="0" w:line="192" w:lineRule="exact"/>
        <w:rPr>
          <w:sz w:val="20"/>
          <w:szCs w:val="20"/>
          <w:color w:val="auto"/>
        </w:rPr>
      </w:pPr>
    </w:p>
    <w:p>
      <w:pPr>
        <w:jc w:val="both"/>
        <w:ind w:firstLine="374"/>
        <w:spacing w:after="0" w:line="305" w:lineRule="auto"/>
        <w:rPr>
          <w:sz w:val="20"/>
          <w:szCs w:val="20"/>
          <w:color w:val="auto"/>
        </w:rPr>
      </w:pPr>
      <w:r>
        <w:rPr>
          <w:rFonts w:ascii="Arial" w:cs="Arial" w:eastAsia="Arial" w:hAnsi="Arial"/>
          <w:sz w:val="15"/>
          <w:szCs w:val="15"/>
          <w:color w:val="auto"/>
        </w:rPr>
        <w:t>The forward-looking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33"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We are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We serve customers in multiple industries, including insurance, healthcare, banking and financial services, utilities, travel, transportation and logistics, media and retail, among others.</w:t>
      </w:r>
    </w:p>
    <w:p>
      <w:pPr>
        <w:spacing w:after="0" w:line="189"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color w:val="auto"/>
        </w:rPr>
        <w:t>We operate in the business process management (“BPM”) industry and we provide operations management and analytics services. We manage and report financial information through our four strategic business units: Insurance, Healthcare, Analytics and Emerging Business.</w:t>
      </w:r>
    </w:p>
    <w:p>
      <w:pPr>
        <w:spacing w:after="0" w:line="179" w:lineRule="exact"/>
        <w:rPr>
          <w:sz w:val="20"/>
          <w:szCs w:val="20"/>
          <w:color w:val="auto"/>
        </w:rPr>
      </w:pPr>
    </w:p>
    <w:p>
      <w:pPr>
        <w:ind w:right="320" w:firstLine="374"/>
        <w:spacing w:after="0" w:line="229" w:lineRule="auto"/>
        <w:rPr>
          <w:sz w:val="20"/>
          <w:szCs w:val="20"/>
          <w:color w:val="auto"/>
        </w:rPr>
      </w:pPr>
      <w:r>
        <w:rPr>
          <w:rFonts w:ascii="Arial" w:cs="Arial" w:eastAsia="Arial" w:hAnsi="Arial"/>
          <w:sz w:val="17"/>
          <w:szCs w:val="17"/>
          <w:color w:val="auto"/>
        </w:rPr>
        <w:t>Our global delivery network, which includes highly trained industry and process specialists across the United States, Latin America, South Africa, Europe and Asia (primarily India and the Philippines), is a key asset. We have operations centers in India, the United States, the United Kingdom, the Philippines, Bulgaria, Colombia, South Africa, Romania and the Czech Republic.</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Continued impact of COVID-19 on Our Business</w:t>
      </w:r>
    </w:p>
    <w:p>
      <w:pPr>
        <w:spacing w:after="0" w:line="220"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5"/>
          <w:szCs w:val="15"/>
          <w:color w:val="auto"/>
        </w:rPr>
        <w:t>The global COVID-19 pandemic continues to materially impact worldwide economic activity and levels of business confidence and has had widespread, rapidly-evolving and unpredictable impacts on global societies, economies, financial markets and business practices. During 2020, COVID-19 materially impacted our business, however during the first half of 2021, we saw moderate improvement in key indicators, despite being prevented from conducting business activities as usual from geographies affected by new variants of the COVID-19 virus. Over the course of 2020, and continuing into 2021, our customers, contractors, suppliers, and other partners adapted in order to conduct business activities in a COVID-19 environment. The U.S. economy continued on a path to recovery in the first half of 2021 with millions of Americans receiving the COVID-19 vaccine, and states and municipalities increasingly reopening. In addition, the U.S. federal government continued to enact policies to provide fiscal stimulus to the economy and relief to those affected by the pandemic. As the global</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economy begins to emerge from the impact of COVID-19 in 2021, our clients are focused on receiving personalized customer experiences, optimizing costs and supporting resilient operating models. We remain committed to helping our clients adapt and thrive through the ongoing uncertainties caused by COVID-19 and, going forward, to the shifting business environment. Notwithstanding the moderate improvement in conditions during the first half of 2021, the COVID-19 pandemic continues, with temporary shutdowns at our operations centers requested or mandated by governmental authorities, and due to the associated uncertainties, we continue to evaluate the nature and scope of the impact to our business and may take further strategic actions in order to manage our business operations, costs and liquidity in response to the ongoing impacts and changing conditions and markets resulting from COVID-19.</w:t>
      </w:r>
    </w:p>
    <w:p>
      <w:pPr>
        <w:spacing w:after="0" w:line="191" w:lineRule="exact"/>
        <w:rPr>
          <w:sz w:val="20"/>
          <w:szCs w:val="20"/>
          <w:color w:val="auto"/>
        </w:rPr>
      </w:pPr>
    </w:p>
    <w:p>
      <w:pPr>
        <w:jc w:val="both"/>
        <w:ind w:firstLine="366"/>
        <w:spacing w:after="0" w:line="246" w:lineRule="auto"/>
        <w:rPr>
          <w:sz w:val="20"/>
          <w:szCs w:val="20"/>
          <w:color w:val="auto"/>
        </w:rPr>
      </w:pPr>
      <w:r>
        <w:rPr>
          <w:rFonts w:ascii="Arial" w:cs="Arial" w:eastAsia="Arial" w:hAnsi="Arial"/>
          <w:sz w:val="15"/>
          <w:szCs w:val="15"/>
          <w:color w:val="auto"/>
        </w:rPr>
        <w:t>We have a business continuity plan in place and have, since early in the pandemic, adapted delivery to a work from home model, while actively working to understand our clients’ changing requirements, continuing to ensure data security, prioritizing critical processes, adjusting service levels and managing discretionary costs (such as travel costs) and fixed costs (such as non-critical personnel costs). We have made ongoing efforts to reduce our reliance on travel by incorporating into our business model the ability to conduct business using virtual conferencing and collaboration tools. Our work from home delivery capability steadily improved throughout 2020 and continued to improve during the first half of 2021. We estimate that we are able to deliver a significant portion of our clients’ current requirements in a work from home model given the current lockdown restrictions in the locations in which we operate and certain clients not authorizing us to perform the remaining process work remotely due to its sensitive nature. In addition, we have also worked, and continue to work with national, state, and local authorities to comply with applicable rules and regulations related to COVID-19. There continues to be volatility and economic and geopolitical uncertainty in many markets around the world due to the emergence and spread of new variants of COVID-19 across geographies. Despite the efforts described above, there is a risk that if jurisdictions in which we operate reinstate prior restrictions, stagnate in their reopening processes, or implement new restrictions in response to new outbreaks or continued spread, our operations and business could be materially impacted. In late March 2021, a new serious outbreak of the COVID-19 virus began affecting India with an exorbitant spike in the number of COVID patients. The Indian government reinstated lockdowns limiting in certain cases the movement of our employees to offices, however these lockdowns were lifted as the situation in India improved. During the same period, the Philippines also began experiencing a spike in the number of COVID patients. Our Indian and Philippines operations were not materially affected as we initiated appropriate business continuity procedures, so as to minimize the effects of these new developments, but it is possible that our business and results of operations could nevertheless be materially affected if any further developments, including new variants of the COVID-19 virus, emerge.</w:t>
      </w:r>
    </w:p>
    <w:p>
      <w:pPr>
        <w:spacing w:after="0" w:line="189" w:lineRule="exact"/>
        <w:rPr>
          <w:sz w:val="20"/>
          <w:szCs w:val="20"/>
          <w:color w:val="auto"/>
        </w:rPr>
      </w:pPr>
    </w:p>
    <w:p>
      <w:pPr>
        <w:jc w:val="both"/>
        <w:ind w:firstLine="366"/>
        <w:spacing w:after="0" w:line="248" w:lineRule="auto"/>
        <w:rPr>
          <w:sz w:val="20"/>
          <w:szCs w:val="20"/>
          <w:color w:val="auto"/>
        </w:rPr>
      </w:pPr>
      <w:r>
        <w:rPr>
          <w:rFonts w:ascii="Arial" w:cs="Arial" w:eastAsia="Arial" w:hAnsi="Arial"/>
          <w:sz w:val="15"/>
          <w:szCs w:val="15"/>
          <w:color w:val="auto"/>
        </w:rPr>
        <w:t>We also took actions in response to the pandemic that focused on helping our employees. In the geographies most affected by the recent COVID-19 variants, these actions included healthcare support including securing and administering vaccines for our employees, facilitating our employees’ access to medical equipment, providing ambulance services and online medical consultations, extending medical insurance to our employees’ family members and enhancing the dollar value of such coverage. We also instituted a one-time employee compensation payment to beneficiaries of employees, facilitated voluntary contributions from our clients and employees to support the family members of deceased employees and providing financial support for their children's education. Other actions included disseminating guidance and information to our employees, facilitating work from home, implementing best practices for employees while working from home, periodic CEO messaging, various programs aimed at employee wellness, including a global wellness program, enhanced leave for employees affected by COVID-19, enhanced awareness towards information security, and updated cyber security and data privacy policies, among others. We continue to have broad travel restrictions and largely operating in virtual-only events for the safety of our employees and our customers. We also implemented pandemic-specific protocols for our essential employees whose jobs require them to be on-site or with our customers by implementing additional safety measures at all of our facilities, including increased frequency in cleaning and disinfecting, and enhanced hygiene and social distancing practices.</w:t>
      </w:r>
    </w:p>
    <w:p>
      <w:pPr>
        <w:spacing w:after="0" w:line="184" w:lineRule="exact"/>
        <w:rPr>
          <w:sz w:val="20"/>
          <w:szCs w:val="20"/>
          <w:color w:val="auto"/>
        </w:rPr>
      </w:pPr>
    </w:p>
    <w:p>
      <w:pPr>
        <w:jc w:val="both"/>
        <w:ind w:firstLine="366"/>
        <w:spacing w:after="0" w:line="234" w:lineRule="auto"/>
        <w:rPr>
          <w:sz w:val="20"/>
          <w:szCs w:val="20"/>
          <w:color w:val="auto"/>
        </w:rPr>
      </w:pPr>
      <w:r>
        <w:rPr>
          <w:rFonts w:ascii="Arial" w:cs="Arial" w:eastAsia="Arial" w:hAnsi="Arial"/>
          <w:sz w:val="16"/>
          <w:szCs w:val="16"/>
          <w:color w:val="auto"/>
        </w:rPr>
        <w:t>We continue to incur additional costs in order to ensure the continuity of our operations and support our work from home model. Such costs include purchase of desktops and laptops for our employees, software and internet connectivity devices, technology tools for productivity enhancement, accommodation, meal, overtime, transportation and regular sanitization and cleaning costs of our offices and facilities. We also expect that we will continue to incur additional costs to monitor and improve operational efficiency of our work from home model, implement new information technology solutions and security measures to safeguard against information security risks and protect the health and safety of our employees as they gradually return to the office. We believe that these short-to-medium-term costs may benefit us in the long-term, as these steps have broadened our “remote working” capabilities, which we expect to become a permanent feature in our future delivery model, as well as our business continuity plans.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366"/>
        <w:spacing w:after="0" w:line="305" w:lineRule="auto"/>
        <w:rPr>
          <w:sz w:val="20"/>
          <w:szCs w:val="20"/>
          <w:color w:val="auto"/>
        </w:rPr>
      </w:pPr>
      <w:r>
        <w:rPr>
          <w:rFonts w:ascii="Arial" w:cs="Arial" w:eastAsia="Arial" w:hAnsi="Arial"/>
          <w:sz w:val="15"/>
          <w:szCs w:val="15"/>
          <w:color w:val="auto"/>
        </w:rPr>
        <w:t>In response to certain anticipated impacts from COVID-19, we implemented a series of temporary cost reduction measures in 2020 which continued in the first half of 2021 to further preserve financial flexibility. These actions included the postponement of certain discretionary spending including travel and marketing expenses, reevaluating the pace of our capital expenditures, rationalizing certain of our real estate and facilities, deferring non-critical hiring among others.</w:t>
      </w:r>
    </w:p>
    <w:p>
      <w:pPr>
        <w:spacing w:after="0" w:line="165" w:lineRule="exact"/>
        <w:rPr>
          <w:sz w:val="20"/>
          <w:szCs w:val="20"/>
          <w:color w:val="auto"/>
        </w:rPr>
      </w:pPr>
    </w:p>
    <w:p>
      <w:pPr>
        <w:jc w:val="both"/>
        <w:ind w:firstLine="366"/>
        <w:spacing w:after="0" w:line="264" w:lineRule="auto"/>
        <w:rPr>
          <w:sz w:val="20"/>
          <w:szCs w:val="20"/>
          <w:color w:val="auto"/>
        </w:rPr>
      </w:pPr>
      <w:r>
        <w:rPr>
          <w:rFonts w:ascii="Arial" w:cs="Arial" w:eastAsia="Arial" w:hAnsi="Arial"/>
          <w:sz w:val="16"/>
          <w:szCs w:val="16"/>
          <w:color w:val="auto"/>
        </w:rPr>
        <w:t>Certain impacts of COVID-19 on our business, results of operations, financial position and cash flow during the first half of 2021 has been described above and below, however the full extent of the impact for the period beyond the first half of 2021 is currently uncertain and will depend on many factors that are not within our control, including, but not limited to: the duration and scope of the pandemic; the effectiveness of actions taken to contain or mitigate the pandemic and prevent or limit any reoccurrence; governmental, business and individuals’ actions that have been and continue to be taken in response to the pandemic; development and availability of effective treatments and vaccines and the speed at which such vaccines are administered; significant increases in healthcare costs in the event that a significant number of our personnel become infected with COVID-19 and require medical treatment; general economic uncertainty in key global markets and financial market volatility; global economic conditions and levels of economic growth; and the pace of recovery when COVID-19 subsides. Due to the above circumstances and as described generally in this Quarterly Report on Form 10-Q, our financial results, including but not limited to net revenues, income from operations, net income, cash flow and earnings per share, are not necessarily indicative of the results to be expected for the full fiscal year of 2021. We continue to monitor the implications of COVID-19 on our business, as well as our customers’ and suppliers’ businesses.</w:t>
      </w:r>
    </w:p>
    <w:p>
      <w:pPr>
        <w:spacing w:after="0" w:line="196"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color w:val="auto"/>
        </w:rPr>
        <w:t>For additional information and risks related to COVID-19, see Item 1A - “Risk Factors” included elsewhere in this Quarterly Report on Form 10-Q and Part I, Item 1A, “Risk Factors” in our Annual Report on Form 10-K for the fiscal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3"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7"/>
          <w:szCs w:val="17"/>
          <w:color w:val="auto"/>
        </w:rPr>
        <w:t>For the three months ended June 30, 2021, we had revenues of $275.1 million compared to revenues of $222.5 million for the three months ended June 30, 2020, an increase of $52.6 million, or 23.6%. For the six months ended June 30, 2021, we had revenues of $536.5 million compared to revenues of $468.5 million for the six months ended June 30, 2020, an increase of $68.0 million, or 14.5%.</w:t>
      </w:r>
    </w:p>
    <w:p>
      <w:pPr>
        <w:spacing w:after="0" w:line="202"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We serve clients mainly in the United States and the United Kingdom, with these two regions generating 85.5% and 9.5%, respectively, of our total revenues for the three months ended June 30, 2021, and 85.0% and 8.5%, respectively, of our total revenues for the three months ended June 30, 2020. For the six months ended June 30, 2021, these two regions generated 85.7% and 9.5%, respectively, of our total revenues and 84.7% and 9.0%, respectively, of our total revenues for the six months ended June 30, 2020.</w:t>
      </w:r>
    </w:p>
    <w:p>
      <w:pPr>
        <w:spacing w:after="0" w:line="20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6"/>
          <w:szCs w:val="16"/>
          <w:color w:val="auto"/>
        </w:rPr>
        <w:t>For the three months ended June 30, 2021 and 2020, our total revenues from our top ten clients accounted for 37.8% and 38.7% of our total revenues, respectively. For the six months ended June 30, 2021 and 2020, our total revenues from our top ten clients accounted for 38.5% and 37.1% of our total revenues, respectively. Our revenue concentration with our top clients remains largely consistent year-over-year and we continue to develop relationships with new clients to diversify our client base. We believe that the loss of any of our top ten clients could have a material adverse effect on our financial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33"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United States, Europe and Australia.</w:t>
      </w:r>
    </w:p>
    <w:p>
      <w:pPr>
        <w:spacing w:after="0" w:line="200" w:lineRule="exact"/>
        <w:rPr>
          <w:sz w:val="20"/>
          <w:szCs w:val="20"/>
          <w:color w:val="auto"/>
        </w:rPr>
      </w:pPr>
    </w:p>
    <w:p>
      <w:pPr>
        <w:jc w:val="both"/>
        <w:ind w:firstLine="374"/>
        <w:spacing w:after="0" w:line="269" w:lineRule="auto"/>
        <w:rPr>
          <w:sz w:val="20"/>
          <w:szCs w:val="20"/>
          <w:color w:val="auto"/>
        </w:rPr>
      </w:pPr>
      <w:r>
        <w:rPr>
          <w:rFonts w:ascii="Arial" w:cs="Arial" w:eastAsia="Arial" w:hAnsi="Arial"/>
          <w:sz w:val="16"/>
          <w:szCs w:val="16"/>
          <w:i w:val="1"/>
          <w:iCs w:val="1"/>
          <w:color w:val="auto"/>
        </w:rPr>
        <w:t xml:space="preserve">Operations Management Services: </w:t>
      </w:r>
      <w:r>
        <w:rPr>
          <w:rFonts w:ascii="Arial" w:cs="Arial" w:eastAsia="Arial" w:hAnsi="Arial"/>
          <w:sz w:val="16"/>
          <w:szCs w:val="16"/>
          <w:color w:val="auto"/>
        </w:rPr>
        <w:t>We provide our clients with a range of operations management services from our Insurance, Healthcare and Emerging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segments, which typically involve the transfer by our clients to EXL of certain of their business operations, such as claims processing, clinical operations, or financial transaction processing, after which we administer and manage those operations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the scope, deliverables and complexity of the engagement. We also provide consulting services related to operations management that include industry-specific digital transformational services as well as cross-industry finance and accounting services as part of the Emerging Business operating segment.</w:t>
      </w:r>
    </w:p>
    <w:p>
      <w:pPr>
        <w:spacing w:after="0" w:line="170"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6"/>
          <w:szCs w:val="16"/>
          <w:color w:val="auto"/>
        </w:rPr>
        <w:t>We provide our services under contracts with our clients, which typically have terms of three or more years, with some being rolling contracts with no end dates. Typically, our clients can terminate these contracts with or without cause and with short notice periods. These contracts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92" w:lineRule="exact"/>
        <w:rPr>
          <w:sz w:val="20"/>
          <w:szCs w:val="20"/>
          <w:color w:val="auto"/>
        </w:rPr>
      </w:pPr>
    </w:p>
    <w:p>
      <w:pPr>
        <w:jc w:val="both"/>
        <w:ind w:firstLine="374"/>
        <w:spacing w:after="0" w:line="234" w:lineRule="auto"/>
        <w:rPr>
          <w:sz w:val="20"/>
          <w:szCs w:val="20"/>
          <w:color w:val="auto"/>
        </w:rPr>
      </w:pPr>
      <w:r>
        <w:rPr>
          <w:rFonts w:ascii="Arial" w:cs="Arial" w:eastAsia="Arial" w:hAnsi="Arial"/>
          <w:sz w:val="17"/>
          <w:szCs w:val="17"/>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187"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6"/>
          <w:szCs w:val="16"/>
          <w:color w:val="auto"/>
        </w:rPr>
        <w:t>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374"/>
        <w:spacing w:after="0" w:line="231"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unlocking deep insights from data and create data-driven</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across all parts of 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enhance, modernize and enrich structured and unstructured data and use a spectrum of advanced analytical tools and techniques, including our in-house Machine Learning (“ML”) and Artificial Intelligence (“AI”) capabilities to create insights and improve decision making for our clients. We actively cross -sell and, where appropriate, integrate our Analytics services with other operations management services as part of a comprehensive offering for our clients. Our projects-based analytics services are cyclical and can be significantly affected by variations in business cycles. In addition, our projects-based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anticipate that revenues from our analytics services will grow as we expand our service offerings and client base, both organically and through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3"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color w:val="auto"/>
        </w:rPr>
        <w:t>There have been no significant changes in our critical accounting policies and estimates, during the three and six months ended June 30, 2021,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2020.</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results of operations for the three months and six months ended June 30, 2021 and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80" w:type="dxa"/>
            <w:vAlign w:val="bottom"/>
          </w:tcPr>
          <w:p>
            <w:pPr>
              <w:spacing w:after="0"/>
              <w:rPr>
                <w:sz w:val="15"/>
                <w:szCs w:val="15"/>
                <w:color w:val="auto"/>
              </w:rPr>
            </w:pPr>
          </w:p>
        </w:tc>
        <w:tc>
          <w:tcPr>
            <w:tcW w:w="2360" w:type="dxa"/>
            <w:vAlign w:val="bottom"/>
            <w:tcBorders>
              <w:bottom w:val="single" w:sz="8" w:color="auto"/>
            </w:tcBorders>
            <w:gridSpan w:val="4"/>
          </w:tcPr>
          <w:p>
            <w:pPr>
              <w:jc w:val="right"/>
              <w:ind w:right="22"/>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tcBorders>
              <w:bottom w:val="single" w:sz="8" w:color="auto"/>
            </w:tcBorders>
            <w:gridSpan w:val="4"/>
          </w:tcPr>
          <w:p>
            <w:pPr>
              <w:jc w:val="right"/>
              <w:ind w:right="102"/>
              <w:spacing w:after="0"/>
              <w:rPr>
                <w:sz w:val="20"/>
                <w:szCs w:val="20"/>
                <w:color w:val="auto"/>
              </w:rPr>
            </w:pPr>
            <w:r>
              <w:rPr>
                <w:rFonts w:ascii="Arial" w:cs="Arial" w:eastAsia="Arial" w:hAnsi="Arial"/>
                <w:sz w:val="13"/>
                <w:szCs w:val="13"/>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r>
      <w:tr>
        <w:trPr>
          <w:trHeight w:val="171"/>
        </w:trPr>
        <w:tc>
          <w:tcPr>
            <w:tcW w:w="54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4"/>
                <w:szCs w:val="14"/>
                <w:color w:val="auto"/>
              </w:rPr>
            </w:pPr>
          </w:p>
        </w:tc>
      </w:tr>
      <w:tr>
        <w:trPr>
          <w:trHeight w:val="167"/>
        </w:trPr>
        <w:tc>
          <w:tcPr>
            <w:tcW w:w="5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3"/>
          </w:tcPr>
          <w:p>
            <w:pPr>
              <w:jc w:val="right"/>
              <w:ind w:right="302"/>
              <w:spacing w:after="0"/>
              <w:rPr>
                <w:sz w:val="20"/>
                <w:szCs w:val="20"/>
                <w:color w:val="auto"/>
              </w:rPr>
            </w:pPr>
            <w:r>
              <w:rPr>
                <w:rFonts w:ascii="Arial" w:cs="Arial" w:eastAsia="Arial" w:hAnsi="Arial"/>
                <w:sz w:val="13"/>
                <w:szCs w:val="13"/>
                <w:b w:val="1"/>
                <w:bCs w:val="1"/>
                <w:color w:val="auto"/>
                <w:w w:val="93"/>
              </w:rPr>
              <w:t>(dollars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00" w:type="dxa"/>
            <w:vAlign w:val="bottom"/>
            <w:gridSpan w:val="3"/>
          </w:tcPr>
          <w:p>
            <w:pPr>
              <w:jc w:val="right"/>
              <w:ind w:right="302"/>
              <w:spacing w:after="0"/>
              <w:rPr>
                <w:sz w:val="20"/>
                <w:szCs w:val="20"/>
                <w:color w:val="auto"/>
              </w:rPr>
            </w:pPr>
            <w:r>
              <w:rPr>
                <w:rFonts w:ascii="Arial" w:cs="Arial" w:eastAsia="Arial" w:hAnsi="Arial"/>
                <w:sz w:val="13"/>
                <w:szCs w:val="13"/>
                <w:b w:val="1"/>
                <w:bCs w:val="1"/>
                <w:color w:val="auto"/>
                <w:w w:val="92"/>
              </w:rPr>
              <w:t>(dollars in millions)</w:t>
            </w:r>
          </w:p>
        </w:tc>
        <w:tc>
          <w:tcPr>
            <w:tcW w:w="480" w:type="dxa"/>
            <w:vAlign w:val="bottom"/>
          </w:tcPr>
          <w:p>
            <w:pPr>
              <w:spacing w:after="0"/>
              <w:rPr>
                <w:sz w:val="14"/>
                <w:szCs w:val="14"/>
                <w:color w:val="auto"/>
              </w:rPr>
            </w:pPr>
          </w:p>
        </w:tc>
      </w:tr>
      <w:tr>
        <w:trPr>
          <w:trHeight w:val="213"/>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275.1</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468.5</w:t>
            </w:r>
          </w:p>
        </w:tc>
      </w:tr>
      <w:tr>
        <w:trPr>
          <w:trHeight w:val="212"/>
        </w:trPr>
        <w:tc>
          <w:tcPr>
            <w:tcW w:w="5480" w:type="dxa"/>
            <w:vAlign w:val="bottom"/>
            <w:tcBorders>
              <w:bottom w:val="single" w:sz="8" w:color="CCEEFF"/>
            </w:tcBorders>
          </w:tcPr>
          <w:p>
            <w:pPr>
              <w:ind w:left="20"/>
              <w:spacing w:after="0" w:line="212" w:lineRule="exact"/>
              <w:rPr>
                <w:sz w:val="20"/>
                <w:szCs w:val="20"/>
                <w:color w:val="auto"/>
              </w:rPr>
            </w:pPr>
            <w:r>
              <w:rPr>
                <w:rFonts w:ascii="Arial" w:cs="Arial" w:eastAsia="Arial" w:hAnsi="Arial"/>
                <w:sz w:val="17"/>
                <w:szCs w:val="17"/>
                <w:color w:val="auto"/>
              </w:rPr>
              <w:t>Cost of revenues</w:t>
            </w:r>
            <w:r>
              <w:rPr>
                <w:rFonts w:ascii="Arial" w:cs="Arial" w:eastAsia="Arial" w:hAnsi="Arial"/>
                <w:sz w:val="21"/>
                <w:szCs w:val="21"/>
                <w:color w:val="auto"/>
                <w:vertAlign w:val="superscript"/>
              </w:rPr>
              <w:t>(1)</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170.7</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158.4</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329.5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321.1</w:t>
            </w:r>
          </w:p>
        </w:tc>
      </w:tr>
      <w:tr>
        <w:trPr>
          <w:trHeight w:val="204"/>
        </w:trPr>
        <w:tc>
          <w:tcPr>
            <w:tcW w:w="5480" w:type="dxa"/>
            <w:vAlign w:val="bottom"/>
            <w:shd w:val="clear" w:color="auto" w:fill="CCEEFF"/>
          </w:tcPr>
          <w:p>
            <w:pPr>
              <w:ind w:left="20"/>
              <w:spacing w:after="0" w:line="205" w:lineRule="exact"/>
              <w:rPr>
                <w:sz w:val="20"/>
                <w:szCs w:val="20"/>
                <w:color w:val="auto"/>
              </w:rPr>
            </w:pPr>
            <w:r>
              <w:rPr>
                <w:rFonts w:ascii="Arial" w:cs="Arial" w:eastAsia="Arial" w:hAnsi="Arial"/>
                <w:sz w:val="17"/>
                <w:szCs w:val="17"/>
                <w:b w:val="1"/>
                <w:bCs w:val="1"/>
                <w:color w:val="auto"/>
              </w:rPr>
              <w:t>Gross profit</w:t>
            </w:r>
            <w:r>
              <w:rPr>
                <w:rFonts w:ascii="Arial" w:cs="Arial" w:eastAsia="Arial" w:hAnsi="Arial"/>
                <w:sz w:val="21"/>
                <w:szCs w:val="21"/>
                <w:b w:val="1"/>
                <w:bCs w:val="1"/>
                <w:color w:val="auto"/>
                <w:vertAlign w:val="superscript"/>
              </w:rPr>
              <w:t>(1)</w:t>
            </w:r>
          </w:p>
        </w:tc>
        <w:tc>
          <w:tcPr>
            <w:tcW w:w="8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9"/>
              </w:rPr>
              <w:t>104.4</w:t>
            </w:r>
          </w:p>
        </w:tc>
        <w:tc>
          <w:tcPr>
            <w:tcW w:w="1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64.1</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207.0</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3"/>
              </w:rPr>
              <w:t>147.4</w:t>
            </w:r>
          </w:p>
        </w:tc>
      </w:tr>
      <w:tr>
        <w:trPr>
          <w:trHeight w:val="192"/>
        </w:trPr>
        <w:tc>
          <w:tcPr>
            <w:tcW w:w="5480" w:type="dxa"/>
            <w:vAlign w:val="bottom"/>
          </w:tcPr>
          <w:p>
            <w:pPr>
              <w:ind w:left="20"/>
              <w:spacing w:after="0" w:line="192" w:lineRule="exact"/>
              <w:rPr>
                <w:sz w:val="20"/>
                <w:szCs w:val="20"/>
                <w:color w:val="auto"/>
              </w:rPr>
            </w:pPr>
            <w:r>
              <w:rPr>
                <w:rFonts w:ascii="Arial" w:cs="Arial" w:eastAsia="Arial" w:hAnsi="Arial"/>
                <w:sz w:val="17"/>
                <w:szCs w:val="17"/>
                <w:color w:val="auto"/>
              </w:rPr>
              <w:t>Operating expenses:</w:t>
            </w: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Selling and marketing expenses</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13.0</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38.0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w:t>
            </w: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r>
      <w:tr>
        <w:trPr>
          <w:trHeight w:val="204"/>
        </w:trPr>
        <w:tc>
          <w:tcPr>
            <w:tcW w:w="5480" w:type="dxa"/>
            <w:vAlign w:val="bottom"/>
            <w:tcBorders>
              <w:bottom w:val="single" w:sz="8" w:color="CCEEFF"/>
            </w:tcBorders>
          </w:tcPr>
          <w:p>
            <w:pPr>
              <w:ind w:left="20"/>
              <w:spacing w:after="0" w:line="192" w:lineRule="exact"/>
              <w:rPr>
                <w:sz w:val="20"/>
                <w:szCs w:val="20"/>
                <w:color w:val="auto"/>
              </w:rPr>
            </w:pPr>
            <w:r>
              <w:rPr>
                <w:rFonts w:ascii="Arial" w:cs="Arial" w:eastAsia="Arial" w:hAnsi="Arial"/>
                <w:sz w:val="17"/>
                <w:szCs w:val="17"/>
                <w:color w:val="auto"/>
              </w:rPr>
              <w:t>Total operating expenses</w:t>
            </w:r>
          </w:p>
        </w:tc>
        <w:tc>
          <w:tcPr>
            <w:tcW w:w="8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68.6</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129.6</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110.1</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from operations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35.8</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9.9</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77.4</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37.3</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Foreign exchange gain, net</w:t>
            </w: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2"/>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2"/>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net</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w w:val="96"/>
              </w:rPr>
              <w:t>Income before income tax expense and earnings from equity affiliates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36.9</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12.6</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77.8</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40.8</w:t>
            </w:r>
          </w:p>
        </w:tc>
      </w:tr>
      <w:tr>
        <w:trPr>
          <w:trHeight w:val="212"/>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w:t>
            </w:r>
          </w:p>
        </w:tc>
      </w:tr>
      <w:tr>
        <w:trPr>
          <w:trHeight w:val="204"/>
        </w:trPr>
        <w:tc>
          <w:tcPr>
            <w:tcW w:w="5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earnings from equity affiliates</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59.9</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30.9</w:t>
            </w:r>
          </w:p>
        </w:tc>
      </w:tr>
      <w:tr>
        <w:trPr>
          <w:trHeight w:val="212"/>
        </w:trPr>
        <w:tc>
          <w:tcPr>
            <w:tcW w:w="5480" w:type="dxa"/>
            <w:vAlign w:val="bottom"/>
          </w:tcPr>
          <w:p>
            <w:pPr>
              <w:ind w:left="20"/>
              <w:spacing w:after="0"/>
              <w:rPr>
                <w:sz w:val="20"/>
                <w:szCs w:val="20"/>
                <w:color w:val="auto"/>
              </w:rPr>
            </w:pPr>
            <w:r>
              <w:rPr>
                <w:rFonts w:ascii="Arial" w:cs="Arial" w:eastAsia="Arial" w:hAnsi="Arial"/>
                <w:sz w:val="17"/>
                <w:szCs w:val="17"/>
                <w:color w:val="auto"/>
              </w:rPr>
              <w:t>Loss from equity-method investment</w:t>
            </w:r>
          </w:p>
        </w:tc>
        <w:tc>
          <w:tcPr>
            <w:tcW w:w="84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29"/>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ExlService Holdings, Inc. stockholders</w:t>
            </w:r>
          </w:p>
        </w:tc>
        <w:tc>
          <w:tcPr>
            <w:tcW w:w="84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7"/>
                <w:szCs w:val="17"/>
                <w:b w:val="1"/>
                <w:bCs w:val="1"/>
                <w:color w:val="auto"/>
                <w:w w:val="84"/>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5"/>
              <w:spacing w:after="0"/>
              <w:rPr>
                <w:sz w:val="20"/>
                <w:szCs w:val="20"/>
                <w:color w:val="auto"/>
              </w:rPr>
            </w:pPr>
            <w:r>
              <w:rPr>
                <w:rFonts w:ascii="Arial" w:cs="Arial" w:eastAsia="Arial" w:hAnsi="Arial"/>
                <w:sz w:val="17"/>
                <w:szCs w:val="17"/>
                <w:b w:val="1"/>
                <w:bCs w:val="1"/>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702"/>
              <w:spacing w:after="0"/>
              <w:rPr>
                <w:sz w:val="20"/>
                <w:szCs w:val="20"/>
                <w:color w:val="auto"/>
              </w:rPr>
            </w:pPr>
            <w:r>
              <w:rPr>
                <w:rFonts w:ascii="Arial" w:cs="Arial" w:eastAsia="Arial" w:hAnsi="Arial"/>
                <w:sz w:val="17"/>
                <w:szCs w:val="17"/>
                <w:b w:val="1"/>
                <w:bCs w:val="1"/>
                <w:color w:val="auto"/>
                <w:w w:val="84"/>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30.8</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ind w:left="380"/>
        <w:spacing w:after="0"/>
        <w:rPr>
          <w:sz w:val="20"/>
          <w:szCs w:val="20"/>
          <w:color w:val="auto"/>
        </w:rPr>
      </w:pPr>
      <w:r>
        <w:rPr>
          <w:rFonts w:ascii="Arial" w:cs="Arial" w:eastAsia="Arial" w:hAnsi="Arial"/>
          <w:sz w:val="15"/>
          <w:szCs w:val="15"/>
          <w:i w:val="1"/>
          <w:iCs w:val="1"/>
          <w:color w:val="auto"/>
        </w:rPr>
        <w:t>(1)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6" w:name="page47"/>
    <w:bookmarkEnd w:id="4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2021 Compared to Three Months Ended June 30, 2020</w:t>
      </w:r>
    </w:p>
    <w:p>
      <w:pPr>
        <w:spacing w:after="0" w:line="104"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revenues by reportable segments for the three months ended June 30, 2021 and 2020:</w:t>
      </w:r>
    </w:p>
    <w:p>
      <w:pPr>
        <w:spacing w:after="0" w:line="59" w:lineRule="exact"/>
        <w:rPr>
          <w:sz w:val="20"/>
          <w:szCs w:val="20"/>
          <w:color w:val="auto"/>
        </w:rPr>
      </w:pPr>
    </w:p>
    <w:tbl>
      <w:tblPr>
        <w:tblLayout w:type="fixed"/>
        <w:tblInd w:w="600" w:type="dxa"/>
        <w:tblCellMar>
          <w:top w:w="0" w:type="dxa"/>
          <w:left w:w="0" w:type="dxa"/>
          <w:bottom w:w="0" w:type="dxa"/>
          <w:right w:w="0" w:type="dxa"/>
        </w:tblCellMar>
      </w:tblPr>
      <w:tr>
        <w:trPr>
          <w:trHeight w:val="177"/>
        </w:trPr>
        <w:tc>
          <w:tcPr>
            <w:tcW w:w="3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82"/>
              <w:spacing w:after="0"/>
              <w:rPr>
                <w:sz w:val="20"/>
                <w:szCs w:val="20"/>
                <w:color w:val="auto"/>
              </w:rPr>
            </w:pPr>
            <w:r>
              <w:rPr>
                <w:rFonts w:ascii="Arial" w:cs="Arial" w:eastAsia="Arial" w:hAnsi="Arial"/>
                <w:sz w:val="13"/>
                <w:szCs w:val="13"/>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2"/>
              <w:spacing w:after="0"/>
              <w:rPr>
                <w:sz w:val="20"/>
                <w:szCs w:val="20"/>
                <w:color w:val="auto"/>
              </w:rPr>
            </w:pPr>
            <w:r>
              <w:rPr>
                <w:rFonts w:ascii="Arial" w:cs="Arial" w:eastAsia="Arial" w:hAnsi="Arial"/>
                <w:sz w:val="13"/>
                <w:szCs w:val="13"/>
                <w:b w:val="1"/>
                <w:bCs w:val="1"/>
                <w:color w:val="auto"/>
              </w:rPr>
              <w:t>Percentage</w:t>
            </w:r>
          </w:p>
        </w:tc>
        <w:tc>
          <w:tcPr>
            <w:tcW w:w="260" w:type="dxa"/>
            <w:vAlign w:val="bottom"/>
          </w:tcPr>
          <w:p>
            <w:pPr>
              <w:spacing w:after="0"/>
              <w:rPr>
                <w:sz w:val="15"/>
                <w:szCs w:val="15"/>
                <w:color w:val="auto"/>
              </w:rPr>
            </w:pPr>
          </w:p>
        </w:tc>
      </w:tr>
      <w:tr>
        <w:trPr>
          <w:trHeight w:val="183"/>
        </w:trPr>
        <w:tc>
          <w:tcPr>
            <w:tcW w:w="37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420" w:type="dxa"/>
            <w:vAlign w:val="bottom"/>
          </w:tcPr>
          <w:p>
            <w:pPr>
              <w:jc w:val="right"/>
              <w:ind w:right="302"/>
              <w:spacing w:after="0"/>
              <w:rPr>
                <w:sz w:val="20"/>
                <w:szCs w:val="20"/>
                <w:color w:val="auto"/>
              </w:rPr>
            </w:pPr>
            <w:r>
              <w:rPr>
                <w:rFonts w:ascii="Arial" w:cs="Arial" w:eastAsia="Arial" w:hAnsi="Arial"/>
                <w:sz w:val="13"/>
                <w:szCs w:val="13"/>
                <w:b w:val="1"/>
                <w:bCs w:val="1"/>
                <w:color w:val="auto"/>
              </w:rPr>
              <w:t>change</w:t>
            </w:r>
          </w:p>
        </w:tc>
        <w:tc>
          <w:tcPr>
            <w:tcW w:w="260" w:type="dxa"/>
            <w:vAlign w:val="bottom"/>
          </w:tcPr>
          <w:p>
            <w:pPr>
              <w:spacing w:after="0"/>
              <w:rPr>
                <w:sz w:val="15"/>
                <w:szCs w:val="15"/>
                <w:color w:val="auto"/>
              </w:rPr>
            </w:pPr>
          </w:p>
        </w:tc>
      </w:tr>
      <w:tr>
        <w:trPr>
          <w:trHeight w:val="167"/>
        </w:trPr>
        <w:tc>
          <w:tcPr>
            <w:tcW w:w="370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gridSpan w:val="3"/>
          </w:tcPr>
          <w:p>
            <w:pPr>
              <w:jc w:val="right"/>
              <w:ind w:right="382"/>
              <w:spacing w:after="0"/>
              <w:rPr>
                <w:sz w:val="20"/>
                <w:szCs w:val="20"/>
                <w:color w:val="auto"/>
              </w:rPr>
            </w:pPr>
            <w:r>
              <w:rPr>
                <w:rFonts w:ascii="Arial" w:cs="Arial" w:eastAsia="Arial" w:hAnsi="Arial"/>
                <w:sz w:val="13"/>
                <w:szCs w:val="13"/>
                <w:b w:val="1"/>
                <w:bCs w:val="1"/>
                <w:color w:val="auto"/>
              </w:rPr>
              <w:t>(dollars in millions)</w:t>
            </w: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r>
      <w:tr>
        <w:trPr>
          <w:trHeight w:val="213"/>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Insurance</w:t>
            </w:r>
          </w:p>
        </w:tc>
        <w:tc>
          <w:tcPr>
            <w:tcW w:w="116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16.5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tcPr>
          <w:p>
            <w:pPr>
              <w:ind w:left="380"/>
              <w:spacing w:after="0"/>
              <w:rPr>
                <w:sz w:val="20"/>
                <w:szCs w:val="20"/>
                <w:color w:val="auto"/>
              </w:rPr>
            </w:pPr>
            <w:r>
              <w:rPr>
                <w:rFonts w:ascii="Arial" w:cs="Arial" w:eastAsia="Arial" w:hAnsi="Arial"/>
                <w:sz w:val="17"/>
                <w:szCs w:val="17"/>
                <w:color w:val="auto"/>
              </w:rPr>
              <w:t>Healthcare</w:t>
            </w:r>
          </w:p>
        </w:tc>
        <w:tc>
          <w:tcPr>
            <w:tcW w:w="1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8"/>
                <w:szCs w:val="18"/>
                <w:color w:val="auto"/>
              </w:rPr>
            </w:pPr>
          </w:p>
        </w:tc>
        <w:tc>
          <w:tcPr>
            <w:tcW w:w="1420" w:type="dxa"/>
            <w:vAlign w:val="bottom"/>
          </w:tcPr>
          <w:p>
            <w:pPr>
              <w:jc w:val="right"/>
              <w:ind w:right="242"/>
              <w:spacing w:after="0"/>
              <w:rPr>
                <w:sz w:val="20"/>
                <w:szCs w:val="20"/>
                <w:color w:val="auto"/>
              </w:rPr>
            </w:pPr>
            <w:r>
              <w:rPr>
                <w:rFonts w:ascii="Arial" w:cs="Arial" w:eastAsia="Arial" w:hAnsi="Arial"/>
                <w:sz w:val="17"/>
                <w:szCs w:val="17"/>
                <w:color w:val="auto"/>
              </w:rPr>
              <w:t>13.1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Emerging Business</w:t>
            </w:r>
          </w:p>
        </w:tc>
        <w:tc>
          <w:tcPr>
            <w:tcW w:w="1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17.8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370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Analytics</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111.4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242"/>
              <w:spacing w:after="0"/>
              <w:rPr>
                <w:sz w:val="20"/>
                <w:szCs w:val="20"/>
                <w:color w:val="auto"/>
              </w:rPr>
            </w:pPr>
            <w:r>
              <w:rPr>
                <w:rFonts w:ascii="Arial" w:cs="Arial" w:eastAsia="Arial" w:hAnsi="Arial"/>
                <w:sz w:val="17"/>
                <w:szCs w:val="17"/>
                <w:color w:val="auto"/>
              </w:rPr>
              <w:t>36.4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3700" w:type="dxa"/>
            <w:vAlign w:val="bottom"/>
            <w:tcBorders>
              <w:bottom w:val="single" w:sz="8" w:color="CCEEFF"/>
            </w:tcBorders>
            <w:shd w:val="clear" w:color="auto" w:fill="CCEEFF"/>
          </w:tcPr>
          <w:p>
            <w:pPr>
              <w:ind w:left="380"/>
              <w:spacing w:after="0" w:line="192" w:lineRule="exact"/>
              <w:rPr>
                <w:sz w:val="20"/>
                <w:szCs w:val="20"/>
                <w:color w:val="auto"/>
              </w:rPr>
            </w:pPr>
            <w:r>
              <w:rPr>
                <w:rFonts w:ascii="Arial" w:cs="Arial" w:eastAsia="Arial" w:hAnsi="Arial"/>
                <w:sz w:val="17"/>
                <w:szCs w:val="17"/>
                <w:color w:val="auto"/>
              </w:rPr>
              <w:t>Total revenues, net</w:t>
            </w:r>
          </w:p>
        </w:tc>
        <w:tc>
          <w:tcPr>
            <w:tcW w:w="1160" w:type="dxa"/>
            <w:vAlign w:val="bottom"/>
            <w:tcBorders>
              <w:bottom w:val="single" w:sz="8" w:color="auto"/>
            </w:tcBorders>
            <w:shd w:val="clear" w:color="auto" w:fill="CCEEFF"/>
          </w:tcPr>
          <w:p>
            <w:pPr>
              <w:jc w:val="right"/>
              <w:ind w:right="62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275.1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62"/>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222.5</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7"/>
                <w:szCs w:val="17"/>
                <w:color w:val="auto"/>
              </w:rPr>
              <w:t>23.6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Revenues for the three months ended June 30, 2021 were $275.1 million, up $52.6 million, or 23.6%, compared to the three months ended June 30, 2020.</w:t>
      </w:r>
    </w:p>
    <w:p>
      <w:pPr>
        <w:spacing w:after="0" w:line="252" w:lineRule="exact"/>
        <w:rPr>
          <w:sz w:val="20"/>
          <w:szCs w:val="20"/>
          <w:color w:val="auto"/>
        </w:rPr>
      </w:pPr>
    </w:p>
    <w:p>
      <w:pPr>
        <w:jc w:val="both"/>
        <w:ind w:firstLine="374"/>
        <w:spacing w:after="0" w:line="237" w:lineRule="auto"/>
        <w:rPr>
          <w:sz w:val="20"/>
          <w:szCs w:val="20"/>
          <w:color w:val="auto"/>
        </w:rPr>
      </w:pPr>
      <w:r>
        <w:rPr>
          <w:rFonts w:ascii="Arial" w:cs="Arial" w:eastAsia="Arial" w:hAnsi="Arial"/>
          <w:sz w:val="17"/>
          <w:szCs w:val="17"/>
          <w:color w:val="auto"/>
        </w:rPr>
        <w:t>Revenue growth in Insurance of $13.4 million was primarily driven by expansion of business from our existing clients aggregating to $12.1 million and an increase in revenues of $1.3 million that was mainly attributable to the appreciation of the Australian dollar, the U.K. pound sterling and the South African ZAR against the U.S. dollar during the three months ended June 30, 2021, compared to the three months ended June 30, 2020. Insurance revenues were 34.4% and 36.5% of our total revenues in the three months ended June 30, 2021 and June 30, 2020, respectively.</w:t>
      </w:r>
    </w:p>
    <w:p>
      <w:pPr>
        <w:spacing w:after="0" w:line="201"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7"/>
          <w:szCs w:val="17"/>
          <w:color w:val="auto"/>
        </w:rPr>
        <w:t>Revenue growth in Healthcare of $3.3 million was primarily driven by expansion of business from our new and existing clients aggregating to $3.3 million during the three months ended June 30, 2021. Healthcare revenues were 10.3% and 11.2% of our total revenues in the three months ended June 30, 2021 and June 30, 2020, respectively.</w:t>
      </w:r>
    </w:p>
    <w:p>
      <w:pPr>
        <w:spacing w:after="0" w:line="202"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6"/>
          <w:szCs w:val="16"/>
          <w:color w:val="auto"/>
        </w:rPr>
        <w:t>Revenue growth in Emerging Business of $6.2 million was primarily driven by expansion of business from our new and existing clients aggregating to $5.6 million and an increase in revenues of $0.6 million that was mainly attributable to the appreciation of the Indian rupee and the U.K. pound sterling against the U.S. dollar during the three months ended June 30, 2021, compared to the three months ended June 30, 2020. Emerging Business revenues were 14.8% and 15.5% of our total revenues in the three months ended June 30, 2021 and June 30, 2020, respectively.</w:t>
      </w:r>
    </w:p>
    <w:p>
      <w:pPr>
        <w:spacing w:after="0" w:line="188"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color w:val="auto"/>
        </w:rPr>
        <w:t>Revenue growth in Analytics of $29.7 million was attributable to the higher volumes in our annuity and project-based engagements from our new and existing clients of $28.7 million and an increase in revenues of $1.0 million mainly attributable to the appreciation of the U.K. pound sterling against the U.S. dollar during the three months ended June 30, 2021, compared to the three months ended June 30, 2020. Analytics revenues were 40.5% and 36.7% of our total revenues in the three months ended June 30, 2021 and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237" w:lineRule="exact"/>
        <w:rPr>
          <w:sz w:val="20"/>
          <w:szCs w:val="20"/>
          <w:color w:val="auto"/>
        </w:rPr>
      </w:pPr>
    </w:p>
    <w:tbl>
      <w:tblPr>
        <w:tblLayout w:type="fixed"/>
        <w:tblInd w:w="42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Cost of Revenues</w:t>
            </w: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ind w:left="480"/>
              <w:spacing w:after="0"/>
              <w:rPr>
                <w:sz w:val="20"/>
                <w:szCs w:val="20"/>
                <w:color w:val="auto"/>
              </w:rPr>
            </w:pPr>
            <w:r>
              <w:rPr>
                <w:rFonts w:ascii="Arial" w:cs="Arial" w:eastAsia="Arial" w:hAnsi="Arial"/>
                <w:sz w:val="13"/>
                <w:szCs w:val="13"/>
                <w:b w:val="1"/>
                <w:bCs w:val="1"/>
                <w:color w:val="auto"/>
              </w:rPr>
              <w:t>Gross Margin</w:t>
            </w:r>
          </w:p>
        </w:tc>
        <w:tc>
          <w:tcPr>
            <w:tcW w:w="1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62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w:t>
            </w:r>
          </w:p>
        </w:tc>
        <w:tc>
          <w:tcPr>
            <w:tcW w:w="1400" w:type="dxa"/>
            <w:vAlign w:val="bottom"/>
            <w:gridSpan w:val="3"/>
            <w:vMerge w:val="restart"/>
          </w:tcPr>
          <w:p>
            <w:pPr>
              <w:ind w:left="560"/>
              <w:spacing w:after="0"/>
              <w:rPr>
                <w:sz w:val="20"/>
                <w:szCs w:val="20"/>
                <w:color w:val="auto"/>
              </w:rPr>
            </w:pPr>
            <w:r>
              <w:rPr>
                <w:rFonts w:ascii="Arial" w:cs="Arial" w:eastAsia="Arial" w:hAnsi="Arial"/>
                <w:sz w:val="13"/>
                <w:szCs w:val="13"/>
                <w:b w:val="1"/>
                <w:bCs w:val="1"/>
                <w:color w:val="auto"/>
              </w:rPr>
              <w:t>Percentage</w:t>
            </w:r>
          </w:p>
        </w:tc>
        <w:tc>
          <w:tcPr>
            <w:tcW w:w="720" w:type="dxa"/>
            <w:vAlign w:val="bottom"/>
          </w:tcPr>
          <w:p>
            <w:pPr>
              <w:spacing w:after="0"/>
              <w:rPr>
                <w:sz w:val="15"/>
                <w:szCs w:val="15"/>
                <w:color w:val="auto"/>
              </w:rPr>
            </w:pPr>
          </w:p>
        </w:tc>
        <w:tc>
          <w:tcPr>
            <w:tcW w:w="1760" w:type="dxa"/>
            <w:vAlign w:val="bottom"/>
            <w:gridSpan w:val="3"/>
          </w:tcPr>
          <w:p>
            <w:pPr>
              <w:jc w:val="right"/>
              <w:ind w:right="2"/>
              <w:spacing w:after="0"/>
              <w:rPr>
                <w:sz w:val="20"/>
                <w:szCs w:val="20"/>
                <w:color w:val="auto"/>
              </w:rPr>
            </w:pPr>
            <w:r>
              <w:rPr>
                <w:rFonts w:ascii="Arial" w:cs="Arial" w:eastAsia="Arial" w:hAnsi="Arial"/>
                <w:sz w:val="13"/>
                <w:szCs w:val="13"/>
                <w:b w:val="1"/>
                <w:bCs w:val="1"/>
                <w:color w:val="auto"/>
                <w:w w:val="90"/>
              </w:rPr>
              <w:t>Three months ended June 30,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16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vMerge w:val="restart"/>
          </w:tcPr>
          <w:p>
            <w:pPr>
              <w:jc w:val="right"/>
              <w:ind w:right="28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3"/>
                <w:szCs w:val="13"/>
                <w:b w:val="1"/>
                <w:bCs w:val="1"/>
                <w:color w:val="auto"/>
                <w:w w:val="89"/>
              </w:rPr>
              <w:t>2020</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1400" w:type="dxa"/>
            <w:vAlign w:val="bottom"/>
            <w:gridSpan w:val="3"/>
            <w:vMerge w:val="continue"/>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vMerge w:val="restart"/>
          </w:tcPr>
          <w:p>
            <w:pPr>
              <w:jc w:val="right"/>
              <w:ind w:right="242"/>
              <w:spacing w:after="0"/>
              <w:rPr>
                <w:sz w:val="20"/>
                <w:szCs w:val="20"/>
                <w:color w:val="auto"/>
              </w:rPr>
            </w:pPr>
            <w:r>
              <w:rPr>
                <w:rFonts w:ascii="Arial" w:cs="Arial" w:eastAsia="Arial" w:hAnsi="Arial"/>
                <w:sz w:val="13"/>
                <w:szCs w:val="13"/>
                <w:b w:val="1"/>
                <w:bCs w:val="1"/>
                <w:color w:val="auto"/>
                <w:w w:val="89"/>
              </w:rPr>
              <w:t>2021</w:t>
            </w:r>
          </w:p>
        </w:tc>
        <w:tc>
          <w:tcPr>
            <w:tcW w:w="6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ind w:left="460"/>
              <w:spacing w:after="0"/>
              <w:rPr>
                <w:sz w:val="20"/>
                <w:szCs w:val="20"/>
                <w:color w:val="auto"/>
              </w:rPr>
            </w:pPr>
            <w:r>
              <w:rPr>
                <w:rFonts w:ascii="Arial" w:cs="Arial" w:eastAsia="Arial" w:hAnsi="Arial"/>
                <w:sz w:val="13"/>
                <w:szCs w:val="13"/>
                <w:b w:val="1"/>
                <w:bCs w:val="1"/>
                <w:color w:val="auto"/>
              </w:rPr>
              <w:t>change</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6"/>
              </w:rPr>
              <w:t>Insurance</w:t>
            </w: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59.4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0.5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2"/>
              <w:spacing w:after="0"/>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160" w:type="dxa"/>
            <w:vAlign w:val="bottom"/>
          </w:tcPr>
          <w:p>
            <w:pPr>
              <w:ind w:left="420"/>
              <w:spacing w:after="0"/>
              <w:rPr>
                <w:sz w:val="20"/>
                <w:szCs w:val="20"/>
                <w:color w:val="auto"/>
              </w:rPr>
            </w:pPr>
            <w:r>
              <w:rPr>
                <w:rFonts w:ascii="Arial" w:cs="Arial" w:eastAsia="Arial" w:hAnsi="Arial"/>
                <w:sz w:val="17"/>
                <w:szCs w:val="17"/>
                <w:color w:val="auto"/>
                <w:w w:val="87"/>
              </w:rPr>
              <w:t>Healthcare</w:t>
            </w:r>
          </w:p>
        </w:tc>
        <w:tc>
          <w:tcPr>
            <w:tcW w:w="640" w:type="dxa"/>
            <w:vAlign w:val="bottom"/>
          </w:tcPr>
          <w:p>
            <w:pPr>
              <w:spacing w:after="0"/>
              <w:rPr>
                <w:sz w:val="18"/>
                <w:szCs w:val="18"/>
                <w:color w:val="auto"/>
              </w:rPr>
            </w:pPr>
          </w:p>
        </w:tc>
        <w:tc>
          <w:tcPr>
            <w:tcW w:w="740" w:type="dxa"/>
            <w:vAlign w:val="bottom"/>
          </w:tcPr>
          <w:p>
            <w:pPr>
              <w:jc w:val="right"/>
              <w:ind w:right="3"/>
              <w:spacing w:after="0"/>
              <w:rPr>
                <w:sz w:val="20"/>
                <w:szCs w:val="20"/>
                <w:color w:val="auto"/>
              </w:rPr>
            </w:pPr>
            <w:r>
              <w:rPr>
                <w:rFonts w:ascii="Arial" w:cs="Arial" w:eastAsia="Arial" w:hAnsi="Arial"/>
                <w:sz w:val="17"/>
                <w:szCs w:val="17"/>
                <w:color w:val="auto"/>
              </w:rPr>
              <w:t>17.7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19.6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80" w:type="dxa"/>
            <w:vAlign w:val="bottom"/>
          </w:tcPr>
          <w:p>
            <w:pPr>
              <w:spacing w:after="0"/>
              <w:rPr>
                <w:sz w:val="18"/>
                <w:szCs w:val="18"/>
                <w:color w:val="auto"/>
              </w:rPr>
            </w:pPr>
          </w:p>
        </w:tc>
        <w:tc>
          <w:tcPr>
            <w:tcW w:w="1000" w:type="dxa"/>
            <w:vAlign w:val="bottom"/>
          </w:tcPr>
          <w:p>
            <w:pPr>
              <w:ind w:left="420"/>
              <w:spacing w:after="0"/>
              <w:rPr>
                <w:sz w:val="20"/>
                <w:szCs w:val="20"/>
                <w:color w:val="auto"/>
              </w:rPr>
            </w:pPr>
            <w:r>
              <w:rPr>
                <w:rFonts w:ascii="Arial" w:cs="Arial" w:eastAsia="Arial" w:hAnsi="Arial"/>
                <w:sz w:val="17"/>
                <w:szCs w:val="17"/>
                <w:color w:val="auto"/>
              </w:rPr>
              <w:t>(9.7)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37.4</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00" w:type="dxa"/>
            <w:vAlign w:val="bottom"/>
          </w:tcPr>
          <w:p>
            <w:pPr>
              <w:jc w:val="right"/>
              <w:ind w:right="302"/>
              <w:spacing w:after="0"/>
              <w:rPr>
                <w:sz w:val="20"/>
                <w:szCs w:val="20"/>
                <w:color w:val="auto"/>
              </w:rPr>
            </w:pPr>
            <w:r>
              <w:rPr>
                <w:rFonts w:ascii="Arial" w:cs="Arial" w:eastAsia="Arial" w:hAnsi="Arial"/>
                <w:sz w:val="17"/>
                <w:szCs w:val="17"/>
                <w:color w:val="auto"/>
              </w:rPr>
              <w:t>21.4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40" w:type="dxa"/>
            <w:vAlign w:val="bottom"/>
          </w:tcPr>
          <w:p>
            <w:pPr>
              <w:jc w:val="right"/>
              <w:ind w:right="340"/>
              <w:spacing w:after="0"/>
              <w:rPr>
                <w:sz w:val="20"/>
                <w:szCs w:val="20"/>
                <w:color w:val="auto"/>
              </w:rPr>
            </w:pPr>
            <w:r>
              <w:rPr>
                <w:rFonts w:ascii="Arial" w:cs="Arial" w:eastAsia="Arial" w:hAnsi="Arial"/>
                <w:sz w:val="17"/>
                <w:szCs w:val="17"/>
                <w:color w:val="auto"/>
              </w:rPr>
              <w:t>16.0</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2"/>
        </w:trPr>
        <w:tc>
          <w:tcPr>
            <w:tcW w:w="116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w w:val="98"/>
              </w:rPr>
              <w:t>Emerging</w:t>
            </w:r>
          </w:p>
        </w:tc>
        <w:tc>
          <w:tcPr>
            <w:tcW w:w="6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3"/>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ind w:left="420"/>
              <w:spacing w:after="0"/>
              <w:rPr>
                <w:sz w:val="20"/>
                <w:szCs w:val="20"/>
                <w:color w:val="auto"/>
              </w:rPr>
            </w:pPr>
            <w:r>
              <w:rPr>
                <w:rFonts w:ascii="Arial" w:cs="Arial" w:eastAsia="Arial" w:hAnsi="Arial"/>
                <w:sz w:val="17"/>
                <w:szCs w:val="17"/>
                <w:color w:val="auto"/>
              </w:rPr>
              <w:t>(0.9)</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45.1</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302"/>
              <w:spacing w:after="0"/>
              <w:rPr>
                <w:sz w:val="20"/>
                <w:szCs w:val="20"/>
                <w:color w:val="auto"/>
              </w:rPr>
            </w:pPr>
            <w:r>
              <w:rPr>
                <w:rFonts w:ascii="Arial" w:cs="Arial" w:eastAsia="Arial" w:hAnsi="Arial"/>
                <w:sz w:val="17"/>
                <w:szCs w:val="17"/>
                <w:color w:val="auto"/>
              </w:rPr>
              <w:t>35.1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340"/>
              <w:spacing w:after="0"/>
              <w:rPr>
                <w:sz w:val="20"/>
                <w:szCs w:val="20"/>
                <w:color w:val="auto"/>
              </w:rPr>
            </w:pPr>
            <w:r>
              <w:rPr>
                <w:rFonts w:ascii="Arial" w:cs="Arial" w:eastAsia="Arial" w:hAnsi="Arial"/>
                <w:sz w:val="17"/>
                <w:szCs w:val="17"/>
                <w:color w:val="auto"/>
              </w:rPr>
              <w:t>10.0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Business</w:t>
            </w:r>
          </w:p>
        </w:tc>
        <w:tc>
          <w:tcPr>
            <w:tcW w:w="6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6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Analytics</w:t>
            </w:r>
          </w:p>
        </w:tc>
        <w:tc>
          <w:tcPr>
            <w:tcW w:w="6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71.3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w:t>
            </w: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24.7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302"/>
              <w:spacing w:after="0"/>
              <w:rPr>
                <w:sz w:val="20"/>
                <w:szCs w:val="20"/>
                <w:color w:val="auto"/>
              </w:rPr>
            </w:pPr>
            <w:r>
              <w:rPr>
                <w:rFonts w:ascii="Arial" w:cs="Arial" w:eastAsia="Arial" w:hAnsi="Arial"/>
                <w:sz w:val="17"/>
                <w:szCs w:val="17"/>
                <w:color w:val="auto"/>
              </w:rPr>
              <w:t>29.9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7"/>
                <w:szCs w:val="17"/>
                <w:color w:val="auto"/>
              </w:rPr>
              <w:t>6.1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160" w:type="dxa"/>
            <w:vAlign w:val="bottom"/>
            <w:tcBorders>
              <w:bottom w:val="single" w:sz="8" w:color="CCEEFF"/>
            </w:tcBorders>
            <w:shd w:val="clear" w:color="auto" w:fill="CCEEFF"/>
          </w:tcPr>
          <w:p>
            <w:pPr>
              <w:ind w:left="420"/>
              <w:spacing w:after="0" w:line="192" w:lineRule="exact"/>
              <w:rPr>
                <w:sz w:val="20"/>
                <w:szCs w:val="20"/>
                <w:color w:val="auto"/>
              </w:rPr>
            </w:pPr>
            <w:r>
              <w:rPr>
                <w:rFonts w:ascii="Arial" w:cs="Arial" w:eastAsia="Arial" w:hAnsi="Arial"/>
                <w:sz w:val="17"/>
                <w:szCs w:val="17"/>
                <w:color w:val="auto"/>
              </w:rPr>
              <w:t>Total</w:t>
            </w:r>
          </w:p>
        </w:tc>
        <w:tc>
          <w:tcPr>
            <w:tcW w:w="6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170.7</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158.4</w:t>
            </w:r>
          </w:p>
        </w:tc>
        <w:tc>
          <w:tcPr>
            <w:tcW w:w="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7"/>
                <w:szCs w:val="17"/>
                <w:color w:val="auto"/>
              </w:rPr>
              <w:t>7.8</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02"/>
              <w:spacing w:after="0"/>
              <w:rPr>
                <w:sz w:val="20"/>
                <w:szCs w:val="20"/>
                <w:color w:val="auto"/>
              </w:rPr>
            </w:pPr>
            <w:r>
              <w:rPr>
                <w:rFonts w:ascii="Arial" w:cs="Arial" w:eastAsia="Arial" w:hAnsi="Arial"/>
                <w:sz w:val="17"/>
                <w:szCs w:val="17"/>
                <w:color w:val="auto"/>
              </w:rPr>
              <w:t>28.8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7"/>
                <w:szCs w:val="17"/>
                <w:color w:val="auto"/>
              </w:rPr>
              <w:t>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9"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For the three months ended June 30, 2021, cost of revenues was $170.7 million compared to $158.4 million for the three months ended June 30, 2020, an increase of $12.3 million, or 7.8%. Our gross margin for the three months ended June 30, 2021 was 37.9% compared to 28.8% for the three months ended June 30, 2020, an increase of 9.1% primarily driven by higher revenues and operational efficiencies during the three months ended June 30, 2021, compared to the impact of COVID-19 related expenses during the three months ended June 30, 2020.</w:t>
      </w:r>
    </w:p>
    <w:p>
      <w:pPr>
        <w:spacing w:after="0" w:line="190"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The increase in cost of revenues in Insurance of $0.3 million for the three months ended June 30, 2021 was primarily due to increases in employee-related costs, partially offset by lower COVID-19 related expenses. Gross margin in Insurance increased by 10.0% during the three months ended June 30, 2021, compared to the three months ended June 30, 2020, primarily due to higher revenues and operational efficiencies during the three months ended June 30, 2021, compared to the impact of COVID-19 related expenses during the three months ended June 30, 2020.</w:t>
      </w:r>
    </w:p>
    <w:p>
      <w:pPr>
        <w:spacing w:after="0" w:line="190"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The decrease in cost of revenues in Healthcare of $1.9 million for the three months ended June 30, 2021 was primarily due to decreases in employee-related costs of $1.9 million. Gross margin in Healthcare increased by 16.0% during the three months ended June 30, 2021, compared to the three months ended June 30, 2020, primarily due to higher revenues during the three months ended June 30, 2021, compared to the impact of COVID-19 related expenses during the three months ended June 30, 2020.</w:t>
      </w:r>
    </w:p>
    <w:p>
      <w:pPr>
        <w:spacing w:after="0" w:line="202" w:lineRule="exact"/>
        <w:rPr>
          <w:sz w:val="20"/>
          <w:szCs w:val="20"/>
          <w:color w:val="auto"/>
        </w:rPr>
      </w:pPr>
    </w:p>
    <w:p>
      <w:pPr>
        <w:jc w:val="both"/>
        <w:ind w:right="100" w:firstLine="374"/>
        <w:spacing w:after="0" w:line="256" w:lineRule="auto"/>
        <w:rPr>
          <w:sz w:val="20"/>
          <w:szCs w:val="20"/>
          <w:color w:val="auto"/>
        </w:rPr>
      </w:pPr>
      <w:r>
        <w:rPr>
          <w:rFonts w:ascii="Arial" w:cs="Arial" w:eastAsia="Arial" w:hAnsi="Arial"/>
          <w:sz w:val="16"/>
          <w:szCs w:val="16"/>
          <w:color w:val="auto"/>
        </w:rPr>
        <w:t>The decrease in cost of revenues in Emerging Business of $0.2 million for the three months ended June 30, 2021 was primarily due to decreases in employee-related costs. Gross margin in Emerging Business increased by 10.0% during the three months ended June 30, 2021, compared to the three months ended June 30, 2020, primarily due to higher revenues, decrease in employee-related costs and operational efficiencies during the three months ended June 30, 2021, compared to the impact of COVID-19 related expenses during the three months ended June 30, 2020.</w:t>
      </w:r>
    </w:p>
    <w:p>
      <w:pPr>
        <w:spacing w:after="0" w:line="175" w:lineRule="exact"/>
        <w:rPr>
          <w:sz w:val="20"/>
          <w:szCs w:val="20"/>
          <w:color w:val="auto"/>
        </w:rPr>
      </w:pPr>
    </w:p>
    <w:p>
      <w:pPr>
        <w:jc w:val="both"/>
        <w:ind w:right="100" w:firstLine="374"/>
        <w:spacing w:after="0" w:line="239" w:lineRule="auto"/>
        <w:rPr>
          <w:sz w:val="20"/>
          <w:szCs w:val="20"/>
          <w:color w:val="auto"/>
        </w:rPr>
      </w:pPr>
      <w:r>
        <w:rPr>
          <w:rFonts w:ascii="Arial" w:cs="Arial" w:eastAsia="Arial" w:hAnsi="Arial"/>
          <w:sz w:val="16"/>
          <w:szCs w:val="16"/>
          <w:color w:val="auto"/>
        </w:rPr>
        <w:t>The increase in cost of revenues in Analytics of $14.1 million for the three months ended June 30, 2021 was primarily due to increases in employee-related costs of $8.5 million, higher other operating costs of $5.2 million and higher technology costs of $0.4 million. Gross margin in Analytics increased by 6.1% during the three months ended June 30, 2021, compared to the three months ended June 30, 2020, primarily due to higher revenues during the three months ended June 30, 2021, compared to the impact of COVID-19 related expenses during the three months ended June 30, 2020.</w:t>
      </w: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183" w:lineRule="exact"/>
        <w:rPr>
          <w:sz w:val="20"/>
          <w:szCs w:val="20"/>
          <w:color w:val="auto"/>
        </w:rPr>
      </w:pPr>
    </w:p>
    <w:tbl>
      <w:tblPr>
        <w:tblLayout w:type="fixed"/>
        <w:tblInd w:w="22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2440" w:type="dxa"/>
            <w:vAlign w:val="bottom"/>
            <w:gridSpan w:val="4"/>
          </w:tcPr>
          <w:p>
            <w:pPr>
              <w:jc w:val="center"/>
              <w:ind w:left="465"/>
              <w:spacing w:after="0"/>
              <w:rPr>
                <w:sz w:val="20"/>
                <w:szCs w:val="20"/>
                <w:color w:val="auto"/>
              </w:rPr>
            </w:pPr>
            <w:r>
              <w:rPr>
                <w:rFonts w:ascii="Arial" w:cs="Arial" w:eastAsia="Arial" w:hAnsi="Arial"/>
                <w:sz w:val="13"/>
                <w:szCs w:val="13"/>
                <w:b w:val="1"/>
                <w:bCs w:val="1"/>
                <w:color w:val="auto"/>
                <w:w w:val="90"/>
              </w:rPr>
              <w:t>Three months ended June 30,</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w:t>
            </w:r>
          </w:p>
        </w:tc>
        <w:tc>
          <w:tcPr>
            <w:tcW w:w="1420" w:type="dxa"/>
            <w:vAlign w:val="bottom"/>
          </w:tcPr>
          <w:p>
            <w:pPr>
              <w:jc w:val="right"/>
              <w:ind w:right="324"/>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62"/>
        </w:trPr>
        <w:tc>
          <w:tcPr>
            <w:tcW w:w="516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20" w:type="dxa"/>
            <w:vAlign w:val="bottom"/>
            <w:vMerge w:val="restart"/>
          </w:tcPr>
          <w:p>
            <w:pPr>
              <w:jc w:val="right"/>
              <w:ind w:right="424"/>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90"/>
        </w:trPr>
        <w:tc>
          <w:tcPr>
            <w:tcW w:w="516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160" w:type="dxa"/>
            <w:vAlign w:val="bottom"/>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gridSpan w:val="3"/>
          </w:tcPr>
          <w:p>
            <w:pPr>
              <w:jc w:val="center"/>
              <w:ind w:right="282"/>
              <w:spacing w:after="0"/>
              <w:rPr>
                <w:sz w:val="20"/>
                <w:szCs w:val="20"/>
                <w:color w:val="auto"/>
              </w:rPr>
            </w:pPr>
            <w:r>
              <w:rPr>
                <w:rFonts w:ascii="Arial" w:cs="Arial" w:eastAsia="Arial" w:hAnsi="Arial"/>
                <w:sz w:val="13"/>
                <w:szCs w:val="13"/>
                <w:b w:val="1"/>
                <w:bCs w:val="1"/>
                <w:color w:val="auto"/>
                <w:w w:val="92"/>
              </w:rPr>
              <w:t>(dollars in millions)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ind w:left="40"/>
              <w:spacing w:after="0"/>
              <w:rPr>
                <w:sz w:val="20"/>
                <w:szCs w:val="20"/>
                <w:color w:val="auto"/>
              </w:rPr>
            </w:pPr>
            <w:r>
              <w:rPr>
                <w:rFonts w:ascii="Arial" w:cs="Arial" w:eastAsia="Arial" w:hAnsi="Arial"/>
                <w:sz w:val="17"/>
                <w:szCs w:val="17"/>
                <w:color w:val="auto"/>
              </w:rPr>
              <w:t>36.5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ind w:left="40"/>
              <w:spacing w:after="0"/>
              <w:rPr>
                <w:sz w:val="20"/>
                <w:szCs w:val="20"/>
                <w:color w:val="auto"/>
              </w:rPr>
            </w:pPr>
            <w:r>
              <w:rPr>
                <w:rFonts w:ascii="Arial" w:cs="Arial" w:eastAsia="Arial" w:hAnsi="Arial"/>
                <w:sz w:val="17"/>
                <w:szCs w:val="17"/>
                <w:color w:val="auto"/>
              </w:rPr>
              <w:t>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26.7 %</w:t>
            </w:r>
          </w:p>
        </w:tc>
        <w:tc>
          <w:tcPr>
            <w:tcW w:w="0" w:type="dxa"/>
            <w:vAlign w:val="bottom"/>
          </w:tcPr>
          <w:p>
            <w:pPr>
              <w:spacing w:after="0"/>
              <w:rPr>
                <w:sz w:val="1"/>
                <w:szCs w:val="1"/>
                <w:color w:val="auto"/>
              </w:rPr>
            </w:pPr>
          </w:p>
        </w:tc>
      </w:tr>
      <w:tr>
        <w:trPr>
          <w:trHeight w:val="212"/>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19.8</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52.3 %</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Selling, general and administrative expenses</w:t>
            </w:r>
          </w:p>
        </w:tc>
        <w:tc>
          <w:tcPr>
            <w:tcW w:w="900" w:type="dxa"/>
            <w:vAlign w:val="bottom"/>
            <w:tcBorders>
              <w:bottom w:val="single" w:sz="8" w:color="auto"/>
            </w:tcBorders>
            <w:shd w:val="clear" w:color="auto" w:fill="CCEEFF"/>
          </w:tcPr>
          <w:p>
            <w:pPr>
              <w:jc w:val="right"/>
              <w:ind w:right="72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56.3</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ind w:left="40"/>
              <w:spacing w:after="0" w:line="182" w:lineRule="exact"/>
              <w:rPr>
                <w:sz w:val="20"/>
                <w:szCs w:val="20"/>
                <w:color w:val="auto"/>
              </w:rPr>
            </w:pPr>
            <w:r>
              <w:rPr>
                <w:rFonts w:ascii="Arial" w:cs="Arial" w:eastAsia="Arial" w:hAnsi="Arial"/>
                <w:sz w:val="17"/>
                <w:szCs w:val="17"/>
                <w:color w:val="auto"/>
                <w:w w:val="86"/>
              </w:rPr>
              <w:t>20.4 %</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ind w:left="40"/>
              <w:spacing w:after="0" w:line="182" w:lineRule="exact"/>
              <w:rPr>
                <w:sz w:val="20"/>
                <w:szCs w:val="20"/>
                <w:color w:val="auto"/>
              </w:rPr>
            </w:pPr>
            <w:r>
              <w:rPr>
                <w:rFonts w:ascii="Arial" w:cs="Arial" w:eastAsia="Arial" w:hAnsi="Arial"/>
                <w:sz w:val="17"/>
                <w:szCs w:val="17"/>
                <w:color w:val="auto"/>
                <w:w w:val="90"/>
              </w:rPr>
              <w:t>18.8 %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increase in SG&amp;A expenses of $14.5 million was primarily due to higher employee-related costs of $13.0 million, COVID-19-related expenses of $2.2 million, primarily related to financial support to family members of deceased employees and higher other operating costs of $0.6 million, partially offset by lower facilities costs of $1.3 million due to optimization of office space.</w:t>
      </w:r>
    </w:p>
    <w:p>
      <w:pPr>
        <w:sectPr>
          <w:pgSz w:w="11900" w:h="16838" w:orient="portrait"/>
          <w:cols w:equalWidth="0" w:num="1">
            <w:col w:w="11240"/>
          </w:cols>
          <w:pgMar w:left="320" w:top="348" w:right="339" w:bottom="1440" w:gutter="0" w:footer="0" w:header="0"/>
        </w:sect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Depreciation expense</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Intangible amortization expense</w:t>
      </w:r>
    </w:p>
    <w:p>
      <w:pPr>
        <w:spacing w:after="0" w:line="17"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Depreciation and amortization expense</w:t>
      </w:r>
    </w:p>
    <w:p>
      <w:pPr>
        <w:spacing w:after="0" w:line="8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As a percentage of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340" w:type="dxa"/>
            <w:vAlign w:val="bottom"/>
          </w:tcPr>
          <w:p>
            <w:pPr>
              <w:spacing w:after="0"/>
              <w:rPr>
                <w:sz w:val="15"/>
                <w:szCs w:val="15"/>
                <w:color w:val="auto"/>
              </w:rPr>
            </w:pPr>
          </w:p>
        </w:tc>
        <w:tc>
          <w:tcPr>
            <w:tcW w:w="2760" w:type="dxa"/>
            <w:vAlign w:val="bottom"/>
            <w:gridSpan w:val="5"/>
          </w:tcPr>
          <w:p>
            <w:pPr>
              <w:ind w:left="320"/>
              <w:spacing w:after="0"/>
              <w:rPr>
                <w:sz w:val="20"/>
                <w:szCs w:val="20"/>
                <w:color w:val="auto"/>
              </w:rPr>
            </w:pPr>
            <w:r>
              <w:rPr>
                <w:rFonts w:ascii="Arial" w:cs="Arial" w:eastAsia="Arial" w:hAnsi="Arial"/>
                <w:sz w:val="13"/>
                <w:szCs w:val="13"/>
                <w:b w:val="1"/>
                <w:bCs w:val="1"/>
                <w:color w:val="auto"/>
              </w:rPr>
              <w:t>Three months ended June 30,</w:t>
            </w:r>
          </w:p>
        </w:tc>
        <w:tc>
          <w:tcPr>
            <w:tcW w:w="180" w:type="dxa"/>
            <w:vAlign w:val="bottom"/>
          </w:tcPr>
          <w:p>
            <w:pPr>
              <w:spacing w:after="0"/>
              <w:rPr>
                <w:sz w:val="15"/>
                <w:szCs w:val="15"/>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Change</w:t>
            </w:r>
          </w:p>
        </w:tc>
        <w:tc>
          <w:tcPr>
            <w:tcW w:w="1420" w:type="dxa"/>
            <w:vAlign w:val="bottom"/>
            <w:vMerge w:val="restart"/>
          </w:tcPr>
          <w:p>
            <w:pPr>
              <w:jc w:val="right"/>
              <w:ind w:right="325"/>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47"/>
        </w:trPr>
        <w:tc>
          <w:tcPr>
            <w:tcW w:w="3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vMerge w:val="restart"/>
          </w:tcPr>
          <w:p>
            <w:pPr>
              <w:jc w:val="right"/>
              <w:ind w:right="52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521"/>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6"/>
        </w:trPr>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0" w:type="dxa"/>
            <w:vAlign w:val="bottom"/>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45"/>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8"/>
                <w:szCs w:val="18"/>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1120" w:type="dxa"/>
            <w:vAlign w:val="bottom"/>
          </w:tcPr>
          <w:p>
            <w:pPr>
              <w:jc w:val="right"/>
              <w:ind w:right="14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121"/>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4"/>
        </w:trPr>
        <w:tc>
          <w:tcPr>
            <w:tcW w:w="34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7"/>
                <w:szCs w:val="17"/>
                <w:color w:val="auto"/>
              </w:rPr>
              <w:t>12.3</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7"/>
                <w:szCs w:val="17"/>
                <w:color w:val="auto"/>
              </w:rPr>
              <w:t>12.4</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(0.8) %</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-442595</wp:posOffset>
            </wp:positionV>
            <wp:extent cx="6865620"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65620" cy="134620"/>
                    </a:xfrm>
                    <a:prstGeom prst="rect">
                      <a:avLst/>
                    </a:prstGeom>
                    <a:noFill/>
                  </pic:spPr>
                </pic:pic>
              </a:graphicData>
            </a:graphic>
          </wp:anchor>
        </w:drawing>
        <w:drawing>
          <wp:anchor simplePos="0" relativeHeight="251657728" behindDoc="1" locked="0" layoutInCell="0" allowOverlap="1">
            <wp:simplePos x="0" y="0"/>
            <wp:positionH relativeFrom="column">
              <wp:posOffset>-3311525</wp:posOffset>
            </wp:positionH>
            <wp:positionV relativeFrom="paragraph">
              <wp:posOffset>-173355</wp:posOffset>
            </wp:positionV>
            <wp:extent cx="6865620" cy="158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65620" cy="158115"/>
                    </a:xfrm>
                    <a:prstGeom prst="rect">
                      <a:avLst/>
                    </a:prstGeom>
                    <a:noFill/>
                  </pic:spPr>
                </pic:pic>
              </a:graphicData>
            </a:graphic>
          </wp:anchor>
        </w:drawing>
      </w:r>
    </w:p>
    <w:p>
      <w:pPr>
        <w:ind w:left="1040"/>
        <w:spacing w:after="0"/>
        <w:tabs>
          <w:tab w:leader="none" w:pos="2560" w:val="left"/>
        </w:tabs>
        <w:rPr>
          <w:sz w:val="20"/>
          <w:szCs w:val="20"/>
          <w:color w:val="auto"/>
        </w:rPr>
      </w:pPr>
      <w:r>
        <w:rPr>
          <w:rFonts w:ascii="Arial" w:cs="Arial" w:eastAsia="Arial" w:hAnsi="Arial"/>
          <w:sz w:val="17"/>
          <w:szCs w:val="17"/>
          <w:color w:val="auto"/>
        </w:rPr>
        <w:t>4.5 %</w:t>
      </w:r>
      <w:r>
        <w:rPr>
          <w:sz w:val="20"/>
          <w:szCs w:val="20"/>
          <w:color w:val="auto"/>
        </w:rPr>
        <w:tab/>
      </w:r>
      <w:r>
        <w:rPr>
          <w:rFonts w:ascii="Arial" w:cs="Arial" w:eastAsia="Arial" w:hAnsi="Arial"/>
          <w:sz w:val="15"/>
          <w:szCs w:val="15"/>
          <w:color w:val="auto"/>
        </w:rPr>
        <w:t>5.6 %</w:t>
      </w:r>
    </w:p>
    <w:p>
      <w:pPr>
        <w:spacing w:after="0" w:line="200" w:lineRule="exact"/>
        <w:rPr>
          <w:sz w:val="20"/>
          <w:szCs w:val="20"/>
          <w:color w:val="auto"/>
        </w:rPr>
      </w:pPr>
    </w:p>
    <w:p>
      <w:pPr>
        <w:sectPr>
          <w:pgSz w:w="11900" w:h="16838" w:orient="portrait"/>
          <w:cols w:equalWidth="0" w:num="2">
            <w:col w:w="4720" w:space="720"/>
            <w:col w:w="5800"/>
          </w:cols>
          <w:pgMar w:left="320" w:top="348" w:right="339" w:bottom="1440" w:gutter="0" w:footer="0" w:header="0"/>
          <w:type w:val="continuous"/>
        </w:sectPr>
      </w:pPr>
    </w:p>
    <w:p>
      <w:pPr>
        <w:spacing w:after="0" w:line="103"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The decrease in depreciation expense of $0.1 million was primarily due to lower depreciation on assets related to operating centers closed as a result of optimization of office space and increased reliance on the work from home model, due to the impact of COVID-19 during the three months ended June 30, 2021, compared to the three months ended June 30, 2020.</w:t>
      </w:r>
    </w:p>
    <w:p>
      <w:pPr>
        <w:spacing w:after="0" w:line="301"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$25.9 million, or 261.6%, from $9.9 million for the three months ended June 30, 2020 to $35.8</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three months ended June 30, 2021, primarily due to higher revenues, partially offset by higher cost of revenues and higher SG&amp;A expenses during the three months ended June 30, 2021. As a percentage of revenues, income from operations increased from 4.4% for the three months ended June 30, 2020 to 13.0% for the three months ended June 30, 2021.</w:t>
      </w:r>
    </w:p>
    <w:p>
      <w:pPr>
        <w:spacing w:after="0" w:line="205" w:lineRule="exact"/>
        <w:rPr>
          <w:sz w:val="20"/>
          <w:szCs w:val="20"/>
          <w:color w:val="auto"/>
        </w:rPr>
      </w:pPr>
    </w:p>
    <w:p>
      <w:pPr>
        <w:jc w:val="both"/>
        <w:ind w:firstLine="374"/>
        <w:spacing w:after="0" w:line="266"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Net foreign exchange gains and losses are primarily attributable to the movement of the U.S. dollar against the Indian rupee,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U.K. pound sterling, the Philippine peso and the South African ZAR during the three months ended June 30, 2021. The average exchange rate of the U.S. dollar against the Indian rupee decreased from 75.41 during the three months ended June 30, 2020 to 73.67 during the three months ended June 30, 2021. The average exchange rate of the U.K. pound sterling against the U.S. dollar increased from 1.24 during the three months ended June 30, 2020 to 1.40 during the three months ended June 30, 2021. The average exchange rate of the U.S. dollar against the Philippine peso decreased from 50.28 during the three months ended June 30, 2020 to 48.20 during the three months ended June 30, 2021. The average exchange rate of the U.S. dollar against the South African ZAR decreased from 17.66 during the three months ended June 30, 2020 to 14.15 during the three months ended June 30, 2021.</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recorded a net foreign exchange gain of $1.4 million, each, for the three months ended June 30, 2021 and 2020.</w:t>
      </w:r>
    </w:p>
    <w:p>
      <w:pPr>
        <w:spacing w:after="0" w:line="229"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b w:val="1"/>
          <w:bCs w:val="1"/>
          <w:i w:val="1"/>
          <w:iCs w:val="1"/>
          <w:color w:val="auto"/>
        </w:rPr>
        <w:t>Interest expens</w:t>
      </w:r>
      <w:r>
        <w:rPr>
          <w:rFonts w:ascii="Arial" w:cs="Arial" w:eastAsia="Arial" w:hAnsi="Arial"/>
          <w:sz w:val="17"/>
          <w:szCs w:val="17"/>
          <w:color w:val="auto"/>
        </w:rPr>
        <w:t>e. Interest expense decreased from $2.9 million for the three months ended June 30, 2020 to $2.5 million for the three months ended June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lower outstanding borrowings and lower effective interest rates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49" w:name="page50"/>
    <w:bookmarkEnd w:id="4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1.8% under our Credit Facility during the three months ended June 30, 2021, compared to 2.2% during the three months ended June 30, 2020.</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45" w:lineRule="exact"/>
        <w:rPr>
          <w:sz w:val="20"/>
          <w:szCs w:val="20"/>
          <w:color w:val="auto"/>
        </w:rPr>
      </w:pPr>
    </w:p>
    <w:tbl>
      <w:tblPr>
        <w:tblLayout w:type="fixed"/>
        <w:tblInd w:w="80" w:type="dxa"/>
        <w:tblCellMar>
          <w:top w:w="0" w:type="dxa"/>
          <w:left w:w="0" w:type="dxa"/>
          <w:bottom w:w="0" w:type="dxa"/>
          <w:right w:w="0" w:type="dxa"/>
        </w:tblCellMar>
      </w:tblPr>
      <w:tr>
        <w:trPr>
          <w:trHeight w:val="177"/>
        </w:trPr>
        <w:tc>
          <w:tcPr>
            <w:tcW w:w="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Three months ended June 30,</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302"/>
              <w:spacing w:after="0"/>
              <w:rPr>
                <w:sz w:val="20"/>
                <w:szCs w:val="20"/>
                <w:color w:val="auto"/>
              </w:rPr>
            </w:pPr>
            <w:r>
              <w:rPr>
                <w:rFonts w:ascii="Arial" w:cs="Arial" w:eastAsia="Arial" w:hAnsi="Arial"/>
                <w:sz w:val="13"/>
                <w:szCs w:val="13"/>
                <w:b w:val="1"/>
                <w:bCs w:val="1"/>
                <w:color w:val="auto"/>
              </w:rPr>
              <w:t>Percentage</w:t>
            </w:r>
          </w:p>
        </w:tc>
      </w:tr>
      <w:tr>
        <w:trPr>
          <w:trHeight w:val="183"/>
        </w:trPr>
        <w:tc>
          <w:tcPr>
            <w:tcW w:w="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9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auto"/>
              </w:rPr>
              <w:t>Change</w:t>
            </w:r>
          </w:p>
        </w:tc>
        <w:tc>
          <w:tcPr>
            <w:tcW w:w="1280" w:type="dxa"/>
            <w:vAlign w:val="bottom"/>
          </w:tcPr>
          <w:p>
            <w:pPr>
              <w:jc w:val="right"/>
              <w:ind w:right="362"/>
              <w:spacing w:after="0"/>
              <w:rPr>
                <w:sz w:val="20"/>
                <w:szCs w:val="20"/>
                <w:color w:val="auto"/>
              </w:rPr>
            </w:pPr>
            <w:r>
              <w:rPr>
                <w:rFonts w:ascii="Arial" w:cs="Arial" w:eastAsia="Arial" w:hAnsi="Arial"/>
                <w:sz w:val="13"/>
                <w:szCs w:val="13"/>
                <w:b w:val="1"/>
                <w:bCs w:val="1"/>
                <w:color w:val="auto"/>
              </w:rPr>
              <w:t>change</w:t>
            </w:r>
          </w:p>
        </w:tc>
      </w:tr>
      <w:tr>
        <w:trPr>
          <w:trHeight w:val="167"/>
        </w:trPr>
        <w:tc>
          <w:tcPr>
            <w:tcW w:w="60" w:type="dxa"/>
            <w:vAlign w:val="bottom"/>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160" w:type="dxa"/>
            <w:vAlign w:val="bottom"/>
            <w:tcBorders>
              <w:top w:val="single" w:sz="8" w:color="auto"/>
              <w:bottom w:val="single" w:sz="8" w:color="auto"/>
            </w:tcBorders>
            <w:gridSpan w:val="4"/>
          </w:tcPr>
          <w:p>
            <w:pPr>
              <w:jc w:val="right"/>
              <w:ind w:right="380"/>
              <w:spacing w:after="0"/>
              <w:rPr>
                <w:sz w:val="20"/>
                <w:szCs w:val="20"/>
                <w:color w:val="auto"/>
              </w:rPr>
            </w:pPr>
            <w:r>
              <w:rPr>
                <w:rFonts w:ascii="Arial" w:cs="Arial" w:eastAsia="Arial" w:hAnsi="Arial"/>
                <w:sz w:val="13"/>
                <w:szCs w:val="13"/>
                <w:b w:val="1"/>
                <w:bCs w:val="1"/>
                <w:color w:val="auto"/>
              </w:rPr>
              <w:t>(dollars in millions)</w:t>
            </w:r>
          </w:p>
        </w:tc>
        <w:tc>
          <w:tcPr>
            <w:tcW w:w="3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r>
      <w:tr>
        <w:trPr>
          <w:trHeight w:val="206"/>
        </w:trPr>
        <w:tc>
          <w:tcPr>
            <w:tcW w:w="60" w:type="dxa"/>
            <w:vAlign w:val="bottom"/>
          </w:tcPr>
          <w:p>
            <w:pPr>
              <w:spacing w:after="0"/>
              <w:rPr>
                <w:sz w:val="17"/>
                <w:szCs w:val="17"/>
                <w:color w:val="auto"/>
              </w:rPr>
            </w:pPr>
          </w:p>
        </w:tc>
        <w:tc>
          <w:tcPr>
            <w:tcW w:w="4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Gain on sale and mark-to-market of mutual funds</w:t>
            </w:r>
          </w:p>
        </w:tc>
        <w:tc>
          <w:tcPr>
            <w:tcW w:w="1980" w:type="dxa"/>
            <w:vAlign w:val="bottom"/>
            <w:gridSpan w:val="2"/>
            <w:shd w:val="clear" w:color="auto" w:fill="CCEEFF"/>
          </w:tcPr>
          <w:p>
            <w:pPr>
              <w:jc w:val="right"/>
              <w:ind w:right="674"/>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1.6</w:t>
            </w:r>
          </w:p>
        </w:tc>
        <w:tc>
          <w:tcPr>
            <w:tcW w:w="980" w:type="dxa"/>
            <w:vAlign w:val="bottom"/>
            <w:gridSpan w:val="2"/>
            <w:shd w:val="clear" w:color="auto" w:fill="CCEEFF"/>
          </w:tcPr>
          <w:p>
            <w:pPr>
              <w:jc w:val="right"/>
              <w:ind w:right="8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center"/>
              <w:ind w:left="600"/>
              <w:spacing w:after="0"/>
              <w:rPr>
                <w:sz w:val="20"/>
                <w:szCs w:val="20"/>
                <w:color w:val="auto"/>
              </w:rPr>
            </w:pPr>
            <w:r>
              <w:rPr>
                <w:rFonts w:ascii="Arial" w:cs="Arial" w:eastAsia="Arial" w:hAnsi="Arial"/>
                <w:sz w:val="17"/>
                <w:szCs w:val="17"/>
                <w:color w:val="auto"/>
                <w:w w:val="91"/>
              </w:rPr>
              <w:t>(1.5)</w:t>
            </w: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r>
      <w:tr>
        <w:trPr>
          <w:trHeight w:val="212"/>
        </w:trPr>
        <w:tc>
          <w:tcPr>
            <w:tcW w:w="4460" w:type="dxa"/>
            <w:vAlign w:val="bottom"/>
            <w:gridSpan w:val="2"/>
          </w:tcPr>
          <w:p>
            <w:pPr>
              <w:spacing w:after="0"/>
              <w:rPr>
                <w:sz w:val="20"/>
                <w:szCs w:val="20"/>
                <w:color w:val="auto"/>
              </w:rPr>
            </w:pPr>
            <w:r>
              <w:rPr>
                <w:rFonts w:ascii="Arial" w:cs="Arial" w:eastAsia="Arial" w:hAnsi="Arial"/>
                <w:sz w:val="17"/>
                <w:szCs w:val="17"/>
                <w:color w:val="auto"/>
              </w:rPr>
              <w:t>Interest and dividend income</w:t>
            </w: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7"/>
                <w:szCs w:val="17"/>
                <w:color w:val="auto"/>
                <w:w w:val="92"/>
              </w:rPr>
              <w:t>0.7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ind w:left="640"/>
              <w:spacing w:after="0"/>
              <w:rPr>
                <w:sz w:val="20"/>
                <w:szCs w:val="20"/>
                <w:color w:val="auto"/>
              </w:rPr>
            </w:pPr>
            <w:r>
              <w:rPr>
                <w:rFonts w:ascii="Arial" w:cs="Arial" w:eastAsia="Arial" w:hAnsi="Arial"/>
                <w:sz w:val="17"/>
                <w:szCs w:val="17"/>
                <w:color w:val="auto"/>
                <w:w w:val="84"/>
              </w:rPr>
              <w:t>0.1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16.7%</w:t>
            </w:r>
          </w:p>
        </w:tc>
      </w:tr>
      <w:tr>
        <w:trPr>
          <w:trHeight w:val="212"/>
        </w:trPr>
        <w:tc>
          <w:tcPr>
            <w:tcW w:w="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Other, net</w:t>
            </w:r>
          </w:p>
        </w:tc>
        <w:tc>
          <w:tcPr>
            <w:tcW w:w="12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center"/>
              <w:ind w:left="600"/>
              <w:spacing w:after="0"/>
              <w:rPr>
                <w:sz w:val="20"/>
                <w:szCs w:val="20"/>
                <w:color w:val="auto"/>
              </w:rPr>
            </w:pPr>
            <w:r>
              <w:rPr>
                <w:rFonts w:ascii="Arial" w:cs="Arial" w:eastAsia="Arial" w:hAnsi="Arial"/>
                <w:sz w:val="17"/>
                <w:szCs w:val="17"/>
                <w:color w:val="auto"/>
                <w:w w:val="91"/>
              </w:rPr>
              <w:t>(0.6)</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(120.0)%</w:t>
            </w:r>
          </w:p>
        </w:tc>
      </w:tr>
      <w:tr>
        <w:trPr>
          <w:trHeight w:val="204"/>
        </w:trPr>
        <w:tc>
          <w:tcPr>
            <w:tcW w:w="4460" w:type="dxa"/>
            <w:vAlign w:val="bottom"/>
            <w:gridSpan w:val="2"/>
          </w:tcPr>
          <w:p>
            <w:pPr>
              <w:spacing w:after="0" w:line="192" w:lineRule="exact"/>
              <w:rPr>
                <w:sz w:val="20"/>
                <w:szCs w:val="20"/>
                <w:color w:val="auto"/>
              </w:rPr>
            </w:pPr>
            <w:r>
              <w:rPr>
                <w:rFonts w:ascii="Arial" w:cs="Arial" w:eastAsia="Arial" w:hAnsi="Arial"/>
                <w:sz w:val="17"/>
                <w:szCs w:val="17"/>
                <w:color w:val="auto"/>
              </w:rPr>
              <w:t>Other income, net</w:t>
            </w:r>
          </w:p>
        </w:tc>
        <w:tc>
          <w:tcPr>
            <w:tcW w:w="1980" w:type="dxa"/>
            <w:vAlign w:val="bottom"/>
            <w:gridSpan w:val="2"/>
          </w:tcPr>
          <w:p>
            <w:pPr>
              <w:jc w:val="right"/>
              <w:ind w:right="674"/>
              <w:spacing w:after="0"/>
              <w:rPr>
                <w:sz w:val="20"/>
                <w:szCs w:val="20"/>
                <w:color w:val="auto"/>
              </w:rPr>
            </w:pPr>
            <w:r>
              <w:rPr>
                <w:rFonts w:ascii="Arial" w:cs="Arial" w:eastAsia="Arial" w:hAnsi="Arial"/>
                <w:sz w:val="17"/>
                <w:szCs w:val="17"/>
                <w:color w:val="auto"/>
              </w:rPr>
              <w:t>$</w:t>
            </w:r>
          </w:p>
        </w:tc>
        <w:tc>
          <w:tcPr>
            <w:tcW w:w="420" w:type="dxa"/>
            <w:vAlign w:val="bottom"/>
          </w:tcPr>
          <w:p>
            <w:pPr>
              <w:jc w:val="center"/>
              <w:spacing w:after="0"/>
              <w:rPr>
                <w:sz w:val="20"/>
                <w:szCs w:val="20"/>
                <w:color w:val="auto"/>
              </w:rPr>
            </w:pPr>
            <w:r>
              <w:rPr>
                <w:rFonts w:ascii="Arial" w:cs="Arial" w:eastAsia="Arial" w:hAnsi="Arial"/>
                <w:sz w:val="17"/>
                <w:szCs w:val="17"/>
                <w:color w:val="auto"/>
                <w:w w:val="92"/>
              </w:rPr>
              <w:t>2.2</w:t>
            </w:r>
          </w:p>
        </w:tc>
        <w:tc>
          <w:tcPr>
            <w:tcW w:w="980" w:type="dxa"/>
            <w:vAlign w:val="bottom"/>
            <w:gridSpan w:val="2"/>
          </w:tcPr>
          <w:p>
            <w:pPr>
              <w:jc w:val="right"/>
              <w:ind w:right="86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4.2</w:t>
            </w: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tcPr>
          <w:p>
            <w:pPr>
              <w:jc w:val="center"/>
              <w:ind w:left="600"/>
              <w:spacing w:after="0"/>
              <w:rPr>
                <w:sz w:val="20"/>
                <w:szCs w:val="20"/>
                <w:color w:val="auto"/>
              </w:rPr>
            </w:pPr>
            <w:r>
              <w:rPr>
                <w:rFonts w:ascii="Arial" w:cs="Arial" w:eastAsia="Arial" w:hAnsi="Arial"/>
                <w:sz w:val="17"/>
                <w:szCs w:val="17"/>
                <w:color w:val="auto"/>
                <w:w w:val="91"/>
              </w:rPr>
              <w:t>(2.0)</w:t>
            </w:r>
          </w:p>
        </w:tc>
        <w:tc>
          <w:tcPr>
            <w:tcW w:w="1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(47.6)%</w:t>
            </w:r>
          </w:p>
        </w:tc>
      </w:tr>
      <w:tr>
        <w:trPr>
          <w:trHeight w:val="20"/>
        </w:trPr>
        <w:tc>
          <w:tcPr>
            <w:tcW w:w="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color w:val="auto"/>
        </w:rPr>
        <w:t>Other income, net decreased by $2.0 million, from $4.2 million for the three months ended June 30, 2020 to $2.2 million for the three months ended June 30, 2021, primarily due to lower return on mutual fund investments of $1.5 million, partially offset by increase in interest income of $0.1 million during the three months ended June 30, 2021, compared to the three months ended June 30, 2020.</w:t>
      </w:r>
    </w:p>
    <w:p>
      <w:pPr>
        <w:spacing w:after="0" w:line="189"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5"/>
          <w:szCs w:val="15"/>
          <w:b w:val="1"/>
          <w:bCs w:val="1"/>
          <w:i w:val="1"/>
          <w:iCs w:val="1"/>
          <w:color w:val="auto"/>
        </w:rPr>
        <w:t xml:space="preserve">Income Tax Expense. </w:t>
      </w:r>
      <w:r>
        <w:rPr>
          <w:rFonts w:ascii="Arial" w:cs="Arial" w:eastAsia="Arial" w:hAnsi="Arial"/>
          <w:sz w:val="15"/>
          <w:szCs w:val="15"/>
          <w:color w:val="auto"/>
        </w:rPr>
        <w:t>The effective tax rate decreased from 32.4% during the three months ended June 30, 2020 to 24.0% during the three months ended June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2021. We recorded income tax expense of $8.9 million and $4.1 million for the three months ended June 30, 2021 and 2020, respectively. The increase in income tax expense was primarily as a result of higher profit during the three months ended June 30, 2021, compared to the three months ended June 30, 2020, partially offset by recording of a one-time tax expense of $1.3 million due to the election of a new tax regime, during the three months ended June 30, 2020, for two of our Indian subsidiaries that provides for a lower tax rate on earnings in exchange for foregoing certain tax credits, including minimum alternative tax credits.</w:t>
      </w:r>
    </w:p>
    <w:p>
      <w:pPr>
        <w:spacing w:after="0" w:line="178"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$8.4 million for the three months ended June 30, 2020 to $28.0 million for the three months ended June 30,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due to increase in income from operations of $25.9 million, lower interest expense of $0.4 million and lower loss from equity-method investment of $0.1 million, partially offset by higher income tax expense of $4.8 million and lower other income, net of $2.0 million. As a percentage of revenues, net income increased from 3.8% for the three months ended June 30, 2020 to 10.2%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2021 Compared to Six Months Ended June 30, 2020</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Revenues.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revenues by reportable segments for the six months ended June 30, 2021 and 2020:</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177"/>
        </w:trPr>
        <w:tc>
          <w:tcPr>
            <w:tcW w:w="5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80" w:type="dxa"/>
            <w:vAlign w:val="bottom"/>
            <w:gridSpan w:val="5"/>
          </w:tcPr>
          <w:p>
            <w:pPr>
              <w:ind w:left="300"/>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0" w:type="dxa"/>
            <w:vAlign w:val="bottom"/>
          </w:tcPr>
          <w:p>
            <w:pPr>
              <w:spacing w:after="0"/>
              <w:rPr>
                <w:sz w:val="1"/>
                <w:szCs w:val="1"/>
                <w:color w:val="auto"/>
              </w:rPr>
            </w:pPr>
          </w:p>
        </w:tc>
      </w:tr>
      <w:tr>
        <w:trPr>
          <w:trHeight w:val="60"/>
        </w:trPr>
        <w:tc>
          <w:tcPr>
            <w:tcW w:w="50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vMerge w:val="restart"/>
          </w:tcPr>
          <w:p>
            <w:pPr>
              <w:jc w:val="right"/>
              <w:ind w:right="34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jc w:val="right"/>
              <w:ind w:right="3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Change</w:t>
            </w: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80" w:type="dxa"/>
            <w:vAlign w:val="bottom"/>
          </w:tcPr>
          <w:p>
            <w:pPr>
              <w:jc w:val="right"/>
              <w:ind w:right="222"/>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167"/>
        </w:trPr>
        <w:tc>
          <w:tcPr>
            <w:tcW w:w="50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Insurance</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185.8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12.6</w:t>
            </w:r>
          </w:p>
        </w:tc>
        <w:tc>
          <w:tcPr>
            <w:tcW w:w="0" w:type="dxa"/>
            <w:vAlign w:val="bottom"/>
          </w:tcPr>
          <w:p>
            <w:pPr>
              <w:spacing w:after="0"/>
              <w:rPr>
                <w:sz w:val="1"/>
                <w:szCs w:val="1"/>
                <w:color w:val="auto"/>
              </w:rPr>
            </w:pPr>
          </w:p>
        </w:tc>
      </w:tr>
      <w:tr>
        <w:trPr>
          <w:trHeight w:val="212"/>
        </w:trPr>
        <w:tc>
          <w:tcPr>
            <w:tcW w:w="5020" w:type="dxa"/>
            <w:vAlign w:val="bottom"/>
          </w:tcPr>
          <w:p>
            <w:pPr>
              <w:ind w:left="380"/>
              <w:spacing w:after="0"/>
              <w:rPr>
                <w:sz w:val="20"/>
                <w:szCs w:val="20"/>
                <w:color w:val="auto"/>
              </w:rPr>
            </w:pPr>
            <w:r>
              <w:rPr>
                <w:rFonts w:ascii="Arial" w:cs="Arial" w:eastAsia="Arial" w:hAnsi="Arial"/>
                <w:sz w:val="17"/>
                <w:szCs w:val="17"/>
                <w:color w:val="auto"/>
              </w:rPr>
              <w:t>Healthcare</w:t>
            </w:r>
          </w:p>
        </w:tc>
        <w:tc>
          <w:tcPr>
            <w:tcW w:w="640" w:type="dxa"/>
            <w:vAlign w:val="bottom"/>
          </w:tcPr>
          <w:p>
            <w:pPr>
              <w:spacing w:after="0"/>
              <w:rPr>
                <w:sz w:val="18"/>
                <w:szCs w:val="18"/>
                <w:color w:val="auto"/>
              </w:rPr>
            </w:pPr>
          </w:p>
        </w:tc>
        <w:tc>
          <w:tcPr>
            <w:tcW w:w="840" w:type="dxa"/>
            <w:vAlign w:val="bottom"/>
          </w:tcPr>
          <w:p>
            <w:pPr>
              <w:jc w:val="right"/>
              <w:ind w:right="3"/>
              <w:spacing w:after="0"/>
              <w:rPr>
                <w:sz w:val="20"/>
                <w:szCs w:val="20"/>
                <w:color w:val="auto"/>
              </w:rPr>
            </w:pPr>
            <w:r>
              <w:rPr>
                <w:rFonts w:ascii="Arial" w:cs="Arial" w:eastAsia="Arial" w:hAnsi="Arial"/>
                <w:sz w:val="17"/>
                <w:szCs w:val="17"/>
                <w:color w:val="auto"/>
              </w:rPr>
              <w:t>58.6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52.0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8"/>
                <w:szCs w:val="18"/>
                <w:color w:val="auto"/>
              </w:rPr>
            </w:pPr>
          </w:p>
        </w:tc>
        <w:tc>
          <w:tcPr>
            <w:tcW w:w="1280" w:type="dxa"/>
            <w:vAlign w:val="bottom"/>
          </w:tcPr>
          <w:p>
            <w:pPr>
              <w:jc w:val="right"/>
              <w:ind w:right="222"/>
              <w:spacing w:after="0"/>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212"/>
        </w:trPr>
        <w:tc>
          <w:tcPr>
            <w:tcW w:w="50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Emerging Business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7"/>
                <w:szCs w:val="17"/>
                <w:color w:val="auto"/>
              </w:rPr>
              <w:t>78.4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22"/>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2"/>
        </w:trPr>
        <w:tc>
          <w:tcPr>
            <w:tcW w:w="5020" w:type="dxa"/>
            <w:vAlign w:val="bottom"/>
            <w:tcBorders>
              <w:bottom w:val="single" w:sz="8" w:color="CCEEFF"/>
            </w:tcBorders>
          </w:tcPr>
          <w:p>
            <w:pPr>
              <w:ind w:left="380"/>
              <w:spacing w:after="0"/>
              <w:rPr>
                <w:sz w:val="20"/>
                <w:szCs w:val="20"/>
                <w:color w:val="auto"/>
              </w:rPr>
            </w:pPr>
            <w:r>
              <w:rPr>
                <w:rFonts w:ascii="Arial" w:cs="Arial" w:eastAsia="Arial" w:hAnsi="Arial"/>
                <w:sz w:val="17"/>
                <w:szCs w:val="17"/>
                <w:color w:val="auto"/>
              </w:rPr>
              <w:t>Analytics</w:t>
            </w:r>
          </w:p>
        </w:tc>
        <w:tc>
          <w:tcPr>
            <w:tcW w:w="6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213.7</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39.6</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shd w:val="clear" w:color="auto" w:fill="CCEEFF"/>
          </w:tcPr>
          <w:p>
            <w:pPr>
              <w:ind w:left="380"/>
              <w:spacing w:after="0" w:line="192" w:lineRule="exact"/>
              <w:rPr>
                <w:sz w:val="20"/>
                <w:szCs w:val="20"/>
                <w:color w:val="auto"/>
              </w:rPr>
            </w:pPr>
            <w:r>
              <w:rPr>
                <w:rFonts w:ascii="Arial" w:cs="Arial" w:eastAsia="Arial" w:hAnsi="Arial"/>
                <w:sz w:val="17"/>
                <w:szCs w:val="17"/>
                <w:color w:val="auto"/>
              </w:rPr>
              <w:t>Total revenues, net</w:t>
            </w:r>
          </w:p>
        </w:tc>
        <w:tc>
          <w:tcPr>
            <w:tcW w:w="6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536.5</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468.5</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Revenues for the six months ended June 30, 2021 were $536.5 million, up $68.0 million, or 14.5%, compared to the six months ended June 30, 2020.</w:t>
      </w:r>
    </w:p>
    <w:p>
      <w:pPr>
        <w:spacing w:after="0" w:line="240" w:lineRule="exact"/>
        <w:rPr>
          <w:sz w:val="20"/>
          <w:szCs w:val="20"/>
          <w:color w:val="auto"/>
        </w:rPr>
      </w:pPr>
    </w:p>
    <w:p>
      <w:pPr>
        <w:jc w:val="both"/>
        <w:ind w:right="100" w:firstLine="374"/>
        <w:spacing w:after="0" w:line="237" w:lineRule="auto"/>
        <w:rPr>
          <w:sz w:val="20"/>
          <w:szCs w:val="20"/>
          <w:color w:val="auto"/>
        </w:rPr>
      </w:pPr>
      <w:r>
        <w:rPr>
          <w:rFonts w:ascii="Arial" w:cs="Arial" w:eastAsia="Arial" w:hAnsi="Arial"/>
          <w:sz w:val="17"/>
          <w:szCs w:val="17"/>
          <w:color w:val="auto"/>
        </w:rPr>
        <w:t>Revenue growth in Insurance of $20.8 million was primarily driven by expansion of business from our existing clients aggregating to $18.4 million and an increase in revenues $2.4 million that was mainly attributable to the appreciation of the Australian dollar, the U.K. pound sterling and the South African ZAR against the U.S. dollar during the six months ended June 30, 2021, compared to the six months ended June 30, 2020. Insurance revenues were 34.6% and 35.2% of our total revenues in the six months ended June 30, 2021 and June 30, 2020, respectively.</w:t>
      </w:r>
    </w:p>
    <w:p>
      <w:pPr>
        <w:spacing w:after="0" w:line="201" w:lineRule="exact"/>
        <w:rPr>
          <w:sz w:val="20"/>
          <w:szCs w:val="20"/>
          <w:color w:val="auto"/>
        </w:rPr>
      </w:pPr>
    </w:p>
    <w:p>
      <w:pPr>
        <w:jc w:val="both"/>
        <w:ind w:right="100" w:firstLine="374"/>
        <w:spacing w:after="0" w:line="255" w:lineRule="auto"/>
        <w:rPr>
          <w:sz w:val="20"/>
          <w:szCs w:val="20"/>
          <w:color w:val="auto"/>
        </w:rPr>
      </w:pPr>
      <w:r>
        <w:rPr>
          <w:rFonts w:ascii="Arial" w:cs="Arial" w:eastAsia="Arial" w:hAnsi="Arial"/>
          <w:sz w:val="17"/>
          <w:szCs w:val="17"/>
          <w:color w:val="auto"/>
        </w:rPr>
        <w:t>Revenue growth in Healthcare of $6.6 million was primarily driven by expansion of business from our new and existing clients aggregating to $6.6 million during the six months ended June 30, 2021. Healthcare revenues were 10.9% and 11.1% of our total revenues in the six months ended June 30, 2021 and June 30, 2020, respectively.</w:t>
      </w:r>
    </w:p>
    <w:p>
      <w:pPr>
        <w:spacing w:after="0" w:line="188"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Revenue growth in Emerging Business of $1.0 million was primarily driven by expansion of business from our new clients and existing clients aggregating to $0.3 million and an increase in revenues of $0.7 million that was mainly attributable to the appreciation of the Indian rupee and the U.K. pound sterling against the U.S. dollar during the six months ended June 30, 2021 compared to the six months ended June 30, 2020. Emerging Business revenues were 14.6% and 16.5% of our total revenues in the six months ended June 30, 2021 and June 30, 2020, respectively.</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Revenue growth in Analytics of $39.6 million was attributable to the higher volumes in our annuity and project based engagements from our new and existing</w:t>
      </w:r>
    </w:p>
    <w:p>
      <w:pPr>
        <w:spacing w:after="0" w:line="64" w:lineRule="exact"/>
        <w:rPr>
          <w:sz w:val="20"/>
          <w:szCs w:val="20"/>
          <w:color w:val="auto"/>
        </w:rPr>
      </w:pPr>
    </w:p>
    <w:p>
      <w:pPr>
        <w:jc w:val="both"/>
        <w:ind w:right="100"/>
        <w:spacing w:after="0" w:line="255" w:lineRule="auto"/>
        <w:rPr>
          <w:sz w:val="20"/>
          <w:szCs w:val="20"/>
          <w:color w:val="auto"/>
        </w:rPr>
      </w:pPr>
      <w:r>
        <w:rPr>
          <w:rFonts w:ascii="Arial" w:cs="Arial" w:eastAsia="Arial" w:hAnsi="Arial"/>
          <w:sz w:val="17"/>
          <w:szCs w:val="17"/>
          <w:color w:val="auto"/>
        </w:rPr>
        <w:t>clients of $37.9 million and an increase in revenues $1.7 million mainly attributable to the appreciation of the U.K. pound sterling and the South African ZAR against the U.S. dollar during the six months ended June 30, 2021, compared to the six months ended June 30, 2020. Analytics revenues were 39.8% and 37.2% of our total revenues in the six months ended June 30, 2021 and June 30, 2020, respectively.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1" w:name="page52"/>
    <w:bookmarkEnd w:id="5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Cost of Revenues and Gross Margin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sets forth cost of revenues and gross margin of our reportable segments.</w:t>
      </w:r>
    </w:p>
    <w:p>
      <w:pPr>
        <w:spacing w:after="0" w:line="38"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13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Cost of Revenues</w:t>
            </w:r>
          </w:p>
        </w:tc>
        <w:tc>
          <w:tcPr>
            <w:tcW w:w="1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Gross Margin</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80" w:type="dxa"/>
            <w:vAlign w:val="bottom"/>
            <w:gridSpan w:val="5"/>
          </w:tcPr>
          <w:p>
            <w:pPr>
              <w:ind w:left="220"/>
              <w:spacing w:after="0"/>
              <w:rPr>
                <w:sz w:val="20"/>
                <w:szCs w:val="20"/>
                <w:color w:val="auto"/>
              </w:rPr>
            </w:pPr>
            <w:r>
              <w:rPr>
                <w:rFonts w:ascii="Arial" w:cs="Arial" w:eastAsia="Arial" w:hAnsi="Arial"/>
                <w:sz w:val="13"/>
                <w:szCs w:val="13"/>
                <w:b w:val="1"/>
                <w:bCs w:val="1"/>
                <w:color w:val="auto"/>
              </w:rPr>
              <w:t>Six months ended June 30,</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Percentage</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13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720" w:type="dxa"/>
            <w:vAlign w:val="bottom"/>
            <w:tcBorders>
              <w:top w:val="single" w:sz="8" w:color="auto"/>
            </w:tcBorders>
            <w:vMerge w:val="restart"/>
          </w:tcPr>
          <w:p>
            <w:pPr>
              <w:jc w:val="right"/>
              <w:ind w:right="26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40" w:type="dxa"/>
            <w:vAlign w:val="bottom"/>
            <w:tcBorders>
              <w:top w:val="single" w:sz="8" w:color="auto"/>
            </w:tcBorders>
            <w:vMerge w:val="restart"/>
          </w:tcPr>
          <w:p>
            <w:pPr>
              <w:jc w:val="right"/>
              <w:ind w:right="262"/>
              <w:spacing w:after="0"/>
              <w:rPr>
                <w:sz w:val="20"/>
                <w:szCs w:val="20"/>
                <w:color w:val="auto"/>
              </w:rPr>
            </w:pPr>
            <w:r>
              <w:rPr>
                <w:rFonts w:ascii="Arial" w:cs="Arial" w:eastAsia="Arial" w:hAnsi="Arial"/>
                <w:sz w:val="13"/>
                <w:szCs w:val="13"/>
                <w:b w:val="1"/>
                <w:bCs w:val="1"/>
                <w:color w:val="auto"/>
                <w:w w:val="96"/>
              </w:rPr>
              <w:t>2020</w:t>
            </w: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Change</w:t>
            </w:r>
          </w:p>
        </w:tc>
        <w:tc>
          <w:tcPr>
            <w:tcW w:w="12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auto"/>
            </w:tcBorders>
            <w:gridSpan w:val="2"/>
            <w:vMerge w:val="restart"/>
          </w:tcPr>
          <w:p>
            <w:pPr>
              <w:jc w:val="right"/>
              <w:ind w:right="260"/>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vMerge w:val="restart"/>
          </w:tcPr>
          <w:p>
            <w:pPr>
              <w:ind w:left="740"/>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Chang</w:t>
            </w:r>
          </w:p>
        </w:tc>
        <w:tc>
          <w:tcPr>
            <w:tcW w:w="0" w:type="dxa"/>
            <w:vAlign w:val="bottom"/>
          </w:tcPr>
          <w:p>
            <w:pPr>
              <w:spacing w:after="0"/>
              <w:rPr>
                <w:sz w:val="1"/>
                <w:szCs w:val="1"/>
                <w:color w:val="auto"/>
              </w:rPr>
            </w:pPr>
          </w:p>
        </w:tc>
      </w:tr>
      <w:tr>
        <w:trPr>
          <w:trHeight w:val="174"/>
        </w:trPr>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40" w:type="dxa"/>
            <w:vAlign w:val="bottom"/>
          </w:tcPr>
          <w:p>
            <w:pPr>
              <w:jc w:val="right"/>
              <w:ind w:right="242"/>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300" w:type="dxa"/>
            <w:vAlign w:val="bottom"/>
            <w:shd w:val="clear" w:color="auto" w:fill="CCEEFF"/>
          </w:tcPr>
          <w:p>
            <w:pPr>
              <w:ind w:left="420"/>
              <w:spacing w:after="0"/>
              <w:rPr>
                <w:sz w:val="20"/>
                <w:szCs w:val="20"/>
                <w:color w:val="auto"/>
              </w:rPr>
            </w:pPr>
            <w:r>
              <w:rPr>
                <w:rFonts w:ascii="Arial" w:cs="Arial" w:eastAsia="Arial" w:hAnsi="Arial"/>
                <w:sz w:val="17"/>
                <w:szCs w:val="17"/>
                <w:color w:val="auto"/>
              </w:rPr>
              <w:t>Insurance</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118.1</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2"/>
              <w:spacing w:after="0"/>
              <w:rPr>
                <w:sz w:val="20"/>
                <w:szCs w:val="20"/>
                <w:color w:val="auto"/>
              </w:rPr>
            </w:pPr>
            <w:r>
              <w:rPr>
                <w:rFonts w:ascii="Arial" w:cs="Arial" w:eastAsia="Arial" w:hAnsi="Arial"/>
                <w:sz w:val="17"/>
                <w:szCs w:val="17"/>
                <w:color w:val="auto"/>
              </w:rPr>
              <w:t>(2.2)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28.4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12"/>
        </w:trPr>
        <w:tc>
          <w:tcPr>
            <w:tcW w:w="1300" w:type="dxa"/>
            <w:vAlign w:val="bottom"/>
          </w:tcPr>
          <w:p>
            <w:pPr>
              <w:ind w:left="420"/>
              <w:spacing w:after="0"/>
              <w:rPr>
                <w:sz w:val="20"/>
                <w:szCs w:val="20"/>
                <w:color w:val="auto"/>
              </w:rPr>
            </w:pPr>
            <w:r>
              <w:rPr>
                <w:rFonts w:ascii="Arial" w:cs="Arial" w:eastAsia="Arial" w:hAnsi="Arial"/>
                <w:sz w:val="17"/>
                <w:szCs w:val="17"/>
                <w:color w:val="auto"/>
              </w:rPr>
              <w:t>Healthcare</w:t>
            </w:r>
          </w:p>
        </w:tc>
        <w:tc>
          <w:tcPr>
            <w:tcW w:w="6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35.1</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8"/>
                <w:szCs w:val="18"/>
                <w:color w:val="auto"/>
              </w:rPr>
            </w:pPr>
          </w:p>
        </w:tc>
        <w:tc>
          <w:tcPr>
            <w:tcW w:w="1240" w:type="dxa"/>
            <w:vAlign w:val="bottom"/>
          </w:tcPr>
          <w:p>
            <w:pPr>
              <w:jc w:val="right"/>
              <w:ind w:right="302"/>
              <w:spacing w:after="0"/>
              <w:rPr>
                <w:sz w:val="20"/>
                <w:szCs w:val="20"/>
                <w:color w:val="auto"/>
              </w:rPr>
            </w:pPr>
            <w:r>
              <w:rPr>
                <w:rFonts w:ascii="Arial" w:cs="Arial" w:eastAsia="Arial" w:hAnsi="Arial"/>
                <w:sz w:val="17"/>
                <w:szCs w:val="17"/>
                <w:color w:val="auto"/>
              </w:rPr>
              <w:t>(10.5)</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40.1</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7"/>
                <w:szCs w:val="17"/>
                <w:color w:val="auto"/>
              </w:rPr>
              <w:t>24.6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20" w:type="dxa"/>
            <w:vAlign w:val="bottom"/>
          </w:tcPr>
          <w:p>
            <w:pPr>
              <w:jc w:val="right"/>
              <w:ind w:right="220"/>
              <w:spacing w:after="0"/>
              <w:rPr>
                <w:sz w:val="20"/>
                <w:szCs w:val="20"/>
                <w:color w:val="auto"/>
              </w:rPr>
            </w:pPr>
            <w:r>
              <w:rPr>
                <w:rFonts w:ascii="Arial" w:cs="Arial" w:eastAsia="Arial" w:hAnsi="Arial"/>
                <w:sz w:val="17"/>
                <w:szCs w:val="17"/>
                <w:color w:val="auto"/>
              </w:rPr>
              <w:t>15.5</w:t>
            </w:r>
          </w:p>
        </w:tc>
        <w:tc>
          <w:tcPr>
            <w:tcW w:w="0" w:type="dxa"/>
            <w:vAlign w:val="bottom"/>
          </w:tcPr>
          <w:p>
            <w:pPr>
              <w:spacing w:after="0"/>
              <w:rPr>
                <w:sz w:val="1"/>
                <w:szCs w:val="1"/>
                <w:color w:val="auto"/>
              </w:rPr>
            </w:pPr>
          </w:p>
        </w:tc>
      </w:tr>
      <w:tr>
        <w:trPr>
          <w:trHeight w:val="162"/>
        </w:trPr>
        <w:tc>
          <w:tcPr>
            <w:tcW w:w="1300" w:type="dxa"/>
            <w:vAlign w:val="bottom"/>
            <w:shd w:val="clear" w:color="auto" w:fill="CCEEFF"/>
          </w:tcPr>
          <w:p>
            <w:pPr>
              <w:ind w:left="420"/>
              <w:spacing w:after="0" w:line="163" w:lineRule="exact"/>
              <w:rPr>
                <w:sz w:val="20"/>
                <w:szCs w:val="20"/>
                <w:color w:val="auto"/>
              </w:rPr>
            </w:pPr>
            <w:r>
              <w:rPr>
                <w:rFonts w:ascii="Arial" w:cs="Arial" w:eastAsia="Arial" w:hAnsi="Arial"/>
                <w:sz w:val="17"/>
                <w:szCs w:val="17"/>
                <w:color w:val="auto"/>
              </w:rPr>
              <w:t>Emerging</w:t>
            </w:r>
          </w:p>
        </w:tc>
        <w:tc>
          <w:tcPr>
            <w:tcW w:w="6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302"/>
              <w:spacing w:after="0"/>
              <w:rPr>
                <w:sz w:val="20"/>
                <w:szCs w:val="20"/>
                <w:color w:val="auto"/>
              </w:rPr>
            </w:pPr>
            <w:r>
              <w:rPr>
                <w:rFonts w:ascii="Arial" w:cs="Arial" w:eastAsia="Arial" w:hAnsi="Arial"/>
                <w:sz w:val="17"/>
                <w:szCs w:val="17"/>
                <w:color w:val="auto"/>
              </w:rPr>
              <w:t>(10.2)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44.9</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ind w:left="440"/>
              <w:spacing w:after="0"/>
              <w:rPr>
                <w:sz w:val="20"/>
                <w:szCs w:val="20"/>
                <w:color w:val="auto"/>
              </w:rPr>
            </w:pPr>
            <w:r>
              <w:rPr>
                <w:rFonts w:ascii="Arial" w:cs="Arial" w:eastAsia="Arial" w:hAnsi="Arial"/>
                <w:sz w:val="17"/>
                <w:szCs w:val="17"/>
                <w:color w:val="auto"/>
              </w:rPr>
              <w:t>38.1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22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2"/>
        </w:trPr>
        <w:tc>
          <w:tcPr>
            <w:tcW w:w="1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w:t>
            </w:r>
          </w:p>
        </w:tc>
        <w:tc>
          <w:tcPr>
            <w:tcW w:w="6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300" w:type="dxa"/>
            <w:vAlign w:val="bottom"/>
            <w:tcBorders>
              <w:bottom w:val="single" w:sz="8" w:color="CCEEFF"/>
            </w:tcBorders>
          </w:tcPr>
          <w:p>
            <w:pPr>
              <w:ind w:left="420"/>
              <w:spacing w:after="0"/>
              <w:rPr>
                <w:sz w:val="20"/>
                <w:szCs w:val="20"/>
                <w:color w:val="auto"/>
              </w:rPr>
            </w:pPr>
            <w:r>
              <w:rPr>
                <w:rFonts w:ascii="Arial" w:cs="Arial" w:eastAsia="Arial" w:hAnsi="Arial"/>
                <w:sz w:val="17"/>
                <w:szCs w:val="17"/>
                <w:color w:val="auto"/>
              </w:rPr>
              <w:t>Analytics</w:t>
            </w:r>
          </w:p>
        </w:tc>
        <w:tc>
          <w:tcPr>
            <w:tcW w:w="6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42"/>
              <w:spacing w:after="0"/>
              <w:rPr>
                <w:sz w:val="20"/>
                <w:szCs w:val="20"/>
                <w:color w:val="auto"/>
              </w:rPr>
            </w:pPr>
            <w:r>
              <w:rPr>
                <w:rFonts w:ascii="Arial" w:cs="Arial" w:eastAsia="Arial" w:hAnsi="Arial"/>
                <w:sz w:val="17"/>
                <w:szCs w:val="17"/>
                <w:color w:val="auto"/>
              </w:rPr>
              <w:t>17.3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33.5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22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29"/>
        </w:trPr>
        <w:tc>
          <w:tcPr>
            <w:tcW w:w="13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321.1</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42"/>
              <w:spacing w:after="0"/>
              <w:rPr>
                <w:sz w:val="20"/>
                <w:szCs w:val="20"/>
                <w:color w:val="auto"/>
              </w:rPr>
            </w:pPr>
            <w:r>
              <w:rPr>
                <w:rFonts w:ascii="Arial" w:cs="Arial" w:eastAsia="Arial" w:hAnsi="Arial"/>
                <w:sz w:val="17"/>
                <w:szCs w:val="17"/>
                <w:color w:val="auto"/>
              </w:rPr>
              <w:t>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31.5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For the six months ended June 30, 2021, cost of revenues was $329.5 million compared to $321.1 million for the six months ended June 30, 2020, an increase of $8.4 million, or 2.6%. Our gross margin for the six months ended June 30, 2021 was 38.6% compared to 31.5% for six months ended June 30, 2020, an increase of 7.1% primarily driven by higher revenues and operational efficiencies during the six months ended June 30, 2021, compared to the impact of COVID-19 related expenses during the six months ended June 30, 2020.</w:t>
      </w:r>
    </w:p>
    <w:p>
      <w:pPr>
        <w:spacing w:after="0" w:line="190" w:lineRule="exact"/>
        <w:rPr>
          <w:sz w:val="20"/>
          <w:szCs w:val="20"/>
          <w:color w:val="auto"/>
        </w:rPr>
      </w:pPr>
    </w:p>
    <w:p>
      <w:pPr>
        <w:jc w:val="both"/>
        <w:ind w:right="100" w:firstLine="374"/>
        <w:spacing w:after="0" w:line="256" w:lineRule="auto"/>
        <w:rPr>
          <w:sz w:val="20"/>
          <w:szCs w:val="20"/>
          <w:color w:val="auto"/>
        </w:rPr>
      </w:pPr>
      <w:r>
        <w:rPr>
          <w:rFonts w:ascii="Arial" w:cs="Arial" w:eastAsia="Arial" w:hAnsi="Arial"/>
          <w:sz w:val="15"/>
          <w:szCs w:val="15"/>
          <w:color w:val="auto"/>
        </w:rPr>
        <w:t>The decrease in cost of revenues in Insurance of $2.6 million for the six months ended June 30, 2021 was primarily due to decreases in other operating costs of $4.4 million, due to the impact of COVID-19 related expenses during the six months ended June 30, 2020 and foreign exchange gain, net of hedging of $0.1 million. This was partially offset by higher employee-related costs of $1.9 million. Gross margin in Insurance increased by 9.5% during the six months ended June 30, 2021, compared to the six months ended June 30, 2020, primarily due to higher revenues, expansion in margin in certain existing clients and operational efficiencies during the six months ended June 30, 2021, compared to the impact of COVID-19 related expenses during the six months ended June 30, 2020.</w:t>
      </w:r>
    </w:p>
    <w:p>
      <w:pPr>
        <w:spacing w:after="0" w:line="178" w:lineRule="exact"/>
        <w:rPr>
          <w:sz w:val="20"/>
          <w:szCs w:val="20"/>
          <w:color w:val="auto"/>
        </w:rPr>
      </w:pPr>
    </w:p>
    <w:p>
      <w:pPr>
        <w:jc w:val="both"/>
        <w:ind w:right="100" w:firstLine="374"/>
        <w:spacing w:after="0" w:line="225" w:lineRule="auto"/>
        <w:rPr>
          <w:sz w:val="20"/>
          <w:szCs w:val="20"/>
          <w:color w:val="auto"/>
        </w:rPr>
      </w:pPr>
      <w:r>
        <w:rPr>
          <w:rFonts w:ascii="Arial" w:cs="Arial" w:eastAsia="Arial" w:hAnsi="Arial"/>
          <w:sz w:val="17"/>
          <w:szCs w:val="17"/>
          <w:color w:val="auto"/>
        </w:rPr>
        <w:t>The decrease in cost of revenues in Healthcare of $4.1 million for the six months ended June 30, 2021 was primarily due to decreases in employee-related costs of $4.3 million, partially offset by higher other operating costs of $0.2 million. Gross margin in Healthcare increased by 15.5% during the six months ended June 30, 2021, compared to the six months ended June 30, 2020, primarily due to higher revenues during the six months ended June 30, 2021, compared to the impact of COVID-19 related expenses during the six months ended June 30, 2020.</w:t>
      </w:r>
    </w:p>
    <w:p>
      <w:pPr>
        <w:spacing w:after="0" w:line="190" w:lineRule="exact"/>
        <w:rPr>
          <w:sz w:val="20"/>
          <w:szCs w:val="20"/>
          <w:color w:val="auto"/>
        </w:rPr>
      </w:pPr>
    </w:p>
    <w:p>
      <w:pPr>
        <w:jc w:val="both"/>
        <w:ind w:right="100" w:firstLine="374"/>
        <w:spacing w:after="0" w:line="223" w:lineRule="auto"/>
        <w:rPr>
          <w:sz w:val="20"/>
          <w:szCs w:val="20"/>
          <w:color w:val="auto"/>
        </w:rPr>
      </w:pPr>
      <w:r>
        <w:rPr>
          <w:rFonts w:ascii="Arial" w:cs="Arial" w:eastAsia="Arial" w:hAnsi="Arial"/>
          <w:sz w:val="17"/>
          <w:szCs w:val="17"/>
          <w:color w:val="auto"/>
        </w:rPr>
        <w:t>The decrease in cost of revenues in Emerging Business of $4.9 million for the six months ended June 30, 2021 was primarily due to decreases in employee-related costs of $3.8 million, lower other operating costs of $0.9 million and foreign exchange gain, net of hedging $0.2 million. Gross margin in Emerging Business increased by 6.8% during the six months ended June 30, 2021, compared to the six months ended June 30, 2020, primarily due to higher revenues, decrease in employee-related costs and higher operational efficiencies during the six months ended June 30, 2021, compared to the impact of COVID-19 related expenses during the six months ended June 30, 2020.</w:t>
      </w:r>
    </w:p>
    <w:p>
      <w:pPr>
        <w:spacing w:after="0" w:line="189" w:lineRule="exact"/>
        <w:rPr>
          <w:sz w:val="20"/>
          <w:szCs w:val="20"/>
          <w:color w:val="auto"/>
        </w:rPr>
      </w:pPr>
    </w:p>
    <w:p>
      <w:pPr>
        <w:jc w:val="both"/>
        <w:ind w:right="100" w:firstLine="374"/>
        <w:spacing w:after="0" w:line="237" w:lineRule="auto"/>
        <w:rPr>
          <w:sz w:val="20"/>
          <w:szCs w:val="20"/>
          <w:color w:val="auto"/>
        </w:rPr>
      </w:pPr>
      <w:r>
        <w:rPr>
          <w:rFonts w:ascii="Arial" w:cs="Arial" w:eastAsia="Arial" w:hAnsi="Arial"/>
          <w:sz w:val="16"/>
          <w:szCs w:val="16"/>
          <w:color w:val="auto"/>
        </w:rPr>
        <w:t>The increase in cost of revenues in Analytics of $20.0 million for the six months ended June 30, 2021 was primarily due to increases in employee-related costs of $13.3 million, higher other operating costs of $7.4 million and higher technology costs of $1.2 million, primarily due to increased usage of the work from home model. This was partially offset by lower travel costs of $1.5 million and foreign exchange gain, net of hedging of $0.4 million. Gross margin in Analytics increased by 3.0% during the six months ended June 30, 2021, compared to the six months ended June 30, 2020, primarily due to higher revenues during the six months ended June 30, 2021, compared to the impact of COVID-19 related expenses during the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rPr>
          <w:sz w:val="20"/>
          <w:szCs w:val="20"/>
          <w:color w:val="auto"/>
        </w:rPr>
      </w:pPr>
      <w:r>
        <w:rPr>
          <w:rFonts w:ascii="Arial" w:cs="Arial" w:eastAsia="Arial" w:hAnsi="Arial"/>
          <w:sz w:val="17"/>
          <w:szCs w:val="17"/>
          <w:b w:val="1"/>
          <w:bCs w:val="1"/>
          <w:i w:val="1"/>
          <w:iCs w:val="1"/>
          <w:color w:val="auto"/>
        </w:rPr>
        <w:t>Selling, General and Administrative (“SG&amp;A”) Expenses.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42"/>
              <w:spacing w:after="0"/>
              <w:rPr>
                <w:sz w:val="20"/>
                <w:szCs w:val="20"/>
                <w:color w:val="auto"/>
              </w:rPr>
            </w:pPr>
            <w:r>
              <w:rPr>
                <w:rFonts w:ascii="Arial" w:cs="Arial" w:eastAsia="Arial" w:hAnsi="Arial"/>
                <w:sz w:val="13"/>
                <w:szCs w:val="13"/>
                <w:b w:val="1"/>
                <w:bCs w:val="1"/>
                <w:color w:val="auto"/>
                <w:w w:val="88"/>
              </w:rPr>
              <w:t>Six months ended June 30,</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42"/>
              <w:spacing w:after="0"/>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Change</w:t>
            </w:r>
          </w:p>
        </w:tc>
        <w:tc>
          <w:tcPr>
            <w:tcW w:w="1380" w:type="dxa"/>
            <w:vAlign w:val="bottom"/>
          </w:tcPr>
          <w:p>
            <w:pPr>
              <w:jc w:val="right"/>
              <w:ind w:right="81"/>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3"/>
          </w:tcPr>
          <w:p>
            <w:pPr>
              <w:jc w:val="right"/>
              <w:ind w:right="442"/>
              <w:spacing w:after="0"/>
              <w:rPr>
                <w:sz w:val="20"/>
                <w:szCs w:val="20"/>
                <w:color w:val="auto"/>
              </w:rPr>
            </w:pPr>
            <w:r>
              <w:rPr>
                <w:rFonts w:ascii="Arial" w:cs="Arial" w:eastAsia="Arial" w:hAnsi="Arial"/>
                <w:sz w:val="13"/>
                <w:szCs w:val="13"/>
                <w:b w:val="1"/>
                <w:bCs w:val="1"/>
                <w:color w:val="auto"/>
              </w:rPr>
              <w:t>(dollars in millions)</w:t>
            </w: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22"/>
              <w:spacing w:after="0"/>
              <w:rPr>
                <w:sz w:val="20"/>
                <w:szCs w:val="20"/>
                <w:color w:val="auto"/>
              </w:rPr>
            </w:pPr>
            <w:r>
              <w:rPr>
                <w:rFonts w:ascii="Arial" w:cs="Arial" w:eastAsia="Arial" w:hAnsi="Arial"/>
                <w:sz w:val="17"/>
                <w:szCs w:val="17"/>
                <w:color w:val="auto"/>
              </w:rPr>
              <w:t>67.2</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22"/>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57.7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16.5 %</w:t>
            </w:r>
          </w:p>
        </w:tc>
        <w:tc>
          <w:tcPr>
            <w:tcW w:w="0" w:type="dxa"/>
            <w:vAlign w:val="bottom"/>
          </w:tcPr>
          <w:p>
            <w:pPr>
              <w:spacing w:after="0"/>
              <w:rPr>
                <w:sz w:val="1"/>
                <w:szCs w:val="1"/>
                <w:color w:val="auto"/>
              </w:rPr>
            </w:pPr>
          </w:p>
        </w:tc>
      </w:tr>
      <w:tr>
        <w:trPr>
          <w:trHeight w:val="212"/>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and marketing expenses</w:t>
            </w: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7"/>
                <w:szCs w:val="17"/>
                <w:color w:val="auto"/>
              </w:rPr>
              <w:t>38.0</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27.5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38.2 %</w:t>
            </w: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Selling, general and administrative expenses</w:t>
            </w:r>
          </w:p>
        </w:tc>
        <w:tc>
          <w:tcPr>
            <w:tcW w:w="92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7"/>
                <w:szCs w:val="17"/>
                <w:color w:val="auto"/>
                <w:w w:val="98"/>
              </w:rPr>
              <w:t>105.2</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85.2</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23.5 %</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jc w:val="right"/>
              <w:spacing w:after="0" w:line="182" w:lineRule="exact"/>
              <w:rPr>
                <w:sz w:val="20"/>
                <w:szCs w:val="20"/>
                <w:color w:val="auto"/>
              </w:rPr>
            </w:pPr>
            <w:r>
              <w:rPr>
                <w:rFonts w:ascii="Arial" w:cs="Arial" w:eastAsia="Arial" w:hAnsi="Arial"/>
                <w:sz w:val="17"/>
                <w:szCs w:val="17"/>
                <w:color w:val="auto"/>
              </w:rPr>
              <w:t>19.6 %</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ind w:left="100"/>
              <w:spacing w:after="0" w:line="182" w:lineRule="exact"/>
              <w:rPr>
                <w:sz w:val="20"/>
                <w:szCs w:val="20"/>
                <w:color w:val="auto"/>
              </w:rPr>
            </w:pPr>
            <w:r>
              <w:rPr>
                <w:rFonts w:ascii="Arial" w:cs="Arial" w:eastAsia="Arial" w:hAnsi="Arial"/>
                <w:sz w:val="17"/>
                <w:szCs w:val="17"/>
                <w:color w:val="auto"/>
                <w:w w:val="90"/>
              </w:rPr>
              <w:t>18.2 %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firstLine="374"/>
        <w:spacing w:after="0" w:line="246" w:lineRule="auto"/>
        <w:rPr>
          <w:sz w:val="20"/>
          <w:szCs w:val="20"/>
          <w:color w:val="auto"/>
        </w:rPr>
      </w:pPr>
      <w:r>
        <w:rPr>
          <w:rFonts w:ascii="Arial" w:cs="Arial" w:eastAsia="Arial" w:hAnsi="Arial"/>
          <w:sz w:val="16"/>
          <w:szCs w:val="16"/>
          <w:color w:val="auto"/>
        </w:rPr>
        <w:t>The increase in SG&amp;A expenses of $20.0 million was primarily due to higher employee-related costs of $19.7 million, COVID-19-related expenses of $2.2 million primarily related to financial support to family members of deceased employees, higher other operating costs of $2.0 million, partially offset by lower facilities costs of $2.8 million due to optimization of office space and lower travel costs of $1.1 million due to COVID-19 cost reduction measures.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50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3"/>
                <w:szCs w:val="13"/>
                <w:b w:val="1"/>
                <w:bCs w:val="1"/>
                <w:color w:val="auto"/>
              </w:rPr>
              <w:t>Six months ended June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Percentage change</w:t>
            </w:r>
          </w:p>
        </w:tc>
        <w:tc>
          <w:tcPr>
            <w:tcW w:w="0" w:type="dxa"/>
            <w:vAlign w:val="bottom"/>
          </w:tcPr>
          <w:p>
            <w:pPr>
              <w:spacing w:after="0"/>
              <w:rPr>
                <w:sz w:val="1"/>
                <w:szCs w:val="1"/>
                <w:color w:val="auto"/>
              </w:rPr>
            </w:pPr>
          </w:p>
        </w:tc>
      </w:tr>
      <w:tr>
        <w:trPr>
          <w:trHeight w:val="171"/>
        </w:trPr>
        <w:tc>
          <w:tcPr>
            <w:tcW w:w="52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3"/>
          </w:tcPr>
          <w:p>
            <w:pPr>
              <w:jc w:val="right"/>
              <w:ind w:right="362"/>
              <w:spacing w:after="0"/>
              <w:rPr>
                <w:sz w:val="20"/>
                <w:szCs w:val="20"/>
                <w:color w:val="auto"/>
              </w:rPr>
            </w:pPr>
            <w:r>
              <w:rPr>
                <w:rFonts w:ascii="Arial" w:cs="Arial" w:eastAsia="Arial" w:hAnsi="Arial"/>
                <w:sz w:val="13"/>
                <w:szCs w:val="13"/>
                <w:b w:val="1"/>
                <w:bCs w:val="1"/>
                <w:color w:val="auto"/>
                <w:w w:val="92"/>
              </w:rPr>
              <w:t>(dollars in millions)</w:t>
            </w: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expense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17.6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0"/>
              </w:rPr>
              <w:t>17.3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center"/>
              <w:ind w:left="441"/>
              <w:spacing w:after="0"/>
              <w:rPr>
                <w:sz w:val="20"/>
                <w:szCs w:val="20"/>
                <w:color w:val="auto"/>
              </w:rPr>
            </w:pPr>
            <w:r>
              <w:rPr>
                <w:rFonts w:ascii="Arial" w:cs="Arial" w:eastAsia="Arial" w:hAnsi="Arial"/>
                <w:sz w:val="17"/>
                <w:szCs w:val="17"/>
                <w:color w:val="auto"/>
                <w:w w:val="84"/>
              </w:rPr>
              <w:t>0.3</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Intangible amortization expense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6.8</w:t>
            </w: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7.6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left="401"/>
              <w:spacing w:after="0"/>
              <w:rPr>
                <w:sz w:val="20"/>
                <w:szCs w:val="20"/>
                <w:color w:val="auto"/>
              </w:rPr>
            </w:pPr>
            <w:r>
              <w:rPr>
                <w:rFonts w:ascii="Arial" w:cs="Arial" w:eastAsia="Arial" w:hAnsi="Arial"/>
                <w:sz w:val="17"/>
                <w:szCs w:val="17"/>
                <w:color w:val="auto"/>
                <w:w w:val="91"/>
              </w:rPr>
              <w:t>(0.8)</w:t>
            </w:r>
          </w:p>
        </w:tc>
        <w:tc>
          <w:tcPr>
            <w:tcW w:w="10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29"/>
        </w:trPr>
        <w:tc>
          <w:tcPr>
            <w:tcW w:w="5220" w:type="dxa"/>
            <w:vAlign w:val="bottom"/>
            <w:tcBorders>
              <w:bottom w:val="single" w:sz="8" w:color="CCEEFF"/>
            </w:tcBorders>
            <w:shd w:val="clear" w:color="auto" w:fill="CCEEFF"/>
          </w:tcPr>
          <w:p>
            <w:pPr>
              <w:ind w:left="20"/>
              <w:spacing w:after="0" w:line="192" w:lineRule="exact"/>
              <w:rPr>
                <w:sz w:val="20"/>
                <w:szCs w:val="20"/>
                <w:color w:val="auto"/>
              </w:rPr>
            </w:pPr>
            <w:r>
              <w:rPr>
                <w:rFonts w:ascii="Arial" w:cs="Arial" w:eastAsia="Arial" w:hAnsi="Arial"/>
                <w:sz w:val="17"/>
                <w:szCs w:val="17"/>
                <w:color w:val="auto"/>
              </w:rPr>
              <w:t>Depreciation and amortization expense</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24.4</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w w:val="90"/>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center"/>
              <w:ind w:left="401"/>
              <w:spacing w:after="0"/>
              <w:rPr>
                <w:sz w:val="20"/>
                <w:szCs w:val="20"/>
                <w:color w:val="auto"/>
              </w:rPr>
            </w:pPr>
            <w:r>
              <w:rPr>
                <w:rFonts w:ascii="Arial" w:cs="Arial" w:eastAsia="Arial" w:hAnsi="Arial"/>
                <w:sz w:val="17"/>
                <w:szCs w:val="17"/>
                <w:color w:val="auto"/>
                <w:w w:val="91"/>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As a percentage of revenues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22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7"/>
                <w:szCs w:val="17"/>
                <w:color w:val="auto"/>
              </w:rPr>
              <w:t>4.6 %</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7"/>
                <w:szCs w:val="17"/>
                <w:color w:val="auto"/>
              </w:rPr>
              <w:t>5.3 %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5"/>
          <w:szCs w:val="15"/>
          <w:color w:val="auto"/>
        </w:rPr>
        <w:t>The decrease in intangibles amortization expense of $0.8 million was primarily due to end of useful lives for certain intangible assets during the six months ended June 30, 2021, compared to the six months ended June 30, 2020. The increase in depreciation expense of $0.3 million was primarily due to depreciation related to our investments in new operating centers, internally developed software and accelerated depreciation resulting from a reduction in useful lives related to certain operating centers, due to the impact of COVID-19 during the six months ended June 30, 2021, compared to the six months ended June 30, 2020.</w:t>
      </w:r>
    </w:p>
    <w:p>
      <w:pPr>
        <w:spacing w:after="0" w:line="185" w:lineRule="exact"/>
        <w:rPr>
          <w:sz w:val="20"/>
          <w:szCs w:val="20"/>
          <w:color w:val="auto"/>
        </w:rPr>
      </w:pPr>
    </w:p>
    <w:p>
      <w:pPr>
        <w:jc w:val="both"/>
        <w:ind w:firstLine="382"/>
        <w:spacing w:after="0" w:line="251"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Income from operations increased by $40.1 million, or 107.5%, from $37.3 million for the six months ended June 30, 2020 to $77.4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six months ended June 30, 2021, primarily due to higher revenues, partially offset by higher cost of revenues, higher SG&amp;A expenses during the six months ended June 30, 2021. As a percentage of revenues, income from operations increased from 8.0% for the six months ended June 30, 2020 to 14.4% for the six months ended June 30, 2021.</w:t>
      </w:r>
    </w:p>
    <w:p>
      <w:pPr>
        <w:spacing w:after="0" w:line="205" w:lineRule="exact"/>
        <w:rPr>
          <w:sz w:val="20"/>
          <w:szCs w:val="20"/>
          <w:color w:val="auto"/>
        </w:rPr>
      </w:pPr>
    </w:p>
    <w:p>
      <w:pPr>
        <w:jc w:val="both"/>
        <w:ind w:firstLine="374"/>
        <w:spacing w:after="0" w:line="266"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Net foreign exchange gains and losses are primarily attributable to the movement of the U.S. dollar against the Indian rupee,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U.K. pound sterling, the Philippine peso and the South African ZAR during the six months ended June 30, 2021. The average exchange rate of the U.S. dollar against the Indian rupee decreased from 74.25 during the six months ended June 30, 2020 to 73.42 during the six months ended June 30, 2021. The average exchange rate of the U.K. pound sterling against the U.S. dollar increased from 1.26 during the six months ended June 30, 2020 to 1.39 during the six months ended June 30, 2021. The average exchange rate of the U.S. dollar against the Philippine peso decreased from 50.55 during the six months ended June 30, 2020 to 48.29 during the six months ended June 30, 2021. The average exchange rate of the U.S. dollar against the South African ZAR decreased from 16.90 during the six months ended June 30, 2020 to 14.58 during the six months ended June 30, 2021.</w:t>
      </w:r>
    </w:p>
    <w:p>
      <w:pPr>
        <w:spacing w:after="0" w:line="194"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color w:val="auto"/>
        </w:rPr>
        <w:t>We recorded a net foreign exchange gain of $1.8 million for the six months ended June 30, 2021, compared to the net foreign exchange gain of $2.7 million for the six months ended June 30, 2020.</w:t>
      </w:r>
    </w:p>
    <w:p>
      <w:pPr>
        <w:spacing w:after="0" w:line="192" w:lineRule="exact"/>
        <w:rPr>
          <w:sz w:val="20"/>
          <w:szCs w:val="20"/>
          <w:color w:val="auto"/>
        </w:rPr>
      </w:pPr>
    </w:p>
    <w:p>
      <w:pPr>
        <w:jc w:val="both"/>
        <w:ind w:firstLine="382"/>
        <w:spacing w:after="0" w:line="265" w:lineRule="auto"/>
        <w:rPr>
          <w:sz w:val="20"/>
          <w:szCs w:val="20"/>
          <w:color w:val="auto"/>
        </w:rPr>
      </w:pPr>
      <w:r>
        <w:rPr>
          <w:rFonts w:ascii="Arial" w:cs="Arial" w:eastAsia="Arial" w:hAnsi="Arial"/>
          <w:sz w:val="17"/>
          <w:szCs w:val="17"/>
          <w:b w:val="1"/>
          <w:bCs w:val="1"/>
          <w:i w:val="1"/>
          <w:iCs w:val="1"/>
          <w:color w:val="auto"/>
        </w:rPr>
        <w:t xml:space="preserve">Interest expense. </w:t>
      </w:r>
      <w:r>
        <w:rPr>
          <w:rFonts w:ascii="Arial" w:cs="Arial" w:eastAsia="Arial" w:hAnsi="Arial"/>
          <w:sz w:val="17"/>
          <w:szCs w:val="17"/>
          <w:color w:val="auto"/>
        </w:rPr>
        <w:t>Interest expense decreased from $6.0 million for the six months ended June 30, 2020 to $5.0 million for the six months ended June 30, 2021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lower outstanding borrowings and lower effective interest rates of 1.9%</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under our Credit Facility during the six months ended June 30, 2021, compared to 2.6% during the six months ended June 30, 2020.</w:t>
      </w:r>
    </w:p>
    <w:p>
      <w:pPr>
        <w:spacing w:after="0" w:line="216" w:lineRule="exact"/>
        <w:rPr>
          <w:sz w:val="20"/>
          <w:szCs w:val="20"/>
          <w:color w:val="auto"/>
        </w:rPr>
      </w:pPr>
    </w:p>
    <w:p>
      <w:pPr>
        <w:ind w:left="400"/>
        <w:spacing w:after="0"/>
        <w:rPr>
          <w:sz w:val="20"/>
          <w:szCs w:val="20"/>
          <w:color w:val="auto"/>
        </w:rPr>
      </w:pPr>
      <w:r>
        <w:rPr>
          <w:rFonts w:ascii="Arial" w:cs="Arial" w:eastAsia="Arial" w:hAnsi="Arial"/>
          <w:sz w:val="17"/>
          <w:szCs w:val="17"/>
          <w:b w:val="1"/>
          <w:bCs w:val="1"/>
          <w:i w:val="1"/>
          <w:iCs w:val="1"/>
          <w:color w:val="auto"/>
        </w:rPr>
        <w:t>Other Income, net.</w:t>
      </w:r>
    </w:p>
    <w:p>
      <w:pPr>
        <w:spacing w:after="0" w:line="321" w:lineRule="exact"/>
        <w:rPr>
          <w:sz w:val="20"/>
          <w:szCs w:val="20"/>
          <w:color w:val="auto"/>
        </w:rPr>
      </w:pPr>
    </w:p>
    <w:tbl>
      <w:tblPr>
        <w:tblLayout w:type="fixed"/>
        <w:tblInd w:w="40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9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3"/>
                <w:szCs w:val="13"/>
                <w:b w:val="1"/>
                <w:bCs w:val="1"/>
                <w:color w:val="auto"/>
              </w:rPr>
              <w:t>Six months ended June 30,</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29"/>
        </w:trPr>
        <w:tc>
          <w:tcPr>
            <w:tcW w:w="4680" w:type="dxa"/>
            <w:vAlign w:val="bottom"/>
          </w:tcPr>
          <w:p>
            <w:pPr>
              <w:spacing w:after="0"/>
              <w:rPr>
                <w:sz w:val="19"/>
                <w:szCs w:val="19"/>
                <w:color w:val="auto"/>
              </w:rPr>
            </w:pPr>
          </w:p>
        </w:tc>
        <w:tc>
          <w:tcPr>
            <w:tcW w:w="1240" w:type="dxa"/>
            <w:vAlign w:val="bottom"/>
          </w:tcPr>
          <w:p>
            <w:pPr>
              <w:jc w:val="right"/>
              <w:ind w:right="5"/>
              <w:spacing w:after="0"/>
              <w:rPr>
                <w:sz w:val="20"/>
                <w:szCs w:val="20"/>
                <w:color w:val="auto"/>
              </w:rPr>
            </w:pPr>
            <w:r>
              <w:rPr>
                <w:rFonts w:ascii="Arial" w:cs="Arial" w:eastAsia="Arial" w:hAnsi="Arial"/>
                <w:sz w:val="13"/>
                <w:szCs w:val="13"/>
                <w:b w:val="1"/>
                <w:bCs w:val="1"/>
                <w:color w:val="auto"/>
              </w:rPr>
              <w:t>2021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3"/>
                <w:szCs w:val="13"/>
                <w:b w:val="1"/>
                <w:bCs w:val="1"/>
                <w:color w:val="auto"/>
              </w:rPr>
              <w:t>Change</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Percentage cha</w:t>
            </w:r>
          </w:p>
        </w:tc>
      </w:tr>
      <w:tr>
        <w:trPr>
          <w:trHeight w:val="209"/>
        </w:trPr>
        <w:tc>
          <w:tcPr>
            <w:tcW w:w="46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Gain on sale and mark-to-market of mutual funds</w:t>
            </w:r>
          </w:p>
        </w:tc>
        <w:tc>
          <w:tcPr>
            <w:tcW w:w="1240" w:type="dxa"/>
            <w:vAlign w:val="bottom"/>
            <w:tcBorders>
              <w:top w:val="single" w:sz="8" w:color="auto"/>
            </w:tcBorders>
            <w:shd w:val="clear" w:color="auto" w:fill="CCEEFF"/>
          </w:tcPr>
          <w:p>
            <w:pPr>
              <w:jc w:val="right"/>
              <w:ind w:right="665"/>
              <w:spacing w:after="0"/>
              <w:rPr>
                <w:sz w:val="20"/>
                <w:szCs w:val="20"/>
                <w:color w:val="auto"/>
              </w:rPr>
            </w:pPr>
            <w:r>
              <w:rPr>
                <w:rFonts w:ascii="Arial" w:cs="Arial" w:eastAsia="Arial" w:hAnsi="Arial"/>
                <w:sz w:val="17"/>
                <w:szCs w:val="17"/>
                <w:color w:val="auto"/>
              </w:rPr>
              <w:t>$</w:t>
            </w:r>
          </w:p>
        </w:tc>
        <w:tc>
          <w:tcPr>
            <w:tcW w:w="420" w:type="dxa"/>
            <w:vAlign w:val="bottom"/>
            <w:tcBorders>
              <w:top w:val="single" w:sz="8" w:color="auto"/>
            </w:tcBorders>
            <w:shd w:val="clear" w:color="auto" w:fill="CCEEFF"/>
          </w:tcPr>
          <w:p>
            <w:pPr>
              <w:jc w:val="center"/>
              <w:ind w:left="17"/>
              <w:spacing w:after="0"/>
              <w:rPr>
                <w:sz w:val="20"/>
                <w:szCs w:val="20"/>
                <w:color w:val="auto"/>
              </w:rPr>
            </w:pPr>
            <w:r>
              <w:rPr>
                <w:rFonts w:ascii="Arial" w:cs="Arial" w:eastAsia="Arial" w:hAnsi="Arial"/>
                <w:sz w:val="17"/>
                <w:szCs w:val="17"/>
                <w:color w:val="auto"/>
                <w:w w:val="84"/>
              </w:rPr>
              <w:t>2.7</w:t>
            </w: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582"/>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1"/>
              </w:rPr>
              <w:t>(2.5)</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(48.1)</w:t>
            </w:r>
          </w:p>
        </w:tc>
      </w:tr>
      <w:tr>
        <w:trPr>
          <w:trHeight w:val="212"/>
        </w:trPr>
        <w:tc>
          <w:tcPr>
            <w:tcW w:w="4680" w:type="dxa"/>
            <w:vAlign w:val="bottom"/>
          </w:tcPr>
          <w:p>
            <w:pPr>
              <w:ind w:left="420"/>
              <w:spacing w:after="0"/>
              <w:rPr>
                <w:sz w:val="20"/>
                <w:szCs w:val="20"/>
                <w:color w:val="auto"/>
              </w:rPr>
            </w:pPr>
            <w:r>
              <w:rPr>
                <w:rFonts w:ascii="Arial" w:cs="Arial" w:eastAsia="Arial" w:hAnsi="Arial"/>
                <w:sz w:val="17"/>
                <w:szCs w:val="17"/>
                <w:color w:val="auto"/>
              </w:rPr>
              <w:t>Interest and dividend income</w:t>
            </w:r>
          </w:p>
        </w:tc>
        <w:tc>
          <w:tcPr>
            <w:tcW w:w="1240" w:type="dxa"/>
            <w:vAlign w:val="bottom"/>
          </w:tcPr>
          <w:p>
            <w:pPr>
              <w:spacing w:after="0"/>
              <w:rPr>
                <w:sz w:val="18"/>
                <w:szCs w:val="18"/>
                <w:color w:val="auto"/>
              </w:rPr>
            </w:pPr>
          </w:p>
        </w:tc>
        <w:tc>
          <w:tcPr>
            <w:tcW w:w="420" w:type="dxa"/>
            <w:vAlign w:val="bottom"/>
          </w:tcPr>
          <w:p>
            <w:pPr>
              <w:jc w:val="center"/>
              <w:ind w:left="17"/>
              <w:spacing w:after="0"/>
              <w:rPr>
                <w:sz w:val="20"/>
                <w:szCs w:val="20"/>
                <w:color w:val="auto"/>
              </w:rPr>
            </w:pPr>
            <w:r>
              <w:rPr>
                <w:rFonts w:ascii="Arial" w:cs="Arial" w:eastAsia="Arial" w:hAnsi="Arial"/>
                <w:sz w:val="17"/>
                <w:szCs w:val="17"/>
                <w:color w:val="auto"/>
                <w:w w:val="84"/>
              </w:rPr>
              <w:t>1.3</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jc w:val="center"/>
              <w:ind w:left="420"/>
              <w:spacing w:after="0"/>
              <w:rPr>
                <w:sz w:val="20"/>
                <w:szCs w:val="20"/>
                <w:color w:val="auto"/>
              </w:rPr>
            </w:pPr>
            <w:r>
              <w:rPr>
                <w:rFonts w:ascii="Arial" w:cs="Arial" w:eastAsia="Arial" w:hAnsi="Arial"/>
                <w:sz w:val="17"/>
                <w:szCs w:val="17"/>
                <w:color w:val="auto"/>
                <w:w w:val="84"/>
              </w:rPr>
              <w:t>0.1</w:t>
            </w:r>
          </w:p>
        </w:tc>
        <w:tc>
          <w:tcPr>
            <w:tcW w:w="100" w:type="dxa"/>
            <w:vAlign w:val="bottom"/>
          </w:tcPr>
          <w:p>
            <w:pPr>
              <w:spacing w:after="0"/>
              <w:rPr>
                <w:sz w:val="18"/>
                <w:szCs w:val="18"/>
                <w:color w:val="auto"/>
              </w:rPr>
            </w:pPr>
          </w:p>
        </w:tc>
        <w:tc>
          <w:tcPr>
            <w:tcW w:w="1360" w:type="dxa"/>
            <w:vAlign w:val="bottom"/>
          </w:tcPr>
          <w:p>
            <w:pPr>
              <w:jc w:val="right"/>
              <w:ind w:right="220"/>
              <w:spacing w:after="0"/>
              <w:rPr>
                <w:sz w:val="20"/>
                <w:szCs w:val="20"/>
                <w:color w:val="auto"/>
              </w:rPr>
            </w:pPr>
            <w:r>
              <w:rPr>
                <w:rFonts w:ascii="Arial" w:cs="Arial" w:eastAsia="Arial" w:hAnsi="Arial"/>
                <w:sz w:val="17"/>
                <w:szCs w:val="17"/>
                <w:color w:val="auto"/>
              </w:rPr>
              <w:t>8.3</w:t>
            </w:r>
          </w:p>
        </w:tc>
      </w:tr>
      <w:tr>
        <w:trPr>
          <w:trHeight w:val="212"/>
        </w:trPr>
        <w:tc>
          <w:tcPr>
            <w:tcW w:w="46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Other, net</w:t>
            </w:r>
          </w:p>
        </w:tc>
        <w:tc>
          <w:tcPr>
            <w:tcW w:w="1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(0.4)</w:t>
            </w:r>
          </w:p>
        </w:tc>
        <w:tc>
          <w:tcPr>
            <w:tcW w:w="1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center"/>
              <w:ind w:left="380"/>
              <w:spacing w:after="0"/>
              <w:rPr>
                <w:sz w:val="20"/>
                <w:szCs w:val="20"/>
                <w:color w:val="auto"/>
              </w:rPr>
            </w:pPr>
            <w:r>
              <w:rPr>
                <w:rFonts w:ascii="Arial" w:cs="Arial" w:eastAsia="Arial" w:hAnsi="Arial"/>
                <w:sz w:val="17"/>
                <w:szCs w:val="17"/>
                <w:color w:val="auto"/>
                <w:w w:val="91"/>
              </w:rPr>
              <w:t>(0.8)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7"/>
                <w:szCs w:val="17"/>
                <w:color w:val="auto"/>
              </w:rPr>
              <w:t>(200.0)</w:t>
            </w:r>
          </w:p>
        </w:tc>
      </w:tr>
      <w:tr>
        <w:trPr>
          <w:trHeight w:val="204"/>
        </w:trPr>
        <w:tc>
          <w:tcPr>
            <w:tcW w:w="4680" w:type="dxa"/>
            <w:vAlign w:val="bottom"/>
          </w:tcPr>
          <w:p>
            <w:pPr>
              <w:ind w:left="420"/>
              <w:spacing w:after="0" w:line="192" w:lineRule="exact"/>
              <w:rPr>
                <w:sz w:val="20"/>
                <w:szCs w:val="20"/>
                <w:color w:val="auto"/>
              </w:rPr>
            </w:pPr>
            <w:r>
              <w:rPr>
                <w:rFonts w:ascii="Arial" w:cs="Arial" w:eastAsia="Arial" w:hAnsi="Arial"/>
                <w:sz w:val="17"/>
                <w:szCs w:val="17"/>
                <w:color w:val="auto"/>
              </w:rPr>
              <w:t>Other income, net</w:t>
            </w:r>
          </w:p>
        </w:tc>
        <w:tc>
          <w:tcPr>
            <w:tcW w:w="1240" w:type="dxa"/>
            <w:vAlign w:val="bottom"/>
            <w:tcBorders>
              <w:bottom w:val="single" w:sz="8" w:color="auto"/>
            </w:tcBorders>
          </w:tcPr>
          <w:p>
            <w:pPr>
              <w:jc w:val="right"/>
              <w:ind w:right="66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jc w:val="center"/>
              <w:ind w:left="17"/>
              <w:spacing w:after="0"/>
              <w:rPr>
                <w:sz w:val="20"/>
                <w:szCs w:val="20"/>
                <w:color w:val="auto"/>
              </w:rPr>
            </w:pPr>
            <w:r>
              <w:rPr>
                <w:rFonts w:ascii="Arial" w:cs="Arial" w:eastAsia="Arial" w:hAnsi="Arial"/>
                <w:sz w:val="17"/>
                <w:szCs w:val="17"/>
                <w:color w:val="auto"/>
                <w:w w:val="84"/>
              </w:rPr>
              <w:t>3.6</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582"/>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center"/>
              <w:ind w:left="380"/>
              <w:spacing w:after="0"/>
              <w:rPr>
                <w:sz w:val="20"/>
                <w:szCs w:val="20"/>
                <w:color w:val="auto"/>
              </w:rPr>
            </w:pPr>
            <w:r>
              <w:rPr>
                <w:rFonts w:ascii="Arial" w:cs="Arial" w:eastAsia="Arial" w:hAnsi="Arial"/>
                <w:sz w:val="17"/>
                <w:szCs w:val="17"/>
                <w:color w:val="auto"/>
                <w:w w:val="91"/>
              </w:rPr>
              <w:t>(3.2)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color w:val="auto"/>
              </w:rPr>
              <w:t>(47.1)</w:t>
            </w:r>
          </w:p>
        </w:tc>
      </w:tr>
      <w:tr>
        <w:trPr>
          <w:trHeight w:val="20"/>
        </w:trPr>
        <w:tc>
          <w:tcPr>
            <w:tcW w:w="4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both"/>
        <w:ind w:right="100" w:firstLine="374"/>
        <w:spacing w:after="0" w:line="315" w:lineRule="auto"/>
        <w:rPr>
          <w:sz w:val="20"/>
          <w:szCs w:val="20"/>
          <w:color w:val="auto"/>
        </w:rPr>
      </w:pPr>
      <w:r>
        <w:rPr>
          <w:rFonts w:ascii="Arial" w:cs="Arial" w:eastAsia="Arial" w:hAnsi="Arial"/>
          <w:sz w:val="15"/>
          <w:szCs w:val="15"/>
          <w:color w:val="auto"/>
        </w:rPr>
        <w:t>Other income, net decreased by $3.2 million, from $6.8 million for the six months ended June 30, 2020 to $3.6 million for the six months ended June 30, 2021, primarily due to lower return on mutual fund investments of $2.5 million during the six months ended June 30, 2021, compared to the six months ended June 30, 2020.</w:t>
      </w:r>
    </w:p>
    <w:p>
      <w:pPr>
        <w:spacing w:after="0" w:line="133" w:lineRule="exact"/>
        <w:rPr>
          <w:sz w:val="20"/>
          <w:szCs w:val="20"/>
          <w:color w:val="auto"/>
        </w:rPr>
      </w:pPr>
    </w:p>
    <w:p>
      <w:pPr>
        <w:jc w:val="both"/>
        <w:ind w:right="100" w:firstLine="382"/>
        <w:spacing w:after="0" w:line="234"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The effective tax rate decreased from 24.3% during the six months ended June 30, 2020 to 22.9% during the six months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We recorded income tax expense of $17.9 million and $9.9 million for the six months ended June 30, 2021 and 2020, respectively. The increase in income tax expense was primarily as a result of higher profit during the six months ended June 30, 2021, compared to the six months ended June 30, 2020, which was partially offset by (i) recording of a one-time tax expense of $1.3 million due to the election of a new tax regime, during the six months ended June 30, 2020, for two of our Indian subsidiaries that provides for a lower tax rate on earnings in exchange for foregoing certain tax credits, including minimum alternative tax credits and (ii) recording of higher excess tax benefits related to stock awards of $1.8 million pursuant to ASU No. 2016-09 during the six months ended June 30, 2020 compared to $1.0 million during the six months ended June 30, 2021.</w:t>
      </w:r>
    </w:p>
    <w:p>
      <w:pPr>
        <w:spacing w:after="0" w:line="203" w:lineRule="exact"/>
        <w:rPr>
          <w:sz w:val="20"/>
          <w:szCs w:val="20"/>
          <w:color w:val="auto"/>
        </w:rPr>
      </w:pPr>
    </w:p>
    <w:p>
      <w:pPr>
        <w:jc w:val="both"/>
        <w:ind w:right="100" w:firstLine="374"/>
        <w:spacing w:after="0" w:line="272" w:lineRule="auto"/>
        <w:rPr>
          <w:sz w:val="20"/>
          <w:szCs w:val="20"/>
          <w:color w:val="auto"/>
        </w:rPr>
      </w:pPr>
      <w:r>
        <w:rPr>
          <w:rFonts w:ascii="Arial" w:cs="Arial" w:eastAsia="Arial" w:hAnsi="Arial"/>
          <w:sz w:val="16"/>
          <w:szCs w:val="16"/>
          <w:b w:val="1"/>
          <w:bCs w:val="1"/>
          <w:i w:val="1"/>
          <w:iCs w:val="1"/>
          <w:color w:val="auto"/>
        </w:rPr>
        <w:t xml:space="preserve">Net Income. </w:t>
      </w:r>
      <w:r>
        <w:rPr>
          <w:rFonts w:ascii="Arial" w:cs="Arial" w:eastAsia="Arial" w:hAnsi="Arial"/>
          <w:sz w:val="16"/>
          <w:szCs w:val="16"/>
          <w:color w:val="auto"/>
        </w:rPr>
        <w:t>Net income increased from $30.8 million for the six months ended June 30, 2020 to $59.9 million for the six months ended June 30, 2021,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increase in income from operations of $40.1 million, lower interest expense of $1.0 million and lower loss from equity-method investment of $0.1 million, partially offset by higher income tax expense of $8.0 million, lower other income, net of $3.2 million and foreign exchange gain, net of $0.9 million. As a percentage of revenues, net income increased from 6.6% for the six months ended June 30, 2020 to 11.2%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880" w:type="dxa"/>
            <w:vAlign w:val="bottom"/>
          </w:tcPr>
          <w:p>
            <w:pPr>
              <w:spacing w:after="0"/>
              <w:rPr>
                <w:sz w:val="15"/>
                <w:szCs w:val="15"/>
                <w:color w:val="auto"/>
              </w:rPr>
            </w:pPr>
          </w:p>
        </w:tc>
        <w:tc>
          <w:tcPr>
            <w:tcW w:w="22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3"/>
                <w:szCs w:val="13"/>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r>
      <w:tr>
        <w:trPr>
          <w:trHeight w:val="171"/>
        </w:trPr>
        <w:tc>
          <w:tcPr>
            <w:tcW w:w="68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Borders>
              <w:bottom w:val="single" w:sz="8" w:color="auto"/>
            </w:tcBorders>
          </w:tcPr>
          <w:p>
            <w:pPr>
              <w:spacing w:after="0"/>
              <w:rPr>
                <w:sz w:val="14"/>
                <w:szCs w:val="14"/>
                <w:color w:val="auto"/>
              </w:rPr>
            </w:pPr>
          </w:p>
        </w:tc>
      </w:tr>
      <w:tr>
        <w:trPr>
          <w:trHeight w:val="167"/>
        </w:trPr>
        <w:tc>
          <w:tcPr>
            <w:tcW w:w="6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jc w:val="right"/>
              <w:ind w:right="262"/>
              <w:spacing w:after="0"/>
              <w:rPr>
                <w:sz w:val="20"/>
                <w:szCs w:val="20"/>
                <w:color w:val="auto"/>
              </w:rPr>
            </w:pPr>
            <w:r>
              <w:rPr>
                <w:rFonts w:ascii="Arial" w:cs="Arial" w:eastAsia="Arial" w:hAnsi="Arial"/>
                <w:sz w:val="13"/>
                <w:szCs w:val="13"/>
                <w:b w:val="1"/>
                <w:bCs w:val="1"/>
                <w:color w:val="auto"/>
                <w:w w:val="92"/>
              </w:rPr>
              <w:t>(dollars in millions)</w:t>
            </w:r>
          </w:p>
        </w:tc>
        <w:tc>
          <w:tcPr>
            <w:tcW w:w="480" w:type="dxa"/>
            <w:vAlign w:val="bottom"/>
          </w:tcPr>
          <w:p>
            <w:pPr>
              <w:spacing w:after="0"/>
              <w:rPr>
                <w:sz w:val="14"/>
                <w:szCs w:val="14"/>
                <w:color w:val="auto"/>
              </w:rPr>
            </w:pPr>
          </w:p>
        </w:tc>
      </w:tr>
      <w:tr>
        <w:trPr>
          <w:trHeight w:val="213"/>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Opening cash, cash equivalents and restricted cash</w:t>
            </w:r>
          </w:p>
        </w:tc>
        <w:tc>
          <w:tcPr>
            <w:tcW w:w="800" w:type="dxa"/>
            <w:vAlign w:val="bottom"/>
            <w:shd w:val="clear" w:color="auto" w:fill="CCEEFF"/>
          </w:tcPr>
          <w:p>
            <w:pPr>
              <w:jc w:val="right"/>
              <w:ind w:right="625"/>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225.5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127.0</w:t>
            </w:r>
          </w:p>
        </w:tc>
      </w:tr>
      <w:tr>
        <w:trPr>
          <w:trHeight w:val="212"/>
        </w:trPr>
        <w:tc>
          <w:tcPr>
            <w:tcW w:w="6880" w:type="dxa"/>
            <w:vAlign w:val="bottom"/>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58.9</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investing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2"/>
        </w:trPr>
        <w:tc>
          <w:tcPr>
            <w:tcW w:w="6880" w:type="dxa"/>
            <w:vAlign w:val="bottom"/>
          </w:tcPr>
          <w:p>
            <w:pPr>
              <w:ind w:left="20"/>
              <w:spacing w:after="0"/>
              <w:rPr>
                <w:sz w:val="20"/>
                <w:szCs w:val="20"/>
                <w:color w:val="auto"/>
              </w:rPr>
            </w:pPr>
            <w:r>
              <w:rPr>
                <w:rFonts w:ascii="Arial" w:cs="Arial" w:eastAsia="Arial" w:hAnsi="Arial"/>
                <w:sz w:val="17"/>
                <w:szCs w:val="17"/>
                <w:color w:val="auto"/>
              </w:rPr>
              <w:t>Net cash used for financing activities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85"/>
              </w:rPr>
              <w:t>(131.4)</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8"/>
              </w:rPr>
              <w:t>(13.4)</w:t>
            </w:r>
          </w:p>
        </w:tc>
      </w:tr>
      <w:tr>
        <w:trPr>
          <w:trHeight w:val="212"/>
        </w:trPr>
        <w:tc>
          <w:tcPr>
            <w:tcW w:w="6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04"/>
        </w:trPr>
        <w:tc>
          <w:tcPr>
            <w:tcW w:w="6880" w:type="dxa"/>
            <w:vAlign w:val="bottom"/>
          </w:tcPr>
          <w:p>
            <w:pPr>
              <w:ind w:left="20"/>
              <w:spacing w:after="0" w:line="192" w:lineRule="exact"/>
              <w:rPr>
                <w:sz w:val="20"/>
                <w:szCs w:val="20"/>
                <w:color w:val="auto"/>
              </w:rPr>
            </w:pPr>
            <w:r>
              <w:rPr>
                <w:rFonts w:ascii="Arial" w:cs="Arial" w:eastAsia="Arial" w:hAnsi="Arial"/>
                <w:sz w:val="17"/>
                <w:szCs w:val="17"/>
                <w:color w:val="auto"/>
              </w:rPr>
              <w:t>Closing cash, cash equivalents and restricted cash</w:t>
            </w:r>
          </w:p>
        </w:tc>
        <w:tc>
          <w:tcPr>
            <w:tcW w:w="800" w:type="dxa"/>
            <w:vAlign w:val="bottom"/>
            <w:tcBorders>
              <w:bottom w:val="single" w:sz="8" w:color="auto"/>
            </w:tcBorders>
          </w:tcPr>
          <w:p>
            <w:pPr>
              <w:jc w:val="right"/>
              <w:ind w:right="625"/>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157.5</w:t>
            </w:r>
          </w:p>
        </w:tc>
        <w:tc>
          <w:tcPr>
            <w:tcW w:w="100" w:type="dxa"/>
            <w:vAlign w:val="bottom"/>
          </w:tcPr>
          <w:p>
            <w:pPr>
              <w:spacing w:after="0"/>
              <w:rPr>
                <w:sz w:val="17"/>
                <w:szCs w:val="17"/>
                <w:color w:val="auto"/>
              </w:rPr>
            </w:pPr>
          </w:p>
        </w:tc>
        <w:tc>
          <w:tcPr>
            <w:tcW w:w="840" w:type="dxa"/>
            <w:vAlign w:val="bottom"/>
            <w:tcBorders>
              <w:bottom w:val="single" w:sz="8" w:color="auto"/>
            </w:tcBorders>
          </w:tcPr>
          <w:p>
            <w:pPr>
              <w:jc w:val="right"/>
              <w:ind w:right="662"/>
              <w:spacing w:after="0"/>
              <w:rPr>
                <w:sz w:val="20"/>
                <w:szCs w:val="20"/>
                <w:color w:val="auto"/>
              </w:rPr>
            </w:pPr>
            <w:r>
              <w:rPr>
                <w:rFonts w:ascii="Arial" w:cs="Arial" w:eastAsia="Arial" w:hAnsi="Arial"/>
                <w:sz w:val="17"/>
                <w:szCs w:val="17"/>
                <w:color w:val="auto"/>
                <w:w w:val="8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170.8</w:t>
            </w:r>
          </w:p>
        </w:tc>
      </w:tr>
      <w:tr>
        <w:trPr>
          <w:trHeight w:val="20"/>
        </w:trPr>
        <w:tc>
          <w:tcPr>
            <w:tcW w:w="6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74"/>
        <w:spacing w:after="0" w:line="249" w:lineRule="auto"/>
        <w:rPr>
          <w:sz w:val="20"/>
          <w:szCs w:val="20"/>
          <w:color w:val="auto"/>
        </w:rPr>
      </w:pPr>
      <w:r>
        <w:rPr>
          <w:rFonts w:ascii="Arial" w:cs="Arial" w:eastAsia="Arial" w:hAnsi="Arial"/>
          <w:sz w:val="15"/>
          <w:szCs w:val="15"/>
          <w:color w:val="auto"/>
        </w:rPr>
        <w:t>As of June 30, 2021 and 2020, we had $294.7 million and $335.6 million, respectively, in cash, cash equivalents and short-term investments, of which $254.2 million and $275.5 million, respectively, is located in foreign jurisdictions that upon distribution may be subject to withholding and other taxes. We periodically evaluate opportunities to distribute cash among our group entities to fund our operations in the United States and other geographies, and as and when we decide to distribute, we may have to accrue, additional taxes in accordance with local tax laws, rules and regulations in the relevant foreign jurisdictions. During the three months ended June 30, 2021, we repatriated to the United States $49.0 million (net of $2.6 million withholding taxes) from India, $42.5 million (net of $7.5 million withholding taxes) from the Philippines and $17.0 million (net of $0.9 million withholding taxes) from India in July 2021. These distributions do not constitute a change in our permanent reinvestment assertion. We base our decision to continue to indefinitely reinvest earnings in India and the Philippines on our estimate of the working capital required to support our operations in these geographies and periodically review our capital initiatives to support and expand our global operations, as well as an economically viable rate of return on our investments made in India and the Philippines as compared to those made in the United States.</w:t>
      </w:r>
    </w:p>
    <w:p>
      <w:pPr>
        <w:spacing w:after="0" w:line="185" w:lineRule="exact"/>
        <w:rPr>
          <w:sz w:val="20"/>
          <w:szCs w:val="20"/>
          <w:color w:val="auto"/>
        </w:rPr>
      </w:pPr>
    </w:p>
    <w:p>
      <w:pPr>
        <w:jc w:val="both"/>
        <w:ind w:firstLine="374"/>
        <w:spacing w:after="0" w:line="22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Net cash provided by operating activities was $53.9 million for the six months ended June 30, 2021 as compared to net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$58.9 million for the six months ended June 30, 2020, reflecting higher working capital needs, offset by cash earnings. The major drivers contributing to the decrease of $5.0 million year-over-year included the following:</w:t>
      </w:r>
    </w:p>
    <w:p>
      <w:pPr>
        <w:spacing w:after="0" w:line="189" w:lineRule="exact"/>
        <w:rPr>
          <w:sz w:val="20"/>
          <w:szCs w:val="20"/>
          <w:color w:val="auto"/>
        </w:rPr>
      </w:pPr>
    </w:p>
    <w:p>
      <w:pPr>
        <w:jc w:val="both"/>
        <w:ind w:left="600" w:hanging="301"/>
        <w:spacing w:after="0" w:line="261" w:lineRule="auto"/>
        <w:tabs>
          <w:tab w:leader="none" w:pos="596"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Changes in accounts receivable, including advance billings, contributed lower cash flow of $71.9 million in the six months ended June 30, 2021 compared to the six months ended June 30, 2020. The decrease was a result of higher accounts receivable resulting from revenue growth, change in credit terms for certain clients during the six months ended June 30, 2021, and advance collections during the three months ended December 31, 2020. This was partially offset by our accounts receivable days sales outstanding, which improved to 58 days as of June 30, 2021 from 63 days as of June 30, 2020.</w:t>
      </w:r>
    </w:p>
    <w:p>
      <w:pPr>
        <w:spacing w:after="0" w:line="184" w:lineRule="exact"/>
        <w:rPr>
          <w:rFonts w:ascii="Arial" w:cs="Arial" w:eastAsia="Arial" w:hAnsi="Arial"/>
          <w:sz w:val="15"/>
          <w:szCs w:val="15"/>
          <w:color w:val="auto"/>
        </w:rPr>
      </w:pPr>
    </w:p>
    <w:p>
      <w:pPr>
        <w:jc w:val="both"/>
        <w:ind w:left="600" w:hanging="301"/>
        <w:spacing w:after="0" w:line="255"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Increase in net income of $29.1 million in the six months ended June 30, 2021 compared to the six months ended June 30, 2020, primarily due to an increase in income from operations of $40.1 million driven by higher revenues, offset by higher income tax expense of $8.0 million and lower other income, net of interest expense of $3.1 million.</w:t>
      </w:r>
    </w:p>
    <w:p>
      <w:pPr>
        <w:spacing w:after="0" w:line="199" w:lineRule="exact"/>
        <w:rPr>
          <w:rFonts w:ascii="Arial" w:cs="Arial" w:eastAsia="Arial" w:hAnsi="Arial"/>
          <w:sz w:val="17"/>
          <w:szCs w:val="17"/>
          <w:color w:val="auto"/>
        </w:rPr>
      </w:pPr>
    </w:p>
    <w:p>
      <w:pPr>
        <w:jc w:val="both"/>
        <w:ind w:left="600" w:hanging="301"/>
        <w:spacing w:after="0" w:line="251" w:lineRule="auto"/>
        <w:tabs>
          <w:tab w:leader="none" w:pos="596" w:val="left"/>
        </w:tabs>
        <w:numPr>
          <w:ilvl w:val="0"/>
          <w:numId w:val="14"/>
        </w:numPr>
        <w:rPr>
          <w:rFonts w:ascii="Arial" w:cs="Arial" w:eastAsia="Arial" w:hAnsi="Arial"/>
          <w:sz w:val="17"/>
          <w:szCs w:val="17"/>
          <w:i w:val="1"/>
          <w:iCs w:val="1"/>
          <w:color w:val="auto"/>
        </w:rPr>
      </w:pPr>
      <w:r>
        <w:rPr>
          <w:rFonts w:ascii="Arial" w:cs="Arial" w:eastAsia="Arial" w:hAnsi="Arial"/>
          <w:sz w:val="17"/>
          <w:szCs w:val="17"/>
          <w:color w:val="auto"/>
        </w:rPr>
        <w:t>Increase in accrued employee costs, accrued expenses and other liabilities contributed higher cash flow of $51.6 million in the six months ended June 30, 2021 compared to the six months ended June 30, 2020. The increase was primarily due to lower payment and higher provisions of annual performance incentives of $23.3 million, higher other employee cost accruals of $4.0 million and higher accrued expenses and other liabilities of $24.3 million, during the six months ended June 30, 2021 compared to the six months ended June 30, 2020.</w:t>
      </w:r>
    </w:p>
    <w:p>
      <w:pPr>
        <w:spacing w:after="0" w:line="192" w:lineRule="exact"/>
        <w:rPr>
          <w:rFonts w:ascii="Arial" w:cs="Arial" w:eastAsia="Arial" w:hAnsi="Arial"/>
          <w:sz w:val="17"/>
          <w:szCs w:val="17"/>
          <w:i w:val="1"/>
          <w:iCs w:val="1"/>
          <w:color w:val="auto"/>
        </w:rPr>
      </w:pPr>
    </w:p>
    <w:p>
      <w:pPr>
        <w:ind w:left="600" w:hanging="301"/>
        <w:spacing w:after="0" w:line="237" w:lineRule="auto"/>
        <w:tabs>
          <w:tab w:leader="none" w:pos="5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drivers decreasing cash flows during the six months ended June 30, 2021 compared to the six months ended June 30, 2020 included: income tax payments, net of refunds, of $13.8 million, primarily due to higher advance income tax payments on account of higher net income.</w:t>
      </w:r>
    </w:p>
    <w:p>
      <w:pPr>
        <w:spacing w:after="0" w:line="200"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flows provided by investing activities were $11.7 million for the six months ended June 30, 2021 as compared to cash flows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of $1.1 million for the six months ended June 30, 2020. The increase is mainly due to net redemption of investments of $31.0 million during six months ended June 30, 2021 as compared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5" w:name="page56"/>
    <w:bookmarkEnd w:id="55"/>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net redemption of investments of $23.8 million during the six months ended June 30, 2020, lower capital expenditures for purchase of long-lived assets, including investments in infrastructure, technology assets, software and product developments of $2.7 million during the six months ended June 30, 2021 as compared to the six months ended June 30, 2020 and acquisition of an additional stake in our equity affiliate of $0.7 million during the six months ended June 30, 2020.</w:t>
      </w:r>
    </w:p>
    <w:p>
      <w:pPr>
        <w:spacing w:after="0" w:line="153" w:lineRule="exact"/>
        <w:rPr>
          <w:sz w:val="20"/>
          <w:szCs w:val="20"/>
          <w:color w:val="auto"/>
        </w:rPr>
      </w:pPr>
    </w:p>
    <w:p>
      <w:pPr>
        <w:jc w:val="both"/>
        <w:ind w:firstLine="374"/>
        <w:spacing w:after="0" w:line="261"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flows used for financing activities were $131.4 million during the six months ended June 30, 2021 as compared to cash flows used for</w:t>
      </w:r>
      <w:r>
        <w:rPr>
          <w:rFonts w:ascii="Arial" w:cs="Arial" w:eastAsia="Arial" w:hAnsi="Arial"/>
          <w:sz w:val="15"/>
          <w:szCs w:val="15"/>
          <w:i w:val="1"/>
          <w:iCs w:val="1"/>
          <w:color w:val="auto"/>
        </w:rPr>
        <w:t xml:space="preserve"> </w:t>
      </w:r>
      <w:r>
        <w:rPr>
          <w:rFonts w:ascii="Arial" w:cs="Arial" w:eastAsia="Arial" w:hAnsi="Arial"/>
          <w:sz w:val="15"/>
          <w:szCs w:val="15"/>
          <w:color w:val="auto"/>
        </w:rPr>
        <w:t>financing activities of $13.4 million during the six months ended June 30, 2020. The increase in cash flows used for financing activities was primarily due to higher net repayment of $73.8 million under our revolving Credit Facility, higher purchases of treasury stock by $43.4 million under our share repurchase program and lower proceeds from the exercise of stock options of $0.8 million during the six months ended June 30, 2021 as compared to the six months ended June 30, 2020.</w:t>
      </w:r>
    </w:p>
    <w:p>
      <w:pPr>
        <w:spacing w:after="0" w:line="185"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7"/>
          <w:szCs w:val="17"/>
          <w:color w:val="auto"/>
        </w:rPr>
        <w:t>We expect to use cash from operating activities to maintain and expand our business by making investments primarily related to new facilities and capital expenditures associated with leasehold improvements to build our facilities, digital capabilities and purchase telecommunications equipment and computer hardware and software in connection with managing client operations.</w:t>
      </w:r>
    </w:p>
    <w:p>
      <w:pPr>
        <w:spacing w:after="0" w:line="202" w:lineRule="exact"/>
        <w:rPr>
          <w:sz w:val="20"/>
          <w:szCs w:val="20"/>
          <w:color w:val="auto"/>
        </w:rPr>
      </w:pPr>
    </w:p>
    <w:p>
      <w:pPr>
        <w:jc w:val="both"/>
        <w:ind w:firstLine="374"/>
        <w:spacing w:after="0" w:line="239" w:lineRule="auto"/>
        <w:rPr>
          <w:sz w:val="20"/>
          <w:szCs w:val="20"/>
          <w:color w:val="auto"/>
        </w:rPr>
      </w:pPr>
      <w:r>
        <w:rPr>
          <w:rFonts w:ascii="Arial" w:cs="Arial" w:eastAsia="Arial" w:hAnsi="Arial"/>
          <w:sz w:val="17"/>
          <w:szCs w:val="17"/>
          <w:color w:val="auto"/>
        </w:rPr>
        <w:t>We incurred $19.9 million of capital expenditures in the six months ended June 30, 2021. We expect to incur capital expenditures of between $35.0 million and $40.0 million in 2021, primarily to meet our growth requirements, including additions to our facilities as well as investments in technology applications, product development, digital technology, advanced automation, robotics and infrastructure.</w:t>
      </w:r>
    </w:p>
    <w:p>
      <w:pPr>
        <w:spacing w:after="0" w:line="202"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(see Note 24 - Commitments and Contingencies to our unaudited consolidated financial statements herein for further details). We anticipate that we will continue to rely upon cash from operating activities to finance our working capital needs, capital expenditures and smaller acquisitions. If we have significant growth through acquisitions, we may need to obtain additional financing.</w:t>
      </w:r>
    </w:p>
    <w:p>
      <w:pPr>
        <w:spacing w:after="0" w:line="188" w:lineRule="exact"/>
        <w:rPr>
          <w:sz w:val="20"/>
          <w:szCs w:val="20"/>
          <w:color w:val="auto"/>
        </w:rPr>
      </w:pPr>
    </w:p>
    <w:p>
      <w:pPr>
        <w:jc w:val="both"/>
        <w:ind w:firstLine="374"/>
        <w:spacing w:after="0" w:line="272" w:lineRule="auto"/>
        <w:rPr>
          <w:sz w:val="20"/>
          <w:szCs w:val="20"/>
          <w:color w:val="auto"/>
        </w:rPr>
      </w:pPr>
      <w:r>
        <w:rPr>
          <w:rFonts w:ascii="Arial" w:cs="Arial" w:eastAsia="Arial" w:hAnsi="Arial"/>
          <w:sz w:val="16"/>
          <w:szCs w:val="16"/>
          <w:color w:val="auto"/>
        </w:rPr>
        <w:t>The Coronavirus Aid, Relief, and Economic Security Act, (the “CARES Act”) allows employers to defer the payment of the employer share of Federal Insurance Contributions Act (“FICA”) taxes for the period from April 1, 2020 and ending December 31, 2020. As of June 30, 2021 and December 31, 2020, we deferred our contributions to FICA of $6.3 million each under the CARES Act. The deferred amount will be payable as follows: (1) 50% of the deferred amount will be paid on or before December 31, 2021 and (2) the remaining 50% of the deferred amount will be paid on or before December 31, 2022.</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Arrangements (Debt Facility and Notes)</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summarizes our Debt balances as of June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3"/>
                <w:szCs w:val="13"/>
                <w:b w:val="1"/>
                <w:bCs w:val="1"/>
                <w:color w:val="auto"/>
                <w:w w:val="90"/>
              </w:rPr>
              <w:t>As of June 30,2021</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2"/>
              </w:rPr>
              <w:t>(dollars in millions)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20" w:type="dxa"/>
            <w:vAlign w:val="bottom"/>
            <w:gridSpan w:val="2"/>
          </w:tcPr>
          <w:p>
            <w:pPr>
              <w:jc w:val="right"/>
              <w:spacing w:after="0" w:line="156" w:lineRule="exact"/>
              <w:rPr>
                <w:sz w:val="20"/>
                <w:szCs w:val="20"/>
                <w:color w:val="auto"/>
              </w:rPr>
            </w:pPr>
            <w:r>
              <w:rPr>
                <w:rFonts w:ascii="Arial" w:cs="Arial" w:eastAsia="Arial" w:hAnsi="Arial"/>
                <w:sz w:val="17"/>
                <w:szCs w:val="17"/>
                <w:b w:val="1"/>
                <w:bCs w:val="1"/>
                <w:color w:val="auto"/>
                <w:w w:val="97"/>
              </w:rPr>
              <w:t>Revolving Credit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2"/>
            <w:vMerge w:val="restart"/>
          </w:tcPr>
          <w:p>
            <w:pPr>
              <w:ind w:left="14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25"/>
        </w:trPr>
        <w:tc>
          <w:tcPr>
            <w:tcW w:w="4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Facility</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Notes</w:t>
            </w:r>
          </w:p>
        </w:tc>
        <w:tc>
          <w:tcPr>
            <w:tcW w:w="240" w:type="dxa"/>
            <w:vAlign w:val="bottom"/>
          </w:tcPr>
          <w:p>
            <w:pPr>
              <w:spacing w:after="0"/>
              <w:rPr>
                <w:sz w:val="10"/>
                <w:szCs w:val="10"/>
                <w:color w:val="auto"/>
              </w:rPr>
            </w:pPr>
          </w:p>
        </w:tc>
        <w:tc>
          <w:tcPr>
            <w:tcW w:w="2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2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1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2740" w:type="dxa"/>
            <w:vAlign w:val="bottom"/>
            <w:gridSpan w:val="2"/>
            <w:shd w:val="clear" w:color="auto" w:fill="CCEEFF"/>
          </w:tcPr>
          <w:p>
            <w:pPr>
              <w:jc w:val="right"/>
              <w:ind w:right="877"/>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3"/>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auto"/>
              </w:rPr>
              <w:t>Unamortized debt discount</w:t>
            </w:r>
          </w:p>
        </w:tc>
        <w:tc>
          <w:tcPr>
            <w:tcW w:w="1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68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16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877"/>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139.4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borrowings</w:t>
            </w:r>
          </w:p>
        </w:tc>
        <w:tc>
          <w:tcPr>
            <w:tcW w:w="16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77"/>
              <w:spacing w:after="0"/>
              <w:rPr>
                <w:sz w:val="20"/>
                <w:szCs w:val="20"/>
                <w:color w:val="auto"/>
              </w:rPr>
            </w:pPr>
            <w:r>
              <w:rPr>
                <w:rFonts w:ascii="Arial" w:cs="Arial" w:eastAsia="Arial" w:hAnsi="Arial"/>
                <w:sz w:val="17"/>
                <w:szCs w:val="17"/>
                <w:b w:val="1"/>
                <w:bCs w:val="1"/>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139.4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154.4</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137"/>
              <w:spacing w:after="0"/>
              <w:rPr>
                <w:sz w:val="20"/>
                <w:szCs w:val="20"/>
                <w:color w:val="auto"/>
              </w:rPr>
            </w:pPr>
            <w:r>
              <w:rPr>
                <w:rFonts w:ascii="Arial" w:cs="Arial" w:eastAsia="Arial" w:hAnsi="Arial"/>
                <w:sz w:val="17"/>
                <w:szCs w:val="17"/>
                <w:color w:val="auto"/>
              </w:rPr>
              <w:t>56</w:t>
            </w: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6"/>
        </w:trPr>
        <w:tc>
          <w:tcPr>
            <w:tcW w:w="42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7122160</wp:posOffset>
            </wp:positionH>
            <wp:positionV relativeFrom="paragraph">
              <wp:posOffset>-27940</wp:posOffset>
            </wp:positionV>
            <wp:extent cx="3302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56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2"/>
              </w:rPr>
              <w:t>As of December 31,2020</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3"/>
                <w:szCs w:val="13"/>
                <w:b w:val="1"/>
                <w:bCs w:val="1"/>
                <w:color w:val="auto"/>
                <w:w w:val="92"/>
              </w:rPr>
              <w:t>(dollars in millions)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60" w:type="dxa"/>
            <w:vAlign w:val="bottom"/>
          </w:tcPr>
          <w:p>
            <w:pPr>
              <w:spacing w:after="0"/>
              <w:rPr>
                <w:sz w:val="13"/>
                <w:szCs w:val="13"/>
                <w:color w:val="auto"/>
              </w:rPr>
            </w:pPr>
          </w:p>
        </w:tc>
        <w:tc>
          <w:tcPr>
            <w:tcW w:w="1620" w:type="dxa"/>
            <w:vAlign w:val="bottom"/>
            <w:gridSpan w:val="2"/>
          </w:tcPr>
          <w:p>
            <w:pPr>
              <w:jc w:val="right"/>
              <w:ind w:right="119"/>
              <w:spacing w:after="0" w:line="156" w:lineRule="exact"/>
              <w:rPr>
                <w:sz w:val="20"/>
                <w:szCs w:val="20"/>
                <w:color w:val="auto"/>
              </w:rPr>
            </w:pPr>
            <w:r>
              <w:rPr>
                <w:rFonts w:ascii="Arial" w:cs="Arial" w:eastAsia="Arial" w:hAnsi="Arial"/>
                <w:sz w:val="17"/>
                <w:szCs w:val="17"/>
                <w:b w:val="1"/>
                <w:bCs w:val="1"/>
                <w:color w:val="auto"/>
              </w:rPr>
              <w:t>Revolving Credit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restart"/>
          </w:tcPr>
          <w:p>
            <w:pPr>
              <w:ind w:left="220"/>
              <w:spacing w:after="0"/>
              <w:rPr>
                <w:sz w:val="20"/>
                <w:szCs w:val="20"/>
                <w:color w:val="auto"/>
              </w:rPr>
            </w:pPr>
            <w:r>
              <w:rPr>
                <w:rFonts w:ascii="Arial" w:cs="Arial" w:eastAsia="Arial" w:hAnsi="Arial"/>
                <w:sz w:val="17"/>
                <w:szCs w:val="17"/>
                <w:b w:val="1"/>
                <w:bCs w:val="1"/>
                <w:color w:val="auto"/>
              </w:rPr>
              <w:t>Notes</w:t>
            </w:r>
          </w:p>
        </w:tc>
        <w:tc>
          <w:tcPr>
            <w:tcW w:w="260" w:type="dxa"/>
            <w:vAlign w:val="bottom"/>
          </w:tcPr>
          <w:p>
            <w:pPr>
              <w:spacing w:after="0"/>
              <w:rPr>
                <w:sz w:val="13"/>
                <w:szCs w:val="13"/>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2"/>
        </w:trPr>
        <w:tc>
          <w:tcPr>
            <w:tcW w:w="5560" w:type="dxa"/>
            <w:vAlign w:val="bottom"/>
          </w:tcPr>
          <w:p>
            <w:pPr>
              <w:spacing w:after="0"/>
              <w:rPr>
                <w:sz w:val="18"/>
                <w:szCs w:val="18"/>
                <w:color w:val="auto"/>
              </w:rPr>
            </w:pPr>
          </w:p>
        </w:tc>
        <w:tc>
          <w:tcPr>
            <w:tcW w:w="1180" w:type="dxa"/>
            <w:vAlign w:val="bottom"/>
          </w:tcPr>
          <w:p>
            <w:pPr>
              <w:jc w:val="right"/>
              <w:ind w:right="17"/>
              <w:spacing w:after="0"/>
              <w:rPr>
                <w:sz w:val="20"/>
                <w:szCs w:val="20"/>
                <w:color w:val="auto"/>
              </w:rPr>
            </w:pPr>
            <w:r>
              <w:rPr>
                <w:rFonts w:ascii="Arial" w:cs="Arial" w:eastAsia="Arial" w:hAnsi="Arial"/>
                <w:sz w:val="17"/>
                <w:szCs w:val="17"/>
                <w:b w:val="1"/>
                <w:bCs w:val="1"/>
                <w:color w:val="auto"/>
              </w:rPr>
              <w:t>Facility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 portion of long-term borrowings</w:t>
            </w:r>
          </w:p>
        </w:tc>
        <w:tc>
          <w:tcPr>
            <w:tcW w:w="1180" w:type="dxa"/>
            <w:vAlign w:val="bottom"/>
            <w:tcBorders>
              <w:top w:val="single" w:sz="8" w:color="auto"/>
            </w:tcBorders>
            <w:shd w:val="clear" w:color="auto" w:fill="CCEEFF"/>
          </w:tcPr>
          <w:p>
            <w:pPr>
              <w:jc w:val="right"/>
              <w:ind w:right="99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25.0</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borrowings</w:t>
            </w:r>
          </w:p>
        </w:tc>
        <w:tc>
          <w:tcPr>
            <w:tcW w:w="1180" w:type="dxa"/>
            <w:vAlign w:val="bottom"/>
            <w:shd w:val="clear" w:color="auto" w:fill="CCEEFF"/>
          </w:tcPr>
          <w:p>
            <w:pPr>
              <w:jc w:val="right"/>
              <w:ind w:right="997"/>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w:t>
            </w:r>
          </w:p>
        </w:tc>
        <w:tc>
          <w:tcPr>
            <w:tcW w:w="400" w:type="dxa"/>
            <w:vAlign w:val="bottom"/>
            <w:gridSpan w:val="2"/>
            <w:shd w:val="clear" w:color="auto" w:fill="CCEEFF"/>
          </w:tcPr>
          <w:p>
            <w:pPr>
              <w:jc w:val="right"/>
              <w:ind w:right="14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212"/>
        </w:trPr>
        <w:tc>
          <w:tcPr>
            <w:tcW w:w="5560" w:type="dxa"/>
            <w:vAlign w:val="bottom"/>
          </w:tcPr>
          <w:p>
            <w:pPr>
              <w:ind w:left="20"/>
              <w:spacing w:after="0"/>
              <w:rPr>
                <w:sz w:val="20"/>
                <w:szCs w:val="20"/>
                <w:color w:val="auto"/>
              </w:rPr>
            </w:pPr>
            <w:r>
              <w:rPr>
                <w:rFonts w:ascii="Arial" w:cs="Arial" w:eastAsia="Arial" w:hAnsi="Arial"/>
                <w:sz w:val="17"/>
                <w:szCs w:val="17"/>
                <w:color w:val="auto"/>
              </w:rPr>
              <w:t>Unamortized debt discount</w:t>
            </w:r>
          </w:p>
        </w:tc>
        <w:tc>
          <w:tcPr>
            <w:tcW w:w="1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12"/>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issuance costs*</w:t>
            </w:r>
          </w:p>
        </w:tc>
        <w:tc>
          <w:tcPr>
            <w:tcW w:w="1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17"/>
        </w:trPr>
        <w:tc>
          <w:tcPr>
            <w:tcW w:w="5560" w:type="dxa"/>
            <w:vAlign w:val="bottom"/>
          </w:tcPr>
          <w:p>
            <w:pPr>
              <w:ind w:left="20"/>
              <w:spacing w:after="0"/>
              <w:rPr>
                <w:sz w:val="20"/>
                <w:szCs w:val="20"/>
                <w:color w:val="auto"/>
              </w:rPr>
            </w:pPr>
            <w:r>
              <w:rPr>
                <w:rFonts w:ascii="Arial" w:cs="Arial" w:eastAsia="Arial" w:hAnsi="Arial"/>
                <w:sz w:val="17"/>
                <w:szCs w:val="17"/>
                <w:b w:val="1"/>
                <w:bCs w:val="1"/>
                <w:color w:val="auto"/>
              </w:rPr>
              <w:t>Long-term borrowings</w:t>
            </w:r>
          </w:p>
        </w:tc>
        <w:tc>
          <w:tcPr>
            <w:tcW w:w="1180" w:type="dxa"/>
            <w:vAlign w:val="bottom"/>
          </w:tcPr>
          <w:p>
            <w:pPr>
              <w:jc w:val="right"/>
              <w:ind w:right="99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b w:val="1"/>
                <w:bCs w:val="1"/>
                <w:color w:val="auto"/>
              </w:rPr>
              <w:t>64.0</w:t>
            </w:r>
          </w:p>
        </w:tc>
        <w:tc>
          <w:tcPr>
            <w:tcW w:w="400" w:type="dxa"/>
            <w:vAlign w:val="bottom"/>
            <w:gridSpan w:val="2"/>
          </w:tcPr>
          <w:p>
            <w:pPr>
              <w:jc w:val="right"/>
              <w:ind w:right="147"/>
              <w:spacing w:after="0"/>
              <w:rPr>
                <w:sz w:val="20"/>
                <w:szCs w:val="20"/>
                <w:color w:val="auto"/>
              </w:rPr>
            </w:pPr>
            <w:r>
              <w:rPr>
                <w:rFonts w:ascii="Arial" w:cs="Arial" w:eastAsia="Arial" w:hAnsi="Arial"/>
                <w:sz w:val="17"/>
                <w:szCs w:val="17"/>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138.0</w:t>
            </w:r>
          </w:p>
        </w:tc>
        <w:tc>
          <w:tcPr>
            <w:tcW w:w="100" w:type="dxa"/>
            <w:vAlign w:val="bottom"/>
          </w:tcPr>
          <w:p>
            <w:pPr>
              <w:spacing w:after="0"/>
              <w:rPr>
                <w:sz w:val="18"/>
                <w:szCs w:val="18"/>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9"/>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borrowings</w:t>
            </w:r>
          </w:p>
        </w:tc>
        <w:tc>
          <w:tcPr>
            <w:tcW w:w="1180" w:type="dxa"/>
            <w:vAlign w:val="bottom"/>
            <w:tcBorders>
              <w:top w:val="single" w:sz="8" w:color="auto"/>
              <w:bottom w:val="single" w:sz="8" w:color="auto"/>
            </w:tcBorders>
            <w:shd w:val="clear" w:color="auto" w:fill="CCEEFF"/>
          </w:tcPr>
          <w:p>
            <w:pPr>
              <w:jc w:val="right"/>
              <w:ind w:right="997"/>
              <w:spacing w:after="0"/>
              <w:rPr>
                <w:sz w:val="20"/>
                <w:szCs w:val="20"/>
                <w:color w:val="auto"/>
              </w:rPr>
            </w:pPr>
            <w:r>
              <w:rPr>
                <w:rFonts w:ascii="Arial" w:cs="Arial" w:eastAsia="Arial" w:hAnsi="Arial"/>
                <w:sz w:val="17"/>
                <w:szCs w:val="17"/>
                <w:b w:val="1"/>
                <w:bCs w:val="1"/>
                <w:color w:val="auto"/>
                <w:w w:val="84"/>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374"/>
        <w:spacing w:after="0" w:line="265" w:lineRule="auto"/>
        <w:rPr>
          <w:sz w:val="20"/>
          <w:szCs w:val="20"/>
          <w:color w:val="auto"/>
        </w:rPr>
      </w:pPr>
      <w:r>
        <w:rPr>
          <w:rFonts w:ascii="Arial" w:cs="Arial" w:eastAsia="Arial" w:hAnsi="Arial"/>
          <w:sz w:val="17"/>
          <w:szCs w:val="17"/>
          <w:color w:val="auto"/>
        </w:rPr>
        <w:t>*Unamortized debt issuance costs for our revolving Credit Facility of $0.4 million and $0.5 million as of June 30, 2021 and December 31, 2020, respectively, is presented under “Other current assets” and “Other assets” in our consolidated balance sheets.</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Note 17 - Borrowings to our unaudited consolidated financial statements herein for further details on our debt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08" w:lineRule="exact"/>
        <w:rPr>
          <w:sz w:val="20"/>
          <w:szCs w:val="20"/>
          <w:color w:val="auto"/>
        </w:rPr>
      </w:pPr>
    </w:p>
    <w:p>
      <w:pPr>
        <w:jc w:val="both"/>
        <w:ind w:firstLine="374"/>
        <w:spacing w:after="0" w:line="251" w:lineRule="auto"/>
        <w:rPr>
          <w:sz w:val="20"/>
          <w:szCs w:val="20"/>
          <w:color w:val="auto"/>
        </w:rPr>
      </w:pPr>
      <w:r>
        <w:rPr>
          <w:rFonts w:ascii="Arial" w:cs="Arial" w:eastAsia="Arial" w:hAnsi="Arial"/>
          <w:sz w:val="17"/>
          <w:szCs w:val="17"/>
          <w:color w:val="auto"/>
        </w:rPr>
        <w:t>In the ordinary course of business, we provide standby letters of credit to third parties primarily for facility leases. As of June 30, 2021 and December 31, 2020, we had outstanding letters of credit of $0.5 million each, that were not recognized in our unaudited and audited consolidated balance sheets, respectively. These are not reasonably likely to have, a current or future material effect on our financial condition, revenues or expenses, results of operations, liquidity, capital expenditures or capital resources. We had no other off-balance sheet arrangements or obligations.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7" w:name="page58"/>
    <w:bookmarkEnd w:id="57"/>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our contractual obligations as of June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Payment Due by Period</w:t>
            </w: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Less than</w:t>
            </w:r>
          </w:p>
        </w:tc>
        <w:tc>
          <w:tcPr>
            <w:tcW w:w="640" w:type="dxa"/>
            <w:vAlign w:val="bottom"/>
          </w:tcPr>
          <w:p>
            <w:pPr>
              <w:spacing w:after="0"/>
              <w:rPr>
                <w:sz w:val="14"/>
                <w:szCs w:val="14"/>
                <w:color w:val="auto"/>
              </w:rPr>
            </w:pPr>
          </w:p>
        </w:tc>
        <w:tc>
          <w:tcPr>
            <w:tcW w:w="820" w:type="dxa"/>
            <w:vAlign w:val="bottom"/>
          </w:tcPr>
          <w:p>
            <w:pPr>
              <w:jc w:val="right"/>
              <w:ind w:right="362"/>
              <w:spacing w:after="0"/>
              <w:rPr>
                <w:sz w:val="20"/>
                <w:szCs w:val="20"/>
                <w:color w:val="auto"/>
              </w:rPr>
            </w:pPr>
            <w:r>
              <w:rPr>
                <w:rFonts w:ascii="Arial" w:cs="Arial" w:eastAsia="Arial" w:hAnsi="Arial"/>
                <w:sz w:val="13"/>
                <w:szCs w:val="13"/>
                <w:b w:val="1"/>
                <w:bCs w:val="1"/>
                <w:color w:val="auto"/>
              </w:rPr>
              <w:t>1-3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381"/>
              <w:spacing w:after="0"/>
              <w:rPr>
                <w:sz w:val="20"/>
                <w:szCs w:val="20"/>
                <w:color w:val="auto"/>
              </w:rPr>
            </w:pPr>
            <w:r>
              <w:rPr>
                <w:rFonts w:ascii="Arial" w:cs="Arial" w:eastAsia="Arial" w:hAnsi="Arial"/>
                <w:sz w:val="13"/>
                <w:szCs w:val="13"/>
                <w:b w:val="1"/>
                <w:bCs w:val="1"/>
                <w:color w:val="auto"/>
              </w:rPr>
              <w:t>4-5</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8"/>
              </w:rPr>
              <w:t>After</w:t>
            </w: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5"/>
              </w:rPr>
              <w:t>1 year</w:t>
            </w: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years</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years</w:t>
            </w:r>
          </w:p>
        </w:tc>
        <w:tc>
          <w:tcPr>
            <w:tcW w:w="5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9"/>
              </w:rPr>
              <w:t>5 years</w:t>
            </w: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360"/>
              <w:spacing w:after="0"/>
              <w:rPr>
                <w:sz w:val="20"/>
                <w:szCs w:val="20"/>
                <w:color w:val="auto"/>
              </w:rPr>
            </w:pPr>
            <w:r>
              <w:rPr>
                <w:rFonts w:ascii="Arial" w:cs="Arial" w:eastAsia="Arial" w:hAnsi="Arial"/>
                <w:sz w:val="13"/>
                <w:szCs w:val="13"/>
                <w:b w:val="1"/>
                <w:bCs w:val="1"/>
                <w:color w:val="auto"/>
              </w:rPr>
              <w:t>(dollars in millions)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7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Finance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0.2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2"/>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ind w:left="340"/>
              <w:spacing w:after="0" w:line="212" w:lineRule="exact"/>
              <w:rPr>
                <w:sz w:val="20"/>
                <w:szCs w:val="20"/>
                <w:color w:val="auto"/>
              </w:rPr>
            </w:pPr>
            <w:r>
              <w:rPr>
                <w:rFonts w:ascii="Arial" w:cs="Arial" w:eastAsia="Arial" w:hAnsi="Arial"/>
                <w:sz w:val="17"/>
                <w:szCs w:val="17"/>
                <w:color w:val="auto"/>
              </w:rPr>
              <w:t>Operating leases</w:t>
            </w:r>
            <w:r>
              <w:rPr>
                <w:rFonts w:ascii="Arial" w:cs="Arial" w:eastAsia="Arial" w:hAnsi="Arial"/>
                <w:sz w:val="21"/>
                <w:szCs w:val="21"/>
                <w:color w:val="auto"/>
                <w:vertAlign w:val="superscript"/>
              </w:rPr>
              <w:t>(a)</w:t>
            </w:r>
          </w:p>
        </w:tc>
        <w:tc>
          <w:tcPr>
            <w:tcW w:w="5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24.2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44.5</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Arial" w:cs="Arial" w:eastAsia="Arial" w:hAnsi="Arial"/>
                <w:sz w:val="17"/>
                <w:szCs w:val="17"/>
                <w:color w:val="auto"/>
              </w:rPr>
              <w:t>29.9</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Purchase obligations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ind w:left="340"/>
              <w:spacing w:after="0" w:line="212" w:lineRule="exact"/>
              <w:rPr>
                <w:sz w:val="20"/>
                <w:szCs w:val="20"/>
                <w:color w:val="auto"/>
              </w:rPr>
            </w:pPr>
            <w:r>
              <w:rPr>
                <w:rFonts w:ascii="Arial" w:cs="Arial" w:eastAsia="Arial" w:hAnsi="Arial"/>
                <w:sz w:val="17"/>
                <w:szCs w:val="17"/>
                <w:color w:val="auto"/>
              </w:rPr>
              <w:t>Other obligations</w:t>
            </w:r>
            <w:r>
              <w:rPr>
                <w:rFonts w:ascii="Arial" w:cs="Arial" w:eastAsia="Arial" w:hAnsi="Arial"/>
                <w:sz w:val="21"/>
                <w:szCs w:val="21"/>
                <w:color w:val="auto"/>
                <w:vertAlign w:val="superscript"/>
              </w:rPr>
              <w:t>(b)</w:t>
            </w:r>
          </w:p>
        </w:tc>
        <w:tc>
          <w:tcPr>
            <w:tcW w:w="5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Borrowings:</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ind w:left="640"/>
              <w:spacing w:after="0" w:line="212" w:lineRule="exact"/>
              <w:rPr>
                <w:sz w:val="20"/>
                <w:szCs w:val="20"/>
                <w:color w:val="auto"/>
              </w:rPr>
            </w:pPr>
            <w:r>
              <w:rPr>
                <w:rFonts w:ascii="Arial" w:cs="Arial" w:eastAsia="Arial" w:hAnsi="Arial"/>
                <w:sz w:val="17"/>
                <w:szCs w:val="17"/>
                <w:color w:val="auto"/>
              </w:rPr>
              <w:t>Principal payments</w:t>
            </w:r>
            <w:r>
              <w:rPr>
                <w:rFonts w:ascii="Arial" w:cs="Arial" w:eastAsia="Arial" w:hAnsi="Arial"/>
                <w:sz w:val="21"/>
                <w:szCs w:val="21"/>
                <w:color w:val="auto"/>
                <w:vertAlign w:val="superscript"/>
              </w:rPr>
              <w:t>(c)</w:t>
            </w:r>
          </w:p>
        </w:tc>
        <w:tc>
          <w:tcPr>
            <w:tcW w:w="5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165.0</w:t>
            </w:r>
          </w:p>
        </w:tc>
        <w:tc>
          <w:tcPr>
            <w:tcW w:w="0" w:type="dxa"/>
            <w:vAlign w:val="bottom"/>
          </w:tcPr>
          <w:p>
            <w:pPr>
              <w:spacing w:after="0"/>
              <w:rPr>
                <w:sz w:val="1"/>
                <w:szCs w:val="1"/>
                <w:color w:val="auto"/>
              </w:rPr>
            </w:pPr>
          </w:p>
        </w:tc>
      </w:tr>
      <w:tr>
        <w:trPr>
          <w:trHeight w:val="212"/>
        </w:trPr>
        <w:tc>
          <w:tcPr>
            <w:tcW w:w="700" w:type="dxa"/>
            <w:vAlign w:val="bottom"/>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20" w:type="dxa"/>
            <w:vAlign w:val="bottom"/>
            <w:shd w:val="clear" w:color="auto" w:fill="CCEEFF"/>
          </w:tcPr>
          <w:p>
            <w:pPr>
              <w:ind w:left="640"/>
              <w:spacing w:after="0" w:line="212" w:lineRule="exact"/>
              <w:rPr>
                <w:sz w:val="20"/>
                <w:szCs w:val="20"/>
                <w:color w:val="auto"/>
              </w:rPr>
            </w:pPr>
            <w:r>
              <w:rPr>
                <w:rFonts w:ascii="Arial" w:cs="Arial" w:eastAsia="Arial" w:hAnsi="Arial"/>
                <w:sz w:val="17"/>
                <w:szCs w:val="17"/>
                <w:color w:val="auto"/>
              </w:rPr>
              <w:t>Interest payments</w:t>
            </w:r>
            <w:r>
              <w:rPr>
                <w:rFonts w:ascii="Arial" w:cs="Arial" w:eastAsia="Arial" w:hAnsi="Arial"/>
                <w:sz w:val="21"/>
                <w:szCs w:val="21"/>
                <w:color w:val="auto"/>
                <w:vertAlign w:val="superscript"/>
              </w:rPr>
              <w:t>(d)</w:t>
            </w: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20" w:type="dxa"/>
            <w:vAlign w:val="bottom"/>
          </w:tcPr>
          <w:p>
            <w:pPr>
              <w:ind w:left="340"/>
              <w:spacing w:after="0" w:line="142" w:lineRule="exact"/>
              <w:rPr>
                <w:sz w:val="20"/>
                <w:szCs w:val="20"/>
                <w:color w:val="auto"/>
              </w:rPr>
            </w:pPr>
            <w:r>
              <w:rPr>
                <w:rFonts w:ascii="Arial" w:cs="Arial" w:eastAsia="Arial" w:hAnsi="Arial"/>
                <w:sz w:val="16"/>
                <w:szCs w:val="16"/>
                <w:color w:val="auto"/>
              </w:rPr>
              <w:t>Total contractual cash</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7"/>
                <w:szCs w:val="17"/>
                <w:color w:val="auto"/>
              </w:rPr>
              <w:t>54.6</w:t>
            </w:r>
          </w:p>
        </w:tc>
        <w:tc>
          <w:tcPr>
            <w:tcW w:w="80" w:type="dxa"/>
            <w:vAlign w:val="bottom"/>
          </w:tcPr>
          <w:p>
            <w:pPr>
              <w:spacing w:after="0"/>
              <w:rPr>
                <w:sz w:val="12"/>
                <w:szCs w:val="12"/>
                <w:color w:val="auto"/>
              </w:rPr>
            </w:pPr>
          </w:p>
        </w:tc>
        <w:tc>
          <w:tcPr>
            <w:tcW w:w="6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60.3</w:t>
            </w:r>
          </w:p>
        </w:tc>
        <w:tc>
          <w:tcPr>
            <w:tcW w:w="100" w:type="dxa"/>
            <w:vAlign w:val="bottom"/>
          </w:tcPr>
          <w:p>
            <w:pPr>
              <w:spacing w:after="0"/>
              <w:rPr>
                <w:sz w:val="12"/>
                <w:szCs w:val="12"/>
                <w:color w:val="auto"/>
              </w:rPr>
            </w:pPr>
          </w:p>
        </w:tc>
        <w:tc>
          <w:tcPr>
            <w:tcW w:w="64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178.0</w:t>
            </w:r>
          </w:p>
        </w:tc>
        <w:tc>
          <w:tcPr>
            <w:tcW w:w="100" w:type="dxa"/>
            <w:vAlign w:val="bottom"/>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7"/>
                <w:szCs w:val="17"/>
                <w:color w:val="auto"/>
              </w:rPr>
              <w:t>36.9</w:t>
            </w:r>
          </w:p>
        </w:tc>
        <w:tc>
          <w:tcPr>
            <w:tcW w:w="80" w:type="dxa"/>
            <w:vAlign w:val="bottom"/>
          </w:tcPr>
          <w:p>
            <w:pPr>
              <w:spacing w:after="0"/>
              <w:rPr>
                <w:sz w:val="12"/>
                <w:szCs w:val="12"/>
                <w:color w:val="auto"/>
              </w:rPr>
            </w:pPr>
          </w:p>
        </w:tc>
        <w:tc>
          <w:tcPr>
            <w:tcW w:w="66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329.8</w:t>
            </w: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2700" w:type="dxa"/>
            <w:vAlign w:val="bottom"/>
            <w:gridSpan w:val="2"/>
          </w:tcPr>
          <w:p>
            <w:pPr>
              <w:spacing w:after="0" w:line="187" w:lineRule="exact"/>
              <w:rPr>
                <w:sz w:val="20"/>
                <w:szCs w:val="20"/>
                <w:color w:val="auto"/>
              </w:rPr>
            </w:pPr>
            <w:r>
              <w:rPr>
                <w:rFonts w:ascii="Arial" w:cs="Arial" w:eastAsia="Arial" w:hAnsi="Arial"/>
                <w:sz w:val="17"/>
                <w:szCs w:val="17"/>
                <w:color w:val="auto"/>
              </w:rPr>
              <w:t>obligations</w:t>
            </w:r>
            <w:r>
              <w:rPr>
                <w:rFonts w:ascii="Arial" w:cs="Arial" w:eastAsia="Arial" w:hAnsi="Arial"/>
                <w:sz w:val="21"/>
                <w:szCs w:val="21"/>
                <w:color w:val="auto"/>
                <w:vertAlign w:val="superscript"/>
              </w:rPr>
              <w:t>(e)</w:t>
            </w:r>
          </w:p>
        </w:tc>
        <w:tc>
          <w:tcPr>
            <w:tcW w:w="5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80" w:hanging="480"/>
        <w:spacing w:after="0"/>
        <w:tabs>
          <w:tab w:leader="none" w:pos="480" w:val="left"/>
        </w:tabs>
        <w:numPr>
          <w:ilvl w:val="0"/>
          <w:numId w:val="15"/>
        </w:numPr>
        <w:rPr>
          <w:rFonts w:ascii="Arial" w:cs="Arial" w:eastAsia="Arial" w:hAnsi="Arial"/>
          <w:sz w:val="15"/>
          <w:szCs w:val="15"/>
          <w:i w:val="1"/>
          <w:iCs w:val="1"/>
          <w:color w:val="auto"/>
        </w:rPr>
      </w:pPr>
      <w:r>
        <w:rPr>
          <w:rFonts w:ascii="Arial" w:cs="Arial" w:eastAsia="Arial" w:hAnsi="Arial"/>
          <w:sz w:val="15"/>
          <w:szCs w:val="15"/>
          <w:color w:val="auto"/>
        </w:rPr>
        <w:t>Represents undiscounted operating lease liabilities payable over the lease term.</w:t>
      </w:r>
    </w:p>
    <w:p>
      <w:pPr>
        <w:spacing w:after="0" w:line="51" w:lineRule="exact"/>
        <w:rPr>
          <w:rFonts w:ascii="Arial" w:cs="Arial" w:eastAsia="Arial" w:hAnsi="Arial"/>
          <w:sz w:val="15"/>
          <w:szCs w:val="15"/>
          <w:i w:val="1"/>
          <w:iCs w:val="1"/>
          <w:color w:val="auto"/>
        </w:rPr>
      </w:pPr>
    </w:p>
    <w:p>
      <w:pPr>
        <w:ind w:left="480" w:hanging="480"/>
        <w:spacing w:after="0"/>
        <w:tabs>
          <w:tab w:leader="none" w:pos="480" w:val="left"/>
        </w:tabs>
        <w:numPr>
          <w:ilvl w:val="0"/>
          <w:numId w:val="15"/>
        </w:numPr>
        <w:rPr>
          <w:rFonts w:ascii="Arial" w:cs="Arial" w:eastAsia="Arial" w:hAnsi="Arial"/>
          <w:sz w:val="15"/>
          <w:szCs w:val="15"/>
          <w:i w:val="1"/>
          <w:iCs w:val="1"/>
          <w:color w:val="auto"/>
        </w:rPr>
      </w:pPr>
      <w:r>
        <w:rPr>
          <w:rFonts w:ascii="Arial" w:cs="Arial" w:eastAsia="Arial" w:hAnsi="Arial"/>
          <w:sz w:val="15"/>
          <w:szCs w:val="15"/>
          <w:color w:val="auto"/>
        </w:rPr>
        <w:t>Represents estimated employee benefit payments under the Gratuity Plan.</w:t>
      </w:r>
    </w:p>
    <w:p>
      <w:pPr>
        <w:spacing w:after="0" w:line="51" w:lineRule="exact"/>
        <w:rPr>
          <w:rFonts w:ascii="Arial" w:cs="Arial" w:eastAsia="Arial" w:hAnsi="Arial"/>
          <w:sz w:val="15"/>
          <w:szCs w:val="15"/>
          <w:i w:val="1"/>
          <w:iCs w:val="1"/>
          <w:color w:val="auto"/>
        </w:rPr>
      </w:pPr>
    </w:p>
    <w:p>
      <w:pPr>
        <w:ind w:left="480" w:hanging="480"/>
        <w:spacing w:after="0" w:line="266" w:lineRule="auto"/>
        <w:tabs>
          <w:tab w:leader="none" w:pos="472" w:val="left"/>
        </w:tabs>
        <w:numPr>
          <w:ilvl w:val="0"/>
          <w:numId w:val="15"/>
        </w:numPr>
        <w:rPr>
          <w:rFonts w:ascii="Arial" w:cs="Arial" w:eastAsia="Arial" w:hAnsi="Arial"/>
          <w:sz w:val="15"/>
          <w:szCs w:val="15"/>
          <w:i w:val="1"/>
          <w:iCs w:val="1"/>
          <w:color w:val="auto"/>
        </w:rPr>
      </w:pPr>
      <w:r>
        <w:rPr>
          <w:rFonts w:ascii="Arial" w:cs="Arial" w:eastAsia="Arial" w:hAnsi="Arial"/>
          <w:sz w:val="15"/>
          <w:szCs w:val="15"/>
          <w:color w:val="auto"/>
        </w:rPr>
        <w:t>Represents our intent and ability to settle the principal amount of our Notes of $150 million in cash and does not reflect any assumptions about our ability or intent to settle the Notes before their maturity.</w:t>
      </w:r>
    </w:p>
    <w:p>
      <w:pPr>
        <w:spacing w:after="0" w:line="16" w:lineRule="exact"/>
        <w:rPr>
          <w:rFonts w:ascii="Arial" w:cs="Arial" w:eastAsia="Arial" w:hAnsi="Arial"/>
          <w:sz w:val="15"/>
          <w:szCs w:val="15"/>
          <w:i w:val="1"/>
          <w:iCs w:val="1"/>
          <w:color w:val="auto"/>
        </w:rPr>
      </w:pPr>
    </w:p>
    <w:p>
      <w:pPr>
        <w:ind w:left="480" w:hanging="480"/>
        <w:spacing w:after="0"/>
        <w:tabs>
          <w:tab w:leader="none" w:pos="480" w:val="left"/>
        </w:tabs>
        <w:numPr>
          <w:ilvl w:val="0"/>
          <w:numId w:val="15"/>
        </w:numPr>
        <w:rPr>
          <w:rFonts w:ascii="Arial" w:cs="Arial" w:eastAsia="Arial" w:hAnsi="Arial"/>
          <w:sz w:val="15"/>
          <w:szCs w:val="15"/>
          <w:i w:val="1"/>
          <w:iCs w:val="1"/>
          <w:color w:val="auto"/>
        </w:rPr>
      </w:pPr>
      <w:r>
        <w:rPr>
          <w:rFonts w:ascii="Arial" w:cs="Arial" w:eastAsia="Arial" w:hAnsi="Arial"/>
          <w:sz w:val="15"/>
          <w:szCs w:val="15"/>
          <w:color w:val="auto"/>
        </w:rPr>
        <w:t>Interest on borrowings is calculated based on the interest rate on the outstanding borrowings as of June 30, 2021.</w:t>
      </w:r>
    </w:p>
    <w:p>
      <w:pPr>
        <w:spacing w:after="0" w:line="51" w:lineRule="exact"/>
        <w:rPr>
          <w:rFonts w:ascii="Arial" w:cs="Arial" w:eastAsia="Arial" w:hAnsi="Arial"/>
          <w:sz w:val="15"/>
          <w:szCs w:val="15"/>
          <w:i w:val="1"/>
          <w:iCs w:val="1"/>
          <w:color w:val="auto"/>
        </w:rPr>
      </w:pPr>
    </w:p>
    <w:p>
      <w:pPr>
        <w:ind w:left="480" w:hanging="480"/>
        <w:spacing w:after="0"/>
        <w:tabs>
          <w:tab w:leader="none" w:pos="480" w:val="left"/>
        </w:tabs>
        <w:numPr>
          <w:ilvl w:val="0"/>
          <w:numId w:val="15"/>
        </w:numPr>
        <w:rPr>
          <w:rFonts w:ascii="Arial" w:cs="Arial" w:eastAsia="Arial" w:hAnsi="Arial"/>
          <w:sz w:val="15"/>
          <w:szCs w:val="15"/>
          <w:i w:val="1"/>
          <w:iCs w:val="1"/>
          <w:color w:val="auto"/>
        </w:rPr>
      </w:pPr>
      <w:r>
        <w:rPr>
          <w:rFonts w:ascii="Arial" w:cs="Arial" w:eastAsia="Arial" w:hAnsi="Arial"/>
          <w:sz w:val="15"/>
          <w:szCs w:val="15"/>
          <w:color w:val="auto"/>
        </w:rPr>
        <w:t>Excludes $0.9 million related to uncertain tax positions, since the extent of the amount and timing of payment is currently not reliably estimable or determinable.</w:t>
      </w:r>
    </w:p>
    <w:p>
      <w:pPr>
        <w:spacing w:after="0" w:line="222" w:lineRule="exact"/>
        <w:rPr>
          <w:sz w:val="20"/>
          <w:szCs w:val="20"/>
          <w:color w:val="auto"/>
        </w:rPr>
      </w:pPr>
    </w:p>
    <w:p>
      <w:pPr>
        <w:jc w:val="both"/>
        <w:ind w:firstLine="374"/>
        <w:spacing w:after="0" w:line="250" w:lineRule="auto"/>
        <w:rPr>
          <w:sz w:val="20"/>
          <w:szCs w:val="20"/>
          <w:color w:val="auto"/>
        </w:rPr>
      </w:pPr>
      <w:r>
        <w:rPr>
          <w:rFonts w:ascii="Arial" w:cs="Arial" w:eastAsia="Arial" w:hAnsi="Arial"/>
          <w:sz w:val="17"/>
          <w:szCs w:val="17"/>
          <w:color w:val="auto"/>
        </w:rPr>
        <w:t>Certain units of our Indian subsidiaries were established as 100% Export-Oriented units under the Software Technology Parks of India or Special Economic Zone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204" w:lineRule="exact"/>
        <w:rPr>
          <w:sz w:val="20"/>
          <w:szCs w:val="20"/>
          <w:color w:val="auto"/>
        </w:rPr>
      </w:pPr>
    </w:p>
    <w:p>
      <w:pPr>
        <w:jc w:val="both"/>
        <w:ind w:firstLine="374"/>
        <w:spacing w:after="0" w:line="255" w:lineRule="auto"/>
        <w:rPr>
          <w:sz w:val="20"/>
          <w:szCs w:val="20"/>
          <w:color w:val="auto"/>
        </w:rPr>
      </w:pPr>
      <w:r>
        <w:rPr>
          <w:rFonts w:ascii="Arial" w:cs="Arial" w:eastAsia="Arial" w:hAnsi="Arial"/>
          <w:sz w:val="17"/>
          <w:szCs w:val="17"/>
          <w:color w:val="auto"/>
        </w:rPr>
        <w:t>Our operations centers in the Philippines are registered with the Philippine Economic Zone Authority. The registration provides us with certain fiscal incentives on the import of capital goods and local purchase of services and materials and requires that ExlService Philippines, Inc. to meet certain performance and investment criteria. We believe that these centers have in the past satisfied and will continue to satisfy the required criteria.</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08" w:lineRule="exact"/>
        <w:rPr>
          <w:sz w:val="20"/>
          <w:szCs w:val="20"/>
          <w:color w:val="auto"/>
        </w:rPr>
      </w:pPr>
    </w:p>
    <w:p>
      <w:pPr>
        <w:jc w:val="both"/>
        <w:ind w:firstLine="411"/>
        <w:spacing w:after="0" w:line="265" w:lineRule="auto"/>
        <w:rPr>
          <w:sz w:val="20"/>
          <w:szCs w:val="20"/>
          <w:color w:val="auto"/>
        </w:rPr>
      </w:pPr>
      <w:r>
        <w:rPr>
          <w:rFonts w:ascii="Arial" w:cs="Arial" w:eastAsia="Arial" w:hAnsi="Arial"/>
          <w:sz w:val="17"/>
          <w:szCs w:val="17"/>
          <w:color w:val="auto"/>
        </w:rPr>
        <w:t>For a description of recent accounting pronouncements, see Note 2—“Recent Accounting Pronouncements” to the unaudited consolidated financial statements contained herein.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20" w:lineRule="exact"/>
        <w:rPr>
          <w:sz w:val="20"/>
          <w:szCs w:val="20"/>
          <w:color w:val="auto"/>
        </w:rPr>
      </w:pPr>
    </w:p>
    <w:p>
      <w:pPr>
        <w:jc w:val="both"/>
        <w:ind w:firstLine="411"/>
        <w:spacing w:after="0" w:line="229" w:lineRule="auto"/>
        <w:rPr>
          <w:sz w:val="20"/>
          <w:szCs w:val="20"/>
          <w:color w:val="auto"/>
        </w:rPr>
      </w:pPr>
      <w:r>
        <w:rPr>
          <w:rFonts w:ascii="Arial" w:cs="Arial" w:eastAsia="Arial" w:hAnsi="Arial"/>
          <w:sz w:val="17"/>
          <w:szCs w:val="17"/>
          <w:color w:val="auto"/>
        </w:rPr>
        <w:t>During the three months ended June 30, 2021,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2020.</w:t>
      </w:r>
    </w:p>
    <w:p>
      <w:pPr>
        <w:spacing w:after="0" w:line="200" w:lineRule="exact"/>
        <w:rPr>
          <w:sz w:val="20"/>
          <w:szCs w:val="20"/>
          <w:color w:val="auto"/>
        </w:rPr>
      </w:pPr>
    </w:p>
    <w:p>
      <w:pPr>
        <w:spacing w:after="0" w:line="32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328"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its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June 30, 2021. Based upon that evaluation, the CEO and CFO have concluded that our disclosure controls and procedures, as of June 30, 2021, were effective.</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29" w:lineRule="exact"/>
        <w:rPr>
          <w:sz w:val="20"/>
          <w:szCs w:val="20"/>
          <w:color w:val="auto"/>
        </w:rPr>
      </w:pPr>
    </w:p>
    <w:p>
      <w:pPr>
        <w:jc w:val="both"/>
        <w:ind w:firstLine="374"/>
        <w:spacing w:after="0" w:line="280" w:lineRule="auto"/>
        <w:rPr>
          <w:sz w:val="20"/>
          <w:szCs w:val="20"/>
          <w:color w:val="auto"/>
        </w:rPr>
      </w:pPr>
      <w:r>
        <w:rPr>
          <w:rFonts w:ascii="Arial" w:cs="Arial" w:eastAsia="Arial" w:hAnsi="Arial"/>
          <w:sz w:val="16"/>
          <w:szCs w:val="16"/>
          <w:color w:val="auto"/>
        </w:rPr>
        <w:t>During the three months ended June 30, 2021,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90"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341"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33" w:lineRule="exact"/>
        <w:rPr>
          <w:sz w:val="20"/>
          <w:szCs w:val="20"/>
          <w:color w:val="auto"/>
        </w:rPr>
      </w:pPr>
    </w:p>
    <w:p>
      <w:pPr>
        <w:jc w:val="both"/>
        <w:spacing w:after="0" w:line="325" w:lineRule="auto"/>
        <w:rPr>
          <w:sz w:val="20"/>
          <w:szCs w:val="20"/>
          <w:color w:val="auto"/>
        </w:rPr>
      </w:pPr>
      <w:r>
        <w:rPr>
          <w:rFonts w:ascii="Arial" w:cs="Arial" w:eastAsia="Arial" w:hAnsi="Arial"/>
          <w:sz w:val="14"/>
          <w:szCs w:val="14"/>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w:t>
      </w:r>
    </w:p>
    <w:p>
      <w:pPr>
        <w:spacing w:after="0"/>
        <w:rPr>
          <w:sz w:val="20"/>
          <w:szCs w:val="20"/>
          <w:color w:val="auto"/>
        </w:rPr>
      </w:pPr>
      <w:r>
        <w:rPr>
          <w:rFonts w:ascii="Arial" w:cs="Arial" w:eastAsia="Arial" w:hAnsi="Arial"/>
          <w:sz w:val="17"/>
          <w:szCs w:val="17"/>
          <w:color w:val="auto"/>
        </w:rPr>
        <w:t>or cash flows. See Note 24 - Commitments and Contingencies to our unaudited consolidated financial statements contained herein for details.</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33" w:lineRule="exact"/>
        <w:rPr>
          <w:sz w:val="20"/>
          <w:szCs w:val="20"/>
          <w:color w:val="auto"/>
        </w:rPr>
      </w:pPr>
    </w:p>
    <w:p>
      <w:pPr>
        <w:jc w:val="both"/>
        <w:ind w:firstLine="411"/>
        <w:spacing w:after="0" w:line="250" w:lineRule="auto"/>
        <w:rPr>
          <w:sz w:val="20"/>
          <w:szCs w:val="20"/>
          <w:color w:val="auto"/>
        </w:rPr>
      </w:pPr>
      <w:r>
        <w:rPr>
          <w:rFonts w:ascii="Arial" w:cs="Arial" w:eastAsia="Arial" w:hAnsi="Arial"/>
          <w:sz w:val="17"/>
          <w:szCs w:val="17"/>
          <w:color w:val="auto"/>
        </w:rPr>
        <w:t>We have discussed under the heading “Risk Factors” in our Annual Report on Form 10-K for the fiscal year ended December 31, 2020 (the “2020 Form 10-K”), supplemented by the disclosure below, a number of risks which may materially affect our business, financial condition or results of operations. You should carefully consider these Risk Factors and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204" w:lineRule="exact"/>
        <w:rPr>
          <w:sz w:val="20"/>
          <w:szCs w:val="20"/>
          <w:color w:val="auto"/>
        </w:rPr>
      </w:pPr>
    </w:p>
    <w:p>
      <w:pPr>
        <w:jc w:val="both"/>
        <w:ind w:firstLine="411"/>
        <w:spacing w:after="0" w:line="265" w:lineRule="auto"/>
        <w:rPr>
          <w:sz w:val="20"/>
          <w:szCs w:val="20"/>
          <w:color w:val="auto"/>
        </w:rPr>
      </w:pPr>
      <w:r>
        <w:rPr>
          <w:rFonts w:ascii="Arial" w:cs="Arial" w:eastAsia="Arial" w:hAnsi="Arial"/>
          <w:sz w:val="17"/>
          <w:szCs w:val="17"/>
          <w:color w:val="auto"/>
        </w:rPr>
        <w:t>The following constitutes a supplement to the 2020 Form 10-K, Part I, Item 1A “Risk Factors” under “Our business, results of operations and financial condition have been adversely affected, and could in the future be materially adversely affected, by the coronavirus pandemic.”</w:t>
      </w:r>
    </w:p>
    <w:p>
      <w:pPr>
        <w:spacing w:after="0" w:line="179"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5"/>
          <w:szCs w:val="15"/>
          <w:color w:val="auto"/>
        </w:rPr>
        <w:t>In late March 2021, a new serious outbreak of COVID-19 virus began affecting India. The outbreak resulted in an exorbitant spike in the number of COVID patients, which overwhelmed the healthcare infrastructure in India. The Indian government reinstated lockdowns limiting in certain cases the movement of our employees to offices. During the same period, the Philippines also began experiencing a spike in the number of COVID patients. Although the situation has improved and our Indian and Philippines operations were not materially affected as a result of our appropriate business continuity procedures, it is possible that any further developments, including the emergence of new variants of the COVID-19 virus, could adversely affect our business and results of operations.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Unregistered Sales of Equity Securities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June 30, 2021, purchases of common stock were as follows:</w:t>
      </w:r>
    </w:p>
    <w:p>
      <w:pPr>
        <w:spacing w:after="0" w:line="108"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7"/>
                <w:szCs w:val="17"/>
                <w:b w:val="1"/>
                <w:bCs w:val="1"/>
                <w:color w:val="auto"/>
              </w:rPr>
              <w:t>Total 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460" w:type="dxa"/>
            <w:vAlign w:val="bottom"/>
            <w:vMerge w:val="restart"/>
          </w:tcPr>
          <w:p>
            <w:pPr>
              <w:ind w:left="420"/>
              <w:spacing w:after="0"/>
              <w:rPr>
                <w:sz w:val="20"/>
                <w:szCs w:val="20"/>
                <w:color w:val="auto"/>
              </w:rPr>
            </w:pPr>
            <w:r>
              <w:rPr>
                <w:rFonts w:ascii="Arial" w:cs="Arial" w:eastAsia="Arial" w:hAnsi="Arial"/>
                <w:sz w:val="17"/>
                <w:szCs w:val="17"/>
                <w:b w:val="1"/>
                <w:bCs w:val="1"/>
                <w:color w:val="auto"/>
              </w:rPr>
              <w:t>Period</w:t>
            </w:r>
          </w:p>
        </w:tc>
        <w:tc>
          <w:tcPr>
            <w:tcW w:w="100" w:type="dxa"/>
            <w:vAlign w:val="bottom"/>
          </w:tcPr>
          <w:p>
            <w:pPr>
              <w:spacing w:after="0"/>
              <w:rPr>
                <w:sz w:val="20"/>
                <w:szCs w:val="20"/>
                <w:color w:val="auto"/>
              </w:rPr>
            </w:pPr>
          </w:p>
        </w:tc>
        <w:tc>
          <w:tcPr>
            <w:tcW w:w="1440" w:type="dxa"/>
            <w:vAlign w:val="bottom"/>
          </w:tcPr>
          <w:p>
            <w:pPr>
              <w:jc w:val="right"/>
              <w:ind w:right="263"/>
              <w:spacing w:after="0"/>
              <w:rPr>
                <w:sz w:val="20"/>
                <w:szCs w:val="20"/>
                <w:color w:val="auto"/>
              </w:rPr>
            </w:pPr>
            <w:r>
              <w:rPr>
                <w:rFonts w:ascii="Arial" w:cs="Arial" w:eastAsia="Arial" w:hAnsi="Arial"/>
                <w:sz w:val="17"/>
                <w:szCs w:val="17"/>
                <w:b w:val="1"/>
                <w:bCs w:val="1"/>
                <w:color w:val="auto"/>
              </w:rPr>
              <w:t>Total</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b w:val="1"/>
                <w:bCs w:val="1"/>
                <w:color w:val="auto"/>
                <w:w w:val="84"/>
              </w:rPr>
              <w:t>Average Price</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7"/>
                <w:szCs w:val="17"/>
                <w:b w:val="1"/>
                <w:bCs w:val="1"/>
                <w:color w:val="auto"/>
                <w:w w:val="84"/>
              </w:rPr>
              <w:t>Shares Purchased as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right"/>
              <w:ind w:right="263"/>
              <w:spacing w:after="0" w:line="163" w:lineRule="exact"/>
              <w:rPr>
                <w:sz w:val="20"/>
                <w:szCs w:val="20"/>
                <w:color w:val="auto"/>
              </w:rPr>
            </w:pPr>
            <w:r>
              <w:rPr>
                <w:rFonts w:ascii="Arial" w:cs="Arial" w:eastAsia="Arial" w:hAnsi="Arial"/>
                <w:sz w:val="17"/>
                <w:szCs w:val="17"/>
                <w:b w:val="1"/>
                <w:bCs w:val="1"/>
                <w:color w:val="auto"/>
              </w:rPr>
              <w:t>Number of</w:t>
            </w:r>
          </w:p>
        </w:tc>
        <w:tc>
          <w:tcPr>
            <w:tcW w:w="100" w:type="dxa"/>
            <w:vAlign w:val="bottom"/>
          </w:tcPr>
          <w:p>
            <w:pPr>
              <w:spacing w:after="0"/>
              <w:rPr>
                <w:sz w:val="14"/>
                <w:szCs w:val="14"/>
                <w:color w:val="auto"/>
              </w:rPr>
            </w:pPr>
          </w:p>
        </w:tc>
        <w:tc>
          <w:tcPr>
            <w:tcW w:w="1620" w:type="dxa"/>
            <w:vAlign w:val="bottom"/>
            <w:gridSpan w:val="2"/>
          </w:tcPr>
          <w:p>
            <w:pPr>
              <w:jc w:val="right"/>
              <w:ind w:right="157"/>
              <w:spacing w:after="0" w:line="162" w:lineRule="exact"/>
              <w:rPr>
                <w:sz w:val="20"/>
                <w:szCs w:val="20"/>
                <w:color w:val="auto"/>
              </w:rPr>
            </w:pPr>
            <w:r>
              <w:rPr>
                <w:rFonts w:ascii="Arial" w:cs="Arial" w:eastAsia="Arial" w:hAnsi="Arial"/>
                <w:sz w:val="14"/>
                <w:szCs w:val="14"/>
                <w:b w:val="1"/>
                <w:bCs w:val="1"/>
                <w:color w:val="auto"/>
              </w:rPr>
              <w:t>Paid per share</w:t>
            </w:r>
            <w:r>
              <w:rPr>
                <w:rFonts w:ascii="Arial" w:cs="Arial" w:eastAsia="Arial" w:hAnsi="Arial"/>
                <w:sz w:val="18"/>
                <w:szCs w:val="18"/>
                <w:b w:val="1"/>
                <w:bCs w:val="1"/>
                <w:color w:val="auto"/>
                <w:vertAlign w:val="superscript"/>
              </w:rPr>
              <w:t>(1)</w:t>
            </w:r>
          </w:p>
        </w:tc>
        <w:tc>
          <w:tcPr>
            <w:tcW w:w="100" w:type="dxa"/>
            <w:vAlign w:val="bottom"/>
          </w:tcPr>
          <w:p>
            <w:pPr>
              <w:spacing w:after="0"/>
              <w:rPr>
                <w:sz w:val="14"/>
                <w:szCs w:val="14"/>
                <w:color w:val="auto"/>
              </w:rPr>
            </w:pPr>
          </w:p>
        </w:tc>
        <w:tc>
          <w:tcPr>
            <w:tcW w:w="1680" w:type="dxa"/>
            <w:vAlign w:val="bottom"/>
          </w:tcPr>
          <w:p>
            <w:pPr>
              <w:jc w:val="center"/>
              <w:spacing w:after="0" w:line="163" w:lineRule="exact"/>
              <w:rPr>
                <w:sz w:val="20"/>
                <w:szCs w:val="20"/>
                <w:color w:val="auto"/>
              </w:rPr>
            </w:pPr>
            <w:r>
              <w:rPr>
                <w:rFonts w:ascii="Arial" w:cs="Arial" w:eastAsia="Arial" w:hAnsi="Arial"/>
                <w:sz w:val="17"/>
                <w:szCs w:val="17"/>
                <w:b w:val="1"/>
                <w:bCs w:val="1"/>
                <w:color w:val="auto"/>
                <w:w w:val="90"/>
              </w:rPr>
              <w:t>Part of Publicly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3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tcPr>
          <w:p>
            <w:pPr>
              <w:jc w:val="right"/>
              <w:ind w:right="23"/>
              <w:spacing w:after="0" w:line="88" w:lineRule="exact"/>
              <w:rPr>
                <w:sz w:val="20"/>
                <w:szCs w:val="20"/>
                <w:color w:val="auto"/>
              </w:rPr>
            </w:pPr>
            <w:r>
              <w:rPr>
                <w:rFonts w:ascii="Arial" w:cs="Arial" w:eastAsia="Arial" w:hAnsi="Arial"/>
                <w:sz w:val="10"/>
                <w:szCs w:val="10"/>
                <w:b w:val="1"/>
                <w:bCs w:val="1"/>
                <w:color w:val="auto"/>
              </w:rPr>
              <w:t>Shares Purchased</w:t>
            </w: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Announced Plans or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Programs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420"/>
              <w:spacing w:after="0"/>
              <w:rPr>
                <w:sz w:val="20"/>
                <w:szCs w:val="20"/>
                <w:color w:val="auto"/>
              </w:rPr>
            </w:pPr>
            <w:r>
              <w:rPr>
                <w:rFonts w:ascii="Arial" w:cs="Arial" w:eastAsia="Arial" w:hAnsi="Arial"/>
                <w:sz w:val="17"/>
                <w:szCs w:val="17"/>
                <w:color w:val="auto"/>
              </w:rPr>
              <w:t>April 1, 2021 through April 30, 2021</w:t>
            </w:r>
          </w:p>
        </w:tc>
        <w:tc>
          <w:tcPr>
            <w:tcW w:w="1540" w:type="dxa"/>
            <w:vAlign w:val="bottom"/>
            <w:gridSpan w:val="2"/>
          </w:tcPr>
          <w:p>
            <w:pPr>
              <w:jc w:val="right"/>
              <w:ind w:right="3"/>
              <w:spacing w:after="0"/>
              <w:rPr>
                <w:sz w:val="20"/>
                <w:szCs w:val="20"/>
                <w:color w:val="auto"/>
              </w:rPr>
            </w:pPr>
            <w:r>
              <w:rPr>
                <w:rFonts w:ascii="Arial" w:cs="Arial" w:eastAsia="Arial" w:hAnsi="Arial"/>
                <w:sz w:val="17"/>
                <w:szCs w:val="17"/>
                <w:color w:val="auto"/>
              </w:rPr>
              <w:t>85,358</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93.72</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85,358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tcPr>
          <w:p>
            <w:pPr>
              <w:ind w:left="420"/>
              <w:spacing w:after="0"/>
              <w:rPr>
                <w:sz w:val="20"/>
                <w:szCs w:val="20"/>
                <w:color w:val="auto"/>
              </w:rPr>
            </w:pPr>
            <w:r>
              <w:rPr>
                <w:rFonts w:ascii="Arial" w:cs="Arial" w:eastAsia="Arial" w:hAnsi="Arial"/>
                <w:sz w:val="17"/>
                <w:szCs w:val="17"/>
                <w:color w:val="auto"/>
              </w:rPr>
              <w:t>May 1, 2021 through May 31, 2021</w:t>
            </w:r>
          </w:p>
        </w:tc>
        <w:tc>
          <w:tcPr>
            <w:tcW w:w="100" w:type="dxa"/>
            <w:vAlign w:val="bottom"/>
            <w:shd w:val="clear" w:color="auto" w:fill="CCEEFF"/>
          </w:tcPr>
          <w:p>
            <w:pPr>
              <w:spacing w:after="0"/>
              <w:rPr>
                <w:sz w:val="18"/>
                <w:szCs w:val="18"/>
                <w:color w:val="auto"/>
              </w:rPr>
            </w:pPr>
          </w:p>
        </w:tc>
        <w:tc>
          <w:tcPr>
            <w:tcW w:w="1440" w:type="dxa"/>
            <w:vAlign w:val="bottom"/>
          </w:tcPr>
          <w:p>
            <w:pPr>
              <w:jc w:val="right"/>
              <w:ind w:right="3"/>
              <w:spacing w:after="0"/>
              <w:rPr>
                <w:sz w:val="20"/>
                <w:szCs w:val="20"/>
                <w:color w:val="auto"/>
              </w:rPr>
            </w:pPr>
            <w:r>
              <w:rPr>
                <w:rFonts w:ascii="Arial" w:cs="Arial" w:eastAsia="Arial" w:hAnsi="Arial"/>
                <w:sz w:val="17"/>
                <w:szCs w:val="17"/>
                <w:color w:val="auto"/>
              </w:rPr>
              <w:t>126,848</w:t>
            </w:r>
          </w:p>
        </w:tc>
        <w:tc>
          <w:tcPr>
            <w:tcW w:w="100" w:type="dxa"/>
            <w:vAlign w:val="bottom"/>
            <w:shd w:val="clear" w:color="auto" w:fill="CCEEFF"/>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98.49</w:t>
            </w:r>
          </w:p>
        </w:tc>
        <w:tc>
          <w:tcPr>
            <w:tcW w:w="100" w:type="dxa"/>
            <w:vAlign w:val="bottom"/>
            <w:shd w:val="clear" w:color="auto" w:fill="CCEEFF"/>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126,848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June 1, 2021 through June 30, 2021</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7"/>
                <w:szCs w:val="17"/>
                <w:color w:val="auto"/>
              </w:rPr>
              <w:t>74,838</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105.77</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460" w:type="dxa"/>
            <w:vAlign w:val="bottom"/>
          </w:tcPr>
          <w:p>
            <w:pPr>
              <w:ind w:left="420"/>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jc w:val="right"/>
              <w:ind w:right="3"/>
              <w:spacing w:after="0"/>
              <w:rPr>
                <w:sz w:val="20"/>
                <w:szCs w:val="20"/>
                <w:color w:val="auto"/>
              </w:rPr>
            </w:pPr>
            <w:r>
              <w:rPr>
                <w:rFonts w:ascii="Arial" w:cs="Arial" w:eastAsia="Arial" w:hAnsi="Arial"/>
                <w:sz w:val="17"/>
                <w:szCs w:val="17"/>
                <w:color w:val="auto"/>
              </w:rPr>
              <w:t>287,044</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98.97</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287,044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-585470</wp:posOffset>
            </wp:positionV>
            <wp:extent cx="6939915" cy="14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9915" cy="142240"/>
                    </a:xfrm>
                    <a:prstGeom prst="rect">
                      <a:avLst/>
                    </a:prstGeom>
                    <a:noFill/>
                  </pic:spPr>
                </pic:pic>
              </a:graphicData>
            </a:graphic>
          </wp:anchor>
        </w:drawing>
      </w:r>
    </w:p>
    <w:p>
      <w:pPr>
        <w:spacing w:after="0" w:line="61" w:lineRule="exact"/>
        <w:rPr>
          <w:sz w:val="20"/>
          <w:szCs w:val="20"/>
          <w:color w:val="auto"/>
        </w:rPr>
      </w:pPr>
    </w:p>
    <w:p>
      <w:pPr>
        <w:ind w:left="540" w:hanging="166"/>
        <w:spacing w:after="0"/>
        <w:tabs>
          <w:tab w:leader="none" w:pos="540" w:val="left"/>
        </w:tabs>
        <w:numPr>
          <w:ilvl w:val="0"/>
          <w:numId w:val="16"/>
        </w:numPr>
        <w:rPr>
          <w:rFonts w:ascii="Arial" w:cs="Arial" w:eastAsia="Arial" w:hAnsi="Arial"/>
          <w:sz w:val="19"/>
          <w:szCs w:val="19"/>
          <w:i w:val="1"/>
          <w:iCs w:val="1"/>
          <w:color w:val="auto"/>
          <w:vertAlign w:val="superscript"/>
        </w:rPr>
      </w:pPr>
      <w:r>
        <w:rPr>
          <w:rFonts w:ascii="Arial" w:cs="Arial" w:eastAsia="Arial" w:hAnsi="Arial"/>
          <w:sz w:val="15"/>
          <w:szCs w:val="15"/>
          <w:i w:val="1"/>
          <w:iCs w:val="1"/>
          <w:color w:val="auto"/>
        </w:rPr>
        <w:t>Average of high and low price of common stock on the trading day prior to the vesting date of the shares of 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firstLine="220"/>
        <w:spacing w:after="0" w:line="238" w:lineRule="auto"/>
        <w:rPr>
          <w:sz w:val="20"/>
          <w:szCs w:val="20"/>
          <w:color w:val="auto"/>
        </w:rPr>
      </w:pPr>
      <w:r>
        <w:rPr>
          <w:rFonts w:ascii="Arial" w:cs="Arial" w:eastAsia="Arial" w:hAnsi="Arial"/>
          <w:sz w:val="15"/>
          <w:szCs w:val="15"/>
          <w:b w:val="1"/>
          <w:bCs w:val="1"/>
          <w:color w:val="auto"/>
        </w:rPr>
        <w:t>Approximate Dollar Value of Shares That May Yet Be</w:t>
      </w:r>
    </w:p>
    <w:p>
      <w:pPr>
        <w:jc w:val="center"/>
        <w:ind w:right="80"/>
        <w:spacing w:after="0" w:line="221" w:lineRule="auto"/>
        <w:rPr>
          <w:sz w:val="20"/>
          <w:szCs w:val="20"/>
          <w:color w:val="auto"/>
        </w:rPr>
      </w:pPr>
      <w:r>
        <w:rPr>
          <w:rFonts w:ascii="Arial" w:cs="Arial" w:eastAsia="Arial" w:hAnsi="Arial"/>
          <w:sz w:val="17"/>
          <w:szCs w:val="17"/>
          <w:b w:val="1"/>
          <w:bCs w:val="1"/>
          <w:color w:val="auto"/>
        </w:rPr>
        <w:t>Purchased Under the Plans or Programs</w:t>
      </w:r>
    </w:p>
    <w:p>
      <w:pPr>
        <w:spacing w:after="0" w:line="100" w:lineRule="exact"/>
        <w:rPr>
          <w:sz w:val="20"/>
          <w:szCs w:val="20"/>
          <w:color w:val="auto"/>
        </w:rPr>
      </w:pPr>
    </w:p>
    <w:p>
      <w:pPr>
        <w:ind w:left="1420" w:hanging="1083"/>
        <w:spacing w:after="0"/>
        <w:tabs>
          <w:tab w:leader="none" w:pos="14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87,182,152</w:t>
      </w:r>
    </w:p>
    <w:p>
      <w:pPr>
        <w:spacing w:after="0" w:line="40" w:lineRule="exact"/>
        <w:rPr>
          <w:sz w:val="20"/>
          <w:szCs w:val="20"/>
          <w:color w:val="auto"/>
        </w:rPr>
      </w:pPr>
    </w:p>
    <w:p>
      <w:pPr>
        <w:ind w:left="1420" w:hanging="1083"/>
        <w:spacing w:after="0"/>
        <w:tabs>
          <w:tab w:leader="none" w:pos="14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74,688,547</w:t>
      </w:r>
    </w:p>
    <w:p>
      <w:pPr>
        <w:spacing w:after="0" w:line="39" w:lineRule="exact"/>
        <w:rPr>
          <w:rFonts w:ascii="Arial" w:cs="Arial" w:eastAsia="Arial" w:hAnsi="Arial"/>
          <w:sz w:val="15"/>
          <w:szCs w:val="15"/>
          <w:color w:val="auto"/>
        </w:rPr>
      </w:pPr>
    </w:p>
    <w:p>
      <w:pPr>
        <w:ind w:left="1420" w:hanging="1083"/>
        <w:spacing w:after="0"/>
        <w:tabs>
          <w:tab w:leader="none" w:pos="14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66,772,646</w:t>
      </w:r>
    </w:p>
    <w:p>
      <w:pPr>
        <w:spacing w:after="0" w:line="51" w:lineRule="exact"/>
        <w:rPr>
          <w:rFonts w:ascii="Arial" w:cs="Arial" w:eastAsia="Arial" w:hAnsi="Arial"/>
          <w:sz w:val="15"/>
          <w:szCs w:val="15"/>
          <w:color w:val="auto"/>
        </w:rPr>
      </w:pPr>
    </w:p>
    <w:p>
      <w:pPr>
        <w:ind w:left="2000" w:hanging="1663"/>
        <w:spacing w:after="0"/>
        <w:tabs>
          <w:tab w:leader="none" w:pos="2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-266065</wp:posOffset>
            </wp:positionV>
            <wp:extent cx="1468120"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8120" cy="308610"/>
                    </a:xfrm>
                    <a:prstGeom prst="rect">
                      <a:avLst/>
                    </a:prstGeom>
                    <a:noFill/>
                  </pic:spPr>
                </pic:pic>
              </a:graphicData>
            </a:graphic>
          </wp:anchor>
        </w:drawing>
      </w:r>
    </w:p>
    <w:p>
      <w:pPr>
        <w:spacing w:after="0" w:line="565" w:lineRule="exact"/>
        <w:rPr>
          <w:sz w:val="20"/>
          <w:szCs w:val="20"/>
          <w:color w:val="auto"/>
        </w:rPr>
      </w:pPr>
    </w:p>
    <w:p>
      <w:pPr>
        <w:sectPr>
          <w:pgSz w:w="11900" w:h="16838" w:orient="portrait"/>
          <w:cols w:equalWidth="0" w:num="2">
            <w:col w:w="9020" w:space="100"/>
            <w:col w:w="2220"/>
          </w:cols>
          <w:pgMar w:left="320" w:top="348" w:right="239" w:bottom="1440" w:gutter="0" w:footer="0" w:header="0"/>
        </w:sectPr>
      </w:pPr>
    </w:p>
    <w:p>
      <w:pPr>
        <w:spacing w:after="0" w:line="12" w:lineRule="exact"/>
        <w:rPr>
          <w:sz w:val="20"/>
          <w:szCs w:val="20"/>
          <w:color w:val="auto"/>
        </w:rPr>
      </w:pPr>
    </w:p>
    <w:p>
      <w:pPr>
        <w:jc w:val="both"/>
        <w:ind w:right="100" w:firstLine="374"/>
        <w:spacing w:after="0" w:line="262" w:lineRule="auto"/>
        <w:rPr>
          <w:sz w:val="20"/>
          <w:szCs w:val="20"/>
          <w:color w:val="auto"/>
        </w:rPr>
      </w:pPr>
      <w:r>
        <w:rPr>
          <w:rFonts w:ascii="Arial" w:cs="Arial" w:eastAsia="Arial" w:hAnsi="Arial"/>
          <w:sz w:val="16"/>
          <w:szCs w:val="16"/>
          <w:color w:val="auto"/>
        </w:rPr>
        <w:t>On December 16, 2019, our Board of Directors authorized a $200.0 million common stock repurchase program beginning January 1, 2020 through December 31, 2022 (the “2019 Repurchase Program”). The shares may be purchased by us from time to time from the open market and through private transactions, or otherwise, as determined by us as market conditions warrant. The 2019 Repurchase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348" w:right="239" w:bottom="1440" w:gutter="0" w:footer="0" w:header="0"/>
          <w:type w:val="continuous"/>
        </w:sectPr>
      </w:pPr>
    </w:p>
    <w:bookmarkStart w:id="60" w:name="page61"/>
    <w:bookmarkEnd w:id="60"/>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exhibits are being filed as part of this Quarterly Report on Form 10-Q:</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060" w:type="dxa"/>
            <w:vAlign w:val="bottom"/>
          </w:tcPr>
          <w:p>
            <w:pPr>
              <w:spacing w:after="0"/>
              <w:rPr>
                <w:sz w:val="20"/>
                <w:szCs w:val="20"/>
                <w:color w:val="auto"/>
              </w:rPr>
            </w:pPr>
            <w:r>
              <w:rPr>
                <w:rFonts w:ascii="Arial" w:cs="Arial" w:eastAsia="Arial" w:hAnsi="Arial"/>
                <w:sz w:val="17"/>
                <w:szCs w:val="17"/>
                <w:color w:val="auto"/>
              </w:rPr>
              <w:t>3.1</w:t>
            </w:r>
          </w:p>
        </w:tc>
        <w:tc>
          <w:tcPr>
            <w:tcW w:w="10120" w:type="dxa"/>
            <w:vAlign w:val="bottom"/>
            <w:gridSpan w:val="14"/>
          </w:tcPr>
          <w:p>
            <w:pPr>
              <w:spacing w:after="0"/>
              <w:rPr>
                <w:rFonts w:ascii="Arial" w:cs="Arial" w:eastAsia="Arial" w:hAnsi="Arial"/>
                <w:sz w:val="17"/>
                <w:szCs w:val="17"/>
                <w:color w:val="0000FF"/>
                <w:w w:val="92"/>
              </w:rPr>
            </w:pPr>
            <w:hyperlink r:id="rId94">
              <w:r>
                <w:rPr>
                  <w:rFonts w:ascii="Arial" w:cs="Arial" w:eastAsia="Arial" w:hAnsi="Arial"/>
                  <w:sz w:val="17"/>
                  <w:szCs w:val="17"/>
                  <w:color w:val="0000FF"/>
                  <w:w w:val="92"/>
                </w:rPr>
                <w:t>Amended and Restated Certificate of Incorporation of the Company, as in effect on the date hereof (incorporated by reference to Exhibit 3.1 of the</w:t>
              </w:r>
            </w:hyperlink>
          </w:p>
        </w:tc>
      </w:tr>
      <w:tr>
        <w:trPr>
          <w:trHeight w:val="142"/>
        </w:trPr>
        <w:tc>
          <w:tcPr>
            <w:tcW w:w="1060" w:type="dxa"/>
            <w:vAlign w:val="bottom"/>
          </w:tcPr>
          <w:p>
            <w:pPr>
              <w:spacing w:after="0"/>
              <w:rPr>
                <w:sz w:val="12"/>
                <w:szCs w:val="12"/>
                <w:color w:val="auto"/>
              </w:rPr>
            </w:pPr>
          </w:p>
        </w:tc>
        <w:tc>
          <w:tcPr>
            <w:tcW w:w="974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94">
              <w:r>
                <w:rPr>
                  <w:rFonts w:ascii="Arial" w:cs="Arial" w:eastAsia="Arial" w:hAnsi="Arial"/>
                  <w:sz w:val="16"/>
                  <w:szCs w:val="16"/>
                  <w:color w:val="0000FF"/>
                </w:rPr>
                <w:t>Company’s Current Report on Form 8-K (File No. 1-33089) filed on October 25, 2006).</w:t>
              </w:r>
            </w:hyperlink>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1060" w:type="dxa"/>
            <w:vAlign w:val="bottom"/>
          </w:tcPr>
          <w:p>
            <w:pPr>
              <w:spacing w:after="0"/>
              <w:rPr>
                <w:sz w:val="20"/>
                <w:szCs w:val="20"/>
                <w:color w:val="auto"/>
              </w:rPr>
            </w:pPr>
            <w:r>
              <w:rPr>
                <w:rFonts w:ascii="Arial" w:cs="Arial" w:eastAsia="Arial" w:hAnsi="Arial"/>
                <w:sz w:val="17"/>
                <w:szCs w:val="17"/>
                <w:color w:val="auto"/>
              </w:rPr>
              <w:t>3.2</w:t>
            </w:r>
          </w:p>
        </w:tc>
        <w:tc>
          <w:tcPr>
            <w:tcW w:w="10120" w:type="dxa"/>
            <w:vAlign w:val="bottom"/>
            <w:gridSpan w:val="14"/>
          </w:tcPr>
          <w:p>
            <w:pPr>
              <w:spacing w:after="0"/>
              <w:rPr>
                <w:rFonts w:ascii="Arial" w:cs="Arial" w:eastAsia="Arial" w:hAnsi="Arial"/>
                <w:sz w:val="17"/>
                <w:szCs w:val="17"/>
                <w:color w:val="0000FF"/>
                <w:w w:val="95"/>
              </w:rPr>
            </w:pPr>
            <w:hyperlink r:id="rId95">
              <w:r>
                <w:rPr>
                  <w:rFonts w:ascii="Arial" w:cs="Arial" w:eastAsia="Arial" w:hAnsi="Arial"/>
                  <w:sz w:val="17"/>
                  <w:szCs w:val="17"/>
                  <w:color w:val="0000FF"/>
                  <w:w w:val="95"/>
                </w:rPr>
                <w:t>Certificate of Amendment to Amended and Restated Certificate of Incorporation of the Company (incorporated by reference to Annex A to the</w:t>
              </w:r>
            </w:hyperlink>
          </w:p>
        </w:tc>
      </w:tr>
      <w:tr>
        <w:trPr>
          <w:trHeight w:val="142"/>
        </w:trPr>
        <w:tc>
          <w:tcPr>
            <w:tcW w:w="1060" w:type="dxa"/>
            <w:vAlign w:val="bottom"/>
          </w:tcPr>
          <w:p>
            <w:pPr>
              <w:spacing w:after="0"/>
              <w:rPr>
                <w:sz w:val="12"/>
                <w:szCs w:val="12"/>
                <w:color w:val="auto"/>
              </w:rPr>
            </w:pPr>
          </w:p>
        </w:tc>
        <w:tc>
          <w:tcPr>
            <w:tcW w:w="6760" w:type="dxa"/>
            <w:vAlign w:val="bottom"/>
            <w:tcBorders>
              <w:top w:val="single" w:sz="8" w:color="0000FF"/>
              <w:bottom w:val="single" w:sz="8" w:color="0000FF"/>
            </w:tcBorders>
            <w:gridSpan w:val="6"/>
          </w:tcPr>
          <w:p>
            <w:pPr>
              <w:spacing w:after="0" w:line="142" w:lineRule="exact"/>
              <w:rPr>
                <w:rFonts w:ascii="Arial" w:cs="Arial" w:eastAsia="Arial" w:hAnsi="Arial"/>
                <w:sz w:val="16"/>
                <w:szCs w:val="16"/>
                <w:color w:val="0000FF"/>
                <w:w w:val="96"/>
              </w:rPr>
            </w:pPr>
            <w:hyperlink r:id="rId95">
              <w:r>
                <w:rPr>
                  <w:rFonts w:ascii="Arial" w:cs="Arial" w:eastAsia="Arial" w:hAnsi="Arial"/>
                  <w:sz w:val="16"/>
                  <w:szCs w:val="16"/>
                  <w:color w:val="0000FF"/>
                  <w:w w:val="96"/>
                </w:rPr>
                <w:t>Company’s Definitive Proxy Statement on Schedule 14A (File No. 1-33089) filed on April 26, 2019).</w:t>
              </w:r>
            </w:hyperlink>
          </w:p>
        </w:tc>
        <w:tc>
          <w:tcPr>
            <w:tcW w:w="276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3.3</w:t>
            </w:r>
          </w:p>
        </w:tc>
        <w:tc>
          <w:tcPr>
            <w:tcW w:w="10120" w:type="dxa"/>
            <w:vAlign w:val="bottom"/>
            <w:gridSpan w:val="14"/>
          </w:tcPr>
          <w:p>
            <w:pPr>
              <w:spacing w:after="0"/>
              <w:rPr>
                <w:rFonts w:ascii="Arial" w:cs="Arial" w:eastAsia="Arial" w:hAnsi="Arial"/>
                <w:sz w:val="17"/>
                <w:szCs w:val="17"/>
                <w:color w:val="0000FF"/>
                <w:w w:val="90"/>
              </w:rPr>
            </w:pPr>
            <w:hyperlink r:id="rId96">
              <w:r>
                <w:rPr>
                  <w:rFonts w:ascii="Arial" w:cs="Arial" w:eastAsia="Arial" w:hAnsi="Arial"/>
                  <w:sz w:val="17"/>
                  <w:szCs w:val="17"/>
                  <w:color w:val="0000FF"/>
                  <w:w w:val="90"/>
                </w:rPr>
                <w:t>Fifth Amended and Restated By-laws of ExlService Holdings, Inc. (incorporated by reference to Exhibit 3.2 of the Company’s Current Report on Form</w:t>
              </w:r>
            </w:hyperlink>
          </w:p>
        </w:tc>
      </w:tr>
      <w:tr>
        <w:trPr>
          <w:trHeight w:val="142"/>
        </w:trPr>
        <w:tc>
          <w:tcPr>
            <w:tcW w:w="1060" w:type="dxa"/>
            <w:vAlign w:val="bottom"/>
          </w:tcPr>
          <w:p>
            <w:pPr>
              <w:spacing w:after="0"/>
              <w:rPr>
                <w:sz w:val="12"/>
                <w:szCs w:val="12"/>
                <w:color w:val="auto"/>
              </w:rPr>
            </w:pPr>
          </w:p>
        </w:tc>
        <w:tc>
          <w:tcPr>
            <w:tcW w:w="1006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96">
              <w:r>
                <w:rPr>
                  <w:rFonts w:ascii="Arial" w:cs="Arial" w:eastAsia="Arial" w:hAnsi="Arial"/>
                  <w:sz w:val="16"/>
                  <w:szCs w:val="16"/>
                  <w:color w:val="0000FF"/>
                </w:rPr>
                <w:t>8-K (File No. 1-33089) filed on June 19, 2019)</w:t>
              </w:r>
            </w:hyperlink>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06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9"/>
        </w:trPr>
        <w:tc>
          <w:tcPr>
            <w:tcW w:w="1060" w:type="dxa"/>
            <w:vAlign w:val="bottom"/>
          </w:tcPr>
          <w:p>
            <w:pPr>
              <w:spacing w:after="0"/>
              <w:rPr>
                <w:sz w:val="20"/>
                <w:szCs w:val="20"/>
                <w:color w:val="auto"/>
              </w:rPr>
            </w:pPr>
            <w:r>
              <w:rPr>
                <w:rFonts w:ascii="Arial" w:cs="Arial" w:eastAsia="Arial" w:hAnsi="Arial"/>
                <w:sz w:val="17"/>
                <w:szCs w:val="17"/>
                <w:color w:val="auto"/>
              </w:rPr>
              <w:t>31.1</w:t>
            </w:r>
          </w:p>
        </w:tc>
        <w:tc>
          <w:tcPr>
            <w:tcW w:w="10120" w:type="dxa"/>
            <w:vAlign w:val="bottom"/>
            <w:gridSpan w:val="14"/>
          </w:tcPr>
          <w:p>
            <w:pPr>
              <w:spacing w:after="0"/>
              <w:rPr>
                <w:rFonts w:ascii="Arial" w:cs="Arial" w:eastAsia="Arial" w:hAnsi="Arial"/>
                <w:sz w:val="17"/>
                <w:szCs w:val="17"/>
                <w:color w:val="0000FF"/>
                <w:w w:val="91"/>
              </w:rPr>
            </w:pPr>
            <w:hyperlink w:anchor="page63">
              <w:r>
                <w:rPr>
                  <w:rFonts w:ascii="Arial" w:cs="Arial" w:eastAsia="Arial" w:hAnsi="Arial"/>
                  <w:sz w:val="17"/>
                  <w:szCs w:val="17"/>
                  <w:color w:val="0000FF"/>
                  <w:w w:val="91"/>
                </w:rPr>
                <w:t>Certification of the Chief Executive Officer of ExlService Holdings, pursuant to Rule 13a-14(a) of the Exchange Act, as adopted pursuant to Section</w:t>
              </w:r>
            </w:hyperlink>
          </w:p>
        </w:tc>
      </w:tr>
      <w:tr>
        <w:trPr>
          <w:trHeight w:val="142"/>
        </w:trPr>
        <w:tc>
          <w:tcPr>
            <w:tcW w:w="106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63">
              <w:r>
                <w:rPr>
                  <w:rFonts w:ascii="Arial" w:cs="Arial" w:eastAsia="Arial" w:hAnsi="Arial"/>
                  <w:sz w:val="16"/>
                  <w:szCs w:val="16"/>
                  <w:color w:val="0000FF"/>
                  <w:w w:val="94"/>
                </w:rPr>
                <w:t>302 of the Sarbanes-Oxley Act of 2002.</w:t>
              </w:r>
            </w:hyperlink>
          </w:p>
        </w:tc>
        <w:tc>
          <w:tcPr>
            <w:tcW w:w="7200" w:type="dxa"/>
            <w:vAlign w:val="bottom"/>
            <w:tcBorders>
              <w:top w:val="single" w:sz="8" w:color="0000FF"/>
            </w:tcBorders>
            <w:gridSpan w:val="9"/>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31.2</w:t>
            </w:r>
          </w:p>
        </w:tc>
        <w:tc>
          <w:tcPr>
            <w:tcW w:w="10120" w:type="dxa"/>
            <w:vAlign w:val="bottom"/>
            <w:gridSpan w:val="14"/>
          </w:tcPr>
          <w:p>
            <w:pPr>
              <w:spacing w:after="0"/>
              <w:rPr>
                <w:rFonts w:ascii="Arial" w:cs="Arial" w:eastAsia="Arial" w:hAnsi="Arial"/>
                <w:sz w:val="17"/>
                <w:szCs w:val="17"/>
                <w:color w:val="0000FF"/>
                <w:w w:val="91"/>
              </w:rPr>
            </w:pPr>
            <w:hyperlink w:anchor="page64">
              <w:r>
                <w:rPr>
                  <w:rFonts w:ascii="Arial" w:cs="Arial" w:eastAsia="Arial" w:hAnsi="Arial"/>
                  <w:sz w:val="17"/>
                  <w:szCs w:val="17"/>
                  <w:color w:val="0000FF"/>
                  <w:w w:val="91"/>
                </w:rPr>
                <w:t>Certification of the Chief Financial Officer of ExlService Holdings, pursuant to Rule 13a-14(a) of the Exchange Act, as adopted pursuant to Section</w:t>
              </w:r>
            </w:hyperlink>
          </w:p>
        </w:tc>
      </w:tr>
      <w:tr>
        <w:trPr>
          <w:trHeight w:val="142"/>
        </w:trPr>
        <w:tc>
          <w:tcPr>
            <w:tcW w:w="1060" w:type="dxa"/>
            <w:vAlign w:val="bottom"/>
          </w:tcPr>
          <w:p>
            <w:pPr>
              <w:spacing w:after="0"/>
              <w:rPr>
                <w:sz w:val="12"/>
                <w:szCs w:val="12"/>
                <w:color w:val="auto"/>
              </w:rPr>
            </w:pPr>
          </w:p>
        </w:tc>
        <w:tc>
          <w:tcPr>
            <w:tcW w:w="268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4"/>
              </w:rPr>
            </w:pPr>
            <w:hyperlink w:anchor="page64">
              <w:r>
                <w:rPr>
                  <w:rFonts w:ascii="Arial" w:cs="Arial" w:eastAsia="Arial" w:hAnsi="Arial"/>
                  <w:sz w:val="16"/>
                  <w:szCs w:val="16"/>
                  <w:color w:val="0000FF"/>
                  <w:w w:val="94"/>
                </w:rPr>
                <w:t>302 of the Sarbanes-Oxley Act of 2002.</w:t>
              </w:r>
            </w:hyperlink>
          </w:p>
        </w:tc>
        <w:tc>
          <w:tcPr>
            <w:tcW w:w="7160" w:type="dxa"/>
            <w:vAlign w:val="bottom"/>
            <w:tcBorders>
              <w:top w:val="single" w:sz="8" w:color="0000FF"/>
            </w:tcBorders>
            <w:gridSpan w:val="8"/>
          </w:tcPr>
          <w:p>
            <w:pPr>
              <w:spacing w:after="0"/>
              <w:rPr>
                <w:sz w:val="12"/>
                <w:szCs w:val="12"/>
                <w:color w:val="auto"/>
              </w:rPr>
            </w:pPr>
          </w:p>
        </w:tc>
        <w:tc>
          <w:tcPr>
            <w:tcW w:w="2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32.1</w:t>
            </w:r>
          </w:p>
        </w:tc>
        <w:tc>
          <w:tcPr>
            <w:tcW w:w="10120" w:type="dxa"/>
            <w:vAlign w:val="bottom"/>
            <w:gridSpan w:val="14"/>
          </w:tcPr>
          <w:p>
            <w:pPr>
              <w:spacing w:after="0"/>
              <w:rPr>
                <w:rFonts w:ascii="Arial" w:cs="Arial" w:eastAsia="Arial" w:hAnsi="Arial"/>
                <w:sz w:val="17"/>
                <w:szCs w:val="17"/>
                <w:color w:val="0000FF"/>
                <w:w w:val="93"/>
              </w:rPr>
            </w:pPr>
            <w:hyperlink w:anchor="page65">
              <w:r>
                <w:rPr>
                  <w:rFonts w:ascii="Arial" w:cs="Arial" w:eastAsia="Arial" w:hAnsi="Arial"/>
                  <w:sz w:val="17"/>
                  <w:szCs w:val="17"/>
                  <w:color w:val="0000FF"/>
                  <w:w w:val="93"/>
                </w:rPr>
                <w:t>Certification of the Chief Executive Officer pursuant to Rule 13a-14(b) of the Exchange Act and 18 U.S.C. Section 1350, as adopted pursuant to</w:t>
              </w:r>
            </w:hyperlink>
          </w:p>
        </w:tc>
      </w:tr>
      <w:tr>
        <w:trPr>
          <w:trHeight w:val="142"/>
        </w:trPr>
        <w:tc>
          <w:tcPr>
            <w:tcW w:w="106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4"/>
              </w:rPr>
            </w:pPr>
            <w:hyperlink w:anchor="page65">
              <w:r>
                <w:rPr>
                  <w:rFonts w:ascii="Arial" w:cs="Arial" w:eastAsia="Arial" w:hAnsi="Arial"/>
                  <w:sz w:val="16"/>
                  <w:szCs w:val="16"/>
                  <w:color w:val="0000FF"/>
                  <w:w w:val="94"/>
                </w:rPr>
                <w:t>Section 906 of the Sarbanes-Oxley Act of 2002.</w:t>
              </w:r>
            </w:hyperlink>
          </w:p>
        </w:tc>
        <w:tc>
          <w:tcPr>
            <w:tcW w:w="6400" w:type="dxa"/>
            <w:vAlign w:val="bottom"/>
            <w:tcBorders>
              <w:top w:val="single" w:sz="8" w:color="0000FF"/>
            </w:tcBorders>
            <w:gridSpan w:val="4"/>
          </w:tcPr>
          <w:p>
            <w:pPr>
              <w:spacing w:after="0"/>
              <w:rPr>
                <w:sz w:val="12"/>
                <w:szCs w:val="12"/>
                <w:color w:val="auto"/>
              </w:rPr>
            </w:pPr>
          </w:p>
        </w:tc>
        <w:tc>
          <w:tcPr>
            <w:tcW w:w="5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r>
      <w:tr>
        <w:trPr>
          <w:trHeight w:val="242"/>
        </w:trPr>
        <w:tc>
          <w:tcPr>
            <w:tcW w:w="1060" w:type="dxa"/>
            <w:vAlign w:val="bottom"/>
          </w:tcPr>
          <w:p>
            <w:pPr>
              <w:spacing w:after="0"/>
              <w:rPr>
                <w:sz w:val="20"/>
                <w:szCs w:val="20"/>
                <w:color w:val="auto"/>
              </w:rPr>
            </w:pPr>
            <w:r>
              <w:rPr>
                <w:rFonts w:ascii="Arial" w:cs="Arial" w:eastAsia="Arial" w:hAnsi="Arial"/>
                <w:sz w:val="17"/>
                <w:szCs w:val="17"/>
                <w:color w:val="auto"/>
              </w:rPr>
              <w:t>32.2</w:t>
            </w:r>
          </w:p>
        </w:tc>
        <w:tc>
          <w:tcPr>
            <w:tcW w:w="10120" w:type="dxa"/>
            <w:vAlign w:val="bottom"/>
            <w:gridSpan w:val="14"/>
          </w:tcPr>
          <w:p>
            <w:pPr>
              <w:spacing w:after="0"/>
              <w:rPr>
                <w:rFonts w:ascii="Arial" w:cs="Arial" w:eastAsia="Arial" w:hAnsi="Arial"/>
                <w:sz w:val="17"/>
                <w:szCs w:val="17"/>
                <w:color w:val="0000FF"/>
                <w:w w:val="89"/>
              </w:rPr>
            </w:pPr>
            <w:hyperlink w:anchor="page66">
              <w:r>
                <w:rPr>
                  <w:rFonts w:ascii="Arial" w:cs="Arial" w:eastAsia="Arial" w:hAnsi="Arial"/>
                  <w:sz w:val="17"/>
                  <w:szCs w:val="17"/>
                  <w:color w:val="0000FF"/>
                  <w:w w:val="89"/>
                </w:rPr>
                <w:t>Certification of the Chief Financial Officer pursuant to Rule 13a-14(b) of the Exchange Act and 18 U.S.C. Section 1350, as adopted pursuant to Section</w:t>
              </w:r>
            </w:hyperlink>
          </w:p>
        </w:tc>
      </w:tr>
      <w:tr>
        <w:trPr>
          <w:trHeight w:val="142"/>
        </w:trPr>
        <w:tc>
          <w:tcPr>
            <w:tcW w:w="1060" w:type="dxa"/>
            <w:vAlign w:val="bottom"/>
          </w:tcPr>
          <w:p>
            <w:pPr>
              <w:spacing w:after="0"/>
              <w:rPr>
                <w:sz w:val="12"/>
                <w:szCs w:val="12"/>
                <w:color w:val="auto"/>
              </w:rPr>
            </w:pPr>
          </w:p>
        </w:tc>
        <w:tc>
          <w:tcPr>
            <w:tcW w:w="266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4"/>
              </w:rPr>
            </w:pPr>
            <w:hyperlink w:anchor="page66">
              <w:r>
                <w:rPr>
                  <w:rFonts w:ascii="Arial" w:cs="Arial" w:eastAsia="Arial" w:hAnsi="Arial"/>
                  <w:sz w:val="16"/>
                  <w:szCs w:val="16"/>
                  <w:color w:val="0000FF"/>
                  <w:w w:val="94"/>
                </w:rPr>
                <w:t>906 of the Sarbanes-Oxley Act of 2002.</w:t>
              </w:r>
            </w:hyperlink>
          </w:p>
        </w:tc>
        <w:tc>
          <w:tcPr>
            <w:tcW w:w="744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r>
      <w:tr>
        <w:trPr>
          <w:trHeight w:val="279"/>
        </w:trPr>
        <w:tc>
          <w:tcPr>
            <w:tcW w:w="1060" w:type="dxa"/>
            <w:vAlign w:val="bottom"/>
          </w:tcPr>
          <w:p>
            <w:pPr>
              <w:spacing w:after="0"/>
              <w:rPr>
                <w:sz w:val="20"/>
                <w:szCs w:val="20"/>
                <w:color w:val="auto"/>
              </w:rPr>
            </w:pPr>
            <w:r>
              <w:rPr>
                <w:rFonts w:ascii="Arial" w:cs="Arial" w:eastAsia="Arial" w:hAnsi="Arial"/>
                <w:sz w:val="17"/>
                <w:szCs w:val="17"/>
                <w:color w:val="auto"/>
              </w:rPr>
              <w:t>101.INS</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Instance Document</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101.SCH</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Taxonomy Extension Scheme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101.CAL</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Taxonomy Extension Calculation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101.DEF</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Taxonomy Extension Definition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101.LAB</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Taxonomy Extension Label Linkbase</w:t>
            </w:r>
          </w:p>
        </w:tc>
      </w:tr>
      <w:tr>
        <w:trPr>
          <w:trHeight w:val="262"/>
        </w:trPr>
        <w:tc>
          <w:tcPr>
            <w:tcW w:w="1060" w:type="dxa"/>
            <w:vAlign w:val="bottom"/>
          </w:tcPr>
          <w:p>
            <w:pPr>
              <w:spacing w:after="0"/>
              <w:rPr>
                <w:sz w:val="20"/>
                <w:szCs w:val="20"/>
                <w:color w:val="auto"/>
              </w:rPr>
            </w:pPr>
            <w:r>
              <w:rPr>
                <w:rFonts w:ascii="Arial" w:cs="Arial" w:eastAsia="Arial" w:hAnsi="Arial"/>
                <w:sz w:val="17"/>
                <w:szCs w:val="17"/>
                <w:color w:val="auto"/>
              </w:rPr>
              <w:t>101.PRE</w:t>
            </w:r>
          </w:p>
        </w:tc>
        <w:tc>
          <w:tcPr>
            <w:tcW w:w="10120" w:type="dxa"/>
            <w:vAlign w:val="bottom"/>
            <w:gridSpan w:val="14"/>
          </w:tcPr>
          <w:p>
            <w:pPr>
              <w:spacing w:after="0"/>
              <w:rPr>
                <w:sz w:val="20"/>
                <w:szCs w:val="20"/>
                <w:color w:val="auto"/>
              </w:rPr>
            </w:pPr>
            <w:r>
              <w:rPr>
                <w:rFonts w:ascii="Arial" w:cs="Arial" w:eastAsia="Arial" w:hAnsi="Arial"/>
                <w:sz w:val="17"/>
                <w:szCs w:val="17"/>
                <w:color w:val="auto"/>
              </w:rPr>
              <w:t>XBRL Extension Presentation Linkbase</w:t>
            </w:r>
          </w:p>
        </w:tc>
      </w:tr>
    </w:tbl>
    <w:p>
      <w:pPr>
        <w:spacing w:after="0" w:line="50" w:lineRule="exact"/>
        <w:rPr>
          <w:sz w:val="20"/>
          <w:szCs w:val="20"/>
          <w:color w:val="auto"/>
        </w:rPr>
      </w:pPr>
    </w:p>
    <w:p>
      <w:pPr>
        <w:ind w:left="1080" w:hanging="106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60960</wp:posOffset>
            </wp:positionV>
            <wp:extent cx="716788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67880" cy="412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-661670</wp:posOffset>
            </wp:positionV>
            <wp:extent cx="6096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09600" cy="7620"/>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FF"/>
        </w:rPr>
      </w:pPr>
      <w:hyperlink w:anchor="page1">
        <w:r>
          <w:rPr>
            <w:rFonts w:ascii="Arial" w:cs="Arial" w:eastAsia="Arial" w:hAnsi="Arial"/>
            <w:sz w:val="17"/>
            <w:szCs w:val="17"/>
            <w:b w:val="1"/>
            <w:bCs w:val="1"/>
            <w:u w:val="single" w:color="auto"/>
            <w:color w:val="0000FF"/>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ind w:right="460" w:firstLine="411"/>
        <w:spacing w:after="0" w:line="26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100" w:type="dxa"/>
            <w:vAlign w:val="bottom"/>
          </w:tcPr>
          <w:p>
            <w:pPr>
              <w:spacing w:after="0"/>
              <w:rPr>
                <w:sz w:val="20"/>
                <w:szCs w:val="20"/>
                <w:color w:val="auto"/>
              </w:rPr>
            </w:pPr>
            <w:r>
              <w:rPr>
                <w:rFonts w:ascii="Arial" w:cs="Arial" w:eastAsia="Arial" w:hAnsi="Arial"/>
                <w:sz w:val="17"/>
                <w:szCs w:val="17"/>
                <w:color w:val="auto"/>
              </w:rPr>
              <w:t>Date: July 29, 2021</w:t>
            </w:r>
          </w:p>
        </w:tc>
        <w:tc>
          <w:tcPr>
            <w:tcW w:w="8100" w:type="dxa"/>
            <w:vAlign w:val="bottom"/>
            <w:gridSpan w:val="2"/>
          </w:tcPr>
          <w:p>
            <w:pPr>
              <w:ind w:left="1800"/>
              <w:spacing w:after="0"/>
              <w:rPr>
                <w:sz w:val="20"/>
                <w:szCs w:val="20"/>
                <w:color w:val="auto"/>
              </w:rPr>
            </w:pPr>
            <w:r>
              <w:rPr>
                <w:rFonts w:ascii="Arial" w:cs="Arial" w:eastAsia="Arial" w:hAnsi="Arial"/>
                <w:sz w:val="17"/>
                <w:szCs w:val="17"/>
                <w:b w:val="1"/>
                <w:bCs w:val="1"/>
                <w:color w:val="auto"/>
              </w:rPr>
              <w:t>EXLSERVICE HOLDINGS, INC.</w:t>
            </w:r>
          </w:p>
        </w:tc>
      </w:tr>
      <w:tr>
        <w:trPr>
          <w:trHeight w:val="461"/>
        </w:trPr>
        <w:tc>
          <w:tcPr>
            <w:tcW w:w="3100" w:type="dxa"/>
            <w:vAlign w:val="bottom"/>
          </w:tcPr>
          <w:p>
            <w:pPr>
              <w:spacing w:after="0"/>
              <w:rPr>
                <w:sz w:val="24"/>
                <w:szCs w:val="24"/>
                <w:color w:val="auto"/>
              </w:rPr>
            </w:pPr>
          </w:p>
        </w:tc>
        <w:tc>
          <w:tcPr>
            <w:tcW w:w="2400" w:type="dxa"/>
            <w:vAlign w:val="bottom"/>
          </w:tcPr>
          <w:p>
            <w:pPr>
              <w:ind w:left="1800"/>
              <w:spacing w:after="0"/>
              <w:rPr>
                <w:sz w:val="20"/>
                <w:szCs w:val="20"/>
                <w:color w:val="auto"/>
              </w:rPr>
            </w:pPr>
            <w:r>
              <w:rPr>
                <w:rFonts w:ascii="Arial" w:cs="Arial" w:eastAsia="Arial" w:hAnsi="Arial"/>
                <w:sz w:val="17"/>
                <w:szCs w:val="17"/>
                <w:color w:val="auto"/>
              </w:rPr>
              <w:t>By:</w:t>
            </w:r>
          </w:p>
        </w:tc>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xml:space="preserve">/ </w:t>
            </w:r>
            <w:r>
              <w:rPr>
                <w:rFonts w:ascii="Arial" w:cs="Arial" w:eastAsia="Arial" w:hAnsi="Arial"/>
                <w:sz w:val="13"/>
                <w:szCs w:val="13"/>
                <w:color w:val="auto"/>
              </w:rPr>
              <w:t>MAURIZIO NICOLELLI</w:t>
            </w:r>
          </w:p>
        </w:tc>
      </w:tr>
      <w:tr>
        <w:trPr>
          <w:trHeight w:val="117"/>
        </w:trPr>
        <w:tc>
          <w:tcPr>
            <w:tcW w:w="3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70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MAURIZIO NICOLELLI</w:t>
            </w:r>
          </w:p>
        </w:tc>
      </w:tr>
      <w:tr>
        <w:trPr>
          <w:trHeight w:val="125"/>
        </w:trPr>
        <w:tc>
          <w:tcPr>
            <w:tcW w:w="3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700" w:type="dxa"/>
            <w:vAlign w:val="bottom"/>
          </w:tcPr>
          <w:p>
            <w:pPr>
              <w:ind w:left="20"/>
              <w:spacing w:after="0" w:line="125" w:lineRule="exact"/>
              <w:rPr>
                <w:sz w:val="20"/>
                <w:szCs w:val="20"/>
                <w:color w:val="auto"/>
              </w:rPr>
            </w:pPr>
            <w:r>
              <w:rPr>
                <w:rFonts w:ascii="Arial" w:cs="Arial" w:eastAsia="Arial" w:hAnsi="Arial"/>
                <w:sz w:val="13"/>
                <w:szCs w:val="13"/>
                <w:b w:val="1"/>
                <w:bCs w:val="1"/>
                <w:color w:val="auto"/>
              </w:rPr>
              <w:t>Chief Financial Officer</w:t>
            </w:r>
          </w:p>
        </w:tc>
      </w:tr>
      <w:tr>
        <w:trPr>
          <w:trHeight w:val="172"/>
        </w:trPr>
        <w:tc>
          <w:tcPr>
            <w:tcW w:w="3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(Duly Authorized Signatory, 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20"/>
          </w:cols>
          <w:pgMar w:left="320" w:top="348"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Rohit Kapoor, certify that:</w:t>
      </w:r>
    </w:p>
    <w:p>
      <w:pPr>
        <w:spacing w:after="0" w:line="204" w:lineRule="exact"/>
        <w:rPr>
          <w:sz w:val="20"/>
          <w:szCs w:val="20"/>
          <w:color w:val="auto"/>
        </w:rPr>
      </w:pPr>
    </w:p>
    <w:p>
      <w:pPr>
        <w:ind w:left="380" w:hanging="380"/>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3" w:lineRule="exact"/>
        <w:rPr>
          <w:rFonts w:ascii="Arial" w:cs="Arial" w:eastAsia="Arial" w:hAnsi="Arial"/>
          <w:sz w:val="17"/>
          <w:szCs w:val="17"/>
          <w:color w:val="auto"/>
        </w:rPr>
      </w:pPr>
    </w:p>
    <w:p>
      <w:pPr>
        <w:ind w:left="380" w:right="20" w:hanging="380"/>
        <w:spacing w:after="0" w:line="296"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380" w:right="540" w:hanging="380"/>
        <w:spacing w:after="0" w:line="265"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jc w:val="both"/>
        <w:ind w:left="380" w:right="360" w:hanging="380"/>
        <w:spacing w:after="0" w:line="255"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80" w:right="140" w:hanging="306"/>
        <w:spacing w:after="0" w:line="255" w:lineRule="auto"/>
        <w:tabs>
          <w:tab w:leader="none" w:pos="677"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80" w:right="280" w:hanging="306"/>
        <w:spacing w:after="0" w:line="255" w:lineRule="auto"/>
        <w:tabs>
          <w:tab w:leader="none" w:pos="674"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80" w:right="280" w:hanging="306"/>
        <w:spacing w:after="0" w:line="265" w:lineRule="auto"/>
        <w:tabs>
          <w:tab w:leader="none" w:pos="67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left="680" w:right="220" w:hanging="306"/>
        <w:spacing w:after="0" w:line="255" w:lineRule="auto"/>
        <w:tabs>
          <w:tab w:leader="none" w:pos="674"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320" w:hanging="380"/>
        <w:spacing w:after="0" w:line="265"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80" w:right="460" w:hanging="306"/>
        <w:spacing w:after="0" w:line="265" w:lineRule="auto"/>
        <w:tabs>
          <w:tab w:leader="none" w:pos="677"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80" w:right="60" w:hanging="306"/>
        <w:spacing w:after="0" w:line="265" w:lineRule="auto"/>
        <w:tabs>
          <w:tab w:leader="none" w:pos="674"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6100" w:type="dxa"/>
            <w:vAlign w:val="bottom"/>
          </w:tcPr>
          <w:p>
            <w:pPr>
              <w:spacing w:after="0"/>
              <w:rPr>
                <w:sz w:val="20"/>
                <w:szCs w:val="20"/>
                <w:color w:val="auto"/>
              </w:rPr>
            </w:pPr>
            <w:r>
              <w:rPr>
                <w:rFonts w:ascii="Arial" w:cs="Arial" w:eastAsia="Arial" w:hAnsi="Arial"/>
                <w:sz w:val="17"/>
                <w:szCs w:val="17"/>
                <w:color w:val="auto"/>
              </w:rPr>
              <w:t>Date: July 29, 2021</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Rohit Kapoor</w:t>
            </w:r>
          </w:p>
        </w:tc>
      </w:tr>
      <w:tr>
        <w:trPr>
          <w:trHeight w:val="204"/>
        </w:trPr>
        <w:tc>
          <w:tcPr>
            <w:tcW w:w="6100" w:type="dxa"/>
            <w:vAlign w:val="bottom"/>
          </w:tcPr>
          <w:p>
            <w:pPr>
              <w:spacing w:after="0"/>
              <w:rPr>
                <w:sz w:val="17"/>
                <w:szCs w:val="17"/>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Rohit Kapoor</w:t>
            </w:r>
          </w:p>
        </w:tc>
      </w:tr>
      <w:tr>
        <w:trPr>
          <w:trHeight w:val="212"/>
        </w:trPr>
        <w:tc>
          <w:tcPr>
            <w:tcW w:w="610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7"/>
                <w:szCs w:val="17"/>
                <w:color w:val="auto"/>
              </w:rPr>
              <w:t>Vice-Chairman and Chief Executive Officer</w:t>
            </w:r>
          </w:p>
        </w:tc>
      </w:tr>
    </w:tbl>
    <w:p>
      <w:pPr>
        <w:sectPr>
          <w:pgSz w:w="11900" w:h="16838" w:orient="portrait"/>
          <w:cols w:equalWidth="0" w:num="1">
            <w:col w:w="11240"/>
          </w:cols>
          <w:pgMar w:left="320" w:top="83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302 CERTIFICATION</w:t>
      </w:r>
    </w:p>
    <w:p>
      <w:pPr>
        <w:spacing w:after="0" w:line="20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 Maurizio Nicolelli, certify that:</w:t>
      </w:r>
    </w:p>
    <w:p>
      <w:pPr>
        <w:spacing w:after="0" w:line="316" w:lineRule="exact"/>
        <w:rPr>
          <w:sz w:val="20"/>
          <w:szCs w:val="20"/>
          <w:color w:val="auto"/>
        </w:rPr>
      </w:pPr>
    </w:p>
    <w:p>
      <w:pPr>
        <w:ind w:left="380" w:hanging="380"/>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of ExlService Holdings, Inc.;</w:t>
      </w:r>
    </w:p>
    <w:p>
      <w:pPr>
        <w:spacing w:after="0" w:line="203" w:lineRule="exact"/>
        <w:rPr>
          <w:rFonts w:ascii="Arial" w:cs="Arial" w:eastAsia="Arial" w:hAnsi="Arial"/>
          <w:sz w:val="17"/>
          <w:szCs w:val="17"/>
          <w:color w:val="auto"/>
        </w:rPr>
      </w:pPr>
    </w:p>
    <w:p>
      <w:pPr>
        <w:ind w:left="380" w:right="20" w:hanging="380"/>
        <w:spacing w:after="0" w:line="296"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6"/>
          <w:szCs w:val="16"/>
          <w:color w:val="auto"/>
        </w:rPr>
      </w:pPr>
    </w:p>
    <w:p>
      <w:pPr>
        <w:ind w:left="380" w:right="540" w:hanging="380"/>
        <w:spacing w:after="0" w:line="265"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jc w:val="both"/>
        <w:ind w:left="380" w:right="360" w:hanging="380"/>
        <w:spacing w:after="0" w:line="255"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ind w:left="680" w:right="140" w:hanging="306"/>
        <w:spacing w:after="0" w:line="255" w:lineRule="auto"/>
        <w:tabs>
          <w:tab w:leader="none" w:pos="677"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680" w:right="280" w:hanging="306"/>
        <w:spacing w:after="0" w:line="255" w:lineRule="auto"/>
        <w:tabs>
          <w:tab w:leader="none" w:pos="67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left="680" w:right="280" w:hanging="306"/>
        <w:spacing w:after="0" w:line="265" w:lineRule="auto"/>
        <w:tabs>
          <w:tab w:leader="none" w:pos="677"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7"/>
          <w:szCs w:val="17"/>
          <w:color w:val="auto"/>
        </w:rPr>
      </w:pPr>
    </w:p>
    <w:p>
      <w:pPr>
        <w:ind w:left="680" w:right="220" w:hanging="306"/>
        <w:spacing w:after="0" w:line="255" w:lineRule="auto"/>
        <w:tabs>
          <w:tab w:leader="none" w:pos="674"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80" w:right="320" w:hanging="380"/>
        <w:spacing w:after="0" w:line="265" w:lineRule="auto"/>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680" w:right="460" w:hanging="306"/>
        <w:spacing w:after="0" w:line="265" w:lineRule="auto"/>
        <w:tabs>
          <w:tab w:leader="none" w:pos="677"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680" w:right="60" w:hanging="306"/>
        <w:spacing w:after="0" w:line="265" w:lineRule="auto"/>
        <w:tabs>
          <w:tab w:leader="none" w:pos="67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tbl>
      <w:tblPr>
        <w:tblLayout w:type="fixed"/>
        <w:tblInd w:w="540" w:type="dxa"/>
        <w:tblCellMar>
          <w:top w:w="0" w:type="dxa"/>
          <w:left w:w="0" w:type="dxa"/>
          <w:bottom w:w="0" w:type="dxa"/>
          <w:right w:w="0" w:type="dxa"/>
        </w:tblCellMar>
      </w:tblPr>
      <w:tr>
        <w:trPr>
          <w:trHeight w:val="212"/>
        </w:trPr>
        <w:tc>
          <w:tcPr>
            <w:tcW w:w="5840" w:type="dxa"/>
            <w:vAlign w:val="bottom"/>
          </w:tcPr>
          <w:p>
            <w:pPr>
              <w:spacing w:after="0"/>
              <w:rPr>
                <w:sz w:val="20"/>
                <w:szCs w:val="20"/>
                <w:color w:val="auto"/>
              </w:rPr>
            </w:pPr>
            <w:r>
              <w:rPr>
                <w:rFonts w:ascii="Arial" w:cs="Arial" w:eastAsia="Arial" w:hAnsi="Arial"/>
                <w:sz w:val="17"/>
                <w:szCs w:val="17"/>
                <w:color w:val="auto"/>
              </w:rPr>
              <w:t>Date: July 29, 2021</w:t>
            </w:r>
          </w:p>
        </w:tc>
        <w:tc>
          <w:tcPr>
            <w:tcW w:w="48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Maurizio Nicolelli</w:t>
            </w:r>
          </w:p>
        </w:tc>
      </w:tr>
      <w:tr>
        <w:trPr>
          <w:trHeight w:val="204"/>
        </w:trPr>
        <w:tc>
          <w:tcPr>
            <w:tcW w:w="58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Maurizio Nicolelli</w:t>
            </w:r>
          </w:p>
        </w:tc>
      </w:tr>
      <w:tr>
        <w:trPr>
          <w:trHeight w:val="212"/>
        </w:trPr>
        <w:tc>
          <w:tcPr>
            <w:tcW w:w="58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83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2021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2" w:lineRule="exact"/>
        <w:rPr>
          <w:sz w:val="20"/>
          <w:szCs w:val="20"/>
          <w:color w:val="auto"/>
        </w:rPr>
      </w:pPr>
    </w:p>
    <w:p>
      <w:pPr>
        <w:ind w:left="300" w:hanging="300"/>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3" w:lineRule="exact"/>
        <w:rPr>
          <w:rFonts w:ascii="Arial" w:cs="Arial" w:eastAsia="Arial" w:hAnsi="Arial"/>
          <w:sz w:val="17"/>
          <w:szCs w:val="17"/>
          <w:color w:val="auto"/>
        </w:rPr>
      </w:pPr>
    </w:p>
    <w:p>
      <w:pPr>
        <w:ind w:left="300" w:hanging="300"/>
        <w:spacing w:after="0"/>
        <w:tabs>
          <w:tab w:leader="none" w:pos="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27951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7951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Rohit Kapoor</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Vice-Chairman and Chief Executive Officer</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29, 2021</w:t>
      </w:r>
    </w:p>
    <w:p>
      <w:pPr>
        <w:sectPr>
          <w:pgSz w:w="11900" w:h="16838" w:orient="portrait"/>
          <w:cols w:equalWidth="0" w:num="1">
            <w:col w:w="11240"/>
          </w:cols>
          <w:pgMar w:left="320" w:top="83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June 30, 2021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5" w:lineRule="exact"/>
        <w:rPr>
          <w:sz w:val="20"/>
          <w:szCs w:val="20"/>
          <w:color w:val="auto"/>
        </w:rPr>
      </w:pPr>
    </w:p>
    <w:p>
      <w:pPr>
        <w:ind w:left="300" w:hanging="300"/>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03" w:lineRule="exact"/>
        <w:rPr>
          <w:rFonts w:ascii="Arial" w:cs="Arial" w:eastAsia="Arial" w:hAnsi="Arial"/>
          <w:sz w:val="17"/>
          <w:szCs w:val="17"/>
          <w:color w:val="auto"/>
        </w:rPr>
      </w:pPr>
    </w:p>
    <w:p>
      <w:pPr>
        <w:ind w:left="300" w:hanging="300"/>
        <w:spacing w:after="0"/>
        <w:tabs>
          <w:tab w:leader="none" w:pos="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489394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893945" cy="7620"/>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Maurizio Nicolelli</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Chief Financial Officer</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July 29, 2021</w:t>
      </w:r>
    </w:p>
    <w:sectPr>
      <w:pgSz w:w="11900" w:h="16838" w:orient="portrait"/>
      <w:cols w:equalWidth="0" w:num="1">
        <w:col w:w="11240"/>
      </w:cols>
      <w:pgMar w:left="320" w:top="8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
    </w:lvl>
    <w:lvl w:ilvl="1">
      <w:lvlJc w:val="left"/>
      <w:lvlText w:val="(%2)"/>
      <w:numFmt w:val="decimal"/>
      <w:start w:val="1"/>
    </w:lvl>
  </w:abstractNum>
  <w:abstractNum w:abstractNumId="8">
    <w:nsid w:val="6B68079A"/>
    <w:multiLevelType w:val="hybridMultilevel"/>
    <w:lvl w:ilvl="0">
      <w:lvlJc w:val="left"/>
      <w:lvlText w:val="%1."/>
      <w:numFmt w:val="decimal"/>
      <w:start w:val="15"/>
    </w:lvl>
    <w:lvl w:ilvl="1">
      <w:lvlJc w:val="left"/>
      <w:lvlText w:val="%2"/>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94" Type="http://schemas.openxmlformats.org/officeDocument/2006/relationships/hyperlink" Target="http://www.sec.gov/Archives/edgar/data/1297989/000119312506214684/dex31.htm" TargetMode="External"/><Relationship Id="rId95" Type="http://schemas.openxmlformats.org/officeDocument/2006/relationships/hyperlink" Target="https://www.sec.gov/Archives/edgar/data/1297989/000104746919002609/a2238453zdef14a.htm" TargetMode="External"/><Relationship Id="rId96" Type="http://schemas.openxmlformats.org/officeDocument/2006/relationships/hyperlink" Target="https://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2021-07-29T16:55:36Z</dcterms:created>
  <dcterms:modified xsi:type="dcterms:W3CDTF">2021-07-29T16:55:36Z</dcterms:modified>
</cp:coreProperties>
</file>