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219075</wp:posOffset>
            </wp:positionV>
            <wp:extent cx="6740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260350</wp:posOffset>
            </wp:positionV>
            <wp:extent cx="6740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00"/>
        <w:spacing w:after="0"/>
        <w:rPr>
          <w:sz w:val="20"/>
          <w:szCs w:val="20"/>
          <w:color w:val="auto"/>
        </w:rPr>
      </w:pPr>
      <w:r>
        <w:rPr>
          <w:rFonts w:ascii="Calibri" w:cs="Calibri" w:eastAsia="Calibri" w:hAnsi="Calibri"/>
          <w:sz w:val="31"/>
          <w:szCs w:val="31"/>
          <w:b w:val="1"/>
          <w:bCs w:val="1"/>
          <w:color w:val="auto"/>
        </w:rPr>
        <w:t>UNITED STATES</w:t>
      </w:r>
    </w:p>
    <w:p>
      <w:pPr>
        <w:jc w:val="center"/>
        <w:ind w:right="-1100"/>
        <w:spacing w:after="0" w:line="239" w:lineRule="auto"/>
        <w:rPr>
          <w:sz w:val="20"/>
          <w:szCs w:val="20"/>
          <w:color w:val="auto"/>
        </w:rPr>
      </w:pPr>
      <w:r>
        <w:rPr>
          <w:rFonts w:ascii="Calibri" w:cs="Calibri" w:eastAsia="Calibri" w:hAnsi="Calibri"/>
          <w:sz w:val="31"/>
          <w:szCs w:val="31"/>
          <w:b w:val="1"/>
          <w:bCs w:val="1"/>
          <w:color w:val="auto"/>
        </w:rPr>
        <w:t>SECURITIES AND EXCHANGE COMMISSION</w:t>
      </w:r>
    </w:p>
    <w:p>
      <w:pPr>
        <w:spacing w:after="0" w:line="17" w:lineRule="exact"/>
        <w:rPr>
          <w:sz w:val="24"/>
          <w:szCs w:val="24"/>
          <w:color w:val="auto"/>
        </w:rPr>
      </w:pPr>
    </w:p>
    <w:p>
      <w:pPr>
        <w:ind w:left="4600"/>
        <w:spacing w:after="0"/>
        <w:rPr>
          <w:sz w:val="20"/>
          <w:szCs w:val="20"/>
          <w:color w:val="auto"/>
        </w:rPr>
      </w:pPr>
      <w:r>
        <w:rPr>
          <w:rFonts w:ascii="Calibri" w:cs="Calibri" w:eastAsia="Calibri" w:hAnsi="Calibri"/>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421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304" w:lineRule="exact"/>
        <w:rPr>
          <w:sz w:val="24"/>
          <w:szCs w:val="24"/>
          <w:color w:val="auto"/>
        </w:rPr>
      </w:pPr>
    </w:p>
    <w:p>
      <w:pPr>
        <w:jc w:val="center"/>
        <w:ind w:right="-1100"/>
        <w:spacing w:after="0"/>
        <w:rPr>
          <w:sz w:val="20"/>
          <w:szCs w:val="20"/>
          <w:color w:val="auto"/>
        </w:rPr>
      </w:pPr>
      <w:r>
        <w:rPr>
          <w:rFonts w:ascii="Calibri" w:cs="Calibri" w:eastAsia="Calibri" w:hAnsi="Calibri"/>
          <w:sz w:val="31"/>
          <w:szCs w:val="31"/>
          <w:b w:val="1"/>
          <w:bCs w:val="1"/>
          <w:color w:val="auto"/>
        </w:rPr>
        <w:t>SCHEDULE 14A</w:t>
      </w:r>
    </w:p>
    <w:p>
      <w:pPr>
        <w:spacing w:after="0" w:line="121" w:lineRule="exact"/>
        <w:rPr>
          <w:sz w:val="24"/>
          <w:szCs w:val="24"/>
          <w:color w:val="auto"/>
        </w:rPr>
      </w:pPr>
    </w:p>
    <w:p>
      <w:pPr>
        <w:jc w:val="center"/>
        <w:ind w:right="-1100"/>
        <w:spacing w:after="0"/>
        <w:rPr>
          <w:sz w:val="20"/>
          <w:szCs w:val="20"/>
          <w:color w:val="auto"/>
        </w:rPr>
      </w:pPr>
      <w:r>
        <w:rPr>
          <w:rFonts w:ascii="Calibri" w:cs="Calibri" w:eastAsia="Calibri" w:hAnsi="Calibri"/>
          <w:sz w:val="21"/>
          <w:szCs w:val="21"/>
          <w:b w:val="1"/>
          <w:bCs w:val="1"/>
          <w:color w:val="auto"/>
        </w:rPr>
        <w:t>Proxy Statement Pursuant to Secton 14(a) of the</w:t>
      </w:r>
    </w:p>
    <w:p>
      <w:pPr>
        <w:spacing w:after="0" w:line="4" w:lineRule="exact"/>
        <w:rPr>
          <w:sz w:val="24"/>
          <w:szCs w:val="24"/>
          <w:color w:val="auto"/>
        </w:rPr>
      </w:pPr>
    </w:p>
    <w:p>
      <w:pPr>
        <w:jc w:val="center"/>
        <w:ind w:right="-1100"/>
        <w:spacing w:after="0"/>
        <w:rPr>
          <w:sz w:val="20"/>
          <w:szCs w:val="20"/>
          <w:color w:val="auto"/>
        </w:rPr>
      </w:pPr>
      <w:r>
        <w:rPr>
          <w:rFonts w:ascii="Calibri" w:cs="Calibri" w:eastAsia="Calibri" w:hAnsi="Calibri"/>
          <w:sz w:val="21"/>
          <w:szCs w:val="21"/>
          <w:b w:val="1"/>
          <w:bCs w:val="1"/>
          <w:color w:val="auto"/>
        </w:rPr>
        <w:t>Securites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421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86" w:lineRule="exact"/>
        <w:rPr>
          <w:sz w:val="24"/>
          <w:szCs w:val="24"/>
          <w:color w:val="auto"/>
        </w:rPr>
      </w:pPr>
    </w:p>
    <w:p>
      <w:pPr>
        <w:ind w:left="320"/>
        <w:spacing w:after="0" w:line="209" w:lineRule="exact"/>
        <w:tabs>
          <w:tab w:leader="none" w:pos="2280" w:val="left"/>
          <w:tab w:leader="none" w:pos="2460" w:val="left"/>
          <w:tab w:leader="none" w:pos="2620" w:val="left"/>
          <w:tab w:leader="none" w:pos="2800" w:val="left"/>
          <w:tab w:leader="none" w:pos="2980" w:val="left"/>
          <w:tab w:leader="none" w:pos="3140" w:val="left"/>
          <w:tab w:leader="none" w:pos="3360" w:val="left"/>
        </w:tabs>
        <w:rPr>
          <w:sz w:val="20"/>
          <w:szCs w:val="20"/>
          <w:color w:val="auto"/>
        </w:rPr>
      </w:pPr>
      <w:r>
        <w:rPr>
          <w:rFonts w:ascii="Calibri" w:cs="Calibri" w:eastAsia="Calibri" w:hAnsi="Calibri"/>
          <w:sz w:val="17"/>
          <w:szCs w:val="17"/>
          <w:color w:val="auto"/>
        </w:rPr>
        <w:t xml:space="preserve">Filed by the Registrant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w:t>
        <w:tab/>
        <w:t> </w:t>
        <w:tab/>
        <w:t> </w:t>
        <w:tab/>
        <w:t> </w:t>
        <w:tab/>
        <w:t> </w:t>
        <w:tab/>
        <w:t> </w:t>
        <w:tab/>
        <w:t> </w:t>
      </w:r>
      <w:r>
        <w:rPr>
          <w:sz w:val="20"/>
          <w:szCs w:val="20"/>
          <w:color w:val="auto"/>
        </w:rPr>
        <w:tab/>
      </w:r>
      <w:r>
        <w:rPr>
          <w:rFonts w:ascii="Calibri" w:cs="Calibri" w:eastAsia="Calibri" w:hAnsi="Calibri"/>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2" w:lineRule="exact"/>
        <w:rPr>
          <w:sz w:val="24"/>
          <w:szCs w:val="24"/>
          <w:color w:val="auto"/>
        </w:rPr>
      </w:pPr>
    </w:p>
    <w:p>
      <w:pPr>
        <w:ind w:left="320"/>
        <w:spacing w:after="0"/>
        <w:rPr>
          <w:sz w:val="20"/>
          <w:szCs w:val="20"/>
          <w:color w:val="auto"/>
        </w:rPr>
      </w:pPr>
      <w:r>
        <w:rPr>
          <w:rFonts w:ascii="Calibri" w:cs="Calibri" w:eastAsia="Calibri" w:hAnsi="Calibri"/>
          <w:sz w:val="17"/>
          <w:szCs w:val="17"/>
          <w:color w:val="auto"/>
        </w:rPr>
        <w:t>Check the appropriate box:</w:t>
      </w:r>
    </w:p>
    <w:p>
      <w:pPr>
        <w:spacing w:after="0" w:line="118" w:lineRule="exact"/>
        <w:rPr>
          <w:sz w:val="24"/>
          <w:szCs w:val="24"/>
          <w:color w:val="auto"/>
        </w:rPr>
      </w:pPr>
    </w:p>
    <w:p>
      <w:pPr>
        <w:ind w:left="840" w:hanging="524"/>
        <w:spacing w:after="0"/>
        <w:tabs>
          <w:tab w:leader="none" w:pos="840" w:val="left"/>
        </w:tabs>
        <w:numPr>
          <w:ilvl w:val="0"/>
          <w:numId w:val="1"/>
        </w:numPr>
        <w:rPr>
          <w:rFonts w:ascii="MS PGothic" w:cs="MS PGothic" w:eastAsia="MS PGothic" w:hAnsi="MS PGothic"/>
          <w:sz w:val="17"/>
          <w:szCs w:val="17"/>
          <w:color w:val="auto"/>
        </w:rPr>
      </w:pPr>
      <w:r>
        <w:rPr>
          <w:rFonts w:ascii="Calibri" w:cs="Calibri" w:eastAsia="Calibri" w:hAnsi="Calibri"/>
          <w:sz w:val="17"/>
          <w:szCs w:val="17"/>
          <w:color w:val="auto"/>
        </w:rPr>
        <w:t>Preliminary Proxy Statement</w:t>
      </w:r>
    </w:p>
    <w:p>
      <w:pPr>
        <w:spacing w:after="0" w:line="104" w:lineRule="exact"/>
        <w:rPr>
          <w:rFonts w:ascii="MS PGothic" w:cs="MS PGothic" w:eastAsia="MS PGothic" w:hAnsi="MS PGothic"/>
          <w:sz w:val="17"/>
          <w:szCs w:val="17"/>
          <w:color w:val="auto"/>
        </w:rPr>
      </w:pPr>
    </w:p>
    <w:p>
      <w:pPr>
        <w:ind w:left="840" w:hanging="524"/>
        <w:spacing w:after="0"/>
        <w:tabs>
          <w:tab w:leader="none" w:pos="840" w:val="left"/>
        </w:tabs>
        <w:numPr>
          <w:ilvl w:val="0"/>
          <w:numId w:val="1"/>
        </w:numPr>
        <w:rPr>
          <w:rFonts w:ascii="MS PGothic" w:cs="MS PGothic" w:eastAsia="MS PGothic" w:hAnsi="MS PGothic"/>
          <w:sz w:val="17"/>
          <w:szCs w:val="17"/>
          <w:color w:val="auto"/>
        </w:rPr>
      </w:pPr>
      <w:r>
        <w:rPr>
          <w:rFonts w:ascii="Calibri" w:cs="Calibri" w:eastAsia="Calibri" w:hAnsi="Calibri"/>
          <w:sz w:val="17"/>
          <w:szCs w:val="17"/>
          <w:color w:val="auto"/>
        </w:rPr>
        <w:t>Confdental, for Use of the Commission Only (as permited by Rule 14a-6(e)(2))</w:t>
      </w:r>
    </w:p>
    <w:p>
      <w:pPr>
        <w:spacing w:after="0" w:line="105" w:lineRule="exact"/>
        <w:rPr>
          <w:sz w:val="24"/>
          <w:szCs w:val="24"/>
          <w:color w:val="auto"/>
        </w:rPr>
      </w:pPr>
    </w:p>
    <w:p>
      <w:pPr>
        <w:ind w:left="840" w:hanging="524"/>
        <w:spacing w:after="0"/>
        <w:tabs>
          <w:tab w:leader="none" w:pos="840" w:val="left"/>
        </w:tabs>
        <w:numPr>
          <w:ilvl w:val="0"/>
          <w:numId w:val="2"/>
        </w:numPr>
        <w:rPr>
          <w:rFonts w:ascii="MS PGothic" w:cs="MS PGothic" w:eastAsia="MS PGothic" w:hAnsi="MS PGothic"/>
          <w:sz w:val="17"/>
          <w:szCs w:val="17"/>
          <w:color w:val="auto"/>
        </w:rPr>
      </w:pPr>
      <w:r>
        <w:rPr>
          <w:rFonts w:ascii="Calibri" w:cs="Calibri" w:eastAsia="Calibri" w:hAnsi="Calibri"/>
          <w:sz w:val="17"/>
          <w:szCs w:val="17"/>
          <w:color w:val="auto"/>
        </w:rPr>
        <w:t>Defnitve Proxy Statement</w:t>
      </w:r>
    </w:p>
    <w:p>
      <w:pPr>
        <w:spacing w:after="0" w:line="105" w:lineRule="exact"/>
        <w:rPr>
          <w:sz w:val="24"/>
          <w:szCs w:val="24"/>
          <w:color w:val="auto"/>
        </w:rPr>
      </w:pPr>
    </w:p>
    <w:p>
      <w:pPr>
        <w:ind w:left="840" w:hanging="524"/>
        <w:spacing w:after="0"/>
        <w:tabs>
          <w:tab w:leader="none" w:pos="840" w:val="left"/>
        </w:tabs>
        <w:numPr>
          <w:ilvl w:val="0"/>
          <w:numId w:val="3"/>
        </w:numPr>
        <w:rPr>
          <w:rFonts w:ascii="MS PGothic" w:cs="MS PGothic" w:eastAsia="MS PGothic" w:hAnsi="MS PGothic"/>
          <w:sz w:val="17"/>
          <w:szCs w:val="17"/>
          <w:color w:val="auto"/>
        </w:rPr>
      </w:pPr>
      <w:r>
        <w:rPr>
          <w:rFonts w:ascii="Calibri" w:cs="Calibri" w:eastAsia="Calibri" w:hAnsi="Calibri"/>
          <w:sz w:val="17"/>
          <w:szCs w:val="17"/>
          <w:color w:val="auto"/>
        </w:rPr>
        <w:t>Defnitve Additonal Materials</w:t>
      </w:r>
    </w:p>
    <w:p>
      <w:pPr>
        <w:spacing w:after="0" w:line="104" w:lineRule="exact"/>
        <w:rPr>
          <w:rFonts w:ascii="MS PGothic" w:cs="MS PGothic" w:eastAsia="MS PGothic" w:hAnsi="MS PGothic"/>
          <w:sz w:val="17"/>
          <w:szCs w:val="17"/>
          <w:color w:val="auto"/>
        </w:rPr>
      </w:pPr>
    </w:p>
    <w:p>
      <w:pPr>
        <w:ind w:left="840" w:hanging="524"/>
        <w:spacing w:after="0"/>
        <w:tabs>
          <w:tab w:leader="none" w:pos="840" w:val="left"/>
        </w:tabs>
        <w:numPr>
          <w:ilvl w:val="0"/>
          <w:numId w:val="3"/>
        </w:numPr>
        <w:rPr>
          <w:rFonts w:ascii="MS PGothic" w:cs="MS PGothic" w:eastAsia="MS PGothic" w:hAnsi="MS PGothic"/>
          <w:sz w:val="17"/>
          <w:szCs w:val="17"/>
          <w:color w:val="auto"/>
        </w:rPr>
      </w:pPr>
      <w:r>
        <w:rPr>
          <w:rFonts w:ascii="Calibri" w:cs="Calibri" w:eastAsia="Calibri" w:hAnsi="Calibri"/>
          <w:sz w:val="17"/>
          <w:szCs w:val="17"/>
          <w:color w:val="auto"/>
        </w:rPr>
        <w:t>Solicitng Material Under Rule 240.14a-12</w:t>
      </w:r>
    </w:p>
    <w:p>
      <w:pPr>
        <w:spacing w:after="0" w:line="82" w:lineRule="exact"/>
        <w:rPr>
          <w:sz w:val="24"/>
          <w:szCs w:val="24"/>
          <w:color w:val="auto"/>
        </w:rPr>
      </w:pPr>
    </w:p>
    <w:p>
      <w:pPr>
        <w:jc w:val="center"/>
        <w:ind w:right="-1100"/>
        <w:spacing w:after="0"/>
        <w:rPr>
          <w:sz w:val="20"/>
          <w:szCs w:val="20"/>
          <w:color w:val="auto"/>
        </w:rPr>
      </w:pPr>
      <w:r>
        <w:rPr>
          <w:rFonts w:ascii="Calibri" w:cs="Calibri" w:eastAsia="Calibri" w:hAnsi="Calibri"/>
          <w:sz w:val="38"/>
          <w:szCs w:val="38"/>
          <w:b w:val="1"/>
          <w:bCs w:val="1"/>
          <w:color w:val="auto"/>
        </w:rPr>
        <w:t>ExlService Holdings, Inc.</w:t>
      </w:r>
    </w:p>
    <w:p>
      <w:pPr>
        <w:spacing w:after="0" w:line="14" w:lineRule="exact"/>
        <w:rPr>
          <w:sz w:val="24"/>
          <w:szCs w:val="24"/>
          <w:color w:val="auto"/>
        </w:rPr>
      </w:pPr>
    </w:p>
    <w:p>
      <w:pPr>
        <w:jc w:val="center"/>
        <w:ind w:right="-1100"/>
        <w:spacing w:after="0"/>
        <w:rPr>
          <w:sz w:val="20"/>
          <w:szCs w:val="20"/>
          <w:color w:val="auto"/>
        </w:rPr>
      </w:pPr>
      <w:r>
        <w:rPr>
          <w:rFonts w:ascii="Calibri" w:cs="Calibri" w:eastAsia="Calibri" w:hAnsi="Calibri"/>
          <w:sz w:val="17"/>
          <w:szCs w:val="17"/>
          <w:b w:val="1"/>
          <w:bCs w:val="1"/>
          <w:color w:val="auto"/>
        </w:rPr>
        <w:t>(Name of Registrant as Specifed In Its Charter)</w:t>
      </w:r>
    </w:p>
    <w:p>
      <w:pPr>
        <w:spacing w:after="0" w:line="107" w:lineRule="exact"/>
        <w:rPr>
          <w:sz w:val="24"/>
          <w:szCs w:val="24"/>
          <w:color w:val="auto"/>
        </w:rPr>
      </w:pPr>
    </w:p>
    <w:p>
      <w:pPr>
        <w:ind w:left="3580"/>
        <w:spacing w:after="0"/>
        <w:rPr>
          <w:sz w:val="20"/>
          <w:szCs w:val="20"/>
          <w:color w:val="auto"/>
        </w:rPr>
      </w:pPr>
      <w:r>
        <w:rPr>
          <w:rFonts w:ascii="Calibri" w:cs="Calibri" w:eastAsia="Calibri" w:hAnsi="Calibri"/>
          <w:sz w:val="14"/>
          <w:szCs w:val="14"/>
          <w:b w:val="1"/>
          <w:bCs w:val="1"/>
          <w:color w:val="auto"/>
        </w:rPr>
        <w:t>(Name of Person(s) Filing Proxy Statement, if other than the Registrant)</w:t>
      </w:r>
    </w:p>
    <w:p>
      <w:pPr>
        <w:spacing w:after="0" w:line="100" w:lineRule="exact"/>
        <w:rPr>
          <w:sz w:val="24"/>
          <w:szCs w:val="24"/>
          <w:color w:val="auto"/>
        </w:rPr>
      </w:pPr>
    </w:p>
    <w:p>
      <w:pPr>
        <w:ind w:left="320"/>
        <w:spacing w:after="0"/>
        <w:rPr>
          <w:sz w:val="20"/>
          <w:szCs w:val="20"/>
          <w:color w:val="auto"/>
        </w:rPr>
      </w:pPr>
      <w:r>
        <w:rPr>
          <w:rFonts w:ascii="Calibri" w:cs="Calibri" w:eastAsia="Calibri" w:hAnsi="Calibri"/>
          <w:sz w:val="17"/>
          <w:szCs w:val="17"/>
          <w:color w:val="auto"/>
        </w:rPr>
        <w:t>Payment of Filing Fee (Check the appropriate box):</w:t>
      </w:r>
    </w:p>
    <w:p>
      <w:pPr>
        <w:spacing w:after="0" w:line="118" w:lineRule="exact"/>
        <w:rPr>
          <w:sz w:val="24"/>
          <w:szCs w:val="24"/>
          <w:color w:val="auto"/>
        </w:rPr>
      </w:pPr>
    </w:p>
    <w:p>
      <w:pPr>
        <w:ind w:left="860" w:hanging="544"/>
        <w:spacing w:after="0"/>
        <w:tabs>
          <w:tab w:leader="none" w:pos="860" w:val="left"/>
        </w:tabs>
        <w:numPr>
          <w:ilvl w:val="0"/>
          <w:numId w:val="4"/>
        </w:numPr>
        <w:rPr>
          <w:rFonts w:ascii="MS PGothic" w:cs="MS PGothic" w:eastAsia="MS PGothic" w:hAnsi="MS PGothic"/>
          <w:sz w:val="17"/>
          <w:szCs w:val="17"/>
          <w:color w:val="auto"/>
        </w:rPr>
      </w:pPr>
      <w:r>
        <w:rPr>
          <w:rFonts w:ascii="Calibri" w:cs="Calibri" w:eastAsia="Calibri" w:hAnsi="Calibri"/>
          <w:sz w:val="17"/>
          <w:szCs w:val="17"/>
          <w:color w:val="auto"/>
        </w:rPr>
        <w:t>No fee required.</w:t>
      </w:r>
    </w:p>
    <w:p>
      <w:pPr>
        <w:spacing w:after="0" w:line="53" w:lineRule="exact"/>
        <w:rPr>
          <w:sz w:val="24"/>
          <w:szCs w:val="24"/>
          <w:color w:val="auto"/>
        </w:rPr>
      </w:pPr>
    </w:p>
    <w:p>
      <w:pPr>
        <w:ind w:left="860" w:hanging="544"/>
        <w:spacing w:after="0"/>
        <w:tabs>
          <w:tab w:leader="none" w:pos="860" w:val="left"/>
        </w:tabs>
        <w:numPr>
          <w:ilvl w:val="0"/>
          <w:numId w:val="5"/>
        </w:numPr>
        <w:rPr>
          <w:rFonts w:ascii="MS PGothic" w:cs="MS PGothic" w:eastAsia="MS PGothic" w:hAnsi="MS PGothic"/>
          <w:sz w:val="17"/>
          <w:szCs w:val="17"/>
          <w:color w:val="auto"/>
        </w:rPr>
      </w:pPr>
      <w:r>
        <w:rPr>
          <w:rFonts w:ascii="Calibri" w:cs="Calibri" w:eastAsia="Calibri" w:hAnsi="Calibri"/>
          <w:sz w:val="17"/>
          <w:szCs w:val="17"/>
          <w:color w:val="auto"/>
        </w:rPr>
        <w:t>Fee paid previously with preliminary materials.</w:t>
      </w:r>
    </w:p>
    <w:p>
      <w:pPr>
        <w:spacing w:after="0" w:line="52" w:lineRule="exact"/>
        <w:rPr>
          <w:rFonts w:ascii="MS PGothic" w:cs="MS PGothic" w:eastAsia="MS PGothic" w:hAnsi="MS PGothic"/>
          <w:sz w:val="17"/>
          <w:szCs w:val="17"/>
          <w:color w:val="auto"/>
        </w:rPr>
      </w:pPr>
    </w:p>
    <w:p>
      <w:pPr>
        <w:ind w:left="860" w:hanging="544"/>
        <w:spacing w:after="0"/>
        <w:tabs>
          <w:tab w:leader="none" w:pos="860" w:val="left"/>
        </w:tabs>
        <w:numPr>
          <w:ilvl w:val="0"/>
          <w:numId w:val="5"/>
        </w:numPr>
        <w:rPr>
          <w:rFonts w:ascii="MS PGothic" w:cs="MS PGothic" w:eastAsia="MS PGothic" w:hAnsi="MS PGothic"/>
          <w:sz w:val="17"/>
          <w:szCs w:val="17"/>
          <w:color w:val="auto"/>
        </w:rPr>
      </w:pPr>
      <w:r>
        <w:rPr>
          <w:rFonts w:ascii="Calibri" w:cs="Calibri" w:eastAsia="Calibri" w:hAnsi="Calibri"/>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97155</wp:posOffset>
            </wp:positionV>
            <wp:extent cx="6740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138430</wp:posOffset>
            </wp:positionV>
            <wp:extent cx="6740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ectPr>
          <w:pgSz w:w="11900" w:h="16838" w:orient="portrait"/>
          <w:cols w:equalWidth="0" w:num="1">
            <w:col w:w="10139"/>
          </w:cols>
          <w:pgMar w:left="320" w:top="47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Calibri" w:cs="Calibri" w:eastAsia="Calibri" w:hAnsi="Calibri"/>
          <w:sz w:val="17"/>
          <w:szCs w:val="17"/>
          <w:b w:val="1"/>
          <w:bCs w:val="1"/>
          <w:color w:val="auto"/>
        </w:rPr>
        <w:t>320 Park Avenue, 29th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603250" cy="2311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250" cy="231140"/>
                    </a:xfrm>
                    <a:prstGeom prst="rect">
                      <a:avLst/>
                    </a:prstGeom>
                    <a:noFill/>
                  </pic:spPr>
                </pic:pic>
              </a:graphicData>
            </a:graphic>
          </wp:anchor>
        </w:drawing>
      </w:r>
    </w:p>
    <w:p>
      <w:pPr>
        <w:jc w:val="right"/>
        <w:spacing w:after="0"/>
        <w:rPr>
          <w:sz w:val="20"/>
          <w:szCs w:val="20"/>
          <w:color w:val="auto"/>
        </w:rPr>
      </w:pPr>
      <w:r>
        <w:rPr>
          <w:rFonts w:ascii="Calibri" w:cs="Calibri" w:eastAsia="Calibri" w:hAnsi="Calibri"/>
          <w:sz w:val="17"/>
          <w:szCs w:val="17"/>
          <w:b w:val="1"/>
          <w:bCs w:val="1"/>
          <w:color w:val="auto"/>
        </w:rPr>
        <w:t>New York, NY 10022</w:t>
      </w:r>
    </w:p>
    <w:p>
      <w:pPr>
        <w:spacing w:after="0" w:line="1" w:lineRule="exact"/>
        <w:rPr>
          <w:sz w:val="20"/>
          <w:szCs w:val="20"/>
          <w:color w:val="auto"/>
        </w:rPr>
      </w:pPr>
    </w:p>
    <w:p>
      <w:pPr>
        <w:jc w:val="right"/>
        <w:spacing w:after="0"/>
        <w:rPr>
          <w:sz w:val="20"/>
          <w:szCs w:val="20"/>
          <w:color w:val="auto"/>
        </w:rPr>
      </w:pPr>
      <w:r>
        <w:rPr>
          <w:rFonts w:ascii="Calibri" w:cs="Calibri" w:eastAsia="Calibri" w:hAnsi="Calibri"/>
          <w:sz w:val="17"/>
          <w:szCs w:val="17"/>
          <w:b w:val="1"/>
          <w:bCs w:val="1"/>
          <w:color w:val="auto"/>
        </w:rPr>
        <w:t>(212) 277-7100</w:t>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Dear Stockholder,</w:t>
      </w:r>
    </w:p>
    <w:p>
      <w:pPr>
        <w:spacing w:after="0" w:line="236" w:lineRule="exact"/>
        <w:rPr>
          <w:sz w:val="20"/>
          <w:szCs w:val="20"/>
          <w:color w:val="auto"/>
        </w:rPr>
      </w:pPr>
    </w:p>
    <w:p>
      <w:pPr>
        <w:ind w:left="320" w:right="4640"/>
        <w:spacing w:after="0" w:line="257" w:lineRule="auto"/>
        <w:rPr>
          <w:sz w:val="20"/>
          <w:szCs w:val="20"/>
          <w:color w:val="auto"/>
        </w:rPr>
      </w:pPr>
      <w:r>
        <w:rPr>
          <w:rFonts w:ascii="Calibri" w:cs="Calibri" w:eastAsia="Calibri" w:hAnsi="Calibri"/>
          <w:sz w:val="16"/>
          <w:szCs w:val="16"/>
          <w:color w:val="auto"/>
        </w:rPr>
        <w:t>As we refect on the past year, 2023 was defned by growth and contnued evoluton. The most signifcant development was EXL’s contnued integraton of emerging artfcial intelligence (“AI”) technology into our longstanding data-led strategy. We achieved this by unlocking key synergies between data and AI. To create beter outcomes for our clients, we leverage our deep experience with data to employ AI in more reliable ways, and we use AI to refne and enrich our data. This integraton of AI into our data-led strategy positoned us well for industry-leading performance over the past year and will contnue to do so looking forward to 2024, our 25</w:t>
      </w:r>
      <w:r>
        <w:rPr>
          <w:rFonts w:ascii="Calibri" w:cs="Calibri" w:eastAsia="Calibri" w:hAnsi="Calibri"/>
          <w:sz w:val="12"/>
          <w:szCs w:val="12"/>
          <w:color w:val="auto"/>
        </w:rPr>
        <w:t>th</w:t>
      </w:r>
      <w:r>
        <w:rPr>
          <w:rFonts w:ascii="Calibri" w:cs="Calibri" w:eastAsia="Calibri" w:hAnsi="Calibri"/>
          <w:sz w:val="16"/>
          <w:szCs w:val="16"/>
          <w:color w:val="auto"/>
        </w:rPr>
        <w:t xml:space="preserve"> anniversary year,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-1023620</wp:posOffset>
            </wp:positionV>
            <wp:extent cx="2775585" cy="2221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75585" cy="2221865"/>
                    </a:xfrm>
                    <a:prstGeom prst="rect">
                      <a:avLst/>
                    </a:prstGeom>
                    <a:noFill/>
                  </pic:spPr>
                </pic:pic>
              </a:graphicData>
            </a:graphic>
          </wp:anchor>
        </w:drawing>
      </w:r>
    </w:p>
    <w:p>
      <w:pPr>
        <w:spacing w:after="0" w:line="180" w:lineRule="exact"/>
        <w:rPr>
          <w:sz w:val="20"/>
          <w:szCs w:val="20"/>
          <w:color w:val="auto"/>
        </w:rPr>
      </w:pPr>
    </w:p>
    <w:p>
      <w:pPr>
        <w:ind w:left="320" w:right="4720"/>
        <w:spacing w:after="0" w:line="239" w:lineRule="auto"/>
        <w:rPr>
          <w:sz w:val="20"/>
          <w:szCs w:val="20"/>
          <w:color w:val="auto"/>
        </w:rPr>
      </w:pPr>
      <w:r>
        <w:rPr>
          <w:rFonts w:ascii="Calibri" w:cs="Calibri" w:eastAsia="Calibri" w:hAnsi="Calibri"/>
          <w:sz w:val="17"/>
          <w:szCs w:val="17"/>
          <w:color w:val="auto"/>
        </w:rPr>
        <w:t>Our earnings numbers help tell that story. In 2023, we generated strong growth across both Analytcs and Digital Operatons and Solutons. Our 2023 revenue was</w:t>
      </w:r>
    </w:p>
    <w:p>
      <w:pPr>
        <w:spacing w:after="0" w:line="3" w:lineRule="exact"/>
        <w:rPr>
          <w:sz w:val="20"/>
          <w:szCs w:val="20"/>
          <w:color w:val="auto"/>
        </w:rPr>
      </w:pPr>
    </w:p>
    <w:p>
      <w:pPr>
        <w:ind w:left="320" w:right="4820"/>
        <w:spacing w:after="0" w:line="239" w:lineRule="auto"/>
        <w:rPr>
          <w:sz w:val="20"/>
          <w:szCs w:val="20"/>
          <w:color w:val="auto"/>
        </w:rPr>
      </w:pPr>
      <w:r>
        <w:rPr>
          <w:rFonts w:ascii="Calibri" w:cs="Calibri" w:eastAsia="Calibri" w:hAnsi="Calibri"/>
          <w:sz w:val="17"/>
          <w:szCs w:val="17"/>
          <w:color w:val="auto"/>
        </w:rPr>
        <w:t>$1.63 billion, representng growth of 16% over 2022. We also grew adjusted EPS</w:t>
      </w:r>
      <w:r>
        <w:rPr>
          <w:rFonts w:ascii="Calibri" w:cs="Calibri" w:eastAsia="Calibri" w:hAnsi="Calibri"/>
          <w:sz w:val="13"/>
          <w:szCs w:val="13"/>
          <w:color w:val="auto"/>
        </w:rPr>
        <w:t>(1)</w:t>
      </w:r>
      <w:r>
        <w:rPr>
          <w:rFonts w:ascii="Calibri" w:cs="Calibri" w:eastAsia="Calibri" w:hAnsi="Calibri"/>
          <w:sz w:val="17"/>
          <w:szCs w:val="17"/>
          <w:color w:val="auto"/>
        </w:rPr>
        <w:t xml:space="preserve"> to $1.43, up 19% from $1.20 in 2022.</w:t>
      </w:r>
    </w:p>
    <w:p>
      <w:pPr>
        <w:spacing w:after="0" w:line="211" w:lineRule="exact"/>
        <w:rPr>
          <w:sz w:val="20"/>
          <w:szCs w:val="20"/>
          <w:color w:val="auto"/>
        </w:rPr>
      </w:pPr>
    </w:p>
    <w:p>
      <w:pPr>
        <w:ind w:left="320" w:right="4840"/>
        <w:spacing w:after="0"/>
        <w:rPr>
          <w:sz w:val="20"/>
          <w:szCs w:val="20"/>
          <w:color w:val="auto"/>
        </w:rPr>
      </w:pPr>
      <w:r>
        <w:rPr>
          <w:rFonts w:ascii="Calibri" w:cs="Calibri" w:eastAsia="Calibri" w:hAnsi="Calibri"/>
          <w:sz w:val="17"/>
          <w:szCs w:val="17"/>
          <w:color w:val="auto"/>
        </w:rPr>
        <w:t>Our ability to contnue executng at this high level, despite fast-moving changes in technology and market dynamics, is the result of sound executon, our diferentated strategy, our balanced portolio of businesses and our amazing team of more than 50,000 people commited to constant improvement. In 2023, we established an AI</w:t>
      </w:r>
    </w:p>
    <w:p>
      <w:pPr>
        <w:spacing w:after="0" w:line="3"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Center of Excellence with 1,500 specialists. Our employees spent 1.3 million hours training through our democratzed self-learning platorm, with more than a quarter of our employees taking advantage of AI training and development tools and more than 57% of our employees partcipatng in digital skills training. We developed several generatve AI applicatons for internal use in areas such as employee self-service, recruitng and fnance, and embedded AI into our core solutons. We now have more than 150 AI use cases, with over 30 deployments in producton with go-live for 6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254635</wp:posOffset>
            </wp:positionV>
            <wp:extent cx="7435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362" w:lineRule="exact"/>
        <w:rPr>
          <w:sz w:val="20"/>
          <w:szCs w:val="20"/>
          <w:color w:val="auto"/>
        </w:rPr>
      </w:pPr>
    </w:p>
    <w:p>
      <w:pPr>
        <w:ind w:left="460" w:hanging="144"/>
        <w:spacing w:after="0"/>
        <w:tabs>
          <w:tab w:leader="none" w:pos="460" w:val="left"/>
        </w:tabs>
        <w:numPr>
          <w:ilvl w:val="0"/>
          <w:numId w:val="6"/>
        </w:numPr>
        <w:rPr>
          <w:rFonts w:ascii="Calibri" w:cs="Calibri" w:eastAsia="Calibri" w:hAnsi="Calibri"/>
          <w:sz w:val="18"/>
          <w:szCs w:val="18"/>
          <w:color w:val="auto"/>
          <w:vertAlign w:val="superscript"/>
        </w:rPr>
      </w:pPr>
      <w:r>
        <w:rPr>
          <w:rFonts w:ascii="Calibri" w:cs="Calibri" w:eastAsia="Calibri" w:hAnsi="Calibri"/>
          <w:sz w:val="12"/>
          <w:szCs w:val="12"/>
          <w:color w:val="auto"/>
        </w:rPr>
        <w:t>Adjusted EPS is a non-GAAP fnancial measure. See “Non-GAAP Reconciliaton” later in this proxy statement.</w:t>
      </w:r>
    </w:p>
    <w:p>
      <w:pPr>
        <w:spacing w:after="0" w:line="302"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434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640" w:type="dxa"/>
            <w:vAlign w:val="bottom"/>
            <w:vMerge w:val="restart"/>
          </w:tcPr>
          <w:p>
            <w:pPr>
              <w:ind w:left="4140"/>
              <w:spacing w:after="0"/>
              <w:rPr>
                <w:sz w:val="20"/>
                <w:szCs w:val="20"/>
                <w:color w:val="auto"/>
              </w:rPr>
            </w:pPr>
            <w:r>
              <w:rPr>
                <w:rFonts w:ascii="Calibri" w:cs="Calibri" w:eastAsia="Calibri" w:hAnsi="Calibri"/>
                <w:sz w:val="13"/>
                <w:szCs w:val="13"/>
                <w:color w:val="auto"/>
                <w:w w:val="97"/>
              </w:rPr>
              <w:t>EXL 2024 Proxy Statement </w:t>
            </w:r>
          </w:p>
        </w:tc>
        <w:tc>
          <w:tcPr>
            <w:tcW w:w="3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34"/>
                <w:szCs w:val="34"/>
                <w:b w:val="1"/>
                <w:bCs w:val="1"/>
                <w:color w:val="000000"/>
                <w:vertAlign w:val="superscript"/>
              </w:rPr>
              <w:t xml:space="preserve"> </w:t>
            </w:r>
          </w:p>
        </w:tc>
        <w:tc>
          <w:tcPr>
            <w:tcW w:w="0" w:type="dxa"/>
            <w:vAlign w:val="bottom"/>
          </w:tcPr>
          <w:p>
            <w:pPr>
              <w:spacing w:after="0"/>
              <w:rPr>
                <w:sz w:val="1"/>
                <w:szCs w:val="1"/>
                <w:color w:val="auto"/>
              </w:rPr>
            </w:pPr>
          </w:p>
        </w:tc>
      </w:tr>
      <w:tr>
        <w:trPr>
          <w:trHeight w:val="260"/>
        </w:trPr>
        <w:tc>
          <w:tcPr>
            <w:tcW w:w="4340" w:type="dxa"/>
            <w:vAlign w:val="bottom"/>
          </w:tcPr>
          <w:p>
            <w:pPr>
              <w:spacing w:after="0"/>
              <w:rPr>
                <w:sz w:val="22"/>
                <w:szCs w:val="22"/>
                <w:color w:val="auto"/>
              </w:rPr>
            </w:pPr>
          </w:p>
        </w:tc>
        <w:tc>
          <w:tcPr>
            <w:tcW w:w="5640" w:type="dxa"/>
            <w:vAlign w:val="bottom"/>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 w:right="200"/>
        <w:spacing w:after="0"/>
        <w:rPr>
          <w:sz w:val="20"/>
          <w:szCs w:val="20"/>
          <w:color w:val="auto"/>
        </w:rPr>
      </w:pPr>
      <w:r>
        <w:rPr>
          <w:rFonts w:ascii="Calibri" w:cs="Calibri" w:eastAsia="Calibri" w:hAnsi="Calibri"/>
          <w:sz w:val="17"/>
          <w:szCs w:val="17"/>
          <w:color w:val="auto"/>
        </w:rPr>
        <w:t>This year’s Proxy Statement highlights contnued progress on our sustainability eforts, which contribute to our business success. We have installed solar power projects at several of our centers in India and also transitoned several centers in India and the UK to renewable energy through open access arrangements, which has helped reduce our Scope 2 greenhouse gas emissions. We have contnued our focus on diversity, equity and inclusion by developing diverse leadership and building an inclusive work culture where our employees are empowered to bring their authentc contributons, collaborate and drive innovaton. Making good on our commitment to not only run a world class business, but to also support our people and the communites in which we operate, we signifcantly increased our community engagement partcipaton: EXL employees contributed more than 37,000 volunteer hours as part of our community engagement eforts, up approximately 22,000 hours from the prior year, and more than 19,000 of our employees joined EXL-sponsored community engagement initatves, up from 7,000 partcipants in 2022.</w:t>
      </w:r>
    </w:p>
    <w:p>
      <w:pPr>
        <w:spacing w:after="0" w:line="213"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 xml:space="preserve">We are proud of this progress, and the external recognitons we received for these eforts, including for the fourth year as one of America’s Most Responsible Companies by </w:t>
      </w:r>
      <w:r>
        <w:rPr>
          <w:rFonts w:ascii="Calibri" w:cs="Calibri" w:eastAsia="Calibri" w:hAnsi="Calibri"/>
          <w:sz w:val="17"/>
          <w:szCs w:val="17"/>
          <w:i w:val="1"/>
          <w:iCs w:val="1"/>
          <w:color w:val="auto"/>
        </w:rPr>
        <w:t>Newsweek</w:t>
      </w:r>
      <w:r>
        <w:rPr>
          <w:rFonts w:ascii="Calibri" w:cs="Calibri" w:eastAsia="Calibri" w:hAnsi="Calibri"/>
          <w:sz w:val="17"/>
          <w:szCs w:val="17"/>
          <w:color w:val="auto"/>
        </w:rPr>
        <w:t xml:space="preserve"> and Statsta, Inc., for the third year as one of </w:t>
      </w:r>
      <w:r>
        <w:rPr>
          <w:rFonts w:ascii="Calibri" w:cs="Calibri" w:eastAsia="Calibri" w:hAnsi="Calibri"/>
          <w:sz w:val="17"/>
          <w:szCs w:val="17"/>
          <w:i w:val="1"/>
          <w:iCs w:val="1"/>
          <w:color w:val="auto"/>
        </w:rPr>
        <w:t>Barron’s</w:t>
      </w:r>
      <w:r>
        <w:rPr>
          <w:rFonts w:ascii="Calibri" w:cs="Calibri" w:eastAsia="Calibri" w:hAnsi="Calibri"/>
          <w:sz w:val="17"/>
          <w:szCs w:val="17"/>
          <w:color w:val="auto"/>
        </w:rPr>
        <w:t xml:space="preserve"> 100 Most Sustainable Companies and a Gold ratng from EcoVadis. You can read more about our commitment to sustainability on our website, in our Sustainability Report and in the “Sustainability” secton of this Proxy Statement.</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On behalf of the board of directors of ExlService Holdings, Inc., we are pleased to invite you to the 2024 Annual Meetng of Stockholders, which will be held on June 20, 2024. We look forward to sharing more about our company at the Annual Meetng. We encourage you to carefully read the atached 2024 Annual Meetng of Stockholders and Proxy Statement, which contains important informaton about the maters to be voted upon and instructons on how you can vote your shares.</w:t>
      </w:r>
    </w:p>
    <w:p>
      <w:pPr>
        <w:spacing w:after="0" w:line="28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Your vote is important to us. Please vote as soon as possible whether or not you plan to partcipate in the Annual Meetng.</w:t>
      </w:r>
    </w:p>
    <w:p>
      <w:pPr>
        <w:spacing w:after="0" w:line="27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board of directors and management look forward to your atendance at the Annual Meetng.</w:t>
      </w:r>
    </w:p>
    <w:p>
      <w:pPr>
        <w:spacing w:after="0" w:line="27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361315</wp:posOffset>
            </wp:positionV>
            <wp:extent cx="1379855" cy="793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9855" cy="79311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220980</wp:posOffset>
            </wp:positionV>
            <wp:extent cx="1990725" cy="933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90725" cy="933450"/>
                    </a:xfrm>
                    <a:prstGeom prst="rect">
                      <a:avLst/>
                    </a:prstGeom>
                    <a:noFill/>
                  </pic:spPr>
                </pic:pic>
              </a:graphicData>
            </a:graphic>
          </wp:anchor>
        </w:drawing>
      </w:r>
    </w:p>
    <w:p>
      <w:pPr>
        <w:sectPr>
          <w:pgSz w:w="11900" w:h="16838" w:orient="portrait"/>
          <w:cols w:equalWidth="0" w:num="1">
            <w:col w:w="10920"/>
          </w:cols>
          <w:pgMar w:left="320" w:top="47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Rohit Kapoor</w:t>
      </w:r>
    </w:p>
    <w:p>
      <w:pPr>
        <w:spacing w:after="0" w:line="2" w:lineRule="exact"/>
        <w:rPr>
          <w:sz w:val="20"/>
          <w:szCs w:val="20"/>
          <w:color w:val="auto"/>
        </w:rPr>
      </w:pPr>
    </w:p>
    <w:p>
      <w:pPr>
        <w:ind w:left="320"/>
        <w:spacing w:after="0"/>
        <w:rPr>
          <w:sz w:val="20"/>
          <w:szCs w:val="20"/>
          <w:color w:val="auto"/>
        </w:rPr>
      </w:pPr>
      <w:r>
        <w:rPr>
          <w:rFonts w:ascii="Calibri" w:cs="Calibri" w:eastAsia="Calibri" w:hAnsi="Calibri"/>
          <w:sz w:val="16"/>
          <w:szCs w:val="16"/>
          <w:i w:val="1"/>
          <w:iCs w:val="1"/>
          <w:color w:val="auto"/>
        </w:rPr>
        <w:t>Chair and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Vikram Pandit</w:t>
      </w:r>
    </w:p>
    <w:p>
      <w:pPr>
        <w:spacing w:after="0" w:line="11"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Lead Director</w:t>
      </w:r>
    </w:p>
    <w:p>
      <w:pPr>
        <w:spacing w:after="0" w:line="149" w:lineRule="exact"/>
        <w:rPr>
          <w:sz w:val="20"/>
          <w:szCs w:val="20"/>
          <w:color w:val="auto"/>
        </w:rPr>
      </w:pPr>
    </w:p>
    <w:p>
      <w:pPr>
        <w:sectPr>
          <w:pgSz w:w="11900" w:h="16838" w:orient="portrait"/>
          <w:cols w:equalWidth="0" w:num="2">
            <w:col w:w="4860" w:space="720"/>
            <w:col w:w="5340"/>
          </w:cols>
          <w:pgMar w:left="320" w:top="471" w:right="659" w:bottom="1440" w:gutter="0" w:footer="0" w:header="0"/>
          <w:type w:val="continuous"/>
        </w:sectPr>
      </w:pPr>
    </w:p>
    <w:p>
      <w:pPr>
        <w:ind w:left="400"/>
        <w:spacing w:after="0"/>
        <w:rPr>
          <w:sz w:val="20"/>
          <w:szCs w:val="20"/>
          <w:color w:val="auto"/>
        </w:rPr>
      </w:pPr>
      <w:r>
        <w:rPr>
          <w:rFonts w:ascii="Calibri" w:cs="Calibri" w:eastAsia="Calibri" w:hAnsi="Calibri"/>
          <w:sz w:val="27"/>
          <w:szCs w:val="27"/>
          <w:b w:val="1"/>
          <w:bCs w:val="1"/>
          <w:color w:val="FB4E0B"/>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alibri" w:cs="Calibri" w:eastAsia="Calibri" w:hAnsi="Calibri"/>
          <w:sz w:val="13"/>
          <w:szCs w:val="13"/>
          <w:color w:val="auto"/>
        </w:rPr>
        <w:t> </w:t>
      </w:r>
    </w:p>
    <w:p>
      <w:pPr>
        <w:spacing w:after="0" w:line="14" w:lineRule="exact"/>
        <w:rPr>
          <w:sz w:val="20"/>
          <w:szCs w:val="20"/>
          <w:color w:val="auto"/>
        </w:rPr>
      </w:pPr>
    </w:p>
    <w:p>
      <w:pPr>
        <w:spacing w:after="0"/>
        <w:rPr>
          <w:sz w:val="20"/>
          <w:szCs w:val="20"/>
          <w:color w:val="auto"/>
        </w:rPr>
      </w:pPr>
      <w:r>
        <w:rPr>
          <w:rFonts w:ascii="Calibri" w:cs="Calibri" w:eastAsia="Calibri" w:hAnsi="Calibri"/>
          <w:sz w:val="12"/>
          <w:szCs w:val="12"/>
          <w:color w:val="auto"/>
        </w:rPr>
        <w:t>EXL 2024 Proxy Statement</w:t>
      </w:r>
    </w:p>
    <w:p>
      <w:pPr>
        <w:spacing w:after="0" w:line="20" w:lineRule="exact"/>
        <w:rPr>
          <w:sz w:val="20"/>
          <w:szCs w:val="20"/>
          <w:color w:val="auto"/>
        </w:rPr>
      </w:pPr>
      <w:r>
        <w:rPr>
          <w:sz w:val="20"/>
          <w:szCs w:val="20"/>
          <w:color w:val="auto"/>
        </w:rPr>
        <w:br w:type="column"/>
      </w:r>
    </w:p>
    <w:p>
      <w:pPr>
        <w:spacing w:after="0"/>
        <w:tabs>
          <w:tab w:leader="none" w:pos="160" w:val="left"/>
          <w:tab w:leader="none" w:pos="320" w:val="left"/>
          <w:tab w:leader="none" w:pos="500" w:val="left"/>
          <w:tab w:leader="none" w:pos="680" w:val="left"/>
          <w:tab w:leader="none" w:pos="840" w:val="left"/>
          <w:tab w:leader="none" w:pos="1020" w:val="left"/>
          <w:tab w:leader="none" w:pos="1200" w:val="left"/>
          <w:tab w:leader="none" w:pos="1360" w:val="left"/>
          <w:tab w:leader="none" w:pos="1540" w:val="left"/>
          <w:tab w:leader="none" w:pos="1720" w:val="left"/>
          <w:tab w:leader="none" w:pos="1880" w:val="left"/>
          <w:tab w:leader="none" w:pos="2060" w:val="left"/>
          <w:tab w:leader="none" w:pos="2240" w:val="left"/>
          <w:tab w:leader="none" w:pos="2400" w:val="left"/>
          <w:tab w:leader="none" w:pos="2580" w:val="left"/>
          <w:tab w:leader="none" w:pos="2760" w:val="left"/>
          <w:tab w:leader="none" w:pos="2920" w:val="left"/>
          <w:tab w:leader="none" w:pos="3100" w:val="left"/>
          <w:tab w:leader="none" w:pos="3280" w:val="left"/>
          <w:tab w:leader="none" w:pos="3440" w:val="left"/>
          <w:tab w:leader="none" w:pos="3620" w:val="left"/>
          <w:tab w:leader="none" w:pos="3800" w:val="left"/>
          <w:tab w:leader="none" w:pos="3960" w:val="left"/>
          <w:tab w:leader="none" w:pos="4140" w:val="left"/>
          <w:tab w:leader="none" w:pos="4320" w:val="left"/>
          <w:tab w:leader="none" w:pos="4480" w:val="left"/>
        </w:tabs>
        <w:rPr>
          <w:sz w:val="20"/>
          <w:szCs w:val="20"/>
          <w:color w:val="auto"/>
        </w:rPr>
      </w:pPr>
      <w:r>
        <w:rPr>
          <w:rFonts w:ascii="Calibri" w:cs="Calibri" w:eastAsia="Calibri" w:hAnsi="Calibri"/>
          <w:sz w:val="17"/>
          <w:szCs w:val="17"/>
          <w:color w:val="auto"/>
        </w:rPr>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r>
      <w:r>
        <w:rPr>
          <w:sz w:val="20"/>
          <w:szCs w:val="20"/>
          <w:color w:val="auto"/>
        </w:rPr>
        <w:tab/>
      </w:r>
      <w:r>
        <w:rPr>
          <w:rFonts w:ascii="Calibri" w:cs="Calibri" w:eastAsia="Calibri" w:hAnsi="Calibri"/>
          <w:sz w:val="4"/>
          <w:szCs w:val="4"/>
          <w:color w:val="auto"/>
        </w:rPr>
        <w:t> </w:t>
      </w:r>
    </w:p>
    <w:p>
      <w:pPr>
        <w:spacing w:after="0" w:line="20" w:lineRule="exact"/>
        <w:rPr>
          <w:sz w:val="20"/>
          <w:szCs w:val="20"/>
          <w:color w:val="auto"/>
        </w:rPr>
      </w:pPr>
      <w:r>
        <w:rPr>
          <w:sz w:val="20"/>
          <w:szCs w:val="20"/>
          <w:color w:val="auto"/>
        </w:rPr>
        <w:br w:type="column"/>
      </w:r>
    </w:p>
    <w:p>
      <w:pPr>
        <w:jc w:val="center"/>
        <w:spacing w:after="0"/>
        <w:tabs>
          <w:tab w:leader="none" w:pos="120" w:val="left"/>
          <w:tab w:leader="none" w:pos="100" w:val="left"/>
          <w:tab w:leader="none" w:pos="120" w:val="left"/>
          <w:tab w:leader="none" w:pos="120" w:val="left"/>
          <w:tab w:leader="none" w:pos="100" w:val="left"/>
          <w:tab w:leader="none" w:pos="120" w:val="left"/>
          <w:tab w:leader="none" w:pos="120" w:val="left"/>
          <w:tab w:leader="none" w:pos="100" w:val="left"/>
          <w:tab w:leader="none" w:pos="120" w:val="left"/>
          <w:tab w:leader="none" w:pos="120" w:val="left"/>
          <w:tab w:leader="none" w:pos="100" w:val="left"/>
          <w:tab w:leader="none" w:pos="120" w:val="left"/>
        </w:tabs>
        <w:rPr>
          <w:sz w:val="20"/>
          <w:szCs w:val="20"/>
          <w:color w:val="auto"/>
        </w:rPr>
      </w:pPr>
      <w:r>
        <w:rPr>
          <w:rFonts w:ascii="Calibri" w:cs="Calibri" w:eastAsia="Calibri" w:hAnsi="Calibri"/>
          <w:sz w:val="17"/>
          <w:szCs w:val="17"/>
          <w:color w:val="auto"/>
        </w:rPr>
        <w:t> </w:t>
        <w:tab/>
        <w:t> </w:t>
        <w:tab/>
        <w:t> </w:t>
        <w:tab/>
        <w:t> </w:t>
        <w:tab/>
        <w:t> </w:t>
        <w:tab/>
        <w:t> </w:t>
        <w:tab/>
        <w:t> </w:t>
        <w:tab/>
        <w:t> </w:t>
        <w:tab/>
        <w:t> </w:t>
        <w:tab/>
        <w:t> </w:t>
        <w:tab/>
        <w:t> </w:t>
        <w:tab/>
        <w:t> </w:t>
      </w:r>
      <w:r>
        <w:rPr>
          <w:sz w:val="20"/>
          <w:szCs w:val="20"/>
          <w:color w:val="auto"/>
        </w:rPr>
        <w:tab/>
      </w:r>
      <w:r>
        <w:rPr>
          <w:rFonts w:ascii="Calibri" w:cs="Calibri" w:eastAsia="Calibri" w:hAnsi="Calibri"/>
          <w:sz w:val="4"/>
          <w:szCs w:val="4"/>
          <w:color w:val="auto"/>
        </w:rPr>
        <w:t> </w:t>
      </w:r>
    </w:p>
    <w:p>
      <w:pPr>
        <w:spacing w:after="0" w:line="20" w:lineRule="exact"/>
        <w:rPr>
          <w:sz w:val="20"/>
          <w:szCs w:val="20"/>
          <w:color w:val="auto"/>
        </w:rPr>
      </w:pPr>
      <w:r>
        <w:rPr>
          <w:sz w:val="20"/>
          <w:szCs w:val="20"/>
          <w:color w:val="auto"/>
        </w:rPr>
        <w:br w:type="column"/>
      </w:r>
    </w:p>
    <w:p>
      <w:pPr>
        <w:jc w:val="center"/>
        <w:ind w:right="120"/>
        <w:spacing w:after="0"/>
        <w:tabs>
          <w:tab w:leader="none" w:pos="100" w:val="left"/>
          <w:tab w:leader="none" w:pos="120" w:val="left"/>
          <w:tab w:leader="none" w:pos="120" w:val="left"/>
          <w:tab w:leader="none" w:pos="100" w:val="left"/>
          <w:tab w:leader="none" w:pos="120" w:val="left"/>
          <w:tab w:leader="none" w:pos="120" w:val="left"/>
          <w:tab w:leader="none" w:pos="100" w:val="left"/>
          <w:tab w:leader="none" w:pos="120" w:val="left"/>
          <w:tab w:leader="none" w:pos="120" w:val="left"/>
          <w:tab w:leader="none" w:pos="120" w:val="left"/>
        </w:tabs>
        <w:rPr>
          <w:sz w:val="20"/>
          <w:szCs w:val="20"/>
          <w:color w:val="auto"/>
        </w:rPr>
      </w:pPr>
      <w:r>
        <w:rPr>
          <w:rFonts w:ascii="Calibri" w:cs="Calibri" w:eastAsia="Calibri" w:hAnsi="Calibri"/>
          <w:sz w:val="17"/>
          <w:szCs w:val="17"/>
          <w:color w:val="auto"/>
        </w:rPr>
        <w:t> </w:t>
        <w:tab/>
        <w:t> </w:t>
        <w:tab/>
        <w:t> </w:t>
        <w:tab/>
        <w:t> </w:t>
        <w:tab/>
        <w:t> </w:t>
        <w:tab/>
        <w:t> </w:t>
        <w:tab/>
        <w:t> </w:t>
        <w:tab/>
        <w:t> </w:t>
        <w:tab/>
        <w:t> </w:t>
        <w:tab/>
        <w:t>   </w:t>
      </w:r>
      <w:r>
        <w:rPr>
          <w:sz w:val="20"/>
          <w:szCs w:val="20"/>
          <w:color w:val="auto"/>
        </w:rPr>
        <w:tab/>
      </w:r>
      <w:r>
        <w:rPr>
          <w:rFonts w:ascii="Calibri" w:cs="Calibri" w:eastAsia="Calibri" w:hAnsi="Calibri"/>
          <w:sz w:val="4"/>
          <w:szCs w:val="4"/>
          <w:color w:val="auto"/>
        </w:rPr>
        <w:t> </w:t>
      </w:r>
    </w:p>
    <w:p>
      <w:pPr>
        <w:sectPr>
          <w:pgSz w:w="11900" w:h="16838" w:orient="portrait"/>
          <w:cols w:equalWidth="0" w:num="5">
            <w:col w:w="520" w:space="40"/>
            <w:col w:w="1380" w:space="80"/>
            <w:col w:w="4540" w:space="140"/>
            <w:col w:w="2120" w:space="140"/>
            <w:col w:w="1960"/>
          </w:cols>
          <w:pgMar w:left="320" w:top="471" w:right="6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Notce of 2024 Annual Meetng of Stockholders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Dear Stockholder:</w:t>
      </w:r>
    </w:p>
    <w:p>
      <w:pPr>
        <w:spacing w:after="0" w:line="210" w:lineRule="exact"/>
        <w:rPr>
          <w:sz w:val="20"/>
          <w:szCs w:val="20"/>
          <w:color w:val="auto"/>
        </w:rPr>
      </w:pPr>
    </w:p>
    <w:p>
      <w:pPr>
        <w:ind w:left="320" w:right="540"/>
        <w:spacing w:after="0" w:line="239" w:lineRule="auto"/>
        <w:rPr>
          <w:sz w:val="20"/>
          <w:szCs w:val="20"/>
          <w:color w:val="auto"/>
        </w:rPr>
      </w:pPr>
      <w:r>
        <w:rPr>
          <w:rFonts w:ascii="Calibri" w:cs="Calibri" w:eastAsia="Calibri" w:hAnsi="Calibri"/>
          <w:sz w:val="17"/>
          <w:szCs w:val="17"/>
          <w:color w:val="auto"/>
        </w:rPr>
        <w:t>You are cordially invited to the 2024 Annual Meetng of Stockholders of ExlService Holdings, Inc., a Delaware corporaton (the “Company”), for the purposes of votng on the following maters:</w:t>
      </w:r>
    </w:p>
    <w:p>
      <w:pPr>
        <w:spacing w:after="0" w:line="327" w:lineRule="exact"/>
        <w:rPr>
          <w:sz w:val="20"/>
          <w:szCs w:val="20"/>
          <w:color w:val="auto"/>
        </w:rPr>
      </w:pPr>
    </w:p>
    <w:p>
      <w:pPr>
        <w:ind w:left="1140" w:hanging="407"/>
        <w:spacing w:after="0"/>
        <w:tabs>
          <w:tab w:leader="none" w:pos="1140" w:val="left"/>
        </w:tabs>
        <w:numPr>
          <w:ilvl w:val="0"/>
          <w:numId w:val="7"/>
        </w:numPr>
        <w:rPr>
          <w:rFonts w:ascii="Calibri" w:cs="Calibri" w:eastAsia="Calibri" w:hAnsi="Calibri"/>
          <w:sz w:val="17"/>
          <w:szCs w:val="17"/>
          <w:color w:val="auto"/>
        </w:rPr>
      </w:pPr>
      <w:r>
        <w:rPr>
          <w:rFonts w:ascii="Calibri" w:cs="Calibri" w:eastAsia="Calibri" w:hAnsi="Calibri"/>
          <w:sz w:val="17"/>
          <w:szCs w:val="17"/>
          <w:color w:val="auto"/>
        </w:rPr>
        <w:t>the electon of eight members of the board of directors of the Company;</w:t>
      </w:r>
    </w:p>
    <w:p>
      <w:pPr>
        <w:spacing w:after="0" w:line="119" w:lineRule="exact"/>
        <w:rPr>
          <w:rFonts w:ascii="Calibri" w:cs="Calibri" w:eastAsia="Calibri" w:hAnsi="Calibri"/>
          <w:sz w:val="17"/>
          <w:szCs w:val="17"/>
          <w:color w:val="auto"/>
        </w:rPr>
      </w:pPr>
    </w:p>
    <w:p>
      <w:pPr>
        <w:ind w:left="1140" w:right="200" w:hanging="407"/>
        <w:spacing w:after="0" w:line="239" w:lineRule="auto"/>
        <w:tabs>
          <w:tab w:leader="none" w:pos="1140" w:val="left"/>
        </w:tabs>
        <w:numPr>
          <w:ilvl w:val="0"/>
          <w:numId w:val="7"/>
        </w:numPr>
        <w:rPr>
          <w:rFonts w:ascii="Calibri" w:cs="Calibri" w:eastAsia="Calibri" w:hAnsi="Calibri"/>
          <w:sz w:val="17"/>
          <w:szCs w:val="17"/>
          <w:color w:val="auto"/>
        </w:rPr>
      </w:pPr>
      <w:r>
        <w:rPr>
          <w:rFonts w:ascii="Calibri" w:cs="Calibri" w:eastAsia="Calibri" w:hAnsi="Calibri"/>
          <w:sz w:val="17"/>
          <w:szCs w:val="17"/>
          <w:color w:val="auto"/>
        </w:rPr>
        <w:t>the ratfcaton of the appointment of Deloite &amp; Touche LLP as the independent registered public accountng frm of the Company for fscal year 2024;</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7"/>
        </w:numPr>
        <w:rPr>
          <w:rFonts w:ascii="Calibri" w:cs="Calibri" w:eastAsia="Calibri" w:hAnsi="Calibri"/>
          <w:sz w:val="17"/>
          <w:szCs w:val="17"/>
          <w:color w:val="auto"/>
        </w:rPr>
      </w:pPr>
      <w:r>
        <w:rPr>
          <w:rFonts w:ascii="Calibri" w:cs="Calibri" w:eastAsia="Calibri" w:hAnsi="Calibri"/>
          <w:sz w:val="17"/>
          <w:szCs w:val="17"/>
          <w:color w:val="auto"/>
        </w:rPr>
        <w:t>the approval, on a non-binding advisory basis, of the compensaton of the named executve ofcers of the Company;</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7"/>
        </w:numPr>
        <w:rPr>
          <w:rFonts w:ascii="Calibri" w:cs="Calibri" w:eastAsia="Calibri" w:hAnsi="Calibri"/>
          <w:sz w:val="17"/>
          <w:szCs w:val="17"/>
          <w:color w:val="auto"/>
        </w:rPr>
      </w:pPr>
      <w:r>
        <w:rPr>
          <w:rFonts w:ascii="Calibri" w:cs="Calibri" w:eastAsia="Calibri" w:hAnsi="Calibri"/>
          <w:sz w:val="17"/>
          <w:szCs w:val="17"/>
          <w:color w:val="auto"/>
        </w:rPr>
        <w:t>the approval of the Fourth Amended and Restated Certfcate of Incorporaton to provide for, among other things, ofcer exculpaton;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7"/>
        </w:numPr>
        <w:rPr>
          <w:rFonts w:ascii="Calibri" w:cs="Calibri" w:eastAsia="Calibri" w:hAnsi="Calibri"/>
          <w:sz w:val="17"/>
          <w:szCs w:val="17"/>
          <w:color w:val="auto"/>
        </w:rPr>
      </w:pPr>
      <w:r>
        <w:rPr>
          <w:rFonts w:ascii="Calibri" w:cs="Calibri" w:eastAsia="Calibri" w:hAnsi="Calibri"/>
          <w:sz w:val="17"/>
          <w:szCs w:val="17"/>
          <w:color w:val="auto"/>
        </w:rPr>
        <w:t>the transacton of such other business as may properly come before the Annual Meetng or any adjournment or postponement thereof.</w:t>
      </w:r>
    </w:p>
    <w:p>
      <w:pPr>
        <w:spacing w:after="0" w:line="288" w:lineRule="exact"/>
        <w:rPr>
          <w:sz w:val="20"/>
          <w:szCs w:val="20"/>
          <w:color w:val="auto"/>
        </w:rPr>
      </w:pPr>
    </w:p>
    <w:p>
      <w:pPr>
        <w:jc w:val="both"/>
        <w:ind w:left="320" w:right="100"/>
        <w:spacing w:after="0" w:line="262" w:lineRule="auto"/>
        <w:rPr>
          <w:sz w:val="20"/>
          <w:szCs w:val="20"/>
          <w:color w:val="auto"/>
        </w:rPr>
      </w:pPr>
      <w:r>
        <w:rPr>
          <w:rFonts w:ascii="Calibri" w:cs="Calibri" w:eastAsia="Calibri" w:hAnsi="Calibri"/>
          <w:sz w:val="16"/>
          <w:szCs w:val="16"/>
          <w:color w:val="auto"/>
        </w:rPr>
        <w:t>We will hold our Annual Meetng in virtual format only, via live audio webcast (rather than at any physical locaton) on June 20, 2024 at 9:00 AM, Eastern Time. Our virtual meetng platorm will allow for full partcipaton as if you were atending physically. You or your proxyholder may partcipate, vote, and examine our stockholder list at the Annual Meetng by visitng www.virtualshareholdermeetng.com/EXLS2024 and using your 16-digit control number.</w:t>
      </w:r>
    </w:p>
    <w:p>
      <w:pPr>
        <w:spacing w:after="0" w:line="25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If you are a stockholder of record at the close of business on April 23, 2024, the record date for the Annual Meetng, you are enttled to vote at the Annual Meetng. A list of stockholders as of the record date will be available for examinaton for any purpose germane to the Annual Meetng, during ordinary business hours, at the Company’s executve ofces at 320 Park Avenue, 29</w:t>
      </w:r>
      <w:r>
        <w:rPr>
          <w:rFonts w:ascii="Calibri" w:cs="Calibri" w:eastAsia="Calibri" w:hAnsi="Calibri"/>
          <w:sz w:val="13"/>
          <w:szCs w:val="13"/>
          <w:color w:val="auto"/>
        </w:rPr>
        <w:t>th</w:t>
      </w:r>
      <w:r>
        <w:rPr>
          <w:rFonts w:ascii="Calibri" w:cs="Calibri" w:eastAsia="Calibri" w:hAnsi="Calibri"/>
          <w:sz w:val="17"/>
          <w:szCs w:val="17"/>
          <w:color w:val="auto"/>
        </w:rPr>
        <w:t xml:space="preserve"> Floor, New York, New York 10022, for a period of 10 days prior to the date of the Annual Meetng. If our corporate headquarters are closed during the 10 days prior to the Annual Meetng, you may send a writen request to the Corporate Secretary at our corporate headquarters, and we will arrange a method for you to inspect the list.</w:t>
      </w:r>
    </w:p>
    <w:p>
      <w:pPr>
        <w:spacing w:after="0" w:line="315" w:lineRule="exact"/>
        <w:rPr>
          <w:sz w:val="20"/>
          <w:szCs w:val="20"/>
          <w:color w:val="auto"/>
        </w:rPr>
      </w:pPr>
    </w:p>
    <w:p>
      <w:pPr>
        <w:jc w:val="both"/>
        <w:ind w:left="320" w:right="40"/>
        <w:spacing w:after="0" w:line="239" w:lineRule="auto"/>
        <w:rPr>
          <w:sz w:val="20"/>
          <w:szCs w:val="20"/>
          <w:color w:val="auto"/>
        </w:rPr>
      </w:pPr>
      <w:r>
        <w:rPr>
          <w:rFonts w:ascii="Calibri" w:cs="Calibri" w:eastAsia="Calibri" w:hAnsi="Calibri"/>
          <w:sz w:val="17"/>
          <w:szCs w:val="17"/>
          <w:b w:val="1"/>
          <w:bCs w:val="1"/>
          <w:color w:val="auto"/>
        </w:rPr>
        <w:t>Please note the technical requirements for virtual atendance at the Annual Meetng, as described in the enclosed Proxy Statement beginning on page 122 under the heading “Annual Meetng Q&amp;A.”</w:t>
      </w:r>
    </w:p>
    <w:p>
      <w:pPr>
        <w:spacing w:after="0" w:line="211" w:lineRule="exact"/>
        <w:rPr>
          <w:sz w:val="20"/>
          <w:szCs w:val="20"/>
          <w:color w:val="auto"/>
        </w:rPr>
      </w:pPr>
    </w:p>
    <w:p>
      <w:pPr>
        <w:jc w:val="both"/>
        <w:ind w:left="320" w:right="40"/>
        <w:spacing w:after="0" w:line="239" w:lineRule="auto"/>
        <w:rPr>
          <w:sz w:val="20"/>
          <w:szCs w:val="20"/>
          <w:color w:val="auto"/>
        </w:rPr>
      </w:pPr>
      <w:r>
        <w:rPr>
          <w:rFonts w:ascii="Calibri" w:cs="Calibri" w:eastAsia="Calibri" w:hAnsi="Calibri"/>
          <w:sz w:val="17"/>
          <w:szCs w:val="17"/>
          <w:color w:val="auto"/>
        </w:rPr>
        <w:t>Pursuant to rules promulgated by the Securites and Exchange Commission, we are providing access to our proxy materials over the Internet. On or about April 29, 2024, we will mail a Notce of Internet Availability of Proxy Materials (the “Internet Notce”) to each of our stockholders of record and benefcial owners at the close of business on the record date. On the date of mailing of the</w:t>
      </w:r>
    </w:p>
    <w:p>
      <w:pPr>
        <w:spacing w:after="0" w:line="4" w:lineRule="exact"/>
        <w:rPr>
          <w:sz w:val="20"/>
          <w:szCs w:val="20"/>
          <w:color w:val="auto"/>
        </w:rPr>
      </w:pPr>
    </w:p>
    <w:p>
      <w:pPr>
        <w:ind w:left="320" w:right="320"/>
        <w:spacing w:after="0" w:line="239" w:lineRule="auto"/>
        <w:rPr>
          <w:sz w:val="20"/>
          <w:szCs w:val="20"/>
          <w:color w:val="auto"/>
        </w:rPr>
      </w:pPr>
      <w:r>
        <w:rPr>
          <w:rFonts w:ascii="Calibri" w:cs="Calibri" w:eastAsia="Calibri" w:hAnsi="Calibri"/>
          <w:sz w:val="17"/>
          <w:szCs w:val="17"/>
          <w:color w:val="auto"/>
        </w:rPr>
        <w:t>Internet Notce, all stockholders and benefcial owners will have the ability to access all of the proxy materials on a website referred to in the Internet Notce. These proxy materials will be available free of charge.</w:t>
      </w:r>
    </w:p>
    <w:p>
      <w:pPr>
        <w:spacing w:after="0" w:line="211" w:lineRule="exact"/>
        <w:rPr>
          <w:sz w:val="20"/>
          <w:szCs w:val="20"/>
          <w:color w:val="auto"/>
        </w:rPr>
      </w:pPr>
    </w:p>
    <w:p>
      <w:pPr>
        <w:ind w:left="320" w:right="500"/>
        <w:spacing w:after="0" w:line="239" w:lineRule="auto"/>
        <w:rPr>
          <w:sz w:val="20"/>
          <w:szCs w:val="20"/>
          <w:color w:val="auto"/>
        </w:rPr>
      </w:pPr>
      <w:r>
        <w:rPr>
          <w:rFonts w:ascii="Calibri" w:cs="Calibri" w:eastAsia="Calibri" w:hAnsi="Calibri"/>
          <w:sz w:val="17"/>
          <w:szCs w:val="17"/>
          <w:color w:val="auto"/>
        </w:rPr>
        <w:t>Whether or not you expect to atend the Annual Meetng, the Company encourages you to promptly vote and submit your proxy (i) by Internet (by following the instructons provided in the Internet Notce), (ii) by phone (by following the instructons provided in</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34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640" w:type="dxa"/>
            <w:vAlign w:val="bottom"/>
            <w:vMerge w:val="restart"/>
          </w:tcPr>
          <w:p>
            <w:pPr>
              <w:ind w:left="4140"/>
              <w:spacing w:after="0"/>
              <w:rPr>
                <w:sz w:val="20"/>
                <w:szCs w:val="20"/>
                <w:color w:val="auto"/>
              </w:rPr>
            </w:pPr>
            <w:r>
              <w:rPr>
                <w:rFonts w:ascii="Calibri" w:cs="Calibri" w:eastAsia="Calibri" w:hAnsi="Calibri"/>
                <w:sz w:val="13"/>
                <w:szCs w:val="13"/>
                <w:color w:val="auto"/>
                <w:w w:val="97"/>
              </w:rPr>
              <w:t>EXL 2024 Proxy Statement </w:t>
            </w:r>
          </w:p>
        </w:tc>
        <w:tc>
          <w:tcPr>
            <w:tcW w:w="3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w:t>
            </w: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564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71" w:right="7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9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Internet Notce) or (iii) by requestng that proxy materials be sent to you by mail that will include a proxy card that you can use to vote by completng, signing, datng and returning the proxy card in the prepaid postage envelope provided. Votng by proxy will not deprive you of the right to atend the Annual Meetng or to vote your shares. You can revoke a proxy at any tme before it is exercised by votng at the Annual Meetng, by delivering a subsequent proxy or by notfying the inspector of electons in writng of such revocaton prior to the Annual Meetng. YOUR SHARES CANNOT BE VOTED UNLESS YOU EITHER (I) VOTE BY USING THE INTERNET, (II) VOTE BY PHONE, (III) REQUEST PROXY MATERIALS BE SENT TO YOU BY MAIL AND THEN USE THE PROXY CARD PROVIDED BY MAIL TO CAST YOUR VOTE BY COMPLETING, SIGNING AND RETURNING THE PROXY CARD BY MAIL OR (IV) ATTEND THE ANNUAL MEETING AND VOTE.</w:t>
      </w:r>
    </w:p>
    <w:p>
      <w:pPr>
        <w:spacing w:after="0" w:line="28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220980</wp:posOffset>
            </wp:positionV>
            <wp:extent cx="2032000"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320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Ajay Ayyappan</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i w:val="1"/>
          <w:iCs w:val="1"/>
          <w:color w:val="auto"/>
        </w:rPr>
        <w:t>Executve Vice President, General Counsel and Corporate Secretary</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New York, New York</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April 29, 2024</w:t>
      </w:r>
    </w:p>
    <w:p>
      <w:pPr>
        <w:spacing w:after="0" w:line="200" w:lineRule="exact"/>
        <w:rPr>
          <w:sz w:val="20"/>
          <w:szCs w:val="20"/>
          <w:color w:val="auto"/>
        </w:rPr>
      </w:pPr>
    </w:p>
    <w:p>
      <w:pPr>
        <w:spacing w:after="0" w:line="273" w:lineRule="exact"/>
        <w:rPr>
          <w:sz w:val="20"/>
          <w:szCs w:val="20"/>
          <w:color w:val="auto"/>
        </w:rPr>
      </w:pPr>
    </w:p>
    <w:tbl>
      <w:tblPr>
        <w:tblLayout w:type="fixed"/>
        <w:tblInd w:w="500" w:type="dxa"/>
        <w:tblCellMar>
          <w:top w:w="0" w:type="dxa"/>
          <w:left w:w="0" w:type="dxa"/>
          <w:bottom w:w="0" w:type="dxa"/>
          <w:right w:w="0" w:type="dxa"/>
        </w:tblCellMar>
      </w:tblPr>
      <w:tr>
        <w:trPr>
          <w:trHeight w:val="208"/>
        </w:trPr>
        <w:tc>
          <w:tcPr>
            <w:tcW w:w="1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w w:val="82"/>
              </w:rPr>
              <w:t>/</w:t>
            </w:r>
          </w:p>
        </w:tc>
        <w:tc>
          <w:tcPr>
            <w:tcW w:w="5660" w:type="dxa"/>
            <w:vAlign w:val="bottom"/>
          </w:tcPr>
          <w:p>
            <w:pPr>
              <w:ind w:left="60"/>
              <w:spacing w:after="0"/>
              <w:rPr>
                <w:sz w:val="20"/>
                <w:szCs w:val="20"/>
                <w:color w:val="auto"/>
              </w:rPr>
            </w:pPr>
            <w:r>
              <w:rPr>
                <w:rFonts w:ascii="Calibri" w:cs="Calibri" w:eastAsia="Calibri" w:hAnsi="Calibri"/>
                <w:sz w:val="13"/>
                <w:szCs w:val="13"/>
                <w:color w:val="auto"/>
              </w:rPr>
              <w:t> </w:t>
            </w:r>
          </w:p>
        </w:tc>
        <w:tc>
          <w:tcPr>
            <w:tcW w:w="4460" w:type="dxa"/>
            <w:vAlign w:val="bottom"/>
          </w:tcPr>
          <w:p>
            <w:pPr>
              <w:ind w:left="42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56"/>
        </w:trPr>
        <w:tc>
          <w:tcPr>
            <w:tcW w:w="180" w:type="dxa"/>
            <w:vAlign w:val="bottom"/>
            <w:vMerge w:val="continue"/>
          </w:tcPr>
          <w:p>
            <w:pPr>
              <w:spacing w:after="0"/>
              <w:rPr>
                <w:sz w:val="13"/>
                <w:szCs w:val="13"/>
                <w:color w:val="auto"/>
              </w:rPr>
            </w:pPr>
          </w:p>
        </w:tc>
        <w:tc>
          <w:tcPr>
            <w:tcW w:w="5660" w:type="dxa"/>
            <w:vAlign w:val="bottom"/>
          </w:tcPr>
          <w:p>
            <w:pPr>
              <w:ind w:left="60"/>
              <w:spacing w:after="0" w:line="156" w:lineRule="exact"/>
              <w:rPr>
                <w:sz w:val="20"/>
                <w:szCs w:val="20"/>
                <w:color w:val="auto"/>
              </w:rPr>
            </w:pPr>
            <w:r>
              <w:rPr>
                <w:rFonts w:ascii="Calibri" w:cs="Calibri" w:eastAsia="Calibri" w:hAnsi="Calibri"/>
                <w:sz w:val="13"/>
                <w:szCs w:val="13"/>
                <w:color w:val="auto"/>
              </w:rPr>
              <w:t>EXL 2024 Proxy Statement</w:t>
            </w:r>
          </w:p>
        </w:tc>
        <w:tc>
          <w:tcPr>
            <w:tcW w:w="4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1"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2024 Proxy Statement</w:t>
      </w:r>
    </w:p>
    <w:p>
      <w:pPr>
        <w:spacing w:after="0" w:line="203" w:lineRule="exact"/>
        <w:rPr>
          <w:sz w:val="20"/>
          <w:szCs w:val="20"/>
          <w:color w:val="auto"/>
        </w:rPr>
      </w:pPr>
    </w:p>
    <w:p>
      <w:pPr>
        <w:ind w:left="320"/>
        <w:spacing w:after="0"/>
        <w:rPr>
          <w:sz w:val="20"/>
          <w:szCs w:val="20"/>
          <w:color w:val="auto"/>
        </w:rPr>
      </w:pPr>
      <w:r>
        <w:rPr>
          <w:rFonts w:ascii="Calibri" w:cs="Calibri" w:eastAsia="Calibri" w:hAnsi="Calibri"/>
          <w:sz w:val="28"/>
          <w:szCs w:val="28"/>
          <w:b w:val="1"/>
          <w:bCs w:val="1"/>
          <w:color w:val="auto"/>
        </w:rPr>
        <w:t>Table of contents</w:t>
      </w:r>
    </w:p>
    <w:p>
      <w:pPr>
        <w:spacing w:after="0" w:line="322"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080" w:type="dxa"/>
            <w:vAlign w:val="bottom"/>
            <w:tcBorders>
              <w:bottom w:val="single" w:sz="8" w:color="0000EE"/>
            </w:tcBorders>
            <w:gridSpan w:val="9"/>
          </w:tcPr>
          <w:p>
            <w:pPr>
              <w:spacing w:after="0"/>
              <w:rPr>
                <w:sz w:val="20"/>
                <w:szCs w:val="20"/>
                <w:color w:val="auto"/>
              </w:rPr>
            </w:pPr>
            <w:r>
              <w:rPr>
                <w:rFonts w:ascii="Calibri" w:cs="Calibri" w:eastAsia="Calibri" w:hAnsi="Calibri"/>
                <w:sz w:val="16"/>
                <w:szCs w:val="16"/>
                <w:b w:val="1"/>
                <w:bCs w:val="1"/>
                <w:color w:val="0000EE"/>
                <w:w w:val="96"/>
              </w:rPr>
              <w:t>2024 Proxy Statement Summary</w:t>
            </w:r>
          </w:p>
        </w:tc>
        <w:tc>
          <w:tcPr>
            <w:tcW w:w="5460" w:type="dxa"/>
            <w:vAlign w:val="bottom"/>
            <w:gridSpan w:val="11"/>
          </w:tcPr>
          <w:p>
            <w:pPr>
              <w:spacing w:after="0"/>
              <w:rPr>
                <w:sz w:val="16"/>
                <w:szCs w:val="16"/>
                <w:color w:val="auto"/>
              </w:rPr>
            </w:pPr>
          </w:p>
        </w:tc>
        <w:tc>
          <w:tcPr>
            <w:tcW w:w="380" w:type="dxa"/>
            <w:vAlign w:val="bottom"/>
          </w:tcPr>
          <w:p>
            <w:pPr>
              <w:jc w:val="right"/>
              <w:spacing w:after="0"/>
              <w:rPr>
                <w:sz w:val="20"/>
                <w:szCs w:val="20"/>
                <w:color w:val="auto"/>
              </w:rPr>
            </w:pPr>
            <w:r>
              <w:rPr>
                <w:rFonts w:ascii="Calibri" w:cs="Calibri" w:eastAsia="Calibri" w:hAnsi="Calibri"/>
                <w:sz w:val="16"/>
                <w:szCs w:val="16"/>
                <w:color w:val="auto"/>
              </w:rPr>
              <w:t>1</w:t>
            </w:r>
          </w:p>
        </w:tc>
      </w:tr>
      <w:tr>
        <w:trPr>
          <w:trHeight w:val="279"/>
        </w:trPr>
        <w:tc>
          <w:tcPr>
            <w:tcW w:w="1460" w:type="dxa"/>
            <w:vAlign w:val="bottom"/>
            <w:tcBorders>
              <w:bottom w:val="single" w:sz="8" w:color="0000EE"/>
            </w:tcBorders>
            <w:gridSpan w:val="5"/>
          </w:tcPr>
          <w:p>
            <w:pPr>
              <w:spacing w:after="0"/>
              <w:rPr>
                <w:sz w:val="20"/>
                <w:szCs w:val="20"/>
                <w:color w:val="auto"/>
              </w:rPr>
            </w:pPr>
            <w:r>
              <w:rPr>
                <w:rFonts w:ascii="Calibri" w:cs="Calibri" w:eastAsia="Calibri" w:hAnsi="Calibri"/>
                <w:sz w:val="16"/>
                <w:szCs w:val="16"/>
                <w:b w:val="1"/>
                <w:bCs w:val="1"/>
                <w:color w:val="0000EE"/>
                <w:w w:val="97"/>
              </w:rPr>
              <w:t>Our board of directors</w:t>
            </w:r>
          </w:p>
        </w:tc>
        <w:tc>
          <w:tcPr>
            <w:tcW w:w="608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Calibri" w:cs="Calibri" w:eastAsia="Calibri" w:hAnsi="Calibri"/>
                <w:sz w:val="16"/>
                <w:szCs w:val="16"/>
                <w:color w:val="auto"/>
              </w:rPr>
              <w:t>13</w:t>
            </w:r>
          </w:p>
        </w:tc>
      </w:tr>
      <w:tr>
        <w:trPr>
          <w:trHeight w:val="279"/>
        </w:trPr>
        <w:tc>
          <w:tcPr>
            <w:tcW w:w="1440" w:type="dxa"/>
            <w:vAlign w:val="bottom"/>
            <w:tcBorders>
              <w:bottom w:val="single" w:sz="8" w:color="0000EE"/>
            </w:tcBorders>
            <w:gridSpan w:val="4"/>
          </w:tcPr>
          <w:p>
            <w:pPr>
              <w:spacing w:after="0"/>
              <w:rPr>
                <w:sz w:val="20"/>
                <w:szCs w:val="20"/>
                <w:color w:val="auto"/>
              </w:rPr>
            </w:pPr>
            <w:r>
              <w:rPr>
                <w:rFonts w:ascii="Calibri" w:cs="Calibri" w:eastAsia="Calibri" w:hAnsi="Calibri"/>
                <w:sz w:val="16"/>
                <w:szCs w:val="16"/>
                <w:b w:val="1"/>
                <w:bCs w:val="1"/>
                <w:color w:val="0000EE"/>
                <w:w w:val="95"/>
              </w:rPr>
              <w:t>Corporate governance</w:t>
            </w:r>
          </w:p>
        </w:tc>
        <w:tc>
          <w:tcPr>
            <w:tcW w:w="610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Calibri" w:cs="Calibri" w:eastAsia="Calibri" w:hAnsi="Calibri"/>
                <w:sz w:val="16"/>
                <w:szCs w:val="16"/>
                <w:color w:val="auto"/>
              </w:rPr>
              <w:t>25</w:t>
            </w:r>
          </w:p>
        </w:tc>
      </w:tr>
      <w:tr>
        <w:trPr>
          <w:trHeight w:val="279"/>
        </w:trPr>
        <w:tc>
          <w:tcPr>
            <w:tcW w:w="900" w:type="dxa"/>
            <w:vAlign w:val="bottom"/>
            <w:tcBorders>
              <w:bottom w:val="single" w:sz="8" w:color="0000EE"/>
            </w:tcBorders>
            <w:gridSpan w:val="2"/>
          </w:tcPr>
          <w:p>
            <w:pPr>
              <w:spacing w:after="0"/>
              <w:rPr>
                <w:sz w:val="20"/>
                <w:szCs w:val="20"/>
                <w:color w:val="auto"/>
              </w:rPr>
            </w:pPr>
            <w:r>
              <w:rPr>
                <w:rFonts w:ascii="Calibri" w:cs="Calibri" w:eastAsia="Calibri" w:hAnsi="Calibri"/>
                <w:sz w:val="16"/>
                <w:szCs w:val="16"/>
                <w:b w:val="1"/>
                <w:bCs w:val="1"/>
                <w:color w:val="0000EE"/>
                <w:w w:val="95"/>
              </w:rPr>
              <w:t>Sustainability</w:t>
            </w:r>
          </w:p>
        </w:tc>
        <w:tc>
          <w:tcPr>
            <w:tcW w:w="664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Calibri" w:cs="Calibri" w:eastAsia="Calibri" w:hAnsi="Calibri"/>
                <w:sz w:val="16"/>
                <w:szCs w:val="16"/>
                <w:color w:val="auto"/>
              </w:rPr>
              <w:t>44</w:t>
            </w:r>
          </w:p>
        </w:tc>
      </w:tr>
      <w:tr>
        <w:trPr>
          <w:trHeight w:val="279"/>
        </w:trPr>
        <w:tc>
          <w:tcPr>
            <w:tcW w:w="7540" w:type="dxa"/>
            <w:vAlign w:val="bottom"/>
            <w:gridSpan w:val="20"/>
          </w:tcPr>
          <w:p>
            <w:pPr>
              <w:spacing w:after="0"/>
              <w:rPr>
                <w:sz w:val="20"/>
                <w:szCs w:val="20"/>
                <w:color w:val="auto"/>
              </w:rPr>
            </w:pPr>
            <w:r>
              <w:rPr>
                <w:rFonts w:ascii="Calibri" w:cs="Calibri" w:eastAsia="Calibri" w:hAnsi="Calibri"/>
                <w:sz w:val="16"/>
                <w:szCs w:val="16"/>
                <w:b w:val="1"/>
                <w:bCs w:val="1"/>
                <w:color w:val="0000EE"/>
              </w:rPr>
              <w:t>Our executve ofcers</w:t>
            </w:r>
          </w:p>
        </w:tc>
        <w:tc>
          <w:tcPr>
            <w:tcW w:w="380" w:type="dxa"/>
            <w:vAlign w:val="bottom"/>
          </w:tcPr>
          <w:p>
            <w:pPr>
              <w:jc w:val="right"/>
              <w:spacing w:after="0"/>
              <w:rPr>
                <w:sz w:val="20"/>
                <w:szCs w:val="20"/>
                <w:color w:val="auto"/>
              </w:rPr>
            </w:pPr>
            <w:r>
              <w:rPr>
                <w:rFonts w:ascii="Calibri" w:cs="Calibri" w:eastAsia="Calibri" w:hAnsi="Calibri"/>
                <w:sz w:val="16"/>
                <w:szCs w:val="16"/>
                <w:color w:val="auto"/>
              </w:rPr>
              <w:t>57</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9"/>
        </w:trPr>
        <w:tc>
          <w:tcPr>
            <w:tcW w:w="7540" w:type="dxa"/>
            <w:vAlign w:val="bottom"/>
            <w:gridSpan w:val="20"/>
          </w:tcPr>
          <w:p>
            <w:pPr>
              <w:spacing w:after="0"/>
              <w:rPr>
                <w:sz w:val="20"/>
                <w:szCs w:val="20"/>
                <w:color w:val="auto"/>
              </w:rPr>
            </w:pPr>
            <w:r>
              <w:rPr>
                <w:rFonts w:ascii="Calibri" w:cs="Calibri" w:eastAsia="Calibri" w:hAnsi="Calibri"/>
                <w:sz w:val="16"/>
                <w:szCs w:val="16"/>
                <w:b w:val="1"/>
                <w:bCs w:val="1"/>
                <w:color w:val="0000EE"/>
              </w:rPr>
              <w:t>Executve compensaton</w:t>
            </w:r>
          </w:p>
        </w:tc>
        <w:tc>
          <w:tcPr>
            <w:tcW w:w="380" w:type="dxa"/>
            <w:vAlign w:val="bottom"/>
          </w:tcPr>
          <w:p>
            <w:pPr>
              <w:jc w:val="right"/>
              <w:spacing w:after="0"/>
              <w:rPr>
                <w:sz w:val="20"/>
                <w:szCs w:val="20"/>
                <w:color w:val="auto"/>
              </w:rPr>
            </w:pPr>
            <w:r>
              <w:rPr>
                <w:rFonts w:ascii="Calibri" w:cs="Calibri" w:eastAsia="Calibri" w:hAnsi="Calibri"/>
                <w:sz w:val="16"/>
                <w:szCs w:val="16"/>
                <w:color w:val="auto"/>
              </w:rPr>
              <w:t>60</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7380" w:type="dxa"/>
            <w:vAlign w:val="bottom"/>
            <w:gridSpan w:val="19"/>
          </w:tcPr>
          <w:p>
            <w:pPr>
              <w:spacing w:after="0"/>
              <w:rPr>
                <w:sz w:val="20"/>
                <w:szCs w:val="20"/>
                <w:color w:val="auto"/>
              </w:rPr>
            </w:pPr>
            <w:r>
              <w:rPr>
                <w:rFonts w:ascii="Calibri" w:cs="Calibri" w:eastAsia="Calibri" w:hAnsi="Calibri"/>
                <w:sz w:val="16"/>
                <w:szCs w:val="16"/>
                <w:color w:val="0000EE"/>
              </w:rPr>
              <w:t>Compensaton Discussion and Analysis</w:t>
            </w:r>
          </w:p>
        </w:tc>
        <w:tc>
          <w:tcPr>
            <w:tcW w:w="380" w:type="dxa"/>
            <w:vAlign w:val="bottom"/>
          </w:tcPr>
          <w:p>
            <w:pPr>
              <w:jc w:val="right"/>
              <w:spacing w:after="0"/>
              <w:rPr>
                <w:sz w:val="20"/>
                <w:szCs w:val="20"/>
                <w:color w:val="auto"/>
              </w:rPr>
            </w:pPr>
            <w:r>
              <w:rPr>
                <w:rFonts w:ascii="Calibri" w:cs="Calibri" w:eastAsia="Calibri" w:hAnsi="Calibri"/>
                <w:sz w:val="16"/>
                <w:szCs w:val="16"/>
                <w:color w:val="auto"/>
              </w:rPr>
              <w:t>60</w:t>
            </w:r>
          </w:p>
        </w:tc>
      </w:tr>
      <w:tr>
        <w:trPr>
          <w:trHeight w:val="20"/>
        </w:trPr>
        <w:tc>
          <w:tcPr>
            <w:tcW w:w="16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3700" w:type="dxa"/>
            <w:vAlign w:val="bottom"/>
            <w:tcBorders>
              <w:bottom w:val="single" w:sz="8" w:color="0000EE"/>
            </w:tcBorders>
            <w:gridSpan w:val="13"/>
          </w:tcPr>
          <w:p>
            <w:pPr>
              <w:spacing w:after="0"/>
              <w:rPr>
                <w:sz w:val="20"/>
                <w:szCs w:val="20"/>
                <w:color w:val="auto"/>
              </w:rPr>
            </w:pPr>
            <w:r>
              <w:rPr>
                <w:rFonts w:ascii="Calibri" w:cs="Calibri" w:eastAsia="Calibri" w:hAnsi="Calibri"/>
                <w:sz w:val="16"/>
                <w:szCs w:val="16"/>
                <w:color w:val="0000EE"/>
                <w:w w:val="98"/>
              </w:rPr>
              <w:t>Compensaton and Talent Management Commitee Report</w:t>
            </w:r>
          </w:p>
        </w:tc>
        <w:tc>
          <w:tcPr>
            <w:tcW w:w="368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Calibri" w:cs="Calibri" w:eastAsia="Calibri" w:hAnsi="Calibri"/>
                <w:sz w:val="16"/>
                <w:szCs w:val="16"/>
                <w:color w:val="auto"/>
              </w:rPr>
              <w:t>83</w:t>
            </w:r>
          </w:p>
        </w:tc>
      </w:tr>
      <w:tr>
        <w:trPr>
          <w:trHeight w:val="279"/>
        </w:trPr>
        <w:tc>
          <w:tcPr>
            <w:tcW w:w="160" w:type="dxa"/>
            <w:vAlign w:val="bottom"/>
          </w:tcPr>
          <w:p>
            <w:pPr>
              <w:spacing w:after="0"/>
              <w:rPr>
                <w:sz w:val="24"/>
                <w:szCs w:val="24"/>
                <w:color w:val="auto"/>
              </w:rPr>
            </w:pPr>
          </w:p>
        </w:tc>
        <w:tc>
          <w:tcPr>
            <w:tcW w:w="7380" w:type="dxa"/>
            <w:vAlign w:val="bottom"/>
            <w:gridSpan w:val="19"/>
          </w:tcPr>
          <w:p>
            <w:pPr>
              <w:spacing w:after="0"/>
              <w:rPr>
                <w:sz w:val="20"/>
                <w:szCs w:val="20"/>
                <w:color w:val="auto"/>
              </w:rPr>
            </w:pPr>
            <w:r>
              <w:rPr>
                <w:rFonts w:ascii="Calibri" w:cs="Calibri" w:eastAsia="Calibri" w:hAnsi="Calibri"/>
                <w:sz w:val="16"/>
                <w:szCs w:val="16"/>
                <w:color w:val="0000EE"/>
              </w:rPr>
              <w:t>Summary compensaton table for fscal year 2023</w:t>
            </w:r>
          </w:p>
        </w:tc>
        <w:tc>
          <w:tcPr>
            <w:tcW w:w="380" w:type="dxa"/>
            <w:vAlign w:val="bottom"/>
          </w:tcPr>
          <w:p>
            <w:pPr>
              <w:jc w:val="right"/>
              <w:spacing w:after="0"/>
              <w:rPr>
                <w:sz w:val="20"/>
                <w:szCs w:val="20"/>
                <w:color w:val="auto"/>
              </w:rPr>
            </w:pPr>
            <w:r>
              <w:rPr>
                <w:rFonts w:ascii="Calibri" w:cs="Calibri" w:eastAsia="Calibri" w:hAnsi="Calibri"/>
                <w:sz w:val="16"/>
                <w:szCs w:val="16"/>
                <w:color w:val="auto"/>
              </w:rPr>
              <w:t>84</w:t>
            </w:r>
          </w:p>
        </w:tc>
      </w:tr>
      <w:tr>
        <w:trPr>
          <w:trHeight w:val="20"/>
        </w:trPr>
        <w:tc>
          <w:tcPr>
            <w:tcW w:w="16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9"/>
        </w:trPr>
        <w:tc>
          <w:tcPr>
            <w:tcW w:w="7540" w:type="dxa"/>
            <w:vAlign w:val="bottom"/>
            <w:gridSpan w:val="20"/>
          </w:tcPr>
          <w:p>
            <w:pPr>
              <w:spacing w:after="0"/>
              <w:rPr>
                <w:sz w:val="20"/>
                <w:szCs w:val="20"/>
                <w:color w:val="auto"/>
              </w:rPr>
            </w:pPr>
            <w:r>
              <w:rPr>
                <w:rFonts w:ascii="Calibri" w:cs="Calibri" w:eastAsia="Calibri" w:hAnsi="Calibri"/>
                <w:sz w:val="16"/>
                <w:szCs w:val="16"/>
                <w:b w:val="1"/>
                <w:bCs w:val="1"/>
                <w:color w:val="0000EE"/>
              </w:rPr>
              <w:t>Stock ownership of directors, executve ofcers and certain benefcial owners</w:t>
            </w:r>
          </w:p>
        </w:tc>
        <w:tc>
          <w:tcPr>
            <w:tcW w:w="380" w:type="dxa"/>
            <w:vAlign w:val="bottom"/>
          </w:tcPr>
          <w:p>
            <w:pPr>
              <w:jc w:val="right"/>
              <w:spacing w:after="0"/>
              <w:rPr>
                <w:sz w:val="20"/>
                <w:szCs w:val="20"/>
                <w:color w:val="auto"/>
              </w:rPr>
            </w:pPr>
            <w:r>
              <w:rPr>
                <w:rFonts w:ascii="Calibri" w:cs="Calibri" w:eastAsia="Calibri" w:hAnsi="Calibri"/>
                <w:sz w:val="16"/>
                <w:szCs w:val="16"/>
                <w:color w:val="auto"/>
              </w:rPr>
              <w:t>105</w:t>
            </w:r>
          </w:p>
        </w:tc>
      </w:tr>
      <w:tr>
        <w:trPr>
          <w:trHeight w:val="279"/>
        </w:trPr>
        <w:tc>
          <w:tcPr>
            <w:tcW w:w="4980" w:type="dxa"/>
            <w:vAlign w:val="bottom"/>
            <w:tcBorders>
              <w:top w:val="single" w:sz="8" w:color="0000EE"/>
            </w:tcBorders>
            <w:gridSpan w:val="15"/>
          </w:tcPr>
          <w:p>
            <w:pPr>
              <w:spacing w:after="0"/>
              <w:rPr>
                <w:sz w:val="20"/>
                <w:szCs w:val="20"/>
                <w:color w:val="auto"/>
              </w:rPr>
            </w:pPr>
            <w:r>
              <w:rPr>
                <w:rFonts w:ascii="Calibri" w:cs="Calibri" w:eastAsia="Calibri" w:hAnsi="Calibri"/>
                <w:sz w:val="16"/>
                <w:szCs w:val="16"/>
                <w:b w:val="1"/>
                <w:bCs w:val="1"/>
                <w:color w:val="0000EE"/>
              </w:rPr>
              <w:t>Certain relatonships and related person transactons</w:t>
            </w:r>
          </w:p>
        </w:tc>
        <w:tc>
          <w:tcPr>
            <w:tcW w:w="256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Calibri" w:cs="Calibri" w:eastAsia="Calibri" w:hAnsi="Calibri"/>
                <w:sz w:val="16"/>
                <w:szCs w:val="16"/>
                <w:color w:val="auto"/>
              </w:rPr>
              <w:t>107</w:t>
            </w:r>
          </w:p>
        </w:tc>
      </w:tr>
      <w:tr>
        <w:trPr>
          <w:trHeight w:val="279"/>
        </w:trPr>
        <w:tc>
          <w:tcPr>
            <w:tcW w:w="1580" w:type="dxa"/>
            <w:vAlign w:val="bottom"/>
            <w:tcBorders>
              <w:top w:val="single" w:sz="8" w:color="0000EE"/>
              <w:bottom w:val="single" w:sz="8" w:color="0000EE"/>
            </w:tcBorders>
            <w:gridSpan w:val="7"/>
          </w:tcPr>
          <w:p>
            <w:pPr>
              <w:spacing w:after="0"/>
              <w:rPr>
                <w:sz w:val="20"/>
                <w:szCs w:val="20"/>
                <w:color w:val="auto"/>
              </w:rPr>
            </w:pPr>
            <w:r>
              <w:rPr>
                <w:rFonts w:ascii="Calibri" w:cs="Calibri" w:eastAsia="Calibri" w:hAnsi="Calibri"/>
                <w:sz w:val="16"/>
                <w:szCs w:val="16"/>
                <w:b w:val="1"/>
                <w:bCs w:val="1"/>
                <w:color w:val="0000EE"/>
                <w:w w:val="98"/>
              </w:rPr>
              <w:t>Audit Commitee Report</w:t>
            </w:r>
          </w:p>
        </w:tc>
        <w:tc>
          <w:tcPr>
            <w:tcW w:w="1840" w:type="dxa"/>
            <w:vAlign w:val="bottom"/>
            <w:tcBorders>
              <w:top w:val="single" w:sz="8" w:color="0000EE"/>
            </w:tcBorders>
            <w:gridSpan w:val="6"/>
          </w:tcPr>
          <w:p>
            <w:pPr>
              <w:spacing w:after="0"/>
              <w:rPr>
                <w:sz w:val="24"/>
                <w:szCs w:val="24"/>
                <w:color w:val="auto"/>
              </w:rPr>
            </w:pPr>
          </w:p>
        </w:tc>
        <w:tc>
          <w:tcPr>
            <w:tcW w:w="412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Calibri" w:cs="Calibri" w:eastAsia="Calibri" w:hAnsi="Calibri"/>
                <w:sz w:val="16"/>
                <w:szCs w:val="16"/>
                <w:color w:val="auto"/>
              </w:rPr>
              <w:t>108</w:t>
            </w:r>
          </w:p>
        </w:tc>
      </w:tr>
      <w:tr>
        <w:trPr>
          <w:trHeight w:val="279"/>
        </w:trPr>
        <w:tc>
          <w:tcPr>
            <w:tcW w:w="7540" w:type="dxa"/>
            <w:vAlign w:val="bottom"/>
            <w:gridSpan w:val="20"/>
          </w:tcPr>
          <w:p>
            <w:pPr>
              <w:spacing w:after="0"/>
              <w:rPr>
                <w:sz w:val="20"/>
                <w:szCs w:val="20"/>
                <w:color w:val="auto"/>
              </w:rPr>
            </w:pPr>
            <w:r>
              <w:rPr>
                <w:rFonts w:ascii="Calibri" w:cs="Calibri" w:eastAsia="Calibri" w:hAnsi="Calibri"/>
                <w:sz w:val="16"/>
                <w:szCs w:val="16"/>
                <w:b w:val="1"/>
                <w:bCs w:val="1"/>
                <w:color w:val="0000EE"/>
              </w:rPr>
              <w:t>Proposal 1 — Electon of directors</w:t>
            </w:r>
          </w:p>
        </w:tc>
        <w:tc>
          <w:tcPr>
            <w:tcW w:w="380" w:type="dxa"/>
            <w:vAlign w:val="bottom"/>
          </w:tcPr>
          <w:p>
            <w:pPr>
              <w:jc w:val="right"/>
              <w:spacing w:after="0"/>
              <w:rPr>
                <w:sz w:val="20"/>
                <w:szCs w:val="20"/>
                <w:color w:val="auto"/>
              </w:rPr>
            </w:pPr>
            <w:r>
              <w:rPr>
                <w:rFonts w:ascii="Calibri" w:cs="Calibri" w:eastAsia="Calibri" w:hAnsi="Calibri"/>
                <w:sz w:val="16"/>
                <w:szCs w:val="16"/>
                <w:color w:val="auto"/>
              </w:rPr>
              <w:t>109</w:t>
            </w: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9"/>
        </w:trPr>
        <w:tc>
          <w:tcPr>
            <w:tcW w:w="7540" w:type="dxa"/>
            <w:vAlign w:val="bottom"/>
            <w:gridSpan w:val="20"/>
          </w:tcPr>
          <w:p>
            <w:pPr>
              <w:spacing w:after="0"/>
              <w:rPr>
                <w:sz w:val="20"/>
                <w:szCs w:val="20"/>
                <w:color w:val="auto"/>
              </w:rPr>
            </w:pPr>
            <w:r>
              <w:rPr>
                <w:rFonts w:ascii="Calibri" w:cs="Calibri" w:eastAsia="Calibri" w:hAnsi="Calibri"/>
                <w:sz w:val="16"/>
                <w:szCs w:val="16"/>
                <w:b w:val="1"/>
                <w:bCs w:val="1"/>
                <w:color w:val="0000EE"/>
              </w:rPr>
              <w:t>Proposal 2 — Ratfcaton of the appointment of independent registered public accountng frm</w:t>
            </w:r>
          </w:p>
        </w:tc>
        <w:tc>
          <w:tcPr>
            <w:tcW w:w="380" w:type="dxa"/>
            <w:vAlign w:val="bottom"/>
          </w:tcPr>
          <w:p>
            <w:pPr>
              <w:jc w:val="right"/>
              <w:spacing w:after="0"/>
              <w:rPr>
                <w:sz w:val="20"/>
                <w:szCs w:val="20"/>
                <w:color w:val="auto"/>
              </w:rPr>
            </w:pPr>
            <w:r>
              <w:rPr>
                <w:rFonts w:ascii="Calibri" w:cs="Calibri" w:eastAsia="Calibri" w:hAnsi="Calibri"/>
                <w:sz w:val="16"/>
                <w:szCs w:val="16"/>
                <w:color w:val="auto"/>
              </w:rPr>
              <w:t>111</w:t>
            </w:r>
          </w:p>
        </w:tc>
      </w:tr>
      <w:tr>
        <w:trPr>
          <w:trHeight w:val="279"/>
        </w:trPr>
        <w:tc>
          <w:tcPr>
            <w:tcW w:w="5040" w:type="dxa"/>
            <w:vAlign w:val="bottom"/>
            <w:tcBorders>
              <w:top w:val="single" w:sz="8" w:color="0000EE"/>
              <w:bottom w:val="single" w:sz="8" w:color="0000EE"/>
            </w:tcBorders>
            <w:gridSpan w:val="17"/>
          </w:tcPr>
          <w:p>
            <w:pPr>
              <w:spacing w:after="0"/>
              <w:rPr>
                <w:sz w:val="20"/>
                <w:szCs w:val="20"/>
                <w:color w:val="auto"/>
              </w:rPr>
            </w:pPr>
            <w:r>
              <w:rPr>
                <w:rFonts w:ascii="Calibri" w:cs="Calibri" w:eastAsia="Calibri" w:hAnsi="Calibri"/>
                <w:sz w:val="16"/>
                <w:szCs w:val="16"/>
                <w:b w:val="1"/>
                <w:bCs w:val="1"/>
                <w:color w:val="0000EE"/>
                <w:w w:val="98"/>
              </w:rPr>
              <w:t>Proposal 3 — Advisory (non-binding) vote to approve executve compensaton</w:t>
            </w:r>
          </w:p>
        </w:tc>
        <w:tc>
          <w:tcPr>
            <w:tcW w:w="1080" w:type="dxa"/>
            <w:vAlign w:val="bottom"/>
            <w:tcBorders>
              <w:top w:val="single" w:sz="8" w:color="0000EE"/>
            </w:tcBorders>
          </w:tcPr>
          <w:p>
            <w:pPr>
              <w:spacing w:after="0"/>
              <w:rPr>
                <w:sz w:val="24"/>
                <w:szCs w:val="24"/>
                <w:color w:val="auto"/>
              </w:rPr>
            </w:pPr>
          </w:p>
        </w:tc>
        <w:tc>
          <w:tcPr>
            <w:tcW w:w="14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Calibri" w:cs="Calibri" w:eastAsia="Calibri" w:hAnsi="Calibri"/>
                <w:sz w:val="16"/>
                <w:szCs w:val="16"/>
                <w:color w:val="auto"/>
              </w:rPr>
              <w:t>113</w:t>
            </w:r>
          </w:p>
        </w:tc>
      </w:tr>
      <w:tr>
        <w:trPr>
          <w:trHeight w:val="279"/>
        </w:trPr>
        <w:tc>
          <w:tcPr>
            <w:tcW w:w="7540" w:type="dxa"/>
            <w:vAlign w:val="bottom"/>
            <w:gridSpan w:val="20"/>
          </w:tcPr>
          <w:p>
            <w:pPr>
              <w:spacing w:after="0"/>
              <w:rPr>
                <w:sz w:val="20"/>
                <w:szCs w:val="20"/>
                <w:color w:val="auto"/>
              </w:rPr>
            </w:pPr>
            <w:r>
              <w:rPr>
                <w:rFonts w:ascii="Calibri" w:cs="Calibri" w:eastAsia="Calibri" w:hAnsi="Calibri"/>
                <w:sz w:val="16"/>
                <w:szCs w:val="16"/>
                <w:b w:val="1"/>
                <w:bCs w:val="1"/>
                <w:color w:val="0000EE"/>
              </w:rPr>
              <w:t>Proposal 4 — Fourth Amended and Restated Certfcate of Incorporaton to provide for, among other things, ofcer</w:t>
            </w:r>
          </w:p>
        </w:tc>
        <w:tc>
          <w:tcPr>
            <w:tcW w:w="380" w:type="dxa"/>
            <w:vAlign w:val="bottom"/>
          </w:tcPr>
          <w:p>
            <w:pPr>
              <w:spacing w:after="0"/>
              <w:rPr>
                <w:sz w:val="24"/>
                <w:szCs w:val="24"/>
                <w:color w:val="auto"/>
              </w:rPr>
            </w:pPr>
          </w:p>
        </w:tc>
      </w:tr>
      <w:tr>
        <w:trPr>
          <w:trHeight w:val="175"/>
        </w:trPr>
        <w:tc>
          <w:tcPr>
            <w:tcW w:w="160" w:type="dxa"/>
            <w:vAlign w:val="bottom"/>
            <w:tcBorders>
              <w:top w:val="single" w:sz="8" w:color="0000EE"/>
            </w:tcBorders>
          </w:tcPr>
          <w:p>
            <w:pPr>
              <w:spacing w:after="0"/>
              <w:rPr>
                <w:sz w:val="15"/>
                <w:szCs w:val="15"/>
                <w:color w:val="auto"/>
              </w:rPr>
            </w:pPr>
          </w:p>
        </w:tc>
        <w:tc>
          <w:tcPr>
            <w:tcW w:w="7240" w:type="dxa"/>
            <w:vAlign w:val="bottom"/>
            <w:tcBorders>
              <w:top w:val="single" w:sz="8" w:color="0000EE"/>
            </w:tcBorders>
            <w:gridSpan w:val="18"/>
          </w:tcPr>
          <w:p>
            <w:pPr>
              <w:spacing w:after="0" w:line="175" w:lineRule="exact"/>
              <w:rPr>
                <w:sz w:val="20"/>
                <w:szCs w:val="20"/>
                <w:color w:val="auto"/>
              </w:rPr>
            </w:pPr>
            <w:r>
              <w:rPr>
                <w:rFonts w:ascii="Calibri" w:cs="Calibri" w:eastAsia="Calibri" w:hAnsi="Calibri"/>
                <w:sz w:val="16"/>
                <w:szCs w:val="16"/>
                <w:b w:val="1"/>
                <w:bCs w:val="1"/>
                <w:color w:val="0000EE"/>
              </w:rPr>
              <w:t>exculpaton</w:t>
            </w:r>
          </w:p>
        </w:tc>
        <w:tc>
          <w:tcPr>
            <w:tcW w:w="140" w:type="dxa"/>
            <w:vAlign w:val="bottom"/>
          </w:tcPr>
          <w:p>
            <w:pPr>
              <w:spacing w:after="0"/>
              <w:rPr>
                <w:sz w:val="15"/>
                <w:szCs w:val="15"/>
                <w:color w:val="auto"/>
              </w:rPr>
            </w:pPr>
          </w:p>
        </w:tc>
        <w:tc>
          <w:tcPr>
            <w:tcW w:w="380" w:type="dxa"/>
            <w:vAlign w:val="bottom"/>
          </w:tcPr>
          <w:p>
            <w:pPr>
              <w:jc w:val="right"/>
              <w:spacing w:after="0" w:line="175" w:lineRule="exact"/>
              <w:rPr>
                <w:sz w:val="20"/>
                <w:szCs w:val="20"/>
                <w:color w:val="auto"/>
              </w:rPr>
            </w:pPr>
            <w:r>
              <w:rPr>
                <w:rFonts w:ascii="Calibri" w:cs="Calibri" w:eastAsia="Calibri" w:hAnsi="Calibri"/>
                <w:sz w:val="16"/>
                <w:szCs w:val="16"/>
                <w:color w:val="auto"/>
              </w:rPr>
              <w:t>115</w:t>
            </w:r>
          </w:p>
        </w:tc>
      </w:tr>
      <w:tr>
        <w:trPr>
          <w:trHeight w:val="20"/>
        </w:trPr>
        <w:tc>
          <w:tcPr>
            <w:tcW w:w="16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9"/>
        </w:trPr>
        <w:tc>
          <w:tcPr>
            <w:tcW w:w="7540" w:type="dxa"/>
            <w:vAlign w:val="bottom"/>
            <w:gridSpan w:val="20"/>
          </w:tcPr>
          <w:p>
            <w:pPr>
              <w:spacing w:after="0"/>
              <w:rPr>
                <w:sz w:val="20"/>
                <w:szCs w:val="20"/>
                <w:color w:val="auto"/>
              </w:rPr>
            </w:pPr>
            <w:r>
              <w:rPr>
                <w:rFonts w:ascii="Calibri" w:cs="Calibri" w:eastAsia="Calibri" w:hAnsi="Calibri"/>
                <w:sz w:val="16"/>
                <w:szCs w:val="16"/>
                <w:b w:val="1"/>
                <w:bCs w:val="1"/>
                <w:color w:val="0000EE"/>
              </w:rPr>
              <w:t>Miscellaneous</w:t>
            </w:r>
          </w:p>
        </w:tc>
        <w:tc>
          <w:tcPr>
            <w:tcW w:w="380" w:type="dxa"/>
            <w:vAlign w:val="bottom"/>
          </w:tcPr>
          <w:p>
            <w:pPr>
              <w:jc w:val="right"/>
              <w:spacing w:after="0"/>
              <w:rPr>
                <w:sz w:val="20"/>
                <w:szCs w:val="20"/>
                <w:color w:val="auto"/>
              </w:rPr>
            </w:pPr>
            <w:r>
              <w:rPr>
                <w:rFonts w:ascii="Calibri" w:cs="Calibri" w:eastAsia="Calibri" w:hAnsi="Calibri"/>
                <w:sz w:val="16"/>
                <w:szCs w:val="16"/>
                <w:color w:val="auto"/>
              </w:rPr>
              <w:t>118</w:t>
            </w: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9"/>
        </w:trPr>
        <w:tc>
          <w:tcPr>
            <w:tcW w:w="7540" w:type="dxa"/>
            <w:vAlign w:val="bottom"/>
            <w:gridSpan w:val="20"/>
          </w:tcPr>
          <w:p>
            <w:pPr>
              <w:spacing w:after="0"/>
              <w:rPr>
                <w:sz w:val="20"/>
                <w:szCs w:val="20"/>
                <w:color w:val="auto"/>
              </w:rPr>
            </w:pPr>
            <w:r>
              <w:rPr>
                <w:rFonts w:ascii="Calibri" w:cs="Calibri" w:eastAsia="Calibri" w:hAnsi="Calibri"/>
                <w:sz w:val="16"/>
                <w:szCs w:val="16"/>
                <w:b w:val="1"/>
                <w:bCs w:val="1"/>
                <w:color w:val="0000EE"/>
              </w:rPr>
              <w:t>Stockholder proposals and director nominatons for the 2025 Annual Meetng</w:t>
            </w:r>
          </w:p>
        </w:tc>
        <w:tc>
          <w:tcPr>
            <w:tcW w:w="380" w:type="dxa"/>
            <w:vAlign w:val="bottom"/>
          </w:tcPr>
          <w:p>
            <w:pPr>
              <w:jc w:val="right"/>
              <w:spacing w:after="0"/>
              <w:rPr>
                <w:sz w:val="20"/>
                <w:szCs w:val="20"/>
                <w:color w:val="auto"/>
              </w:rPr>
            </w:pPr>
            <w:r>
              <w:rPr>
                <w:rFonts w:ascii="Calibri" w:cs="Calibri" w:eastAsia="Calibri" w:hAnsi="Calibri"/>
                <w:sz w:val="16"/>
                <w:szCs w:val="16"/>
                <w:color w:val="auto"/>
              </w:rPr>
              <w:t>118</w:t>
            </w:r>
          </w:p>
        </w:tc>
      </w:tr>
      <w:tr>
        <w:trPr>
          <w:trHeight w:val="279"/>
        </w:trPr>
        <w:tc>
          <w:tcPr>
            <w:tcW w:w="1640" w:type="dxa"/>
            <w:vAlign w:val="bottom"/>
            <w:tcBorders>
              <w:top w:val="single" w:sz="8" w:color="0000EE"/>
              <w:bottom w:val="single" w:sz="8" w:color="0000EE"/>
            </w:tcBorders>
            <w:gridSpan w:val="8"/>
          </w:tcPr>
          <w:p>
            <w:pPr>
              <w:spacing w:after="0"/>
              <w:rPr>
                <w:sz w:val="20"/>
                <w:szCs w:val="20"/>
                <w:color w:val="auto"/>
              </w:rPr>
            </w:pPr>
            <w:r>
              <w:rPr>
                <w:rFonts w:ascii="Calibri" w:cs="Calibri" w:eastAsia="Calibri" w:hAnsi="Calibri"/>
                <w:sz w:val="16"/>
                <w:szCs w:val="16"/>
                <w:b w:val="1"/>
                <w:bCs w:val="1"/>
                <w:color w:val="0000EE"/>
                <w:w w:val="98"/>
              </w:rPr>
              <w:t>Non-GAAP Reconciliaton</w:t>
            </w:r>
          </w:p>
        </w:tc>
        <w:tc>
          <w:tcPr>
            <w:tcW w:w="3360" w:type="dxa"/>
            <w:vAlign w:val="bottom"/>
            <w:tcBorders>
              <w:top w:val="single" w:sz="8" w:color="0000EE"/>
            </w:tcBorders>
            <w:gridSpan w:val="8"/>
          </w:tcPr>
          <w:p>
            <w:pPr>
              <w:spacing w:after="0"/>
              <w:rPr>
                <w:sz w:val="24"/>
                <w:szCs w:val="24"/>
                <w:color w:val="auto"/>
              </w:rPr>
            </w:pPr>
          </w:p>
        </w:tc>
        <w:tc>
          <w:tcPr>
            <w:tcW w:w="254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Calibri" w:cs="Calibri" w:eastAsia="Calibri" w:hAnsi="Calibri"/>
                <w:sz w:val="16"/>
                <w:szCs w:val="16"/>
                <w:color w:val="auto"/>
              </w:rPr>
              <w:t>120</w:t>
            </w:r>
          </w:p>
        </w:tc>
      </w:tr>
      <w:tr>
        <w:trPr>
          <w:trHeight w:val="279"/>
        </w:trPr>
        <w:tc>
          <w:tcPr>
            <w:tcW w:w="7540" w:type="dxa"/>
            <w:vAlign w:val="bottom"/>
            <w:gridSpan w:val="20"/>
          </w:tcPr>
          <w:p>
            <w:pPr>
              <w:spacing w:after="0"/>
              <w:rPr>
                <w:sz w:val="20"/>
                <w:szCs w:val="20"/>
                <w:color w:val="auto"/>
              </w:rPr>
            </w:pPr>
            <w:r>
              <w:rPr>
                <w:rFonts w:ascii="Calibri" w:cs="Calibri" w:eastAsia="Calibri" w:hAnsi="Calibri"/>
                <w:sz w:val="16"/>
                <w:szCs w:val="16"/>
                <w:b w:val="1"/>
                <w:bCs w:val="1"/>
                <w:color w:val="0000EE"/>
              </w:rPr>
              <w:t>Annual Meetng Q&amp;A</w:t>
            </w:r>
          </w:p>
        </w:tc>
        <w:tc>
          <w:tcPr>
            <w:tcW w:w="380" w:type="dxa"/>
            <w:vAlign w:val="bottom"/>
          </w:tcPr>
          <w:p>
            <w:pPr>
              <w:jc w:val="right"/>
              <w:spacing w:after="0"/>
              <w:rPr>
                <w:sz w:val="20"/>
                <w:szCs w:val="20"/>
                <w:color w:val="auto"/>
              </w:rPr>
            </w:pPr>
            <w:r>
              <w:rPr>
                <w:rFonts w:ascii="Calibri" w:cs="Calibri" w:eastAsia="Calibri" w:hAnsi="Calibri"/>
                <w:sz w:val="16"/>
                <w:szCs w:val="16"/>
                <w:color w:val="auto"/>
              </w:rPr>
              <w:t>122</w:t>
            </w:r>
          </w:p>
        </w:tc>
      </w:tr>
      <w:tr>
        <w:trPr>
          <w:trHeight w:val="279"/>
        </w:trPr>
        <w:tc>
          <w:tcPr>
            <w:tcW w:w="1400" w:type="dxa"/>
            <w:vAlign w:val="bottom"/>
            <w:tcBorders>
              <w:top w:val="single" w:sz="8" w:color="0000EE"/>
            </w:tcBorders>
            <w:gridSpan w:val="3"/>
          </w:tcPr>
          <w:p>
            <w:pPr>
              <w:spacing w:after="0"/>
              <w:rPr>
                <w:sz w:val="20"/>
                <w:szCs w:val="20"/>
                <w:color w:val="auto"/>
              </w:rPr>
            </w:pPr>
            <w:r>
              <w:rPr>
                <w:rFonts w:ascii="Calibri" w:cs="Calibri" w:eastAsia="Calibri" w:hAnsi="Calibri"/>
                <w:sz w:val="16"/>
                <w:szCs w:val="16"/>
                <w:b w:val="1"/>
                <w:bCs w:val="1"/>
                <w:color w:val="0000EE"/>
              </w:rPr>
              <w:t>Other maters</w:t>
            </w:r>
          </w:p>
        </w:tc>
        <w:tc>
          <w:tcPr>
            <w:tcW w:w="614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Calibri" w:cs="Calibri" w:eastAsia="Calibri" w:hAnsi="Calibri"/>
                <w:sz w:val="16"/>
                <w:szCs w:val="16"/>
                <w:color w:val="auto"/>
              </w:rPr>
              <w:t>127</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312"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34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640" w:type="dxa"/>
            <w:vAlign w:val="bottom"/>
            <w:vMerge w:val="restart"/>
          </w:tcPr>
          <w:p>
            <w:pPr>
              <w:ind w:left="4140"/>
              <w:spacing w:after="0"/>
              <w:rPr>
                <w:sz w:val="20"/>
                <w:szCs w:val="20"/>
                <w:color w:val="auto"/>
              </w:rPr>
            </w:pPr>
            <w:r>
              <w:rPr>
                <w:rFonts w:ascii="Calibri" w:cs="Calibri" w:eastAsia="Calibri" w:hAnsi="Calibri"/>
                <w:sz w:val="13"/>
                <w:szCs w:val="13"/>
                <w:color w:val="auto"/>
                <w:w w:val="97"/>
              </w:rPr>
              <w:t>EXL 2024 Proxy Statement </w:t>
            </w:r>
          </w:p>
        </w:tc>
        <w:tc>
          <w:tcPr>
            <w:tcW w:w="3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w:t>
            </w: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564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71" w:right="8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2024 Proxy Statement summary</w:t>
      </w:r>
    </w:p>
    <w:p>
      <w:pPr>
        <w:spacing w:after="0" w:line="26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Summary</w:t>
      </w:r>
    </w:p>
    <w:p>
      <w:pPr>
        <w:spacing w:after="0" w:line="120" w:lineRule="exact"/>
        <w:rPr>
          <w:sz w:val="20"/>
          <w:szCs w:val="20"/>
          <w:color w:val="auto"/>
        </w:rPr>
      </w:pPr>
    </w:p>
    <w:p>
      <w:pPr>
        <w:ind w:left="320" w:right="60"/>
        <w:spacing w:after="0" w:line="236" w:lineRule="auto"/>
        <w:rPr>
          <w:sz w:val="20"/>
          <w:szCs w:val="20"/>
          <w:color w:val="auto"/>
        </w:rPr>
      </w:pPr>
      <w:r>
        <w:rPr>
          <w:rFonts w:ascii="Calibri" w:cs="Calibri" w:eastAsia="Calibri" w:hAnsi="Calibri"/>
          <w:sz w:val="14"/>
          <w:szCs w:val="14"/>
          <w:color w:val="auto"/>
        </w:rPr>
        <w:t>Below is a summary of select components of this Proxy Statement, including informaton regarding this year’s stockholder meetng, nominees for our board of directors, summary of our business, performance highlights and selectve executve compensaton informaton. This summary does not contain all of the informaton that you should consider prior to submitng your proxy, and you should review the entre Proxy Statement and our Annual Report on Form 10-K for the fscal year ended December 31, 2023 (the “2023 Form 10-K”). We refer to the fscal year ended December 31, 2023 as “fscal year 2023,” “fscal 2023,” and “2023.” Unless otherwise indicated, all prior period informaton has been adjusted to refect the 5-for-1 forward stock split of our common stock efected in August 2023.</w:t>
      </w:r>
    </w:p>
    <w:p>
      <w:pPr>
        <w:spacing w:after="0" w:line="305" w:lineRule="exact"/>
        <w:rPr>
          <w:sz w:val="20"/>
          <w:szCs w:val="20"/>
          <w:color w:val="auto"/>
        </w:rPr>
      </w:pPr>
    </w:p>
    <w:p>
      <w:pPr>
        <w:ind w:left="320"/>
        <w:spacing w:after="0"/>
        <w:rPr>
          <w:sz w:val="20"/>
          <w:szCs w:val="20"/>
          <w:color w:val="auto"/>
        </w:rPr>
      </w:pPr>
      <w:r>
        <w:rPr>
          <w:rFonts w:ascii="Calibri" w:cs="Calibri" w:eastAsia="Calibri" w:hAnsi="Calibri"/>
          <w:sz w:val="23"/>
          <w:szCs w:val="23"/>
          <w:color w:val="auto"/>
        </w:rPr>
        <w:t>Meetng agenda, votng maters and recommendatons*</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780" w:type="dxa"/>
            <w:vAlign w:val="bottom"/>
          </w:tcPr>
          <w:p>
            <w:pPr>
              <w:spacing w:after="0"/>
              <w:rPr>
                <w:sz w:val="20"/>
                <w:szCs w:val="20"/>
                <w:color w:val="auto"/>
              </w:rPr>
            </w:pPr>
            <w:r>
              <w:rPr>
                <w:rFonts w:ascii="Calibri" w:cs="Calibri" w:eastAsia="Calibri" w:hAnsi="Calibri"/>
                <w:sz w:val="16"/>
                <w:szCs w:val="16"/>
                <w:b w:val="1"/>
                <w:bCs w:val="1"/>
                <w:color w:val="FB4E0B"/>
              </w:rPr>
              <w:t>Votng proposal item</w:t>
            </w:r>
          </w:p>
        </w:tc>
        <w:tc>
          <w:tcPr>
            <w:tcW w:w="3320" w:type="dxa"/>
            <w:vAlign w:val="bottom"/>
          </w:tcPr>
          <w:p>
            <w:pPr>
              <w:ind w:left="140"/>
              <w:spacing w:after="0"/>
              <w:rPr>
                <w:sz w:val="20"/>
                <w:szCs w:val="20"/>
                <w:color w:val="auto"/>
              </w:rPr>
            </w:pPr>
            <w:r>
              <w:rPr>
                <w:rFonts w:ascii="Calibri" w:cs="Calibri" w:eastAsia="Calibri" w:hAnsi="Calibri"/>
                <w:sz w:val="17"/>
                <w:szCs w:val="17"/>
                <w:b w:val="1"/>
                <w:bCs w:val="1"/>
                <w:color w:val="FB4E0B"/>
              </w:rPr>
              <w:t>Board vote recommendaton</w:t>
            </w:r>
          </w:p>
        </w:tc>
      </w:tr>
      <w:tr>
        <w:trPr>
          <w:trHeight w:val="94"/>
        </w:trPr>
        <w:tc>
          <w:tcPr>
            <w:tcW w:w="3780" w:type="dxa"/>
            <w:vAlign w:val="bottom"/>
            <w:tcBorders>
              <w:bottom w:val="single" w:sz="8" w:color="FB4E0B"/>
            </w:tcBorders>
          </w:tcPr>
          <w:p>
            <w:pPr>
              <w:spacing w:after="0"/>
              <w:rPr>
                <w:sz w:val="8"/>
                <w:szCs w:val="8"/>
                <w:color w:val="auto"/>
              </w:rPr>
            </w:pPr>
          </w:p>
        </w:tc>
        <w:tc>
          <w:tcPr>
            <w:tcW w:w="3320" w:type="dxa"/>
            <w:vAlign w:val="bottom"/>
            <w:tcBorders>
              <w:bottom w:val="single" w:sz="8" w:color="FB4E0B"/>
            </w:tcBorders>
          </w:tcPr>
          <w:p>
            <w:pPr>
              <w:spacing w:after="0"/>
              <w:rPr>
                <w:sz w:val="8"/>
                <w:szCs w:val="8"/>
                <w:color w:val="auto"/>
              </w:rPr>
            </w:pPr>
          </w:p>
        </w:tc>
      </w:tr>
      <w:tr>
        <w:trPr>
          <w:trHeight w:val="245"/>
        </w:trPr>
        <w:tc>
          <w:tcPr>
            <w:tcW w:w="3780" w:type="dxa"/>
            <w:vAlign w:val="bottom"/>
          </w:tcPr>
          <w:p>
            <w:pPr>
              <w:spacing w:after="0"/>
              <w:rPr>
                <w:sz w:val="20"/>
                <w:szCs w:val="20"/>
                <w:color w:val="auto"/>
              </w:rPr>
            </w:pPr>
            <w:r>
              <w:rPr>
                <w:rFonts w:ascii="Calibri" w:cs="Calibri" w:eastAsia="Calibri" w:hAnsi="Calibri"/>
                <w:sz w:val="16"/>
                <w:szCs w:val="16"/>
                <w:b w:val="1"/>
                <w:bCs w:val="1"/>
                <w:color w:val="auto"/>
              </w:rPr>
              <w:t>1. Electon of directors</w:t>
            </w:r>
          </w:p>
        </w:tc>
        <w:tc>
          <w:tcPr>
            <w:tcW w:w="3320" w:type="dxa"/>
            <w:vAlign w:val="bottom"/>
          </w:tcPr>
          <w:p>
            <w:pPr>
              <w:ind w:left="140"/>
              <w:spacing w:after="0"/>
              <w:rPr>
                <w:sz w:val="20"/>
                <w:szCs w:val="20"/>
                <w:color w:val="auto"/>
              </w:rPr>
            </w:pPr>
            <w:r>
              <w:rPr>
                <w:rFonts w:ascii="Calibri" w:cs="Calibri" w:eastAsia="Calibri" w:hAnsi="Calibri"/>
                <w:sz w:val="14"/>
                <w:szCs w:val="14"/>
                <w:b w:val="1"/>
                <w:bCs w:val="1"/>
                <w:color w:val="FB4E0B"/>
              </w:rPr>
              <w:t xml:space="preserve">FOR </w:t>
            </w:r>
            <w:r>
              <w:rPr>
                <w:rFonts w:ascii="Calibri" w:cs="Calibri" w:eastAsia="Calibri" w:hAnsi="Calibri"/>
                <w:sz w:val="14"/>
                <w:szCs w:val="14"/>
                <w:color w:val="FB4E0B"/>
              </w:rPr>
              <w:t>the electon of each nominee</w:t>
            </w:r>
          </w:p>
        </w:tc>
      </w:tr>
      <w:tr>
        <w:trPr>
          <w:trHeight w:val="166"/>
        </w:trPr>
        <w:tc>
          <w:tcPr>
            <w:tcW w:w="3780" w:type="dxa"/>
            <w:vAlign w:val="bottom"/>
          </w:tcPr>
          <w:p>
            <w:pPr>
              <w:spacing w:after="0"/>
              <w:rPr>
                <w:sz w:val="14"/>
                <w:szCs w:val="14"/>
                <w:color w:val="auto"/>
              </w:rPr>
            </w:pPr>
          </w:p>
        </w:tc>
        <w:tc>
          <w:tcPr>
            <w:tcW w:w="3320" w:type="dxa"/>
            <w:vAlign w:val="bottom"/>
          </w:tcPr>
          <w:p>
            <w:pPr>
              <w:ind w:left="140"/>
              <w:spacing w:after="0" w:line="166" w:lineRule="exact"/>
              <w:rPr>
                <w:sz w:val="20"/>
                <w:szCs w:val="20"/>
                <w:color w:val="auto"/>
              </w:rPr>
            </w:pPr>
            <w:r>
              <w:rPr>
                <w:rFonts w:ascii="Calibri" w:cs="Calibri" w:eastAsia="Calibri" w:hAnsi="Calibri"/>
                <w:sz w:val="14"/>
                <w:szCs w:val="14"/>
                <w:color w:val="FB4E0B"/>
              </w:rPr>
              <w:t>(</w:t>
            </w:r>
            <w:r>
              <w:rPr>
                <w:rFonts w:ascii="Calibri" w:cs="Calibri" w:eastAsia="Calibri" w:hAnsi="Calibri"/>
                <w:sz w:val="14"/>
                <w:szCs w:val="14"/>
                <w:i w:val="1"/>
                <w:iCs w:val="1"/>
                <w:color w:val="FB4E0B"/>
              </w:rPr>
              <w:t>pg. 109</w:t>
            </w:r>
            <w:r>
              <w:rPr>
                <w:rFonts w:ascii="Calibri" w:cs="Calibri" w:eastAsia="Calibri" w:hAnsi="Calibri"/>
                <w:sz w:val="14"/>
                <w:szCs w:val="14"/>
                <w:color w:val="FB4E0B"/>
              </w:rPr>
              <w:t>)</w:t>
            </w:r>
          </w:p>
        </w:tc>
      </w:tr>
      <w:tr>
        <w:trPr>
          <w:trHeight w:val="394"/>
        </w:trPr>
        <w:tc>
          <w:tcPr>
            <w:tcW w:w="3780" w:type="dxa"/>
            <w:vAlign w:val="bottom"/>
          </w:tcPr>
          <w:p>
            <w:pPr>
              <w:spacing w:after="0"/>
              <w:rPr>
                <w:sz w:val="20"/>
                <w:szCs w:val="20"/>
                <w:color w:val="auto"/>
              </w:rPr>
            </w:pPr>
            <w:r>
              <w:rPr>
                <w:rFonts w:ascii="Calibri" w:cs="Calibri" w:eastAsia="Calibri" w:hAnsi="Calibri"/>
                <w:sz w:val="16"/>
                <w:szCs w:val="16"/>
                <w:i w:val="1"/>
                <w:iCs w:val="1"/>
                <w:color w:val="auto"/>
              </w:rPr>
              <w:t>Required vote: Afrmatve vote of a majority of votes cast</w:t>
            </w:r>
          </w:p>
        </w:tc>
        <w:tc>
          <w:tcPr>
            <w:tcW w:w="3320" w:type="dxa"/>
            <w:vAlign w:val="bottom"/>
          </w:tcPr>
          <w:p>
            <w:pPr>
              <w:spacing w:after="0"/>
              <w:rPr>
                <w:sz w:val="24"/>
                <w:szCs w:val="24"/>
                <w:color w:val="auto"/>
              </w:rPr>
            </w:pPr>
          </w:p>
        </w:tc>
      </w:tr>
      <w:tr>
        <w:trPr>
          <w:trHeight w:val="274"/>
        </w:trPr>
        <w:tc>
          <w:tcPr>
            <w:tcW w:w="378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tcPr>
          <w:p>
            <w:pPr>
              <w:spacing w:after="0"/>
              <w:rPr>
                <w:sz w:val="23"/>
                <w:szCs w:val="23"/>
                <w:color w:val="auto"/>
              </w:rPr>
            </w:pPr>
          </w:p>
        </w:tc>
      </w:tr>
      <w:tr>
        <w:trPr>
          <w:trHeight w:val="252"/>
        </w:trPr>
        <w:tc>
          <w:tcPr>
            <w:tcW w:w="3780" w:type="dxa"/>
            <w:vAlign w:val="bottom"/>
          </w:tcPr>
          <w:p>
            <w:pPr>
              <w:spacing w:after="0"/>
              <w:rPr>
                <w:sz w:val="20"/>
                <w:szCs w:val="20"/>
                <w:color w:val="auto"/>
              </w:rPr>
            </w:pPr>
            <w:r>
              <w:rPr>
                <w:rFonts w:ascii="Calibri" w:cs="Calibri" w:eastAsia="Calibri" w:hAnsi="Calibri"/>
                <w:sz w:val="16"/>
                <w:szCs w:val="16"/>
                <w:b w:val="1"/>
                <w:bCs w:val="1"/>
                <w:color w:val="auto"/>
              </w:rPr>
              <w:t>2. Ratfcaton of appointment of independent</w:t>
            </w:r>
          </w:p>
        </w:tc>
        <w:tc>
          <w:tcPr>
            <w:tcW w:w="3320" w:type="dxa"/>
            <w:vAlign w:val="bottom"/>
          </w:tcPr>
          <w:p>
            <w:pPr>
              <w:ind w:left="140"/>
              <w:spacing w:after="0"/>
              <w:rPr>
                <w:sz w:val="20"/>
                <w:szCs w:val="20"/>
                <w:color w:val="auto"/>
              </w:rPr>
            </w:pPr>
            <w:r>
              <w:rPr>
                <w:rFonts w:ascii="Calibri" w:cs="Calibri" w:eastAsia="Calibri" w:hAnsi="Calibri"/>
                <w:sz w:val="14"/>
                <w:szCs w:val="14"/>
                <w:b w:val="1"/>
                <w:bCs w:val="1"/>
                <w:color w:val="FB4E0B"/>
              </w:rPr>
              <w:t xml:space="preserve">FOR </w:t>
            </w:r>
            <w:r>
              <w:rPr>
                <w:rFonts w:ascii="Calibri" w:cs="Calibri" w:eastAsia="Calibri" w:hAnsi="Calibri"/>
                <w:sz w:val="14"/>
                <w:szCs w:val="14"/>
                <w:color w:val="FB4E0B"/>
              </w:rPr>
              <w:t>(</w:t>
            </w:r>
            <w:r>
              <w:rPr>
                <w:rFonts w:ascii="Calibri" w:cs="Calibri" w:eastAsia="Calibri" w:hAnsi="Calibri"/>
                <w:sz w:val="14"/>
                <w:szCs w:val="14"/>
                <w:i w:val="1"/>
                <w:iCs w:val="1"/>
                <w:color w:val="FB4E0B"/>
              </w:rPr>
              <w:t>pg. 111</w:t>
            </w:r>
            <w:r>
              <w:rPr>
                <w:rFonts w:ascii="Calibri" w:cs="Calibri" w:eastAsia="Calibri" w:hAnsi="Calibri"/>
                <w:sz w:val="14"/>
                <w:szCs w:val="14"/>
                <w:color w:val="FB4E0B"/>
              </w:rPr>
              <w:t>)</w:t>
            </w:r>
          </w:p>
        </w:tc>
      </w:tr>
      <w:tr>
        <w:trPr>
          <w:trHeight w:val="195"/>
        </w:trPr>
        <w:tc>
          <w:tcPr>
            <w:tcW w:w="3780" w:type="dxa"/>
            <w:vAlign w:val="bottom"/>
          </w:tcPr>
          <w:p>
            <w:pPr>
              <w:ind w:left="160"/>
              <w:spacing w:after="0"/>
              <w:rPr>
                <w:sz w:val="20"/>
                <w:szCs w:val="20"/>
                <w:color w:val="auto"/>
              </w:rPr>
            </w:pPr>
            <w:r>
              <w:rPr>
                <w:rFonts w:ascii="Calibri" w:cs="Calibri" w:eastAsia="Calibri" w:hAnsi="Calibri"/>
                <w:sz w:val="16"/>
                <w:szCs w:val="16"/>
                <w:b w:val="1"/>
                <w:bCs w:val="1"/>
                <w:color w:val="auto"/>
              </w:rPr>
              <w:t>registered public accountng frm</w:t>
            </w:r>
          </w:p>
        </w:tc>
        <w:tc>
          <w:tcPr>
            <w:tcW w:w="33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-923925</wp:posOffset>
            </wp:positionV>
            <wp:extent cx="148590" cy="148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8590" cy="1485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-229870</wp:posOffset>
            </wp:positionV>
            <wp:extent cx="148590" cy="148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98" w:lineRule="exact"/>
        <w:rPr>
          <w:sz w:val="20"/>
          <w:szCs w:val="20"/>
          <w:color w:val="auto"/>
        </w:rPr>
      </w:pPr>
    </w:p>
    <w:p>
      <w:pPr>
        <w:ind w:left="320" w:right="60"/>
        <w:spacing w:after="0" w:line="233" w:lineRule="auto"/>
        <w:rPr>
          <w:sz w:val="20"/>
          <w:szCs w:val="20"/>
          <w:color w:val="auto"/>
        </w:rPr>
      </w:pPr>
      <w:r>
        <w:rPr>
          <w:rFonts w:ascii="Calibri" w:cs="Calibri" w:eastAsia="Calibri" w:hAnsi="Calibri"/>
          <w:sz w:val="16"/>
          <w:szCs w:val="16"/>
          <w:i w:val="1"/>
          <w:iCs w:val="1"/>
          <w:color w:val="auto"/>
        </w:rPr>
        <w:t>Required vote: Afrmatve vote of a majority of shares present in person or represented by proxy and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174625</wp:posOffset>
            </wp:positionV>
            <wp:extent cx="45104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332" w:lineRule="exact"/>
        <w:rPr>
          <w:sz w:val="20"/>
          <w:szCs w:val="20"/>
          <w:color w:val="auto"/>
        </w:rPr>
      </w:pPr>
    </w:p>
    <w:p>
      <w:pPr>
        <w:ind w:left="320"/>
        <w:spacing w:after="0"/>
        <w:tabs>
          <w:tab w:leader="none" w:pos="4220" w:val="left"/>
        </w:tabs>
        <w:rPr>
          <w:sz w:val="20"/>
          <w:szCs w:val="20"/>
          <w:color w:val="auto"/>
        </w:rPr>
      </w:pPr>
      <w:r>
        <w:rPr>
          <w:rFonts w:ascii="Calibri" w:cs="Calibri" w:eastAsia="Calibri" w:hAnsi="Calibri"/>
          <w:sz w:val="16"/>
          <w:szCs w:val="16"/>
          <w:b w:val="1"/>
          <w:bCs w:val="1"/>
          <w:color w:val="auto"/>
        </w:rPr>
        <w:t>3. Advisory (non-binding) Say-on-Pay vote to</w:t>
      </w:r>
      <w:r>
        <w:rPr>
          <w:sz w:val="20"/>
          <w:szCs w:val="20"/>
          <w:color w:val="auto"/>
        </w:rPr>
        <w:tab/>
      </w:r>
      <w:r>
        <w:rPr>
          <w:rFonts w:ascii="Calibri" w:cs="Calibri" w:eastAsia="Calibri" w:hAnsi="Calibri"/>
          <w:sz w:val="14"/>
          <w:szCs w:val="14"/>
          <w:b w:val="1"/>
          <w:bCs w:val="1"/>
          <w:color w:val="FB4E0B"/>
        </w:rPr>
        <w:t xml:space="preserve">FOR </w:t>
      </w:r>
      <w:r>
        <w:rPr>
          <w:rFonts w:ascii="Calibri" w:cs="Calibri" w:eastAsia="Calibri" w:hAnsi="Calibri"/>
          <w:sz w:val="14"/>
          <w:szCs w:val="14"/>
          <w:color w:val="FB4E0B"/>
        </w:rPr>
        <w:t>(</w:t>
      </w:r>
      <w:r>
        <w:rPr>
          <w:rFonts w:ascii="Calibri" w:cs="Calibri" w:eastAsia="Calibri" w:hAnsi="Calibri"/>
          <w:sz w:val="14"/>
          <w:szCs w:val="14"/>
          <w:i w:val="1"/>
          <w:iCs w:val="1"/>
          <w:color w:val="FB4E0B"/>
        </w:rPr>
        <w:t>pg. 113</w:t>
      </w:r>
      <w:r>
        <w:rPr>
          <w:rFonts w:ascii="Calibri" w:cs="Calibri" w:eastAsia="Calibri" w:hAnsi="Calibri"/>
          <w:sz w:val="14"/>
          <w:szCs w:val="14"/>
          <w:color w:val="FB4E0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-106045</wp:posOffset>
            </wp:positionV>
            <wp:extent cx="148590" cy="148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ind w:left="480"/>
        <w:spacing w:after="0"/>
        <w:rPr>
          <w:sz w:val="20"/>
          <w:szCs w:val="20"/>
          <w:color w:val="auto"/>
        </w:rPr>
      </w:pPr>
      <w:r>
        <w:rPr>
          <w:rFonts w:ascii="Calibri" w:cs="Calibri" w:eastAsia="Calibri" w:hAnsi="Calibri"/>
          <w:sz w:val="16"/>
          <w:szCs w:val="16"/>
          <w:b w:val="1"/>
          <w:bCs w:val="1"/>
          <w:color w:val="auto"/>
        </w:rPr>
        <w:t>approve executve compensaton</w:t>
      </w:r>
    </w:p>
    <w:p>
      <w:pPr>
        <w:spacing w:after="0" w:line="218" w:lineRule="exact"/>
        <w:rPr>
          <w:sz w:val="20"/>
          <w:szCs w:val="20"/>
          <w:color w:val="auto"/>
        </w:rPr>
      </w:pPr>
    </w:p>
    <w:p>
      <w:pPr>
        <w:ind w:left="320" w:right="60"/>
        <w:spacing w:after="0" w:line="233" w:lineRule="auto"/>
        <w:rPr>
          <w:sz w:val="20"/>
          <w:szCs w:val="20"/>
          <w:color w:val="auto"/>
        </w:rPr>
      </w:pPr>
      <w:r>
        <w:rPr>
          <w:rFonts w:ascii="Calibri" w:cs="Calibri" w:eastAsia="Calibri" w:hAnsi="Calibri"/>
          <w:sz w:val="16"/>
          <w:szCs w:val="16"/>
          <w:i w:val="1"/>
          <w:iCs w:val="1"/>
          <w:color w:val="auto"/>
        </w:rPr>
        <w:t>Required vote: Afrmatve vote of a majority of shares present in person or represented by proxy and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174625</wp:posOffset>
            </wp:positionV>
            <wp:extent cx="45104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332"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640" w:type="dxa"/>
            <w:vAlign w:val="bottom"/>
          </w:tcPr>
          <w:p>
            <w:pPr>
              <w:spacing w:after="0"/>
              <w:rPr>
                <w:sz w:val="20"/>
                <w:szCs w:val="20"/>
                <w:color w:val="auto"/>
              </w:rPr>
            </w:pPr>
            <w:r>
              <w:rPr>
                <w:rFonts w:ascii="Calibri" w:cs="Calibri" w:eastAsia="Calibri" w:hAnsi="Calibri"/>
                <w:sz w:val="16"/>
                <w:szCs w:val="16"/>
                <w:b w:val="1"/>
                <w:bCs w:val="1"/>
                <w:color w:val="auto"/>
              </w:rPr>
              <w:t>4. Fourth Amended and Restated Certfcate of</w:t>
            </w:r>
          </w:p>
        </w:tc>
        <w:tc>
          <w:tcPr>
            <w:tcW w:w="1060" w:type="dxa"/>
            <w:vAlign w:val="bottom"/>
          </w:tcPr>
          <w:p>
            <w:pPr>
              <w:ind w:left="280"/>
              <w:spacing w:after="0"/>
              <w:rPr>
                <w:sz w:val="20"/>
                <w:szCs w:val="20"/>
                <w:color w:val="auto"/>
              </w:rPr>
            </w:pPr>
            <w:r>
              <w:rPr>
                <w:rFonts w:ascii="Calibri" w:cs="Calibri" w:eastAsia="Calibri" w:hAnsi="Calibri"/>
                <w:sz w:val="14"/>
                <w:szCs w:val="14"/>
                <w:b w:val="1"/>
                <w:bCs w:val="1"/>
                <w:color w:val="FB4E0B"/>
                <w:w w:val="97"/>
              </w:rPr>
              <w:t xml:space="preserve">FOR </w:t>
            </w:r>
            <w:r>
              <w:rPr>
                <w:rFonts w:ascii="Calibri" w:cs="Calibri" w:eastAsia="Calibri" w:hAnsi="Calibri"/>
                <w:sz w:val="14"/>
                <w:szCs w:val="14"/>
                <w:color w:val="FB4E0B"/>
                <w:w w:val="97"/>
              </w:rPr>
              <w:t>(</w:t>
            </w:r>
            <w:r>
              <w:rPr>
                <w:rFonts w:ascii="Calibri" w:cs="Calibri" w:eastAsia="Calibri" w:hAnsi="Calibri"/>
                <w:sz w:val="14"/>
                <w:szCs w:val="14"/>
                <w:i w:val="1"/>
                <w:iCs w:val="1"/>
                <w:color w:val="FB4E0B"/>
                <w:w w:val="97"/>
              </w:rPr>
              <w:t>pg. 115</w:t>
            </w:r>
            <w:r>
              <w:rPr>
                <w:rFonts w:ascii="Calibri" w:cs="Calibri" w:eastAsia="Calibri" w:hAnsi="Calibri"/>
                <w:sz w:val="14"/>
                <w:szCs w:val="14"/>
                <w:color w:val="FB4E0B"/>
                <w:w w:val="97"/>
              </w:rPr>
              <w:t>)</w:t>
            </w:r>
          </w:p>
        </w:tc>
      </w:tr>
      <w:tr>
        <w:trPr>
          <w:trHeight w:val="195"/>
        </w:trPr>
        <w:tc>
          <w:tcPr>
            <w:tcW w:w="3640" w:type="dxa"/>
            <w:vAlign w:val="bottom"/>
          </w:tcPr>
          <w:p>
            <w:pPr>
              <w:ind w:left="160"/>
              <w:spacing w:after="0"/>
              <w:rPr>
                <w:sz w:val="20"/>
                <w:szCs w:val="20"/>
                <w:color w:val="auto"/>
              </w:rPr>
            </w:pPr>
            <w:r>
              <w:rPr>
                <w:rFonts w:ascii="Calibri" w:cs="Calibri" w:eastAsia="Calibri" w:hAnsi="Calibri"/>
                <w:sz w:val="16"/>
                <w:szCs w:val="16"/>
                <w:b w:val="1"/>
                <w:bCs w:val="1"/>
                <w:color w:val="auto"/>
              </w:rPr>
              <w:t>Incorporaton to provide for, among other things,</w:t>
            </w:r>
          </w:p>
        </w:tc>
        <w:tc>
          <w:tcPr>
            <w:tcW w:w="1060" w:type="dxa"/>
            <w:vAlign w:val="bottom"/>
          </w:tcPr>
          <w:p>
            <w:pPr>
              <w:spacing w:after="0"/>
              <w:rPr>
                <w:sz w:val="16"/>
                <w:szCs w:val="16"/>
                <w:color w:val="auto"/>
              </w:rPr>
            </w:pPr>
          </w:p>
        </w:tc>
      </w:tr>
      <w:tr>
        <w:trPr>
          <w:trHeight w:val="195"/>
        </w:trPr>
        <w:tc>
          <w:tcPr>
            <w:tcW w:w="3640" w:type="dxa"/>
            <w:vAlign w:val="bottom"/>
          </w:tcPr>
          <w:p>
            <w:pPr>
              <w:ind w:left="160"/>
              <w:spacing w:after="0"/>
              <w:rPr>
                <w:sz w:val="20"/>
                <w:szCs w:val="20"/>
                <w:color w:val="auto"/>
              </w:rPr>
            </w:pPr>
            <w:r>
              <w:rPr>
                <w:rFonts w:ascii="Calibri" w:cs="Calibri" w:eastAsia="Calibri" w:hAnsi="Calibri"/>
                <w:sz w:val="16"/>
                <w:szCs w:val="16"/>
                <w:b w:val="1"/>
                <w:bCs w:val="1"/>
                <w:color w:val="auto"/>
              </w:rPr>
              <w:t>ofcer exculpaton</w:t>
            </w:r>
          </w:p>
        </w:tc>
        <w:tc>
          <w:tcPr>
            <w:tcW w:w="10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-353695</wp:posOffset>
            </wp:positionV>
            <wp:extent cx="148590" cy="148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88" w:lineRule="exact"/>
        <w:rPr>
          <w:sz w:val="20"/>
          <w:szCs w:val="20"/>
          <w:color w:val="auto"/>
        </w:rPr>
      </w:pPr>
    </w:p>
    <w:p>
      <w:pPr>
        <w:ind w:left="320"/>
        <w:spacing w:after="0"/>
        <w:rPr>
          <w:sz w:val="20"/>
          <w:szCs w:val="20"/>
          <w:color w:val="auto"/>
        </w:rPr>
      </w:pPr>
      <w:r>
        <w:rPr>
          <w:rFonts w:ascii="Calibri" w:cs="Calibri" w:eastAsia="Calibri" w:hAnsi="Calibri"/>
          <w:sz w:val="16"/>
          <w:szCs w:val="16"/>
          <w:i w:val="1"/>
          <w:iCs w:val="1"/>
          <w:color w:val="auto"/>
        </w:rPr>
        <w:t>Required vote: Afrmatve vote of a majority of the outstanding shares of our common stock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173990</wp:posOffset>
            </wp:positionV>
            <wp:extent cx="451040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10405" cy="16510"/>
                    </a:xfrm>
                    <a:prstGeom prst="rect">
                      <a:avLst/>
                    </a:prstGeom>
                    <a:noFill/>
                  </pic:spPr>
                </pic:pic>
              </a:graphicData>
            </a:graphic>
          </wp:anchor>
        </w:drawing>
      </w:r>
    </w:p>
    <w:p>
      <w:pPr>
        <w:spacing w:after="0" w:line="391" w:lineRule="exact"/>
        <w:rPr>
          <w:sz w:val="20"/>
          <w:szCs w:val="20"/>
          <w:color w:val="auto"/>
        </w:rPr>
      </w:pPr>
    </w:p>
    <w:p>
      <w:pPr>
        <w:ind w:left="320" w:right="400" w:firstLine="1"/>
        <w:spacing w:after="0" w:line="251" w:lineRule="auto"/>
        <w:tabs>
          <w:tab w:leader="none" w:pos="414" w:val="left"/>
        </w:tabs>
        <w:numPr>
          <w:ilvl w:val="0"/>
          <w:numId w:val="8"/>
        </w:numPr>
        <w:rPr>
          <w:rFonts w:ascii="Calibri" w:cs="Calibri" w:eastAsia="Calibri" w:hAnsi="Calibri"/>
          <w:sz w:val="13"/>
          <w:szCs w:val="13"/>
          <w:color w:val="auto"/>
        </w:rPr>
      </w:pPr>
      <w:r>
        <w:rPr>
          <w:rFonts w:ascii="Calibri" w:cs="Calibri" w:eastAsia="Calibri" w:hAnsi="Calibri"/>
          <w:sz w:val="13"/>
          <w:szCs w:val="13"/>
          <w:color w:val="auto"/>
        </w:rPr>
        <w:t>Virtual atendance at our Annual Meetng will consttute presence in person for purposes of quorum and votng at the Annual Meetng.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2024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267335</wp:posOffset>
            </wp:positionV>
            <wp:extent cx="2015490" cy="2915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1549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FB4E0B"/>
        </w:rPr>
        <w:t>  Annual meetng informaton</w:t>
      </w:r>
    </w:p>
    <w:p>
      <w:pPr>
        <w:spacing w:after="0" w:line="231" w:lineRule="exact"/>
        <w:rPr>
          <w:sz w:val="20"/>
          <w:szCs w:val="20"/>
          <w:color w:val="auto"/>
        </w:rPr>
      </w:pPr>
    </w:p>
    <w:p>
      <w:pPr>
        <w:ind w:left="500"/>
        <w:spacing w:after="0"/>
        <w:rPr>
          <w:sz w:val="20"/>
          <w:szCs w:val="20"/>
          <w:color w:val="auto"/>
        </w:rPr>
      </w:pPr>
      <w:r>
        <w:rPr>
          <w:rFonts w:ascii="Calibri" w:cs="Calibri" w:eastAsia="Calibri" w:hAnsi="Calibri"/>
          <w:sz w:val="17"/>
          <w:szCs w:val="17"/>
          <w:b w:val="1"/>
          <w:bCs w:val="1"/>
          <w:color w:val="auto"/>
        </w:rPr>
        <w:t>Time and date:</w:t>
      </w:r>
    </w:p>
    <w:p>
      <w:pPr>
        <w:spacing w:after="0" w:line="22" w:lineRule="exact"/>
        <w:rPr>
          <w:sz w:val="20"/>
          <w:szCs w:val="20"/>
          <w:color w:val="auto"/>
        </w:rPr>
      </w:pPr>
    </w:p>
    <w:p>
      <w:pPr>
        <w:ind w:left="500"/>
        <w:spacing w:after="0"/>
        <w:rPr>
          <w:sz w:val="20"/>
          <w:szCs w:val="20"/>
          <w:color w:val="auto"/>
        </w:rPr>
      </w:pPr>
      <w:r>
        <w:rPr>
          <w:rFonts w:ascii="Calibri" w:cs="Calibri" w:eastAsia="Calibri" w:hAnsi="Calibri"/>
          <w:sz w:val="16"/>
          <w:szCs w:val="16"/>
          <w:color w:val="auto"/>
        </w:rPr>
        <w:t>9:00 AM (Eastern Time)</w:t>
      </w:r>
    </w:p>
    <w:p>
      <w:pPr>
        <w:ind w:left="500"/>
        <w:spacing w:after="0"/>
        <w:rPr>
          <w:sz w:val="20"/>
          <w:szCs w:val="20"/>
          <w:color w:val="auto"/>
        </w:rPr>
      </w:pPr>
      <w:r>
        <w:rPr>
          <w:rFonts w:ascii="Calibri" w:cs="Calibri" w:eastAsia="Calibri" w:hAnsi="Calibri"/>
          <w:sz w:val="16"/>
          <w:szCs w:val="16"/>
          <w:color w:val="auto"/>
        </w:rPr>
        <w:t>June 20, 2024</w:t>
      </w:r>
    </w:p>
    <w:p>
      <w:pPr>
        <w:spacing w:after="0" w:line="252" w:lineRule="exact"/>
        <w:rPr>
          <w:sz w:val="20"/>
          <w:szCs w:val="20"/>
          <w:color w:val="auto"/>
        </w:rPr>
      </w:pPr>
    </w:p>
    <w:p>
      <w:pPr>
        <w:ind w:left="500"/>
        <w:spacing w:after="0"/>
        <w:rPr>
          <w:sz w:val="20"/>
          <w:szCs w:val="20"/>
          <w:color w:val="auto"/>
        </w:rPr>
      </w:pPr>
      <w:r>
        <w:rPr>
          <w:rFonts w:ascii="Calibri" w:cs="Calibri" w:eastAsia="Calibri" w:hAnsi="Calibri"/>
          <w:sz w:val="17"/>
          <w:szCs w:val="17"/>
          <w:b w:val="1"/>
          <w:bCs w:val="1"/>
          <w:color w:val="auto"/>
        </w:rPr>
        <w:t>Record date:</w:t>
      </w:r>
    </w:p>
    <w:p>
      <w:pPr>
        <w:spacing w:after="0" w:line="22" w:lineRule="exact"/>
        <w:rPr>
          <w:sz w:val="20"/>
          <w:szCs w:val="20"/>
          <w:color w:val="auto"/>
        </w:rPr>
      </w:pPr>
    </w:p>
    <w:p>
      <w:pPr>
        <w:ind w:left="500"/>
        <w:spacing w:after="0"/>
        <w:rPr>
          <w:sz w:val="20"/>
          <w:szCs w:val="20"/>
          <w:color w:val="auto"/>
        </w:rPr>
      </w:pPr>
      <w:r>
        <w:rPr>
          <w:rFonts w:ascii="Calibri" w:cs="Calibri" w:eastAsia="Calibri" w:hAnsi="Calibri"/>
          <w:sz w:val="16"/>
          <w:szCs w:val="16"/>
          <w:color w:val="auto"/>
        </w:rPr>
        <w:t>April 23, 2024</w:t>
      </w:r>
    </w:p>
    <w:p>
      <w:pPr>
        <w:spacing w:after="0" w:line="317" w:lineRule="exact"/>
        <w:rPr>
          <w:sz w:val="20"/>
          <w:szCs w:val="20"/>
          <w:color w:val="auto"/>
        </w:rPr>
      </w:pPr>
    </w:p>
    <w:p>
      <w:pPr>
        <w:ind w:left="500"/>
        <w:spacing w:after="0"/>
        <w:rPr>
          <w:sz w:val="20"/>
          <w:szCs w:val="20"/>
          <w:color w:val="auto"/>
        </w:rPr>
      </w:pPr>
      <w:r>
        <w:rPr>
          <w:rFonts w:ascii="Calibri" w:cs="Calibri" w:eastAsia="Calibri" w:hAnsi="Calibri"/>
          <w:sz w:val="17"/>
          <w:szCs w:val="17"/>
          <w:b w:val="1"/>
          <w:bCs w:val="1"/>
          <w:color w:val="auto"/>
        </w:rPr>
        <w:t>Place:</w:t>
      </w:r>
    </w:p>
    <w:p>
      <w:pPr>
        <w:spacing w:after="0" w:line="32" w:lineRule="exact"/>
        <w:rPr>
          <w:sz w:val="20"/>
          <w:szCs w:val="20"/>
          <w:color w:val="auto"/>
        </w:rPr>
      </w:pPr>
    </w:p>
    <w:p>
      <w:pPr>
        <w:ind w:left="500" w:right="1020"/>
        <w:spacing w:after="0" w:line="233" w:lineRule="auto"/>
        <w:rPr>
          <w:sz w:val="20"/>
          <w:szCs w:val="20"/>
          <w:color w:val="auto"/>
        </w:rPr>
      </w:pPr>
      <w:r>
        <w:rPr>
          <w:rFonts w:ascii="Calibri" w:cs="Calibri" w:eastAsia="Calibri" w:hAnsi="Calibri"/>
          <w:sz w:val="16"/>
          <w:szCs w:val="16"/>
          <w:color w:val="auto"/>
        </w:rPr>
        <w:t>Virtual format only via live audio webcast</w:t>
      </w:r>
    </w:p>
    <w:p>
      <w:pPr>
        <w:spacing w:after="0" w:line="318" w:lineRule="exact"/>
        <w:rPr>
          <w:sz w:val="20"/>
          <w:szCs w:val="20"/>
          <w:color w:val="auto"/>
        </w:rPr>
      </w:pPr>
    </w:p>
    <w:p>
      <w:pPr>
        <w:ind w:left="500"/>
        <w:spacing w:after="0"/>
        <w:rPr>
          <w:sz w:val="20"/>
          <w:szCs w:val="20"/>
          <w:color w:val="auto"/>
        </w:rPr>
      </w:pPr>
      <w:r>
        <w:rPr>
          <w:rFonts w:ascii="Calibri" w:cs="Calibri" w:eastAsia="Calibri" w:hAnsi="Calibri"/>
          <w:sz w:val="17"/>
          <w:szCs w:val="17"/>
          <w:b w:val="1"/>
          <w:bCs w:val="1"/>
          <w:color w:val="auto"/>
        </w:rPr>
        <w:t>Votng:</w:t>
      </w:r>
    </w:p>
    <w:p>
      <w:pPr>
        <w:spacing w:after="0" w:line="32" w:lineRule="exact"/>
        <w:rPr>
          <w:sz w:val="20"/>
          <w:szCs w:val="20"/>
          <w:color w:val="auto"/>
        </w:rPr>
      </w:pPr>
    </w:p>
    <w:p>
      <w:pPr>
        <w:ind w:left="500" w:right="1140"/>
        <w:spacing w:after="0" w:line="235" w:lineRule="auto"/>
        <w:rPr>
          <w:sz w:val="20"/>
          <w:szCs w:val="20"/>
          <w:color w:val="auto"/>
        </w:rPr>
      </w:pPr>
      <w:r>
        <w:rPr>
          <w:rFonts w:ascii="Calibri" w:cs="Calibri" w:eastAsia="Calibri" w:hAnsi="Calibri"/>
          <w:sz w:val="16"/>
          <w:szCs w:val="16"/>
          <w:color w:val="auto"/>
        </w:rPr>
        <w:t>Stockholders as of the Record Date are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398145</wp:posOffset>
            </wp:positionV>
            <wp:extent cx="2015490" cy="3585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15490" cy="358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Calibri" w:cs="Calibri" w:eastAsia="Calibri" w:hAnsi="Calibri"/>
          <w:sz w:val="19"/>
          <w:szCs w:val="19"/>
          <w:b w:val="1"/>
          <w:bCs w:val="1"/>
          <w:color w:val="FB4E0B"/>
        </w:rPr>
        <w:t>Votng methods</w:t>
      </w:r>
    </w:p>
    <w:p>
      <w:pPr>
        <w:spacing w:after="0" w:line="231" w:lineRule="exact"/>
        <w:rPr>
          <w:sz w:val="20"/>
          <w:szCs w:val="20"/>
          <w:color w:val="auto"/>
        </w:rPr>
      </w:pPr>
    </w:p>
    <w:p>
      <w:pPr>
        <w:ind w:left="500"/>
        <w:spacing w:after="0"/>
        <w:rPr>
          <w:sz w:val="20"/>
          <w:szCs w:val="20"/>
          <w:color w:val="auto"/>
        </w:rPr>
      </w:pPr>
      <w:r>
        <w:rPr>
          <w:rFonts w:ascii="Calibri" w:cs="Calibri" w:eastAsia="Calibri" w:hAnsi="Calibri"/>
          <w:sz w:val="17"/>
          <w:szCs w:val="17"/>
          <w:b w:val="1"/>
          <w:bCs w:val="1"/>
          <w:color w:val="auto"/>
        </w:rPr>
        <w:t>Internet (pre-meetng):</w:t>
      </w:r>
    </w:p>
    <w:p>
      <w:pPr>
        <w:spacing w:after="0" w:line="22" w:lineRule="exact"/>
        <w:rPr>
          <w:sz w:val="20"/>
          <w:szCs w:val="20"/>
          <w:color w:val="auto"/>
        </w:rPr>
      </w:pPr>
    </w:p>
    <w:p>
      <w:pPr>
        <w:ind w:left="500"/>
        <w:spacing w:after="0"/>
        <w:rPr>
          <w:sz w:val="20"/>
          <w:szCs w:val="20"/>
          <w:color w:val="auto"/>
        </w:rPr>
      </w:pPr>
      <w:r>
        <w:rPr>
          <w:rFonts w:ascii="Calibri" w:cs="Calibri" w:eastAsia="Calibri" w:hAnsi="Calibri"/>
          <w:sz w:val="16"/>
          <w:szCs w:val="16"/>
          <w:i w:val="1"/>
          <w:iCs w:val="1"/>
          <w:color w:val="auto"/>
        </w:rPr>
        <w:t>www.proxyvote.com</w:t>
      </w:r>
    </w:p>
    <w:p>
      <w:pPr>
        <w:spacing w:after="0" w:line="252" w:lineRule="exact"/>
        <w:rPr>
          <w:sz w:val="20"/>
          <w:szCs w:val="20"/>
          <w:color w:val="auto"/>
        </w:rPr>
      </w:pPr>
    </w:p>
    <w:p>
      <w:pPr>
        <w:ind w:left="500"/>
        <w:spacing w:after="0"/>
        <w:rPr>
          <w:sz w:val="20"/>
          <w:szCs w:val="20"/>
          <w:color w:val="auto"/>
        </w:rPr>
      </w:pPr>
      <w:r>
        <w:rPr>
          <w:rFonts w:ascii="Calibri" w:cs="Calibri" w:eastAsia="Calibri" w:hAnsi="Calibri"/>
          <w:sz w:val="17"/>
          <w:szCs w:val="17"/>
          <w:b w:val="1"/>
          <w:bCs w:val="1"/>
          <w:color w:val="auto"/>
        </w:rPr>
        <w:t>Mail:</w:t>
      </w:r>
    </w:p>
    <w:p>
      <w:pPr>
        <w:spacing w:after="0" w:line="32" w:lineRule="exact"/>
        <w:rPr>
          <w:sz w:val="20"/>
          <w:szCs w:val="20"/>
          <w:color w:val="auto"/>
        </w:rPr>
      </w:pPr>
    </w:p>
    <w:p>
      <w:pPr>
        <w:ind w:left="500" w:right="1040"/>
        <w:spacing w:after="0" w:line="233" w:lineRule="auto"/>
        <w:rPr>
          <w:sz w:val="20"/>
          <w:szCs w:val="20"/>
          <w:color w:val="auto"/>
        </w:rPr>
      </w:pPr>
      <w:r>
        <w:rPr>
          <w:rFonts w:ascii="Calibri" w:cs="Calibri" w:eastAsia="Calibri" w:hAnsi="Calibri"/>
          <w:sz w:val="16"/>
          <w:szCs w:val="16"/>
          <w:color w:val="auto"/>
        </w:rPr>
        <w:t>Follow instructons on the Internet notce</w:t>
      </w:r>
    </w:p>
    <w:p>
      <w:pPr>
        <w:spacing w:after="0" w:line="331" w:lineRule="exact"/>
        <w:rPr>
          <w:sz w:val="20"/>
          <w:szCs w:val="20"/>
          <w:color w:val="auto"/>
        </w:rPr>
      </w:pPr>
    </w:p>
    <w:p>
      <w:pPr>
        <w:ind w:left="500"/>
        <w:spacing w:after="0"/>
        <w:rPr>
          <w:sz w:val="20"/>
          <w:szCs w:val="20"/>
          <w:color w:val="auto"/>
        </w:rPr>
      </w:pPr>
      <w:r>
        <w:rPr>
          <w:rFonts w:ascii="Calibri" w:cs="Calibri" w:eastAsia="Calibri" w:hAnsi="Calibri"/>
          <w:sz w:val="17"/>
          <w:szCs w:val="17"/>
          <w:b w:val="1"/>
          <w:bCs w:val="1"/>
          <w:color w:val="auto"/>
        </w:rPr>
        <w:t>Phone:</w:t>
      </w:r>
    </w:p>
    <w:p>
      <w:pPr>
        <w:spacing w:after="0" w:line="32" w:lineRule="exact"/>
        <w:rPr>
          <w:sz w:val="20"/>
          <w:szCs w:val="20"/>
          <w:color w:val="auto"/>
        </w:rPr>
      </w:pPr>
    </w:p>
    <w:p>
      <w:pPr>
        <w:ind w:left="500" w:right="840"/>
        <w:spacing w:after="0" w:line="233" w:lineRule="auto"/>
        <w:rPr>
          <w:sz w:val="20"/>
          <w:szCs w:val="20"/>
          <w:color w:val="auto"/>
        </w:rPr>
      </w:pPr>
      <w:r>
        <w:rPr>
          <w:rFonts w:ascii="Calibri" w:cs="Calibri" w:eastAsia="Calibri" w:hAnsi="Calibri"/>
          <w:sz w:val="16"/>
          <w:szCs w:val="16"/>
          <w:color w:val="auto"/>
        </w:rPr>
        <w:t>Call the number listed on the Internet notce</w:t>
      </w:r>
    </w:p>
    <w:p>
      <w:pPr>
        <w:spacing w:after="0" w:line="318" w:lineRule="exact"/>
        <w:rPr>
          <w:sz w:val="20"/>
          <w:szCs w:val="20"/>
          <w:color w:val="auto"/>
        </w:rPr>
      </w:pPr>
    </w:p>
    <w:p>
      <w:pPr>
        <w:ind w:left="500"/>
        <w:spacing w:after="0"/>
        <w:rPr>
          <w:sz w:val="20"/>
          <w:szCs w:val="20"/>
          <w:color w:val="auto"/>
        </w:rPr>
      </w:pPr>
      <w:r>
        <w:rPr>
          <w:rFonts w:ascii="Calibri" w:cs="Calibri" w:eastAsia="Calibri" w:hAnsi="Calibri"/>
          <w:sz w:val="17"/>
          <w:szCs w:val="17"/>
          <w:b w:val="1"/>
          <w:bCs w:val="1"/>
          <w:color w:val="auto"/>
        </w:rPr>
        <w:t>Electronically:</w:t>
      </w:r>
    </w:p>
    <w:p>
      <w:pPr>
        <w:spacing w:after="0" w:line="32" w:lineRule="exact"/>
        <w:rPr>
          <w:sz w:val="20"/>
          <w:szCs w:val="20"/>
          <w:color w:val="auto"/>
        </w:rPr>
      </w:pPr>
    </w:p>
    <w:p>
      <w:pPr>
        <w:ind w:left="500" w:right="960"/>
        <w:spacing w:after="0" w:line="233" w:lineRule="auto"/>
        <w:rPr>
          <w:sz w:val="20"/>
          <w:szCs w:val="20"/>
          <w:color w:val="auto"/>
        </w:rPr>
      </w:pPr>
      <w:r>
        <w:rPr>
          <w:rFonts w:ascii="Calibri" w:cs="Calibri" w:eastAsia="Calibri" w:hAnsi="Calibri"/>
          <w:sz w:val="16"/>
          <w:szCs w:val="16"/>
          <w:color w:val="auto"/>
        </w:rPr>
        <w:t>Atend the Annual Meetng and vote electronically</w:t>
      </w:r>
    </w:p>
    <w:p>
      <w:pPr>
        <w:spacing w:after="0" w:line="256" w:lineRule="exact"/>
        <w:rPr>
          <w:sz w:val="20"/>
          <w:szCs w:val="20"/>
          <w:color w:val="auto"/>
        </w:rPr>
      </w:pPr>
    </w:p>
    <w:p>
      <w:pPr>
        <w:ind w:left="80" w:right="180"/>
        <w:spacing w:after="0" w:line="254" w:lineRule="auto"/>
        <w:rPr>
          <w:sz w:val="20"/>
          <w:szCs w:val="20"/>
          <w:color w:val="auto"/>
        </w:rPr>
      </w:pPr>
      <w:r>
        <w:rPr>
          <w:rFonts w:ascii="Calibri" w:cs="Calibri" w:eastAsia="Calibri" w:hAnsi="Calibri"/>
          <w:sz w:val="13"/>
          <w:szCs w:val="13"/>
          <w:color w:val="auto"/>
        </w:rPr>
        <w:t>If you are the benefcial owner of shares held in the name of a brokerage, bank, trust or other nominee as a custodian (also referred to as shares held in “street name”), your broker, bank, trustee or nominee will provide you with materials and instructons for votng your shares. See page 123 for additonal details.</w:t>
      </w:r>
    </w:p>
    <w:p>
      <w:pPr>
        <w:spacing w:after="0" w:line="200" w:lineRule="exact"/>
        <w:rPr>
          <w:sz w:val="20"/>
          <w:szCs w:val="20"/>
          <w:color w:val="auto"/>
        </w:rPr>
      </w:pPr>
    </w:p>
    <w:p>
      <w:pPr>
        <w:sectPr>
          <w:pgSz w:w="11900" w:h="16838" w:orient="portrait"/>
          <w:cols w:equalWidth="0" w:num="2">
            <w:col w:w="7420" w:space="340"/>
            <w:col w:w="3180"/>
          </w:cols>
          <w:pgMar w:left="320" w:top="471" w:right="639" w:bottom="1440" w:gutter="0" w:footer="0" w:header="0"/>
          <w:type w:val="continuous"/>
        </w:sectPr>
      </w:pPr>
    </w:p>
    <w:p>
      <w:pPr>
        <w:spacing w:after="0" w:line="393" w:lineRule="exact"/>
        <w:rPr>
          <w:sz w:val="20"/>
          <w:szCs w:val="20"/>
          <w:color w:val="auto"/>
        </w:rPr>
      </w:pPr>
    </w:p>
    <w:p>
      <w:pPr>
        <w:ind w:left="320"/>
        <w:spacing w:after="0"/>
        <w:tabs>
          <w:tab w:leader="none" w:pos="460" w:val="left"/>
          <w:tab w:leader="none" w:pos="640" w:val="left"/>
          <w:tab w:leader="none" w:pos="820" w:val="left"/>
          <w:tab w:leader="none" w:pos="1000" w:val="left"/>
          <w:tab w:leader="none" w:pos="1160" w:val="left"/>
          <w:tab w:leader="none" w:pos="1340" w:val="left"/>
          <w:tab w:leader="none" w:pos="1520" w:val="left"/>
          <w:tab w:leader="none" w:pos="1680" w:val="left"/>
          <w:tab w:leader="none" w:pos="1860" w:val="left"/>
          <w:tab w:leader="none" w:pos="2040" w:val="left"/>
          <w:tab w:leader="none" w:pos="2200" w:val="left"/>
          <w:tab w:leader="none" w:pos="2380" w:val="left"/>
          <w:tab w:leader="none" w:pos="2560" w:val="left"/>
          <w:tab w:leader="none" w:pos="2720" w:val="left"/>
          <w:tab w:leader="none" w:pos="2900" w:val="left"/>
          <w:tab w:leader="none" w:pos="3080" w:val="left"/>
          <w:tab w:leader="none" w:pos="3240" w:val="left"/>
          <w:tab w:leader="none" w:pos="3420" w:val="left"/>
          <w:tab w:leader="none" w:pos="3600" w:val="left"/>
          <w:tab w:leader="none" w:pos="3760" w:val="left"/>
          <w:tab w:leader="none" w:pos="3940" w:val="left"/>
          <w:tab w:leader="none" w:pos="4120" w:val="left"/>
          <w:tab w:leader="none" w:pos="4280" w:val="left"/>
          <w:tab w:leader="none" w:pos="4460" w:val="left"/>
          <w:tab w:leader="none" w:pos="4640" w:val="left"/>
          <w:tab w:leader="none" w:pos="4800" w:val="left"/>
          <w:tab w:leader="none" w:pos="4980" w:val="left"/>
          <w:tab w:leader="none" w:pos="5160" w:val="left"/>
          <w:tab w:leader="none" w:pos="5320" w:val="left"/>
          <w:tab w:leader="none" w:pos="5500" w:val="left"/>
          <w:tab w:leader="none" w:pos="5680" w:val="left"/>
          <w:tab w:leader="none" w:pos="5840" w:val="left"/>
          <w:tab w:leader="none" w:pos="6020" w:val="left"/>
          <w:tab w:leader="none" w:pos="6200" w:val="left"/>
          <w:tab w:leader="none" w:pos="6360" w:val="left"/>
          <w:tab w:leader="none" w:pos="6540" w:val="left"/>
          <w:tab w:leader="none" w:pos="6720" w:val="left"/>
          <w:tab w:leader="none" w:pos="6880" w:val="left"/>
          <w:tab w:leader="none" w:pos="7060" w:val="left"/>
          <w:tab w:leader="none" w:pos="7240" w:val="left"/>
          <w:tab w:leader="none" w:pos="7400" w:val="left"/>
          <w:tab w:leader="none" w:pos="7580" w:val="left"/>
          <w:tab w:leader="none" w:pos="7760" w:val="left"/>
          <w:tab w:leader="none" w:pos="7920" w:val="left"/>
          <w:tab w:leader="none" w:pos="8100" w:val="left"/>
          <w:tab w:leader="none" w:pos="8280" w:val="left"/>
          <w:tab w:leader="none" w:pos="8440" w:val="left"/>
          <w:tab w:leader="none" w:pos="8620" w:val="left"/>
          <w:tab w:leader="none" w:pos="10440" w:val="left"/>
        </w:tabs>
        <w:rPr>
          <w:sz w:val="20"/>
          <w:szCs w:val="20"/>
          <w:color w:val="auto"/>
        </w:rPr>
      </w:pPr>
      <w:r>
        <w:rPr>
          <w:rFonts w:ascii="Calibri" w:cs="Calibri" w:eastAsia="Calibri" w:hAnsi="Calibri"/>
          <w:sz w:val="17"/>
          <w:szCs w:val="17"/>
          <w:color w:val="auto"/>
        </w:rPr>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w:t>
        <w:tab/>
        <w:t xml:space="preserve">     </w:t>
      </w:r>
      <w:r>
        <w:rPr>
          <w:rFonts w:ascii="Calibri" w:cs="Calibri" w:eastAsia="Calibri" w:hAnsi="Calibri"/>
          <w:sz w:val="26"/>
          <w:szCs w:val="26"/>
          <w:color w:val="auto"/>
          <w:vertAlign w:val="subscript"/>
        </w:rPr>
        <w:t>EXL 2024 Proxy Statement </w:t>
      </w:r>
      <w:r>
        <w:rPr>
          <w:sz w:val="20"/>
          <w:szCs w:val="20"/>
          <w:color w:val="auto"/>
        </w:rPr>
        <w:tab/>
      </w:r>
      <w:r>
        <w:rPr>
          <w:rFonts w:ascii="Calibri" w:cs="Calibri" w:eastAsia="Calibri" w:hAnsi="Calibri"/>
          <w:sz w:val="51"/>
          <w:szCs w:val="51"/>
          <w:b w:val="1"/>
          <w:bCs w:val="1"/>
          <w:color w:val="FB4E0B"/>
          <w:vertAlign w:val="subscript"/>
        </w:rPr>
        <w:t xml:space="preserve">/ </w:t>
      </w:r>
      <w:r>
        <w:rPr>
          <w:rFonts w:ascii="Calibri" w:cs="Calibri" w:eastAsia="Calibri" w:hAnsi="Calibri"/>
          <w:sz w:val="32"/>
          <w:szCs w:val="32"/>
          <w:b w:val="1"/>
          <w:bCs w:val="1"/>
          <w:color w:val="000000"/>
          <w:vertAlign w:val="subscript"/>
        </w:rPr>
        <w:t xml:space="preserve">   1</w:t>
      </w:r>
    </w:p>
    <w:p>
      <w:pPr>
        <w:sectPr>
          <w:pgSz w:w="11900" w:h="16838" w:orient="portrait"/>
          <w:cols w:equalWidth="0" w:num="1">
            <w:col w:w="10940"/>
          </w:cols>
          <w:pgMar w:left="320" w:top="471" w:right="6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2024 Proxy Statement summary</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Our business</w:t>
      </w:r>
    </w:p>
    <w:p>
      <w:pPr>
        <w:spacing w:after="0" w:line="114" w:lineRule="exact"/>
        <w:rPr>
          <w:sz w:val="20"/>
          <w:szCs w:val="20"/>
          <w:color w:val="auto"/>
        </w:rPr>
      </w:pPr>
    </w:p>
    <w:p>
      <w:pPr>
        <w:ind w:left="320" w:right="260"/>
        <w:spacing w:after="0"/>
        <w:rPr>
          <w:sz w:val="20"/>
          <w:szCs w:val="20"/>
          <w:color w:val="auto"/>
        </w:rPr>
      </w:pPr>
      <w:r>
        <w:rPr>
          <w:rFonts w:ascii="Calibri" w:cs="Calibri" w:eastAsia="Calibri" w:hAnsi="Calibri"/>
          <w:sz w:val="17"/>
          <w:szCs w:val="17"/>
          <w:color w:val="auto"/>
        </w:rPr>
        <w:t>We are a leading data analytcs and digital operatons and solutons company. We partner with clients using a data and AI-led approach to reinvent business models, drive beter business outcomes and unlock growth with speed. EXL harnesses the power of data, analytcs, artfcial intelligence (“AI”), and deep industry knowledge to transform operatons for the world’s leading corporatons in industries including insurance, healthcare, banking and fnancial services, media and retail, among others. EXL was founded in 1999 with the core values of innovaton, collaboraton, excellence, integrity and respect. We are headquartered in New York, and have approximately 54,000 employees as of December 31, 2023, spanning six contnents.</w:t>
      </w:r>
    </w:p>
    <w:p>
      <w:pPr>
        <w:spacing w:after="0" w:line="236"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FB4E0B"/>
        </w:rPr>
        <w:t> Company’s three year performance</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100" w:type="dxa"/>
            <w:vAlign w:val="bottom"/>
            <w:gridSpan w:val="4"/>
          </w:tcPr>
          <w:p>
            <w:pPr>
              <w:ind w:left="560"/>
              <w:spacing w:after="0"/>
              <w:rPr>
                <w:sz w:val="20"/>
                <w:szCs w:val="20"/>
                <w:color w:val="auto"/>
              </w:rPr>
            </w:pPr>
            <w:r>
              <w:rPr>
                <w:rFonts w:ascii="Calibri" w:cs="Calibri" w:eastAsia="Calibri" w:hAnsi="Calibri"/>
                <w:sz w:val="17"/>
                <w:szCs w:val="17"/>
                <w:b w:val="1"/>
                <w:bCs w:val="1"/>
                <w:color w:val="FB4E0B"/>
                <w:w w:val="99"/>
              </w:rPr>
              <w:t>Revenue (Year-over-year growth %)</w:t>
            </w: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4920" w:type="dxa"/>
            <w:vAlign w:val="bottom"/>
            <w:gridSpan w:val="2"/>
          </w:tcPr>
          <w:p>
            <w:pPr>
              <w:spacing w:after="0"/>
              <w:rPr>
                <w:sz w:val="20"/>
                <w:szCs w:val="20"/>
                <w:color w:val="auto"/>
              </w:rPr>
            </w:pPr>
            <w:r>
              <w:rPr>
                <w:rFonts w:ascii="Calibri" w:cs="Calibri" w:eastAsia="Calibri" w:hAnsi="Calibri"/>
                <w:sz w:val="14"/>
                <w:szCs w:val="14"/>
                <w:b w:val="1"/>
                <w:bCs w:val="1"/>
                <w:color w:val="auto"/>
              </w:rPr>
              <w:t> Revenue by segment informaton ($ in millions)</w:t>
            </w:r>
          </w:p>
        </w:tc>
        <w:tc>
          <w:tcPr>
            <w:tcW w:w="2000" w:type="dxa"/>
            <w:vAlign w:val="bottom"/>
            <w:gridSpan w:val="2"/>
          </w:tcPr>
          <w:p>
            <w:pPr>
              <w:jc w:val="right"/>
              <w:ind w:right="453"/>
              <w:spacing w:after="0"/>
              <w:rPr>
                <w:sz w:val="20"/>
                <w:szCs w:val="20"/>
                <w:color w:val="auto"/>
              </w:rPr>
            </w:pPr>
            <w:r>
              <w:rPr>
                <w:rFonts w:ascii="Calibri" w:cs="Calibri" w:eastAsia="Calibri" w:hAnsi="Calibri"/>
                <w:sz w:val="17"/>
                <w:szCs w:val="17"/>
                <w:b w:val="1"/>
                <w:bCs w:val="1"/>
                <w:color w:val="auto"/>
              </w:rPr>
              <w:t>2021 YOY%</w:t>
            </w:r>
          </w:p>
        </w:tc>
        <w:tc>
          <w:tcPr>
            <w:tcW w:w="2280" w:type="dxa"/>
            <w:vAlign w:val="bottom"/>
            <w:gridSpan w:val="3"/>
          </w:tcPr>
          <w:p>
            <w:pPr>
              <w:ind w:left="720"/>
              <w:spacing w:after="0"/>
              <w:rPr>
                <w:sz w:val="20"/>
                <w:szCs w:val="20"/>
                <w:color w:val="auto"/>
              </w:rPr>
            </w:pPr>
            <w:r>
              <w:rPr>
                <w:rFonts w:ascii="Calibri" w:cs="Calibri" w:eastAsia="Calibri" w:hAnsi="Calibri"/>
                <w:sz w:val="17"/>
                <w:szCs w:val="17"/>
                <w:b w:val="1"/>
                <w:bCs w:val="1"/>
                <w:color w:val="auto"/>
              </w:rPr>
              <w:t>2022 YOY%</w:t>
            </w:r>
          </w:p>
        </w:tc>
        <w:tc>
          <w:tcPr>
            <w:tcW w:w="1420" w:type="dxa"/>
            <w:vAlign w:val="bottom"/>
            <w:gridSpan w:val="2"/>
          </w:tcPr>
          <w:p>
            <w:pPr>
              <w:jc w:val="right"/>
              <w:ind w:right="253"/>
              <w:spacing w:after="0"/>
              <w:rPr>
                <w:sz w:val="20"/>
                <w:szCs w:val="20"/>
                <w:color w:val="auto"/>
              </w:rPr>
            </w:pPr>
            <w:r>
              <w:rPr>
                <w:rFonts w:ascii="Calibri" w:cs="Calibri" w:eastAsia="Calibri" w:hAnsi="Calibri"/>
                <w:sz w:val="17"/>
                <w:szCs w:val="17"/>
                <w:b w:val="1"/>
                <w:bCs w:val="1"/>
                <w:color w:val="auto"/>
              </w:rPr>
              <w:t>2023 YOY%</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900" w:type="dxa"/>
            <w:vAlign w:val="bottom"/>
            <w:tcBorders>
              <w:bottom w:val="single" w:sz="8" w:color="BABABA"/>
            </w:tcBorders>
          </w:tcPr>
          <w:p>
            <w:pPr>
              <w:spacing w:after="0"/>
              <w:rPr>
                <w:sz w:val="3"/>
                <w:szCs w:val="3"/>
                <w:color w:val="auto"/>
              </w:rPr>
            </w:pPr>
          </w:p>
        </w:tc>
        <w:tc>
          <w:tcPr>
            <w:tcW w:w="1180" w:type="dxa"/>
            <w:vAlign w:val="bottom"/>
            <w:tcBorders>
              <w:bottom w:val="single" w:sz="8" w:color="BABABA"/>
            </w:tcBorders>
          </w:tcPr>
          <w:p>
            <w:pPr>
              <w:spacing w:after="0"/>
              <w:rPr>
                <w:sz w:val="3"/>
                <w:szCs w:val="3"/>
                <w:color w:val="auto"/>
              </w:rPr>
            </w:pPr>
          </w:p>
        </w:tc>
        <w:tc>
          <w:tcPr>
            <w:tcW w:w="820" w:type="dxa"/>
            <w:vAlign w:val="bottom"/>
            <w:tcBorders>
              <w:bottom w:val="single" w:sz="8" w:color="BABABA"/>
            </w:tcBorders>
          </w:tcPr>
          <w:p>
            <w:pPr>
              <w:spacing w:after="0"/>
              <w:rPr>
                <w:sz w:val="3"/>
                <w:szCs w:val="3"/>
                <w:color w:val="auto"/>
              </w:rPr>
            </w:pPr>
          </w:p>
        </w:tc>
        <w:tc>
          <w:tcPr>
            <w:tcW w:w="1200" w:type="dxa"/>
            <w:vAlign w:val="bottom"/>
            <w:tcBorders>
              <w:bottom w:val="single" w:sz="8" w:color="BABABA"/>
            </w:tcBorders>
          </w:tcPr>
          <w:p>
            <w:pPr>
              <w:spacing w:after="0"/>
              <w:rPr>
                <w:sz w:val="3"/>
                <w:szCs w:val="3"/>
                <w:color w:val="auto"/>
              </w:rPr>
            </w:pPr>
          </w:p>
        </w:tc>
        <w:tc>
          <w:tcPr>
            <w:tcW w:w="900" w:type="dxa"/>
            <w:vAlign w:val="bottom"/>
            <w:tcBorders>
              <w:bottom w:val="single" w:sz="8" w:color="BABABA"/>
            </w:tcBorders>
          </w:tcPr>
          <w:p>
            <w:pPr>
              <w:spacing w:after="0"/>
              <w:rPr>
                <w:sz w:val="3"/>
                <w:szCs w:val="3"/>
                <w:color w:val="auto"/>
              </w:rPr>
            </w:pPr>
          </w:p>
        </w:tc>
        <w:tc>
          <w:tcPr>
            <w:tcW w:w="180" w:type="dxa"/>
            <w:vAlign w:val="bottom"/>
            <w:tcBorders>
              <w:bottom w:val="single" w:sz="8" w:color="BABABA"/>
            </w:tcBorders>
          </w:tcPr>
          <w:p>
            <w:pPr>
              <w:spacing w:after="0"/>
              <w:rPr>
                <w:sz w:val="3"/>
                <w:szCs w:val="3"/>
                <w:color w:val="auto"/>
              </w:rPr>
            </w:pPr>
          </w:p>
        </w:tc>
        <w:tc>
          <w:tcPr>
            <w:tcW w:w="800" w:type="dxa"/>
            <w:vAlign w:val="bottom"/>
            <w:tcBorders>
              <w:bottom w:val="single" w:sz="8" w:color="BABABA"/>
            </w:tcBorders>
          </w:tcPr>
          <w:p>
            <w:pPr>
              <w:spacing w:after="0"/>
              <w:rPr>
                <w:sz w:val="3"/>
                <w:szCs w:val="3"/>
                <w:color w:val="auto"/>
              </w:rPr>
            </w:pPr>
          </w:p>
        </w:tc>
        <w:tc>
          <w:tcPr>
            <w:tcW w:w="620" w:type="dxa"/>
            <w:vAlign w:val="bottom"/>
            <w:tcBorders>
              <w:bottom w:val="single" w:sz="8" w:color="BABABA"/>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900" w:type="dxa"/>
            <w:vAlign w:val="bottom"/>
            <w:tcBorders>
              <w:right w:val="single" w:sz="8" w:color="BABABA"/>
            </w:tcBorders>
          </w:tcPr>
          <w:p>
            <w:pPr>
              <w:spacing w:after="0" w:line="199" w:lineRule="exact"/>
              <w:rPr>
                <w:sz w:val="20"/>
                <w:szCs w:val="20"/>
                <w:color w:val="auto"/>
              </w:rPr>
            </w:pPr>
            <w:r>
              <w:rPr>
                <w:rFonts w:ascii="Calibri" w:cs="Calibri" w:eastAsia="Calibri" w:hAnsi="Calibri"/>
                <w:sz w:val="17"/>
                <w:szCs w:val="17"/>
                <w:color w:val="auto"/>
              </w:rPr>
              <w:t> Insurance</w:t>
            </w:r>
          </w:p>
        </w:tc>
        <w:tc>
          <w:tcPr>
            <w:tcW w:w="1180" w:type="dxa"/>
            <w:vAlign w:val="bottom"/>
          </w:tcPr>
          <w:p>
            <w:pPr>
              <w:jc w:val="right"/>
              <w:ind w:right="133"/>
              <w:spacing w:after="0" w:line="199" w:lineRule="exact"/>
              <w:rPr>
                <w:sz w:val="20"/>
                <w:szCs w:val="20"/>
                <w:color w:val="auto"/>
              </w:rPr>
            </w:pPr>
            <w:r>
              <w:rPr>
                <w:rFonts w:ascii="Calibri" w:cs="Calibri" w:eastAsia="Calibri" w:hAnsi="Calibri"/>
                <w:sz w:val="17"/>
                <w:szCs w:val="17"/>
                <w:color w:val="auto"/>
              </w:rPr>
              <w:t>$382.0</w:t>
            </w:r>
          </w:p>
        </w:tc>
        <w:tc>
          <w:tcPr>
            <w:tcW w:w="820" w:type="dxa"/>
            <w:vAlign w:val="bottom"/>
            <w:tcBorders>
              <w:right w:val="single" w:sz="8" w:color="BABABA"/>
            </w:tcBorders>
          </w:tcPr>
          <w:p>
            <w:pPr>
              <w:jc w:val="right"/>
              <w:ind w:right="73"/>
              <w:spacing w:after="0" w:line="199" w:lineRule="exact"/>
              <w:rPr>
                <w:sz w:val="20"/>
                <w:szCs w:val="20"/>
                <w:color w:val="auto"/>
              </w:rPr>
            </w:pPr>
            <w:r>
              <w:rPr>
                <w:rFonts w:ascii="Calibri" w:cs="Calibri" w:eastAsia="Calibri" w:hAnsi="Calibri"/>
                <w:sz w:val="17"/>
                <w:szCs w:val="17"/>
                <w:color w:val="auto"/>
              </w:rPr>
              <w:t>11.8%</w:t>
            </w:r>
          </w:p>
        </w:tc>
        <w:tc>
          <w:tcPr>
            <w:tcW w:w="1200" w:type="dxa"/>
            <w:vAlign w:val="bottom"/>
          </w:tcPr>
          <w:p>
            <w:pPr>
              <w:jc w:val="right"/>
              <w:ind w:right="173"/>
              <w:spacing w:after="0" w:line="199" w:lineRule="exact"/>
              <w:rPr>
                <w:sz w:val="20"/>
                <w:szCs w:val="20"/>
                <w:color w:val="auto"/>
              </w:rPr>
            </w:pPr>
            <w:r>
              <w:rPr>
                <w:rFonts w:ascii="Calibri" w:cs="Calibri" w:eastAsia="Calibri" w:hAnsi="Calibri"/>
                <w:sz w:val="17"/>
                <w:szCs w:val="17"/>
                <w:color w:val="auto"/>
              </w:rPr>
              <w:t>$448.7</w:t>
            </w:r>
          </w:p>
        </w:tc>
        <w:tc>
          <w:tcPr>
            <w:tcW w:w="900" w:type="dxa"/>
            <w:vAlign w:val="bottom"/>
            <w:tcBorders>
              <w:right w:val="single" w:sz="8" w:color="BABABA"/>
            </w:tcBorders>
          </w:tcPr>
          <w:p>
            <w:pPr>
              <w:jc w:val="right"/>
              <w:ind w:right="73"/>
              <w:spacing w:after="0" w:line="199" w:lineRule="exact"/>
              <w:rPr>
                <w:sz w:val="20"/>
                <w:szCs w:val="20"/>
                <w:color w:val="auto"/>
              </w:rPr>
            </w:pPr>
            <w:r>
              <w:rPr>
                <w:rFonts w:ascii="Calibri" w:cs="Calibri" w:eastAsia="Calibri" w:hAnsi="Calibri"/>
                <w:sz w:val="17"/>
                <w:szCs w:val="17"/>
                <w:color w:val="auto"/>
              </w:rPr>
              <w:t>17.5%</w:t>
            </w:r>
          </w:p>
        </w:tc>
        <w:tc>
          <w:tcPr>
            <w:tcW w:w="180" w:type="dxa"/>
            <w:vAlign w:val="bottom"/>
          </w:tcPr>
          <w:p>
            <w:pPr>
              <w:spacing w:after="0"/>
              <w:rPr>
                <w:sz w:val="17"/>
                <w:szCs w:val="17"/>
                <w:color w:val="auto"/>
              </w:rPr>
            </w:pPr>
          </w:p>
        </w:tc>
        <w:tc>
          <w:tcPr>
            <w:tcW w:w="800" w:type="dxa"/>
            <w:vAlign w:val="bottom"/>
          </w:tcPr>
          <w:p>
            <w:pPr>
              <w:jc w:val="right"/>
              <w:ind w:right="53"/>
              <w:spacing w:after="0" w:line="199" w:lineRule="exact"/>
              <w:rPr>
                <w:sz w:val="20"/>
                <w:szCs w:val="20"/>
                <w:color w:val="auto"/>
              </w:rPr>
            </w:pPr>
            <w:r>
              <w:rPr>
                <w:rFonts w:ascii="Calibri" w:cs="Calibri" w:eastAsia="Calibri" w:hAnsi="Calibri"/>
                <w:sz w:val="17"/>
                <w:szCs w:val="17"/>
                <w:color w:val="auto"/>
              </w:rPr>
              <w:t>$529.9</w:t>
            </w:r>
          </w:p>
        </w:tc>
        <w:tc>
          <w:tcPr>
            <w:tcW w:w="620" w:type="dxa"/>
            <w:vAlign w:val="bottom"/>
          </w:tcPr>
          <w:p>
            <w:pPr>
              <w:jc w:val="right"/>
              <w:spacing w:after="0" w:line="199" w:lineRule="exact"/>
              <w:rPr>
                <w:sz w:val="20"/>
                <w:szCs w:val="20"/>
                <w:color w:val="auto"/>
              </w:rPr>
            </w:pPr>
            <w:r>
              <w:rPr>
                <w:rFonts w:ascii="Calibri" w:cs="Calibri" w:eastAsia="Calibri" w:hAnsi="Calibri"/>
                <w:sz w:val="17"/>
                <w:szCs w:val="17"/>
                <w:color w:val="auto"/>
              </w:rPr>
              <w:t>18.1%</w:t>
            </w:r>
          </w:p>
        </w:tc>
        <w:tc>
          <w:tcPr>
            <w:tcW w:w="0" w:type="dxa"/>
            <w:vAlign w:val="bottom"/>
          </w:tcPr>
          <w:p>
            <w:pPr>
              <w:spacing w:after="0"/>
              <w:rPr>
                <w:sz w:val="1"/>
                <w:szCs w:val="1"/>
                <w:color w:val="auto"/>
              </w:rPr>
            </w:pPr>
          </w:p>
        </w:tc>
      </w:tr>
      <w:tr>
        <w:trPr>
          <w:trHeight w:val="239"/>
        </w:trPr>
        <w:tc>
          <w:tcPr>
            <w:tcW w:w="4920" w:type="dxa"/>
            <w:vAlign w:val="bottom"/>
            <w:tcBorders>
              <w:right w:val="single" w:sz="8" w:color="BABABA"/>
            </w:tcBorders>
            <w:gridSpan w:val="2"/>
          </w:tcPr>
          <w:p>
            <w:pPr>
              <w:spacing w:after="0"/>
              <w:rPr>
                <w:sz w:val="20"/>
                <w:szCs w:val="20"/>
                <w:color w:val="auto"/>
              </w:rPr>
            </w:pPr>
            <w:r>
              <w:rPr>
                <w:rFonts w:ascii="Calibri" w:cs="Calibri" w:eastAsia="Calibri" w:hAnsi="Calibri"/>
                <w:sz w:val="17"/>
                <w:szCs w:val="17"/>
                <w:color w:val="auto"/>
              </w:rPr>
              <w:t> Healthcare</w:t>
            </w:r>
          </w:p>
        </w:tc>
        <w:tc>
          <w:tcPr>
            <w:tcW w:w="1180" w:type="dxa"/>
            <w:vAlign w:val="bottom"/>
          </w:tcPr>
          <w:p>
            <w:pPr>
              <w:jc w:val="right"/>
              <w:ind w:right="133"/>
              <w:spacing w:after="0"/>
              <w:rPr>
                <w:sz w:val="20"/>
                <w:szCs w:val="20"/>
                <w:color w:val="auto"/>
              </w:rPr>
            </w:pPr>
            <w:r>
              <w:rPr>
                <w:rFonts w:ascii="Calibri" w:cs="Calibri" w:eastAsia="Calibri" w:hAnsi="Calibri"/>
                <w:sz w:val="17"/>
                <w:szCs w:val="17"/>
                <w:color w:val="auto"/>
              </w:rPr>
              <w:t>112.4</w:t>
            </w:r>
          </w:p>
        </w:tc>
        <w:tc>
          <w:tcPr>
            <w:tcW w:w="82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10.9%</w:t>
            </w:r>
          </w:p>
        </w:tc>
        <w:tc>
          <w:tcPr>
            <w:tcW w:w="1200" w:type="dxa"/>
            <w:vAlign w:val="bottom"/>
          </w:tcPr>
          <w:p>
            <w:pPr>
              <w:jc w:val="right"/>
              <w:ind w:right="173"/>
              <w:spacing w:after="0"/>
              <w:rPr>
                <w:sz w:val="20"/>
                <w:szCs w:val="20"/>
                <w:color w:val="auto"/>
              </w:rPr>
            </w:pPr>
            <w:r>
              <w:rPr>
                <w:rFonts w:ascii="Calibri" w:cs="Calibri" w:eastAsia="Calibri" w:hAnsi="Calibri"/>
                <w:sz w:val="17"/>
                <w:szCs w:val="17"/>
                <w:color w:val="auto"/>
              </w:rPr>
              <w:t>97.4</w:t>
            </w:r>
          </w:p>
        </w:tc>
        <w:tc>
          <w:tcPr>
            <w:tcW w:w="90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-13.4%</w:t>
            </w:r>
          </w:p>
        </w:tc>
        <w:tc>
          <w:tcPr>
            <w:tcW w:w="180" w:type="dxa"/>
            <w:vAlign w:val="bottom"/>
          </w:tcPr>
          <w:p>
            <w:pPr>
              <w:spacing w:after="0"/>
              <w:rPr>
                <w:sz w:val="20"/>
                <w:szCs w:val="20"/>
                <w:color w:val="auto"/>
              </w:rPr>
            </w:pPr>
          </w:p>
        </w:tc>
        <w:tc>
          <w:tcPr>
            <w:tcW w:w="800" w:type="dxa"/>
            <w:vAlign w:val="bottom"/>
          </w:tcPr>
          <w:p>
            <w:pPr>
              <w:jc w:val="right"/>
              <w:ind w:right="53"/>
              <w:spacing w:after="0"/>
              <w:rPr>
                <w:sz w:val="20"/>
                <w:szCs w:val="20"/>
                <w:color w:val="auto"/>
              </w:rPr>
            </w:pPr>
            <w:r>
              <w:rPr>
                <w:rFonts w:ascii="Calibri" w:cs="Calibri" w:eastAsia="Calibri" w:hAnsi="Calibri"/>
                <w:sz w:val="17"/>
                <w:szCs w:val="17"/>
                <w:color w:val="auto"/>
              </w:rPr>
              <w:t>106.0</w:t>
            </w:r>
          </w:p>
        </w:tc>
        <w:tc>
          <w:tcPr>
            <w:tcW w:w="620" w:type="dxa"/>
            <w:vAlign w:val="bottom"/>
          </w:tcPr>
          <w:p>
            <w:pPr>
              <w:jc w:val="right"/>
              <w:spacing w:after="0"/>
              <w:rPr>
                <w:sz w:val="20"/>
                <w:szCs w:val="20"/>
                <w:color w:val="auto"/>
              </w:rPr>
            </w:pPr>
            <w:r>
              <w:rPr>
                <w:rFonts w:ascii="Calibri" w:cs="Calibri" w:eastAsia="Calibri" w:hAnsi="Calibri"/>
                <w:sz w:val="17"/>
                <w:szCs w:val="17"/>
                <w:color w:val="auto"/>
              </w:rPr>
              <w:t>8.9%</w:t>
            </w:r>
          </w:p>
        </w:tc>
        <w:tc>
          <w:tcPr>
            <w:tcW w:w="0" w:type="dxa"/>
            <w:vAlign w:val="bottom"/>
          </w:tcPr>
          <w:p>
            <w:pPr>
              <w:spacing w:after="0"/>
              <w:rPr>
                <w:sz w:val="1"/>
                <w:szCs w:val="1"/>
                <w:color w:val="auto"/>
              </w:rPr>
            </w:pPr>
          </w:p>
        </w:tc>
      </w:tr>
      <w:tr>
        <w:trPr>
          <w:trHeight w:val="260"/>
        </w:trPr>
        <w:tc>
          <w:tcPr>
            <w:tcW w:w="4920" w:type="dxa"/>
            <w:vAlign w:val="bottom"/>
            <w:tcBorders>
              <w:right w:val="single" w:sz="8" w:color="BABABA"/>
            </w:tcBorders>
            <w:gridSpan w:val="2"/>
          </w:tcPr>
          <w:p>
            <w:pPr>
              <w:spacing w:after="0"/>
              <w:rPr>
                <w:sz w:val="20"/>
                <w:szCs w:val="20"/>
                <w:color w:val="auto"/>
              </w:rPr>
            </w:pPr>
            <w:r>
              <w:rPr>
                <w:rFonts w:ascii="Calibri" w:cs="Calibri" w:eastAsia="Calibri" w:hAnsi="Calibri"/>
                <w:sz w:val="17"/>
                <w:szCs w:val="17"/>
                <w:color w:val="auto"/>
              </w:rPr>
              <w:t> Emerging Business</w:t>
            </w:r>
          </w:p>
        </w:tc>
        <w:tc>
          <w:tcPr>
            <w:tcW w:w="1180" w:type="dxa"/>
            <w:vAlign w:val="bottom"/>
          </w:tcPr>
          <w:p>
            <w:pPr>
              <w:jc w:val="right"/>
              <w:ind w:right="133"/>
              <w:spacing w:after="0"/>
              <w:rPr>
                <w:sz w:val="20"/>
                <w:szCs w:val="20"/>
                <w:color w:val="auto"/>
              </w:rPr>
            </w:pPr>
            <w:r>
              <w:rPr>
                <w:rFonts w:ascii="Calibri" w:cs="Calibri" w:eastAsia="Calibri" w:hAnsi="Calibri"/>
                <w:sz w:val="17"/>
                <w:szCs w:val="17"/>
                <w:color w:val="auto"/>
              </w:rPr>
              <w:t>167.2</w:t>
            </w:r>
          </w:p>
        </w:tc>
        <w:tc>
          <w:tcPr>
            <w:tcW w:w="82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9.5%</w:t>
            </w:r>
          </w:p>
        </w:tc>
        <w:tc>
          <w:tcPr>
            <w:tcW w:w="1200" w:type="dxa"/>
            <w:vAlign w:val="bottom"/>
          </w:tcPr>
          <w:p>
            <w:pPr>
              <w:jc w:val="right"/>
              <w:ind w:right="173"/>
              <w:spacing w:after="0"/>
              <w:rPr>
                <w:sz w:val="20"/>
                <w:szCs w:val="20"/>
                <w:color w:val="auto"/>
              </w:rPr>
            </w:pPr>
            <w:r>
              <w:rPr>
                <w:rFonts w:ascii="Calibri" w:cs="Calibri" w:eastAsia="Calibri" w:hAnsi="Calibri"/>
                <w:sz w:val="17"/>
                <w:szCs w:val="17"/>
                <w:color w:val="auto"/>
              </w:rPr>
              <w:t>218.6</w:t>
            </w:r>
          </w:p>
        </w:tc>
        <w:tc>
          <w:tcPr>
            <w:tcW w:w="90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30.7%</w:t>
            </w:r>
          </w:p>
        </w:tc>
        <w:tc>
          <w:tcPr>
            <w:tcW w:w="180" w:type="dxa"/>
            <w:vAlign w:val="bottom"/>
          </w:tcPr>
          <w:p>
            <w:pPr>
              <w:spacing w:after="0"/>
              <w:rPr>
                <w:sz w:val="22"/>
                <w:szCs w:val="22"/>
                <w:color w:val="auto"/>
              </w:rPr>
            </w:pPr>
          </w:p>
        </w:tc>
        <w:tc>
          <w:tcPr>
            <w:tcW w:w="800" w:type="dxa"/>
            <w:vAlign w:val="bottom"/>
          </w:tcPr>
          <w:p>
            <w:pPr>
              <w:jc w:val="right"/>
              <w:ind w:right="53"/>
              <w:spacing w:after="0"/>
              <w:rPr>
                <w:sz w:val="20"/>
                <w:szCs w:val="20"/>
                <w:color w:val="auto"/>
              </w:rPr>
            </w:pPr>
            <w:r>
              <w:rPr>
                <w:rFonts w:ascii="Calibri" w:cs="Calibri" w:eastAsia="Calibri" w:hAnsi="Calibri"/>
                <w:sz w:val="17"/>
                <w:szCs w:val="17"/>
                <w:color w:val="auto"/>
              </w:rPr>
              <w:t>265.7</w:t>
            </w:r>
          </w:p>
        </w:tc>
        <w:tc>
          <w:tcPr>
            <w:tcW w:w="620" w:type="dxa"/>
            <w:vAlign w:val="bottom"/>
          </w:tcPr>
          <w:p>
            <w:pPr>
              <w:jc w:val="right"/>
              <w:spacing w:after="0"/>
              <w:rPr>
                <w:sz w:val="20"/>
                <w:szCs w:val="20"/>
                <w:color w:val="auto"/>
              </w:rPr>
            </w:pPr>
            <w:r>
              <w:rPr>
                <w:rFonts w:ascii="Calibri" w:cs="Calibri" w:eastAsia="Calibri" w:hAnsi="Calibri"/>
                <w:sz w:val="17"/>
                <w:szCs w:val="17"/>
                <w:color w:val="auto"/>
              </w:rPr>
              <w:t>21.5%</w:t>
            </w:r>
          </w:p>
        </w:tc>
        <w:tc>
          <w:tcPr>
            <w:tcW w:w="0" w:type="dxa"/>
            <w:vAlign w:val="bottom"/>
          </w:tcPr>
          <w:p>
            <w:pPr>
              <w:spacing w:after="0"/>
              <w:rPr>
                <w:sz w:val="1"/>
                <w:szCs w:val="1"/>
                <w:color w:val="auto"/>
              </w:rPr>
            </w:pPr>
          </w:p>
        </w:tc>
      </w:tr>
      <w:tr>
        <w:trPr>
          <w:trHeight w:val="260"/>
        </w:trPr>
        <w:tc>
          <w:tcPr>
            <w:tcW w:w="4920" w:type="dxa"/>
            <w:vAlign w:val="bottom"/>
            <w:tcBorders>
              <w:right w:val="single" w:sz="8" w:color="BABABA"/>
            </w:tcBorders>
            <w:gridSpan w:val="2"/>
          </w:tcPr>
          <w:p>
            <w:pPr>
              <w:spacing w:after="0"/>
              <w:rPr>
                <w:sz w:val="20"/>
                <w:szCs w:val="20"/>
                <w:color w:val="auto"/>
              </w:rPr>
            </w:pPr>
            <w:r>
              <w:rPr>
                <w:rFonts w:ascii="Calibri" w:cs="Calibri" w:eastAsia="Calibri" w:hAnsi="Calibri"/>
                <w:sz w:val="17"/>
                <w:szCs w:val="17"/>
                <w:color w:val="auto"/>
              </w:rPr>
              <w:t> Analytcs</w:t>
            </w:r>
          </w:p>
        </w:tc>
        <w:tc>
          <w:tcPr>
            <w:tcW w:w="1180" w:type="dxa"/>
            <w:vAlign w:val="bottom"/>
          </w:tcPr>
          <w:p>
            <w:pPr>
              <w:jc w:val="right"/>
              <w:ind w:right="133"/>
              <w:spacing w:after="0"/>
              <w:rPr>
                <w:sz w:val="20"/>
                <w:szCs w:val="20"/>
                <w:color w:val="auto"/>
              </w:rPr>
            </w:pPr>
            <w:r>
              <w:rPr>
                <w:rFonts w:ascii="Calibri" w:cs="Calibri" w:eastAsia="Calibri" w:hAnsi="Calibri"/>
                <w:sz w:val="17"/>
                <w:szCs w:val="17"/>
                <w:color w:val="auto"/>
              </w:rPr>
              <w:t>460.7</w:t>
            </w:r>
          </w:p>
        </w:tc>
        <w:tc>
          <w:tcPr>
            <w:tcW w:w="82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27.0%</w:t>
            </w:r>
          </w:p>
        </w:tc>
        <w:tc>
          <w:tcPr>
            <w:tcW w:w="1200" w:type="dxa"/>
            <w:vAlign w:val="bottom"/>
          </w:tcPr>
          <w:p>
            <w:pPr>
              <w:jc w:val="right"/>
              <w:ind w:right="173"/>
              <w:spacing w:after="0"/>
              <w:rPr>
                <w:sz w:val="20"/>
                <w:szCs w:val="20"/>
                <w:color w:val="auto"/>
              </w:rPr>
            </w:pPr>
            <w:r>
              <w:rPr>
                <w:rFonts w:ascii="Calibri" w:cs="Calibri" w:eastAsia="Calibri" w:hAnsi="Calibri"/>
                <w:sz w:val="17"/>
                <w:szCs w:val="17"/>
                <w:color w:val="auto"/>
              </w:rPr>
              <w:t>647.3</w:t>
            </w:r>
          </w:p>
        </w:tc>
        <w:tc>
          <w:tcPr>
            <w:tcW w:w="90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40.5%</w:t>
            </w:r>
          </w:p>
        </w:tc>
        <w:tc>
          <w:tcPr>
            <w:tcW w:w="180" w:type="dxa"/>
            <w:vAlign w:val="bottom"/>
          </w:tcPr>
          <w:p>
            <w:pPr>
              <w:spacing w:after="0"/>
              <w:rPr>
                <w:sz w:val="22"/>
                <w:szCs w:val="22"/>
                <w:color w:val="auto"/>
              </w:rPr>
            </w:pPr>
          </w:p>
        </w:tc>
        <w:tc>
          <w:tcPr>
            <w:tcW w:w="800" w:type="dxa"/>
            <w:vAlign w:val="bottom"/>
          </w:tcPr>
          <w:p>
            <w:pPr>
              <w:jc w:val="right"/>
              <w:ind w:right="53"/>
              <w:spacing w:after="0"/>
              <w:rPr>
                <w:sz w:val="20"/>
                <w:szCs w:val="20"/>
                <w:color w:val="auto"/>
              </w:rPr>
            </w:pPr>
            <w:r>
              <w:rPr>
                <w:rFonts w:ascii="Calibri" w:cs="Calibri" w:eastAsia="Calibri" w:hAnsi="Calibri"/>
                <w:sz w:val="17"/>
                <w:szCs w:val="17"/>
                <w:color w:val="auto"/>
              </w:rPr>
              <w:t>729.1</w:t>
            </w:r>
          </w:p>
        </w:tc>
        <w:tc>
          <w:tcPr>
            <w:tcW w:w="620" w:type="dxa"/>
            <w:vAlign w:val="bottom"/>
          </w:tcPr>
          <w:p>
            <w:pPr>
              <w:jc w:val="right"/>
              <w:spacing w:after="0"/>
              <w:rPr>
                <w:sz w:val="20"/>
                <w:szCs w:val="20"/>
                <w:color w:val="auto"/>
              </w:rPr>
            </w:pPr>
            <w:r>
              <w:rPr>
                <w:rFonts w:ascii="Calibri" w:cs="Calibri" w:eastAsia="Calibri" w:hAnsi="Calibri"/>
                <w:sz w:val="17"/>
                <w:szCs w:val="17"/>
                <w:color w:val="auto"/>
              </w:rPr>
              <w:t>12.6%</w:t>
            </w:r>
          </w:p>
        </w:tc>
        <w:tc>
          <w:tcPr>
            <w:tcW w:w="0" w:type="dxa"/>
            <w:vAlign w:val="bottom"/>
          </w:tcPr>
          <w:p>
            <w:pPr>
              <w:spacing w:after="0"/>
              <w:rPr>
                <w:sz w:val="1"/>
                <w:szCs w:val="1"/>
                <w:color w:val="auto"/>
              </w:rPr>
            </w:pPr>
          </w:p>
        </w:tc>
      </w:tr>
      <w:tr>
        <w:trPr>
          <w:trHeight w:val="75"/>
        </w:trPr>
        <w:tc>
          <w:tcPr>
            <w:tcW w:w="20" w:type="dxa"/>
            <w:vAlign w:val="bottom"/>
            <w:tcBorders>
              <w:bottom w:val="single" w:sz="8" w:color="BABABA"/>
            </w:tcBorders>
          </w:tcPr>
          <w:p>
            <w:pPr>
              <w:spacing w:after="0"/>
              <w:rPr>
                <w:sz w:val="6"/>
                <w:szCs w:val="6"/>
                <w:color w:val="auto"/>
              </w:rPr>
            </w:pPr>
          </w:p>
        </w:tc>
        <w:tc>
          <w:tcPr>
            <w:tcW w:w="4900" w:type="dxa"/>
            <w:vAlign w:val="bottom"/>
            <w:tcBorders>
              <w:bottom w:val="single" w:sz="8" w:color="BABABA"/>
              <w:right w:val="single" w:sz="8" w:color="BABABA"/>
            </w:tcBorders>
          </w:tcPr>
          <w:p>
            <w:pPr>
              <w:spacing w:after="0"/>
              <w:rPr>
                <w:sz w:val="6"/>
                <w:szCs w:val="6"/>
                <w:color w:val="auto"/>
              </w:rPr>
            </w:pPr>
          </w:p>
        </w:tc>
        <w:tc>
          <w:tcPr>
            <w:tcW w:w="1180" w:type="dxa"/>
            <w:vAlign w:val="bottom"/>
            <w:tcBorders>
              <w:bottom w:val="single" w:sz="8" w:color="BABABA"/>
            </w:tcBorders>
          </w:tcPr>
          <w:p>
            <w:pPr>
              <w:spacing w:after="0"/>
              <w:rPr>
                <w:sz w:val="6"/>
                <w:szCs w:val="6"/>
                <w:color w:val="auto"/>
              </w:rPr>
            </w:pPr>
          </w:p>
        </w:tc>
        <w:tc>
          <w:tcPr>
            <w:tcW w:w="820" w:type="dxa"/>
            <w:vAlign w:val="bottom"/>
            <w:tcBorders>
              <w:bottom w:val="single" w:sz="8" w:color="BABABA"/>
              <w:right w:val="single" w:sz="8" w:color="BABABA"/>
            </w:tcBorders>
          </w:tcPr>
          <w:p>
            <w:pPr>
              <w:spacing w:after="0"/>
              <w:rPr>
                <w:sz w:val="6"/>
                <w:szCs w:val="6"/>
                <w:color w:val="auto"/>
              </w:rPr>
            </w:pPr>
          </w:p>
        </w:tc>
        <w:tc>
          <w:tcPr>
            <w:tcW w:w="1200" w:type="dxa"/>
            <w:vAlign w:val="bottom"/>
            <w:tcBorders>
              <w:bottom w:val="single" w:sz="8" w:color="BABABA"/>
            </w:tcBorders>
          </w:tcPr>
          <w:p>
            <w:pPr>
              <w:spacing w:after="0"/>
              <w:rPr>
                <w:sz w:val="6"/>
                <w:szCs w:val="6"/>
                <w:color w:val="auto"/>
              </w:rPr>
            </w:pPr>
          </w:p>
        </w:tc>
        <w:tc>
          <w:tcPr>
            <w:tcW w:w="900" w:type="dxa"/>
            <w:vAlign w:val="bottom"/>
            <w:tcBorders>
              <w:bottom w:val="single" w:sz="8" w:color="BABABA"/>
              <w:right w:val="single" w:sz="8" w:color="BABABA"/>
            </w:tcBorders>
          </w:tcPr>
          <w:p>
            <w:pPr>
              <w:spacing w:after="0"/>
              <w:rPr>
                <w:sz w:val="6"/>
                <w:szCs w:val="6"/>
                <w:color w:val="auto"/>
              </w:rPr>
            </w:pPr>
          </w:p>
        </w:tc>
        <w:tc>
          <w:tcPr>
            <w:tcW w:w="180" w:type="dxa"/>
            <w:vAlign w:val="bottom"/>
            <w:tcBorders>
              <w:bottom w:val="single" w:sz="8" w:color="BABABA"/>
            </w:tcBorders>
          </w:tcPr>
          <w:p>
            <w:pPr>
              <w:spacing w:after="0"/>
              <w:rPr>
                <w:sz w:val="6"/>
                <w:szCs w:val="6"/>
                <w:color w:val="auto"/>
              </w:rPr>
            </w:pPr>
          </w:p>
        </w:tc>
        <w:tc>
          <w:tcPr>
            <w:tcW w:w="800" w:type="dxa"/>
            <w:vAlign w:val="bottom"/>
            <w:tcBorders>
              <w:bottom w:val="single" w:sz="8" w:color="BABABA"/>
            </w:tcBorders>
          </w:tcPr>
          <w:p>
            <w:pPr>
              <w:spacing w:after="0"/>
              <w:rPr>
                <w:sz w:val="6"/>
                <w:szCs w:val="6"/>
                <w:color w:val="auto"/>
              </w:rPr>
            </w:pPr>
          </w:p>
        </w:tc>
        <w:tc>
          <w:tcPr>
            <w:tcW w:w="620" w:type="dxa"/>
            <w:vAlign w:val="bottom"/>
            <w:tcBorders>
              <w:bottom w:val="single" w:sz="8" w:color="BABABA"/>
            </w:tcBorders>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4920" w:type="dxa"/>
            <w:vAlign w:val="bottom"/>
            <w:gridSpan w:val="2"/>
          </w:tcPr>
          <w:p>
            <w:pPr>
              <w:spacing w:after="0" w:line="199" w:lineRule="exact"/>
              <w:rPr>
                <w:sz w:val="20"/>
                <w:szCs w:val="20"/>
                <w:color w:val="auto"/>
              </w:rPr>
            </w:pPr>
            <w:r>
              <w:rPr>
                <w:rFonts w:ascii="Calibri" w:cs="Calibri" w:eastAsia="Calibri" w:hAnsi="Calibri"/>
                <w:sz w:val="17"/>
                <w:szCs w:val="17"/>
                <w:b w:val="1"/>
                <w:bCs w:val="1"/>
                <w:color w:val="auto"/>
              </w:rPr>
              <w:t> Consolidated</w:t>
            </w:r>
          </w:p>
        </w:tc>
        <w:tc>
          <w:tcPr>
            <w:tcW w:w="1180" w:type="dxa"/>
            <w:vAlign w:val="bottom"/>
          </w:tcPr>
          <w:p>
            <w:pPr>
              <w:jc w:val="right"/>
              <w:ind w:right="133"/>
              <w:spacing w:after="0" w:line="199" w:lineRule="exact"/>
              <w:rPr>
                <w:sz w:val="20"/>
                <w:szCs w:val="20"/>
                <w:color w:val="auto"/>
              </w:rPr>
            </w:pPr>
            <w:r>
              <w:rPr>
                <w:rFonts w:ascii="Calibri" w:cs="Calibri" w:eastAsia="Calibri" w:hAnsi="Calibri"/>
                <w:sz w:val="17"/>
                <w:szCs w:val="17"/>
                <w:b w:val="1"/>
                <w:bCs w:val="1"/>
                <w:color w:val="auto"/>
              </w:rPr>
              <w:t>$1,112.3</w:t>
            </w:r>
          </w:p>
        </w:tc>
        <w:tc>
          <w:tcPr>
            <w:tcW w:w="820" w:type="dxa"/>
            <w:vAlign w:val="bottom"/>
          </w:tcPr>
          <w:p>
            <w:pPr>
              <w:jc w:val="right"/>
              <w:ind w:right="73"/>
              <w:spacing w:after="0" w:line="199" w:lineRule="exact"/>
              <w:rPr>
                <w:sz w:val="20"/>
                <w:szCs w:val="20"/>
                <w:color w:val="auto"/>
              </w:rPr>
            </w:pPr>
            <w:r>
              <w:rPr>
                <w:rFonts w:ascii="Calibri" w:cs="Calibri" w:eastAsia="Calibri" w:hAnsi="Calibri"/>
                <w:sz w:val="17"/>
                <w:szCs w:val="17"/>
                <w:b w:val="1"/>
                <w:bCs w:val="1"/>
                <w:color w:val="auto"/>
              </w:rPr>
              <w:t>17.1%</w:t>
            </w:r>
          </w:p>
        </w:tc>
        <w:tc>
          <w:tcPr>
            <w:tcW w:w="1200" w:type="dxa"/>
            <w:vAlign w:val="bottom"/>
          </w:tcPr>
          <w:p>
            <w:pPr>
              <w:jc w:val="right"/>
              <w:ind w:right="173"/>
              <w:spacing w:after="0" w:line="199" w:lineRule="exact"/>
              <w:rPr>
                <w:sz w:val="20"/>
                <w:szCs w:val="20"/>
                <w:color w:val="auto"/>
              </w:rPr>
            </w:pPr>
            <w:r>
              <w:rPr>
                <w:rFonts w:ascii="Calibri" w:cs="Calibri" w:eastAsia="Calibri" w:hAnsi="Calibri"/>
                <w:sz w:val="17"/>
                <w:szCs w:val="17"/>
                <w:b w:val="1"/>
                <w:bCs w:val="1"/>
                <w:color w:val="auto"/>
              </w:rPr>
              <w:t>$1,412.0</w:t>
            </w:r>
          </w:p>
        </w:tc>
        <w:tc>
          <w:tcPr>
            <w:tcW w:w="900" w:type="dxa"/>
            <w:vAlign w:val="bottom"/>
          </w:tcPr>
          <w:p>
            <w:pPr>
              <w:jc w:val="right"/>
              <w:ind w:right="73"/>
              <w:spacing w:after="0" w:line="199" w:lineRule="exact"/>
              <w:rPr>
                <w:sz w:val="20"/>
                <w:szCs w:val="20"/>
                <w:color w:val="auto"/>
              </w:rPr>
            </w:pPr>
            <w:r>
              <w:rPr>
                <w:rFonts w:ascii="Calibri" w:cs="Calibri" w:eastAsia="Calibri" w:hAnsi="Calibri"/>
                <w:sz w:val="17"/>
                <w:szCs w:val="17"/>
                <w:b w:val="1"/>
                <w:bCs w:val="1"/>
                <w:color w:val="auto"/>
              </w:rPr>
              <w:t>25.8%</w:t>
            </w:r>
          </w:p>
        </w:tc>
        <w:tc>
          <w:tcPr>
            <w:tcW w:w="180" w:type="dxa"/>
            <w:vAlign w:val="bottom"/>
          </w:tcPr>
          <w:p>
            <w:pPr>
              <w:spacing w:after="0"/>
              <w:rPr>
                <w:sz w:val="17"/>
                <w:szCs w:val="17"/>
                <w:color w:val="auto"/>
              </w:rPr>
            </w:pPr>
          </w:p>
        </w:tc>
        <w:tc>
          <w:tcPr>
            <w:tcW w:w="800" w:type="dxa"/>
            <w:vAlign w:val="bottom"/>
          </w:tcPr>
          <w:p>
            <w:pPr>
              <w:jc w:val="right"/>
              <w:ind w:right="53"/>
              <w:spacing w:after="0" w:line="199" w:lineRule="exact"/>
              <w:rPr>
                <w:sz w:val="20"/>
                <w:szCs w:val="20"/>
                <w:color w:val="auto"/>
              </w:rPr>
            </w:pPr>
            <w:r>
              <w:rPr>
                <w:rFonts w:ascii="Calibri" w:cs="Calibri" w:eastAsia="Calibri" w:hAnsi="Calibri"/>
                <w:sz w:val="17"/>
                <w:szCs w:val="17"/>
                <w:b w:val="1"/>
                <w:bCs w:val="1"/>
                <w:color w:val="auto"/>
              </w:rPr>
              <w:t>$1,630.7</w:t>
            </w:r>
          </w:p>
        </w:tc>
        <w:tc>
          <w:tcPr>
            <w:tcW w:w="620" w:type="dxa"/>
            <w:vAlign w:val="bottom"/>
          </w:tcPr>
          <w:p>
            <w:pPr>
              <w:jc w:val="right"/>
              <w:spacing w:after="0" w:line="199" w:lineRule="exact"/>
              <w:rPr>
                <w:sz w:val="20"/>
                <w:szCs w:val="20"/>
                <w:color w:val="auto"/>
              </w:rPr>
            </w:pPr>
            <w:r>
              <w:rPr>
                <w:rFonts w:ascii="Calibri" w:cs="Calibri" w:eastAsia="Calibri" w:hAnsi="Calibri"/>
                <w:sz w:val="17"/>
                <w:szCs w:val="17"/>
                <w:b w:val="1"/>
                <w:bCs w:val="1"/>
                <w:color w:val="auto"/>
              </w:rPr>
              <w:t>15.5%</w:t>
            </w:r>
          </w:p>
        </w:tc>
        <w:tc>
          <w:tcPr>
            <w:tcW w:w="0" w:type="dxa"/>
            <w:vAlign w:val="bottom"/>
          </w:tcPr>
          <w:p>
            <w:pPr>
              <w:spacing w:after="0"/>
              <w:rPr>
                <w:sz w:val="1"/>
                <w:szCs w:val="1"/>
                <w:color w:val="auto"/>
              </w:rPr>
            </w:pPr>
          </w:p>
        </w:tc>
      </w:tr>
    </w:tbl>
    <w:p>
      <w:pPr>
        <w:spacing w:after="0" w:line="15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240" w:type="dxa"/>
            <w:vAlign w:val="bottom"/>
            <w:vMerge w:val="restart"/>
          </w:tcPr>
          <w:p>
            <w:pPr>
              <w:spacing w:after="0"/>
              <w:rPr>
                <w:sz w:val="20"/>
                <w:szCs w:val="20"/>
                <w:color w:val="auto"/>
              </w:rPr>
            </w:pPr>
            <w:r>
              <w:rPr>
                <w:rFonts w:ascii="Calibri" w:cs="Calibri" w:eastAsia="Calibri" w:hAnsi="Calibri"/>
                <w:sz w:val="17"/>
                <w:szCs w:val="17"/>
                <w:b w:val="1"/>
                <w:bCs w:val="1"/>
                <w:color w:val="auto"/>
                <w:w w:val="85"/>
              </w:rPr>
              <w:t>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62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60" w:type="dxa"/>
            <w:vAlign w:val="bottom"/>
          </w:tcPr>
          <w:p>
            <w:pPr>
              <w:ind w:left="40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2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620" w:type="dxa"/>
            <w:vAlign w:val="bottom"/>
            <w:vMerge w:val="continue"/>
          </w:tcPr>
          <w:p>
            <w:pPr>
              <w:spacing w:after="0"/>
              <w:rPr>
                <w:sz w:val="10"/>
                <w:szCs w:val="10"/>
                <w:color w:val="auto"/>
              </w:rPr>
            </w:pPr>
          </w:p>
        </w:tc>
        <w:tc>
          <w:tcPr>
            <w:tcW w:w="4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2024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73545" cy="7798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3545" cy="7798435"/>
                    </a:xfrm>
                    <a:prstGeom prst="rect">
                      <a:avLst/>
                    </a:prstGeom>
                    <a:noFill/>
                  </pic:spPr>
                </pic:pic>
              </a:graphicData>
            </a:graphic>
          </wp:anchor>
        </w:drawing>
      </w:r>
    </w:p>
    <w:p>
      <w:pPr>
        <w:sectPr>
          <w:pgSz w:w="11900" w:h="16838" w:orient="portrait"/>
          <w:cols w:equalWidth="0" w:num="1">
            <w:col w:w="10940"/>
          </w:cols>
          <w:pgMar w:left="320" w:top="471" w:right="639" w:bottom="6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spacing w:after="0"/>
        <w:tabs>
          <w:tab w:leader="none" w:pos="460" w:val="left"/>
          <w:tab w:leader="none" w:pos="8700" w:val="left"/>
          <w:tab w:leader="none" w:pos="10320" w:val="left"/>
        </w:tabs>
        <w:rPr>
          <w:sz w:val="20"/>
          <w:szCs w:val="20"/>
          <w:color w:val="auto"/>
        </w:rPr>
      </w:pPr>
      <w:r>
        <w:rPr>
          <w:rFonts w:ascii="Calibri" w:cs="Calibri" w:eastAsia="Calibri" w:hAnsi="Calibri"/>
          <w:sz w:val="34"/>
          <w:szCs w:val="34"/>
          <w:color w:val="auto"/>
          <w:vertAlign w:val="superscript"/>
        </w:rPr>
        <w:t xml:space="preserve"> </w:t>
      </w:r>
      <w:r>
        <w:rPr>
          <w:sz w:val="20"/>
          <w:szCs w:val="20"/>
          <w:color w:val="auto"/>
        </w:rPr>
        <w:tab/>
      </w:r>
      <w:r>
        <w:rPr>
          <w:rFonts w:ascii="Calibri" w:cs="Calibri" w:eastAsia="Calibri" w:hAnsi="Calibri"/>
          <w:sz w:val="35"/>
          <w:szCs w:val="35"/>
          <w:color w:val="auto"/>
          <w:vertAlign w:val="superscript"/>
        </w:rPr>
        <w:t> </w:t>
      </w:r>
      <w:r>
        <w:rPr>
          <w:sz w:val="20"/>
          <w:szCs w:val="20"/>
          <w:color w:val="auto"/>
        </w:rPr>
        <w:tab/>
      </w:r>
      <w:r>
        <w:rPr>
          <w:rFonts w:ascii="Calibri" w:cs="Calibri" w:eastAsia="Calibri" w:hAnsi="Calibri"/>
          <w:sz w:val="13"/>
          <w:szCs w:val="13"/>
          <w:color w:val="auto"/>
        </w:rPr>
        <w:t>EXL 2024 Proxy Statement </w:t>
      </w:r>
      <w:r>
        <w:rPr>
          <w:sz w:val="20"/>
          <w:szCs w:val="20"/>
          <w:color w:val="auto"/>
        </w:rPr>
        <w:tab/>
      </w: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w:t>
      </w:r>
    </w:p>
    <w:p>
      <w:pPr>
        <w:sectPr>
          <w:pgSz w:w="11900" w:h="16838" w:orient="portrait"/>
          <w:cols w:equalWidth="0" w:num="1">
            <w:col w:w="10940"/>
          </w:cols>
          <w:pgMar w:left="320" w:top="471" w:right="639" w:bottom="659"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2024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73545" cy="7798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3545" cy="779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240" w:type="dxa"/>
            <w:vAlign w:val="bottom"/>
            <w:vMerge w:val="restart"/>
          </w:tcPr>
          <w:p>
            <w:pPr>
              <w:spacing w:after="0"/>
              <w:rPr>
                <w:sz w:val="20"/>
                <w:szCs w:val="20"/>
                <w:color w:val="auto"/>
              </w:rPr>
            </w:pPr>
            <w:r>
              <w:rPr>
                <w:rFonts w:ascii="Calibri" w:cs="Calibri" w:eastAsia="Calibri" w:hAnsi="Calibri"/>
                <w:sz w:val="17"/>
                <w:szCs w:val="17"/>
                <w:b w:val="1"/>
                <w:bCs w:val="1"/>
                <w:color w:val="auto"/>
                <w:w w:val="85"/>
              </w:rPr>
              <w:t>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62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60" w:type="dxa"/>
            <w:vAlign w:val="bottom"/>
          </w:tcPr>
          <w:p>
            <w:pPr>
              <w:ind w:left="40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2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620" w:type="dxa"/>
            <w:vAlign w:val="bottom"/>
            <w:vMerge w:val="continue"/>
          </w:tcPr>
          <w:p>
            <w:pPr>
              <w:spacing w:after="0"/>
              <w:rPr>
                <w:sz w:val="10"/>
                <w:szCs w:val="10"/>
                <w:color w:val="auto"/>
              </w:rPr>
            </w:pPr>
          </w:p>
        </w:tc>
        <w:tc>
          <w:tcPr>
            <w:tcW w:w="4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1" w:right="7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2024 Proxy Statement summary</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Total stockholder return</w:t>
      </w:r>
    </w:p>
    <w:p>
      <w:pPr>
        <w:spacing w:after="0" w:line="115"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The graphs below compare our 1-year, 3-year and 5-year cumulatve total stockholder return (“TSR”) as of December 31, 2023 with the median TSR for companies comprising Nasdaq, S&amp;P 600 and our peer group.</w:t>
      </w:r>
    </w:p>
    <w:p>
      <w:pPr>
        <w:spacing w:after="0" w:line="236" w:lineRule="exact"/>
        <w:rPr>
          <w:sz w:val="20"/>
          <w:szCs w:val="20"/>
          <w:color w:val="auto"/>
        </w:rPr>
      </w:pPr>
    </w:p>
    <w:p>
      <w:pPr>
        <w:ind w:left="1800"/>
        <w:spacing w:after="0"/>
        <w:tabs>
          <w:tab w:leader="none" w:pos="5460" w:val="left"/>
          <w:tab w:leader="none" w:pos="8900" w:val="left"/>
        </w:tabs>
        <w:rPr>
          <w:sz w:val="20"/>
          <w:szCs w:val="20"/>
          <w:color w:val="auto"/>
        </w:rPr>
      </w:pPr>
      <w:r>
        <w:rPr>
          <w:rFonts w:ascii="Calibri" w:cs="Calibri" w:eastAsia="Calibri" w:hAnsi="Calibri"/>
          <w:sz w:val="17"/>
          <w:szCs w:val="17"/>
          <w:b w:val="1"/>
          <w:bCs w:val="1"/>
          <w:color w:val="auto"/>
        </w:rPr>
        <w:t>1-Year TSR</w:t>
      </w:r>
      <w:r>
        <w:rPr>
          <w:sz w:val="20"/>
          <w:szCs w:val="20"/>
          <w:color w:val="auto"/>
        </w:rPr>
        <w:tab/>
      </w:r>
      <w:r>
        <w:rPr>
          <w:rFonts w:ascii="Calibri" w:cs="Calibri" w:eastAsia="Calibri" w:hAnsi="Calibri"/>
          <w:sz w:val="17"/>
          <w:szCs w:val="17"/>
          <w:b w:val="1"/>
          <w:bCs w:val="1"/>
          <w:color w:val="auto"/>
        </w:rPr>
        <w:t>3-Year TSR</w:t>
      </w:r>
      <w:r>
        <w:rPr>
          <w:sz w:val="20"/>
          <w:szCs w:val="20"/>
          <w:color w:val="auto"/>
        </w:rPr>
        <w:tab/>
      </w:r>
      <w:r>
        <w:rPr>
          <w:rFonts w:ascii="Calibri" w:cs="Calibri" w:eastAsia="Calibri" w:hAnsi="Calibri"/>
          <w:sz w:val="16"/>
          <w:szCs w:val="16"/>
          <w:b w:val="1"/>
          <w:bCs w:val="1"/>
          <w:color w:val="auto"/>
        </w:rPr>
        <w:t>5-Year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163195</wp:posOffset>
            </wp:positionV>
            <wp:extent cx="6146165" cy="1197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46165" cy="119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30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620" w:type="dxa"/>
            <w:vAlign w:val="bottom"/>
            <w:vMerge w:val="restart"/>
          </w:tcPr>
          <w:p>
            <w:pPr>
              <w:ind w:left="4100"/>
              <w:spacing w:after="0"/>
              <w:rPr>
                <w:sz w:val="20"/>
                <w:szCs w:val="20"/>
                <w:color w:val="auto"/>
              </w:rPr>
            </w:pPr>
            <w:r>
              <w:rPr>
                <w:rFonts w:ascii="Calibri" w:cs="Calibri" w:eastAsia="Calibri" w:hAnsi="Calibri"/>
                <w:sz w:val="13"/>
                <w:szCs w:val="13"/>
                <w:color w:val="auto"/>
                <w:w w:val="98"/>
              </w:rPr>
              <w:t>EXL 2024 Proxy Statement </w:t>
            </w:r>
          </w:p>
        </w:tc>
        <w:tc>
          <w:tcPr>
            <w:tcW w:w="5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5</w:t>
            </w: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56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2024 Proxy Statement summary</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Corporate governance highlights</w:t>
      </w:r>
    </w:p>
    <w:p>
      <w:pPr>
        <w:spacing w:after="0" w:line="114"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The following informaton is based on our board profle immediately following our Annual Meetng (assuming the electon of our eight director nominees) and refects current board practces.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163830</wp:posOffset>
            </wp:positionV>
            <wp:extent cx="5014595" cy="5245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14595" cy="524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240" w:type="dxa"/>
            <w:vAlign w:val="bottom"/>
            <w:vMerge w:val="restart"/>
          </w:tcPr>
          <w:p>
            <w:pPr>
              <w:spacing w:after="0"/>
              <w:rPr>
                <w:sz w:val="20"/>
                <w:szCs w:val="20"/>
                <w:color w:val="auto"/>
              </w:rPr>
            </w:pPr>
            <w:r>
              <w:rPr>
                <w:rFonts w:ascii="Calibri" w:cs="Calibri" w:eastAsia="Calibri" w:hAnsi="Calibri"/>
                <w:sz w:val="17"/>
                <w:szCs w:val="17"/>
                <w:b w:val="1"/>
                <w:bCs w:val="1"/>
                <w:color w:val="auto"/>
                <w:w w:val="85"/>
              </w:rPr>
              <w:t>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62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60" w:type="dxa"/>
            <w:vAlign w:val="bottom"/>
          </w:tcPr>
          <w:p>
            <w:pPr>
              <w:ind w:left="40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2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620" w:type="dxa"/>
            <w:vAlign w:val="bottom"/>
            <w:vMerge w:val="continue"/>
          </w:tcPr>
          <w:p>
            <w:pPr>
              <w:spacing w:after="0"/>
              <w:rPr>
                <w:sz w:val="10"/>
                <w:szCs w:val="10"/>
                <w:color w:val="auto"/>
              </w:rPr>
            </w:pPr>
          </w:p>
        </w:tc>
        <w:tc>
          <w:tcPr>
            <w:tcW w:w="4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71" w:right="7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2024 Proxy Statement summary</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Nominees for electon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168275</wp:posOffset>
            </wp:positionV>
            <wp:extent cx="6773545" cy="6269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3545" cy="626999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0"/>
        <w:spacing w:after="0"/>
        <w:tabs>
          <w:tab w:leader="none" w:pos="460" w:val="left"/>
          <w:tab w:leader="none" w:pos="8700" w:val="left"/>
          <w:tab w:leader="none" w:pos="10320" w:val="left"/>
        </w:tabs>
        <w:rPr>
          <w:sz w:val="20"/>
          <w:szCs w:val="20"/>
          <w:color w:val="auto"/>
        </w:rPr>
      </w:pPr>
      <w:r>
        <w:rPr>
          <w:rFonts w:ascii="Calibri" w:cs="Calibri" w:eastAsia="Calibri" w:hAnsi="Calibri"/>
          <w:sz w:val="34"/>
          <w:szCs w:val="34"/>
          <w:color w:val="auto"/>
          <w:vertAlign w:val="superscript"/>
        </w:rPr>
        <w:t xml:space="preserve"> </w:t>
      </w:r>
      <w:r>
        <w:rPr>
          <w:sz w:val="20"/>
          <w:szCs w:val="20"/>
          <w:color w:val="auto"/>
        </w:rPr>
        <w:tab/>
      </w:r>
      <w:r>
        <w:rPr>
          <w:rFonts w:ascii="Calibri" w:cs="Calibri" w:eastAsia="Calibri" w:hAnsi="Calibri"/>
          <w:sz w:val="35"/>
          <w:szCs w:val="35"/>
          <w:color w:val="auto"/>
          <w:vertAlign w:val="superscript"/>
        </w:rPr>
        <w:t> </w:t>
      </w:r>
      <w:r>
        <w:rPr>
          <w:sz w:val="20"/>
          <w:szCs w:val="20"/>
          <w:color w:val="auto"/>
        </w:rPr>
        <w:tab/>
      </w:r>
      <w:r>
        <w:rPr>
          <w:rFonts w:ascii="Calibri" w:cs="Calibri" w:eastAsia="Calibri" w:hAnsi="Calibri"/>
          <w:sz w:val="13"/>
          <w:szCs w:val="13"/>
          <w:color w:val="auto"/>
        </w:rPr>
        <w:t>EXL 2024 Proxy Statement </w:t>
      </w:r>
      <w:r>
        <w:rPr>
          <w:sz w:val="20"/>
          <w:szCs w:val="20"/>
          <w:color w:val="auto"/>
        </w:rPr>
        <w:tab/>
      </w: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w:t>
      </w:r>
    </w:p>
    <w:p>
      <w:pPr>
        <w:sectPr>
          <w:pgSz w:w="11900" w:h="16838" w:orient="portrait"/>
          <w:cols w:equalWidth="0" w:num="1">
            <w:col w:w="10940"/>
          </w:cols>
          <w:pgMar w:left="320" w:top="471" w:right="6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2024 Proxy Statement summary</w:t>
      </w: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Director nominees - skills matrix</w:t>
      </w:r>
    </w:p>
    <w:p>
      <w:pPr>
        <w:spacing w:after="0" w:line="1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director nominees review and indicate whether they are experts in each of the skills and areas of experience listed below. An “expert,” for purpose of the skills set forth in this skill matrix, means an individual who, based on career experience (other than as an EXL director), has developed and contnues to maintain comprehensive knowledge and command over the subject mater, including relevant updates. Defnitons for each of these skills, as well as a descripton for how these are considered for candidates for directors, can be found under “Director Qualifcatons” beginning on page 29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172085</wp:posOffset>
            </wp:positionV>
            <wp:extent cx="231140" cy="231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172085</wp:posOffset>
            </wp:positionV>
            <wp:extent cx="247650" cy="2311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7650" cy="23114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196850</wp:posOffset>
            </wp:positionV>
            <wp:extent cx="132080" cy="206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2080" cy="206375"/>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238125</wp:posOffset>
            </wp:positionV>
            <wp:extent cx="255905" cy="165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5905" cy="16510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188595</wp:posOffset>
            </wp:positionV>
            <wp:extent cx="214630"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188595</wp:posOffset>
            </wp:positionV>
            <wp:extent cx="239395"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9395" cy="214630"/>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163830</wp:posOffset>
            </wp:positionV>
            <wp:extent cx="239395" cy="239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9395" cy="23939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172085</wp:posOffset>
            </wp:positionV>
            <wp:extent cx="231140" cy="2311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5314315</wp:posOffset>
            </wp:positionH>
            <wp:positionV relativeFrom="paragraph">
              <wp:posOffset>188595</wp:posOffset>
            </wp:positionV>
            <wp:extent cx="231140" cy="214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1140" cy="21463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188595</wp:posOffset>
            </wp:positionV>
            <wp:extent cx="206375" cy="214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6375" cy="214630"/>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205105</wp:posOffset>
            </wp:positionV>
            <wp:extent cx="231140" cy="198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1140" cy="198120"/>
                    </a:xfrm>
                    <a:prstGeom prst="rect">
                      <a:avLst/>
                    </a:prstGeom>
                    <a:noFill/>
                  </pic:spPr>
                </pic:pic>
              </a:graphicData>
            </a:graphic>
          </wp:anchor>
        </w:drawing>
        <w:drawing>
          <wp:anchor simplePos="0" relativeHeight="251657728" behindDoc="1" locked="0" layoutInCell="0" allowOverlap="1">
            <wp:simplePos x="0" y="0"/>
            <wp:positionH relativeFrom="column">
              <wp:posOffset>6627495</wp:posOffset>
            </wp:positionH>
            <wp:positionV relativeFrom="paragraph">
              <wp:posOffset>196850</wp:posOffset>
            </wp:positionV>
            <wp:extent cx="231140" cy="2063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320" w:type="dxa"/>
        <w:tblCellMar>
          <w:top w:w="0" w:type="dxa"/>
          <w:left w:w="0" w:type="dxa"/>
          <w:bottom w:w="0" w:type="dxa"/>
          <w:right w:w="0" w:type="dxa"/>
        </w:tblCellMar>
      </w:tblPr>
      <w:tr>
        <w:trPr>
          <w:trHeight w:val="134"/>
        </w:trPr>
        <w:tc>
          <w:tcPr>
            <w:tcW w:w="1540" w:type="dxa"/>
            <w:vAlign w:val="bottom"/>
          </w:tcPr>
          <w:p>
            <w:pPr>
              <w:spacing w:after="0"/>
              <w:rPr>
                <w:sz w:val="11"/>
                <w:szCs w:val="11"/>
                <w:color w:val="auto"/>
              </w:rPr>
            </w:pPr>
          </w:p>
        </w:tc>
        <w:tc>
          <w:tcPr>
            <w:tcW w:w="1040" w:type="dxa"/>
            <w:vAlign w:val="bottom"/>
          </w:tcPr>
          <w:p>
            <w:pPr>
              <w:jc w:val="center"/>
              <w:ind w:left="215"/>
              <w:spacing w:after="0"/>
              <w:rPr>
                <w:sz w:val="20"/>
                <w:szCs w:val="20"/>
                <w:color w:val="auto"/>
              </w:rPr>
            </w:pPr>
            <w:r>
              <w:rPr>
                <w:rFonts w:ascii="Calibri" w:cs="Calibri" w:eastAsia="Calibri" w:hAnsi="Calibri"/>
                <w:sz w:val="11"/>
                <w:szCs w:val="11"/>
                <w:b w:val="1"/>
                <w:bCs w:val="1"/>
                <w:color w:val="auto"/>
              </w:rPr>
              <w:t>Finance</w:t>
            </w:r>
          </w:p>
        </w:tc>
        <w:tc>
          <w:tcPr>
            <w:tcW w:w="72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Calibri" w:cs="Calibri" w:eastAsia="Calibri" w:hAnsi="Calibri"/>
                <w:sz w:val="11"/>
                <w:szCs w:val="11"/>
                <w:b w:val="1"/>
                <w:bCs w:val="1"/>
                <w:color w:val="auto"/>
              </w:rPr>
              <w:t>Public</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Calibri" w:cs="Calibri" w:eastAsia="Calibri" w:hAnsi="Calibri"/>
                <w:sz w:val="11"/>
                <w:szCs w:val="11"/>
                <w:b w:val="1"/>
                <w:bCs w:val="1"/>
                <w:color w:val="auto"/>
              </w:rPr>
              <w:t>Digital</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Calibri" w:cs="Calibri" w:eastAsia="Calibri" w:hAnsi="Calibri"/>
                <w:sz w:val="11"/>
                <w:szCs w:val="11"/>
                <w:b w:val="1"/>
                <w:bCs w:val="1"/>
                <w:color w:val="auto"/>
              </w:rPr>
              <w:t>Risk</w:t>
            </w:r>
          </w:p>
        </w:tc>
        <w:tc>
          <w:tcPr>
            <w:tcW w:w="800" w:type="dxa"/>
            <w:vAlign w:val="bottom"/>
          </w:tcPr>
          <w:p>
            <w:pPr>
              <w:jc w:val="center"/>
              <w:spacing w:after="0"/>
              <w:rPr>
                <w:sz w:val="20"/>
                <w:szCs w:val="20"/>
                <w:color w:val="auto"/>
              </w:rPr>
            </w:pPr>
            <w:r>
              <w:rPr>
                <w:rFonts w:ascii="Calibri" w:cs="Calibri" w:eastAsia="Calibri" w:hAnsi="Calibri"/>
                <w:sz w:val="11"/>
                <w:szCs w:val="11"/>
                <w:b w:val="1"/>
                <w:bCs w:val="1"/>
                <w:color w:val="auto"/>
              </w:rPr>
              <w:t>Informaton</w:t>
            </w:r>
          </w:p>
        </w:tc>
        <w:tc>
          <w:tcPr>
            <w:tcW w:w="440" w:type="dxa"/>
            <w:vAlign w:val="bottom"/>
          </w:tcPr>
          <w:p>
            <w:pPr>
              <w:spacing w:after="0"/>
              <w:rPr>
                <w:sz w:val="11"/>
                <w:szCs w:val="11"/>
                <w:color w:val="auto"/>
              </w:rPr>
            </w:pPr>
          </w:p>
        </w:tc>
        <w:tc>
          <w:tcPr>
            <w:tcW w:w="740" w:type="dxa"/>
            <w:vAlign w:val="bottom"/>
          </w:tcPr>
          <w:p>
            <w:pPr>
              <w:jc w:val="center"/>
              <w:ind w:left="35"/>
              <w:spacing w:after="0"/>
              <w:rPr>
                <w:sz w:val="20"/>
                <w:szCs w:val="20"/>
                <w:color w:val="auto"/>
              </w:rPr>
            </w:pPr>
            <w:r>
              <w:rPr>
                <w:rFonts w:ascii="Calibri" w:cs="Calibri" w:eastAsia="Calibri" w:hAnsi="Calibri"/>
                <w:sz w:val="11"/>
                <w:szCs w:val="11"/>
                <w:b w:val="1"/>
                <w:bCs w:val="1"/>
                <w:color w:val="auto"/>
              </w:rPr>
              <w:t>Mergers</w:t>
            </w:r>
          </w:p>
        </w:tc>
      </w:tr>
      <w:tr>
        <w:trPr>
          <w:trHeight w:val="130"/>
        </w:trPr>
        <w:tc>
          <w:tcPr>
            <w:tcW w:w="1540" w:type="dxa"/>
            <w:vAlign w:val="bottom"/>
          </w:tcPr>
          <w:p>
            <w:pPr>
              <w:spacing w:after="0"/>
              <w:rPr>
                <w:sz w:val="11"/>
                <w:szCs w:val="11"/>
                <w:color w:val="auto"/>
              </w:rPr>
            </w:pPr>
          </w:p>
        </w:tc>
        <w:tc>
          <w:tcPr>
            <w:tcW w:w="1040" w:type="dxa"/>
            <w:vAlign w:val="bottom"/>
          </w:tcPr>
          <w:p>
            <w:pPr>
              <w:jc w:val="center"/>
              <w:ind w:left="235"/>
              <w:spacing w:after="0" w:line="130" w:lineRule="exact"/>
              <w:rPr>
                <w:sz w:val="20"/>
                <w:szCs w:val="20"/>
                <w:color w:val="auto"/>
              </w:rPr>
            </w:pPr>
            <w:r>
              <w:rPr>
                <w:rFonts w:ascii="Calibri" w:cs="Calibri" w:eastAsia="Calibri" w:hAnsi="Calibri"/>
                <w:sz w:val="11"/>
                <w:szCs w:val="11"/>
                <w:b w:val="1"/>
                <w:bCs w:val="1"/>
                <w:color w:val="auto"/>
              </w:rPr>
              <w:t>and</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Executve</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company</w:t>
            </w:r>
          </w:p>
        </w:tc>
        <w:tc>
          <w:tcPr>
            <w:tcW w:w="640" w:type="dxa"/>
            <w:vAlign w:val="bottom"/>
          </w:tcPr>
          <w:p>
            <w:pPr>
              <w:spacing w:after="0"/>
              <w:rPr>
                <w:sz w:val="11"/>
                <w:szCs w:val="11"/>
                <w:color w:val="auto"/>
              </w:rPr>
            </w:pPr>
          </w:p>
        </w:tc>
        <w:tc>
          <w:tcPr>
            <w:tcW w:w="86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w w:val="99"/>
              </w:rPr>
              <w:t>Human capital</w:t>
            </w:r>
          </w:p>
        </w:tc>
        <w:tc>
          <w:tcPr>
            <w:tcW w:w="8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operatons</w:t>
            </w:r>
          </w:p>
        </w:tc>
        <w:tc>
          <w:tcPr>
            <w:tcW w:w="680" w:type="dxa"/>
            <w:vAlign w:val="bottom"/>
          </w:tcPr>
          <w:p>
            <w:pPr>
              <w:spacing w:after="0"/>
              <w:rPr>
                <w:sz w:val="11"/>
                <w:szCs w:val="11"/>
                <w:color w:val="auto"/>
              </w:rPr>
            </w:pP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Global</w:t>
            </w:r>
          </w:p>
        </w:tc>
        <w:tc>
          <w:tcPr>
            <w:tcW w:w="8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oversight and</w:t>
            </w:r>
          </w:p>
        </w:tc>
        <w:tc>
          <w:tcPr>
            <w:tcW w:w="80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and cyber</w:t>
            </w:r>
          </w:p>
        </w:tc>
        <w:tc>
          <w:tcPr>
            <w:tcW w:w="440" w:type="dxa"/>
            <w:vAlign w:val="bottom"/>
          </w:tcPr>
          <w:p>
            <w:pPr>
              <w:spacing w:after="0"/>
              <w:rPr>
                <w:sz w:val="11"/>
                <w:szCs w:val="11"/>
                <w:color w:val="auto"/>
              </w:rPr>
            </w:pPr>
          </w:p>
        </w:tc>
        <w:tc>
          <w:tcPr>
            <w:tcW w:w="740" w:type="dxa"/>
            <w:vAlign w:val="bottom"/>
          </w:tcPr>
          <w:p>
            <w:pPr>
              <w:jc w:val="center"/>
              <w:ind w:left="35"/>
              <w:spacing w:after="0" w:line="130" w:lineRule="exact"/>
              <w:rPr>
                <w:sz w:val="20"/>
                <w:szCs w:val="20"/>
                <w:color w:val="auto"/>
              </w:rPr>
            </w:pPr>
            <w:r>
              <w:rPr>
                <w:rFonts w:ascii="Calibri" w:cs="Calibri" w:eastAsia="Calibri" w:hAnsi="Calibri"/>
                <w:sz w:val="11"/>
                <w:szCs w:val="11"/>
                <w:b w:val="1"/>
                <w:bCs w:val="1"/>
                <w:color w:val="auto"/>
                <w:w w:val="92"/>
              </w:rPr>
              <w:t>and</w:t>
            </w:r>
          </w:p>
        </w:tc>
      </w:tr>
      <w:tr>
        <w:trPr>
          <w:trHeight w:val="148"/>
        </w:trPr>
        <w:tc>
          <w:tcPr>
            <w:tcW w:w="1540" w:type="dxa"/>
            <w:vAlign w:val="bottom"/>
          </w:tcPr>
          <w:p>
            <w:pPr>
              <w:spacing w:after="0"/>
              <w:rPr>
                <w:sz w:val="12"/>
                <w:szCs w:val="12"/>
                <w:color w:val="auto"/>
              </w:rPr>
            </w:pPr>
          </w:p>
        </w:tc>
        <w:tc>
          <w:tcPr>
            <w:tcW w:w="1040" w:type="dxa"/>
            <w:vAlign w:val="bottom"/>
          </w:tcPr>
          <w:p>
            <w:pPr>
              <w:jc w:val="center"/>
              <w:ind w:left="235"/>
              <w:spacing w:after="0"/>
              <w:rPr>
                <w:sz w:val="20"/>
                <w:szCs w:val="20"/>
                <w:color w:val="auto"/>
              </w:rPr>
            </w:pPr>
            <w:r>
              <w:rPr>
                <w:rFonts w:ascii="Calibri" w:cs="Calibri" w:eastAsia="Calibri" w:hAnsi="Calibri"/>
                <w:sz w:val="11"/>
                <w:szCs w:val="11"/>
                <w:b w:val="1"/>
                <w:bCs w:val="1"/>
                <w:color w:val="auto"/>
              </w:rPr>
              <w:t>accountng</w:t>
            </w:r>
          </w:p>
        </w:tc>
        <w:tc>
          <w:tcPr>
            <w:tcW w:w="720" w:type="dxa"/>
            <w:vAlign w:val="bottom"/>
          </w:tcPr>
          <w:p>
            <w:pPr>
              <w:jc w:val="center"/>
              <w:spacing w:after="0"/>
              <w:rPr>
                <w:sz w:val="20"/>
                <w:szCs w:val="20"/>
                <w:color w:val="auto"/>
              </w:rPr>
            </w:pPr>
            <w:r>
              <w:rPr>
                <w:rFonts w:ascii="Calibri" w:cs="Calibri" w:eastAsia="Calibri" w:hAnsi="Calibri"/>
                <w:sz w:val="11"/>
                <w:szCs w:val="11"/>
                <w:b w:val="1"/>
                <w:bCs w:val="1"/>
                <w:color w:val="auto"/>
              </w:rPr>
              <w:t>leadership</w:t>
            </w:r>
          </w:p>
        </w:tc>
        <w:tc>
          <w:tcPr>
            <w:tcW w:w="760" w:type="dxa"/>
            <w:vAlign w:val="bottom"/>
          </w:tcPr>
          <w:p>
            <w:pPr>
              <w:jc w:val="center"/>
              <w:spacing w:after="0"/>
              <w:rPr>
                <w:sz w:val="20"/>
                <w:szCs w:val="20"/>
                <w:color w:val="auto"/>
              </w:rPr>
            </w:pPr>
            <w:r>
              <w:rPr>
                <w:rFonts w:ascii="Calibri" w:cs="Calibri" w:eastAsia="Calibri" w:hAnsi="Calibri"/>
                <w:sz w:val="11"/>
                <w:szCs w:val="11"/>
                <w:b w:val="1"/>
                <w:bCs w:val="1"/>
                <w:color w:val="auto"/>
              </w:rPr>
              <w:t>governance</w:t>
            </w:r>
          </w:p>
        </w:tc>
        <w:tc>
          <w:tcPr>
            <w:tcW w:w="640" w:type="dxa"/>
            <w:vAlign w:val="bottom"/>
          </w:tcPr>
          <w:p>
            <w:pPr>
              <w:jc w:val="center"/>
              <w:spacing w:after="0"/>
              <w:rPr>
                <w:sz w:val="20"/>
                <w:szCs w:val="20"/>
                <w:color w:val="auto"/>
              </w:rPr>
            </w:pPr>
            <w:r>
              <w:rPr>
                <w:rFonts w:ascii="Calibri" w:cs="Calibri" w:eastAsia="Calibri" w:hAnsi="Calibri"/>
                <w:sz w:val="11"/>
                <w:szCs w:val="11"/>
                <w:b w:val="1"/>
                <w:bCs w:val="1"/>
                <w:color w:val="auto"/>
              </w:rPr>
              <w:t>Analytcs</w:t>
            </w:r>
          </w:p>
        </w:tc>
        <w:tc>
          <w:tcPr>
            <w:tcW w:w="860" w:type="dxa"/>
            <w:vAlign w:val="bottom"/>
          </w:tcPr>
          <w:p>
            <w:pPr>
              <w:jc w:val="center"/>
              <w:spacing w:after="0"/>
              <w:rPr>
                <w:sz w:val="20"/>
                <w:szCs w:val="20"/>
                <w:color w:val="auto"/>
              </w:rPr>
            </w:pPr>
            <w:r>
              <w:rPr>
                <w:rFonts w:ascii="Calibri" w:cs="Calibri" w:eastAsia="Calibri" w:hAnsi="Calibri"/>
                <w:sz w:val="11"/>
                <w:szCs w:val="11"/>
                <w:b w:val="1"/>
                <w:bCs w:val="1"/>
                <w:color w:val="auto"/>
              </w:rPr>
              <w:t>management</w:t>
            </w:r>
          </w:p>
        </w:tc>
        <w:tc>
          <w:tcPr>
            <w:tcW w:w="840" w:type="dxa"/>
            <w:vAlign w:val="bottom"/>
          </w:tcPr>
          <w:p>
            <w:pPr>
              <w:jc w:val="center"/>
              <w:spacing w:after="0"/>
              <w:rPr>
                <w:sz w:val="20"/>
                <w:szCs w:val="20"/>
                <w:color w:val="auto"/>
              </w:rPr>
            </w:pPr>
            <w:r>
              <w:rPr>
                <w:rFonts w:ascii="Calibri" w:cs="Calibri" w:eastAsia="Calibri" w:hAnsi="Calibri"/>
                <w:sz w:val="11"/>
                <w:szCs w:val="11"/>
                <w:b w:val="1"/>
                <w:bCs w:val="1"/>
                <w:color w:val="auto"/>
              </w:rPr>
              <w:t>and solutons</w:t>
            </w:r>
          </w:p>
        </w:tc>
        <w:tc>
          <w:tcPr>
            <w:tcW w:w="680" w:type="dxa"/>
            <w:vAlign w:val="bottom"/>
          </w:tcPr>
          <w:p>
            <w:pPr>
              <w:jc w:val="center"/>
              <w:spacing w:after="0"/>
              <w:rPr>
                <w:sz w:val="20"/>
                <w:szCs w:val="20"/>
                <w:color w:val="auto"/>
              </w:rPr>
            </w:pPr>
            <w:r>
              <w:rPr>
                <w:rFonts w:ascii="Calibri" w:cs="Calibri" w:eastAsia="Calibri" w:hAnsi="Calibri"/>
                <w:sz w:val="11"/>
                <w:szCs w:val="11"/>
                <w:b w:val="1"/>
                <w:bCs w:val="1"/>
                <w:color w:val="auto"/>
              </w:rPr>
              <w:t>Marketng</w:t>
            </w:r>
          </w:p>
        </w:tc>
        <w:tc>
          <w:tcPr>
            <w:tcW w:w="720" w:type="dxa"/>
            <w:vAlign w:val="bottom"/>
          </w:tcPr>
          <w:p>
            <w:pPr>
              <w:jc w:val="center"/>
              <w:spacing w:after="0"/>
              <w:rPr>
                <w:sz w:val="20"/>
                <w:szCs w:val="20"/>
                <w:color w:val="auto"/>
              </w:rPr>
            </w:pPr>
            <w:r>
              <w:rPr>
                <w:rFonts w:ascii="Calibri" w:cs="Calibri" w:eastAsia="Calibri" w:hAnsi="Calibri"/>
                <w:sz w:val="11"/>
                <w:szCs w:val="11"/>
                <w:b w:val="1"/>
                <w:bCs w:val="1"/>
                <w:color w:val="auto"/>
              </w:rPr>
              <w:t>experience</w:t>
            </w:r>
          </w:p>
        </w:tc>
        <w:tc>
          <w:tcPr>
            <w:tcW w:w="840" w:type="dxa"/>
            <w:vAlign w:val="bottom"/>
          </w:tcPr>
          <w:p>
            <w:pPr>
              <w:jc w:val="center"/>
              <w:spacing w:after="0"/>
              <w:rPr>
                <w:sz w:val="20"/>
                <w:szCs w:val="20"/>
                <w:color w:val="auto"/>
              </w:rPr>
            </w:pPr>
            <w:r>
              <w:rPr>
                <w:rFonts w:ascii="Calibri" w:cs="Calibri" w:eastAsia="Calibri" w:hAnsi="Calibri"/>
                <w:sz w:val="11"/>
                <w:szCs w:val="11"/>
                <w:b w:val="1"/>
                <w:bCs w:val="1"/>
                <w:color w:val="auto"/>
              </w:rPr>
              <w:t>management</w:t>
            </w:r>
          </w:p>
        </w:tc>
        <w:tc>
          <w:tcPr>
            <w:tcW w:w="800" w:type="dxa"/>
            <w:vAlign w:val="bottom"/>
          </w:tcPr>
          <w:p>
            <w:pPr>
              <w:jc w:val="center"/>
              <w:spacing w:after="0"/>
              <w:rPr>
                <w:sz w:val="20"/>
                <w:szCs w:val="20"/>
                <w:color w:val="auto"/>
              </w:rPr>
            </w:pPr>
            <w:r>
              <w:rPr>
                <w:rFonts w:ascii="Calibri" w:cs="Calibri" w:eastAsia="Calibri" w:hAnsi="Calibri"/>
                <w:sz w:val="11"/>
                <w:szCs w:val="11"/>
                <w:b w:val="1"/>
                <w:bCs w:val="1"/>
                <w:color w:val="auto"/>
                <w:w w:val="99"/>
              </w:rPr>
              <w:t>security</w:t>
            </w:r>
          </w:p>
        </w:tc>
        <w:tc>
          <w:tcPr>
            <w:tcW w:w="440" w:type="dxa"/>
            <w:vAlign w:val="bottom"/>
          </w:tcPr>
          <w:p>
            <w:pPr>
              <w:jc w:val="center"/>
              <w:spacing w:after="0"/>
              <w:rPr>
                <w:sz w:val="20"/>
                <w:szCs w:val="20"/>
                <w:color w:val="auto"/>
              </w:rPr>
            </w:pPr>
            <w:r>
              <w:rPr>
                <w:rFonts w:ascii="Calibri" w:cs="Calibri" w:eastAsia="Calibri" w:hAnsi="Calibri"/>
                <w:sz w:val="11"/>
                <w:szCs w:val="11"/>
                <w:b w:val="1"/>
                <w:bCs w:val="1"/>
                <w:color w:val="auto"/>
              </w:rPr>
              <w:t>ESG</w:t>
            </w:r>
          </w:p>
        </w:tc>
        <w:tc>
          <w:tcPr>
            <w:tcW w:w="740" w:type="dxa"/>
            <w:vAlign w:val="bottom"/>
          </w:tcPr>
          <w:p>
            <w:pPr>
              <w:jc w:val="center"/>
              <w:ind w:left="35"/>
              <w:spacing w:after="0"/>
              <w:rPr>
                <w:sz w:val="20"/>
                <w:szCs w:val="20"/>
                <w:color w:val="auto"/>
              </w:rPr>
            </w:pPr>
            <w:r>
              <w:rPr>
                <w:rFonts w:ascii="Calibri" w:cs="Calibri" w:eastAsia="Calibri" w:hAnsi="Calibri"/>
                <w:sz w:val="11"/>
                <w:szCs w:val="11"/>
                <w:b w:val="1"/>
                <w:bCs w:val="1"/>
                <w:color w:val="auto"/>
              </w:rPr>
              <w:t>acquisitons</w:t>
            </w:r>
          </w:p>
        </w:tc>
      </w:tr>
      <w:tr>
        <w:trPr>
          <w:trHeight w:val="82"/>
        </w:trPr>
        <w:tc>
          <w:tcPr>
            <w:tcW w:w="1540" w:type="dxa"/>
            <w:vAlign w:val="bottom"/>
            <w:tcBorders>
              <w:bottom w:val="single" w:sz="8" w:color="FB4E0B"/>
            </w:tcBorders>
          </w:tcPr>
          <w:p>
            <w:pPr>
              <w:spacing w:after="0"/>
              <w:rPr>
                <w:sz w:val="7"/>
                <w:szCs w:val="7"/>
                <w:color w:val="auto"/>
              </w:rPr>
            </w:pPr>
          </w:p>
        </w:tc>
        <w:tc>
          <w:tcPr>
            <w:tcW w:w="1040" w:type="dxa"/>
            <w:vAlign w:val="bottom"/>
            <w:tcBorders>
              <w:bottom w:val="single" w:sz="8" w:color="FB4E0B"/>
            </w:tcBorders>
          </w:tcPr>
          <w:p>
            <w:pPr>
              <w:spacing w:after="0"/>
              <w:rPr>
                <w:sz w:val="7"/>
                <w:szCs w:val="7"/>
                <w:color w:val="auto"/>
              </w:rPr>
            </w:pPr>
          </w:p>
        </w:tc>
        <w:tc>
          <w:tcPr>
            <w:tcW w:w="720" w:type="dxa"/>
            <w:vAlign w:val="bottom"/>
            <w:tcBorders>
              <w:bottom w:val="single" w:sz="8" w:color="FB4E0B"/>
            </w:tcBorders>
          </w:tcPr>
          <w:p>
            <w:pPr>
              <w:spacing w:after="0"/>
              <w:rPr>
                <w:sz w:val="7"/>
                <w:szCs w:val="7"/>
                <w:color w:val="auto"/>
              </w:rPr>
            </w:pPr>
          </w:p>
        </w:tc>
        <w:tc>
          <w:tcPr>
            <w:tcW w:w="760" w:type="dxa"/>
            <w:vAlign w:val="bottom"/>
            <w:tcBorders>
              <w:bottom w:val="single" w:sz="8" w:color="FB4E0B"/>
            </w:tcBorders>
          </w:tcPr>
          <w:p>
            <w:pPr>
              <w:spacing w:after="0"/>
              <w:rPr>
                <w:sz w:val="7"/>
                <w:szCs w:val="7"/>
                <w:color w:val="auto"/>
              </w:rPr>
            </w:pPr>
          </w:p>
        </w:tc>
        <w:tc>
          <w:tcPr>
            <w:tcW w:w="640" w:type="dxa"/>
            <w:vAlign w:val="bottom"/>
            <w:tcBorders>
              <w:bottom w:val="single" w:sz="8" w:color="FB4E0B"/>
            </w:tcBorders>
          </w:tcPr>
          <w:p>
            <w:pPr>
              <w:spacing w:after="0"/>
              <w:rPr>
                <w:sz w:val="7"/>
                <w:szCs w:val="7"/>
                <w:color w:val="auto"/>
              </w:rPr>
            </w:pPr>
          </w:p>
        </w:tc>
        <w:tc>
          <w:tcPr>
            <w:tcW w:w="860" w:type="dxa"/>
            <w:vAlign w:val="bottom"/>
            <w:tcBorders>
              <w:bottom w:val="single" w:sz="8" w:color="FB4E0B"/>
            </w:tcBorders>
          </w:tcPr>
          <w:p>
            <w:pPr>
              <w:spacing w:after="0"/>
              <w:rPr>
                <w:sz w:val="7"/>
                <w:szCs w:val="7"/>
                <w:color w:val="auto"/>
              </w:rPr>
            </w:pPr>
          </w:p>
        </w:tc>
        <w:tc>
          <w:tcPr>
            <w:tcW w:w="840" w:type="dxa"/>
            <w:vAlign w:val="bottom"/>
            <w:tcBorders>
              <w:bottom w:val="single" w:sz="8" w:color="FB4E0B"/>
            </w:tcBorders>
          </w:tcPr>
          <w:p>
            <w:pPr>
              <w:spacing w:after="0"/>
              <w:rPr>
                <w:sz w:val="7"/>
                <w:szCs w:val="7"/>
                <w:color w:val="auto"/>
              </w:rPr>
            </w:pPr>
          </w:p>
        </w:tc>
        <w:tc>
          <w:tcPr>
            <w:tcW w:w="680" w:type="dxa"/>
            <w:vAlign w:val="bottom"/>
            <w:tcBorders>
              <w:bottom w:val="single" w:sz="8" w:color="FB4E0B"/>
            </w:tcBorders>
          </w:tcPr>
          <w:p>
            <w:pPr>
              <w:spacing w:after="0"/>
              <w:rPr>
                <w:sz w:val="7"/>
                <w:szCs w:val="7"/>
                <w:color w:val="auto"/>
              </w:rPr>
            </w:pPr>
          </w:p>
        </w:tc>
        <w:tc>
          <w:tcPr>
            <w:tcW w:w="720" w:type="dxa"/>
            <w:vAlign w:val="bottom"/>
            <w:tcBorders>
              <w:bottom w:val="single" w:sz="8" w:color="FB4E0B"/>
            </w:tcBorders>
          </w:tcPr>
          <w:p>
            <w:pPr>
              <w:spacing w:after="0"/>
              <w:rPr>
                <w:sz w:val="7"/>
                <w:szCs w:val="7"/>
                <w:color w:val="auto"/>
              </w:rPr>
            </w:pPr>
          </w:p>
        </w:tc>
        <w:tc>
          <w:tcPr>
            <w:tcW w:w="840" w:type="dxa"/>
            <w:vAlign w:val="bottom"/>
            <w:tcBorders>
              <w:bottom w:val="single" w:sz="8" w:color="FB4E0B"/>
            </w:tcBorders>
          </w:tcPr>
          <w:p>
            <w:pPr>
              <w:spacing w:after="0"/>
              <w:rPr>
                <w:sz w:val="7"/>
                <w:szCs w:val="7"/>
                <w:color w:val="auto"/>
              </w:rPr>
            </w:pPr>
          </w:p>
        </w:tc>
        <w:tc>
          <w:tcPr>
            <w:tcW w:w="800" w:type="dxa"/>
            <w:vAlign w:val="bottom"/>
            <w:tcBorders>
              <w:bottom w:val="single" w:sz="8" w:color="FB4E0B"/>
            </w:tcBorders>
          </w:tcPr>
          <w:p>
            <w:pPr>
              <w:spacing w:after="0"/>
              <w:rPr>
                <w:sz w:val="7"/>
                <w:szCs w:val="7"/>
                <w:color w:val="auto"/>
              </w:rPr>
            </w:pPr>
          </w:p>
        </w:tc>
        <w:tc>
          <w:tcPr>
            <w:tcW w:w="440" w:type="dxa"/>
            <w:vAlign w:val="bottom"/>
            <w:tcBorders>
              <w:bottom w:val="single" w:sz="8" w:color="FB4E0B"/>
            </w:tcBorders>
          </w:tcPr>
          <w:p>
            <w:pPr>
              <w:spacing w:after="0"/>
              <w:rPr>
                <w:sz w:val="7"/>
                <w:szCs w:val="7"/>
                <w:color w:val="auto"/>
              </w:rPr>
            </w:pPr>
          </w:p>
        </w:tc>
        <w:tc>
          <w:tcPr>
            <w:tcW w:w="740" w:type="dxa"/>
            <w:vAlign w:val="bottom"/>
            <w:tcBorders>
              <w:bottom w:val="single" w:sz="8" w:color="FB4E0B"/>
            </w:tcBorders>
          </w:tcPr>
          <w:p>
            <w:pPr>
              <w:spacing w:after="0"/>
              <w:rPr>
                <w:sz w:val="7"/>
                <w:szCs w:val="7"/>
                <w:color w:val="auto"/>
              </w:rPr>
            </w:pPr>
          </w:p>
        </w:tc>
      </w:tr>
      <w:tr>
        <w:trPr>
          <w:trHeight w:val="246"/>
        </w:trPr>
        <w:tc>
          <w:tcPr>
            <w:tcW w:w="1540" w:type="dxa"/>
            <w:vAlign w:val="bottom"/>
          </w:tcPr>
          <w:p>
            <w:pPr>
              <w:spacing w:after="0"/>
              <w:rPr>
                <w:sz w:val="20"/>
                <w:szCs w:val="20"/>
                <w:color w:val="auto"/>
              </w:rPr>
            </w:pPr>
            <w:r>
              <w:rPr>
                <w:rFonts w:ascii="Calibri" w:cs="Calibri" w:eastAsia="Calibri" w:hAnsi="Calibri"/>
                <w:sz w:val="14"/>
                <w:szCs w:val="14"/>
                <w:b w:val="1"/>
                <w:bCs w:val="1"/>
                <w:color w:val="auto"/>
              </w:rPr>
              <w:t>Rohit Kapoor</w:t>
            </w:r>
          </w:p>
        </w:tc>
        <w:tc>
          <w:tcPr>
            <w:tcW w:w="1040" w:type="dxa"/>
            <w:vAlign w:val="bottom"/>
          </w:tcPr>
          <w:p>
            <w:pPr>
              <w:jc w:val="center"/>
              <w:ind w:left="215"/>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jc w:val="center"/>
              <w:ind w:left="35"/>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0"/>
        </w:trPr>
        <w:tc>
          <w:tcPr>
            <w:tcW w:w="15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720" w:type="dxa"/>
            <w:vAlign w:val="bottom"/>
            <w:tcBorders>
              <w:bottom w:val="single" w:sz="8" w:color="B2B2B2"/>
            </w:tcBorders>
          </w:tcPr>
          <w:p>
            <w:pPr>
              <w:spacing w:after="0"/>
              <w:rPr>
                <w:sz w:val="3"/>
                <w:szCs w:val="3"/>
                <w:color w:val="auto"/>
              </w:rPr>
            </w:pPr>
          </w:p>
        </w:tc>
        <w:tc>
          <w:tcPr>
            <w:tcW w:w="760" w:type="dxa"/>
            <w:vAlign w:val="bottom"/>
            <w:tcBorders>
              <w:bottom w:val="single" w:sz="8" w:color="B2B2B2"/>
            </w:tcBorders>
          </w:tcPr>
          <w:p>
            <w:pPr>
              <w:spacing w:after="0"/>
              <w:rPr>
                <w:sz w:val="3"/>
                <w:szCs w:val="3"/>
                <w:color w:val="auto"/>
              </w:rPr>
            </w:pPr>
          </w:p>
        </w:tc>
        <w:tc>
          <w:tcPr>
            <w:tcW w:w="640" w:type="dxa"/>
            <w:vAlign w:val="bottom"/>
            <w:tcBorders>
              <w:bottom w:val="single" w:sz="8" w:color="B2B2B2"/>
            </w:tcBorders>
          </w:tcPr>
          <w:p>
            <w:pPr>
              <w:spacing w:after="0"/>
              <w:rPr>
                <w:sz w:val="3"/>
                <w:szCs w:val="3"/>
                <w:color w:val="auto"/>
              </w:rPr>
            </w:pPr>
          </w:p>
        </w:tc>
        <w:tc>
          <w:tcPr>
            <w:tcW w:w="860" w:type="dxa"/>
            <w:vAlign w:val="bottom"/>
            <w:tcBorders>
              <w:bottom w:val="single" w:sz="8" w:color="B2B2B2"/>
            </w:tcBorders>
          </w:tcPr>
          <w:p>
            <w:pPr>
              <w:spacing w:after="0"/>
              <w:rPr>
                <w:sz w:val="3"/>
                <w:szCs w:val="3"/>
                <w:color w:val="auto"/>
              </w:rPr>
            </w:pPr>
          </w:p>
        </w:tc>
        <w:tc>
          <w:tcPr>
            <w:tcW w:w="84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720" w:type="dxa"/>
            <w:vAlign w:val="bottom"/>
            <w:tcBorders>
              <w:bottom w:val="single" w:sz="8" w:color="B2B2B2"/>
            </w:tcBorders>
          </w:tcPr>
          <w:p>
            <w:pPr>
              <w:spacing w:after="0"/>
              <w:rPr>
                <w:sz w:val="3"/>
                <w:szCs w:val="3"/>
                <w:color w:val="auto"/>
              </w:rPr>
            </w:pPr>
          </w:p>
        </w:tc>
        <w:tc>
          <w:tcPr>
            <w:tcW w:w="840" w:type="dxa"/>
            <w:vAlign w:val="bottom"/>
            <w:tcBorders>
              <w:bottom w:val="single" w:sz="8" w:color="B2B2B2"/>
            </w:tcBorders>
          </w:tcPr>
          <w:p>
            <w:pPr>
              <w:spacing w:after="0"/>
              <w:rPr>
                <w:sz w:val="3"/>
                <w:szCs w:val="3"/>
                <w:color w:val="auto"/>
              </w:rPr>
            </w:pPr>
          </w:p>
        </w:tc>
        <w:tc>
          <w:tcPr>
            <w:tcW w:w="800" w:type="dxa"/>
            <w:vAlign w:val="bottom"/>
            <w:tcBorders>
              <w:bottom w:val="single" w:sz="8" w:color="B2B2B2"/>
            </w:tcBorders>
          </w:tcPr>
          <w:p>
            <w:pPr>
              <w:spacing w:after="0"/>
              <w:rPr>
                <w:sz w:val="3"/>
                <w:szCs w:val="3"/>
                <w:color w:val="auto"/>
              </w:rPr>
            </w:pPr>
          </w:p>
        </w:tc>
        <w:tc>
          <w:tcPr>
            <w:tcW w:w="440" w:type="dxa"/>
            <w:vAlign w:val="bottom"/>
            <w:tcBorders>
              <w:bottom w:val="single" w:sz="8" w:color="B2B2B2"/>
            </w:tcBorders>
          </w:tcPr>
          <w:p>
            <w:pPr>
              <w:spacing w:after="0"/>
              <w:rPr>
                <w:sz w:val="3"/>
                <w:szCs w:val="3"/>
                <w:color w:val="auto"/>
              </w:rPr>
            </w:pPr>
          </w:p>
        </w:tc>
        <w:tc>
          <w:tcPr>
            <w:tcW w:w="740" w:type="dxa"/>
            <w:vAlign w:val="bottom"/>
            <w:tcBorders>
              <w:bottom w:val="single" w:sz="8" w:color="B2B2B2"/>
            </w:tcBorders>
          </w:tcPr>
          <w:p>
            <w:pPr>
              <w:spacing w:after="0"/>
              <w:rPr>
                <w:sz w:val="3"/>
                <w:szCs w:val="3"/>
                <w:color w:val="auto"/>
              </w:rPr>
            </w:pPr>
          </w:p>
        </w:tc>
      </w:tr>
      <w:tr>
        <w:trPr>
          <w:trHeight w:val="239"/>
        </w:trPr>
        <w:tc>
          <w:tcPr>
            <w:tcW w:w="1540" w:type="dxa"/>
            <w:vAlign w:val="bottom"/>
          </w:tcPr>
          <w:p>
            <w:pPr>
              <w:spacing w:after="0"/>
              <w:rPr>
                <w:sz w:val="20"/>
                <w:szCs w:val="20"/>
                <w:color w:val="auto"/>
              </w:rPr>
            </w:pPr>
            <w:r>
              <w:rPr>
                <w:rFonts w:ascii="Calibri" w:cs="Calibri" w:eastAsia="Calibri" w:hAnsi="Calibri"/>
                <w:sz w:val="14"/>
                <w:szCs w:val="14"/>
                <w:b w:val="1"/>
                <w:bCs w:val="1"/>
                <w:color w:val="auto"/>
              </w:rPr>
              <w:t>Vikram Pandit</w:t>
            </w:r>
          </w:p>
        </w:tc>
        <w:tc>
          <w:tcPr>
            <w:tcW w:w="1040" w:type="dxa"/>
            <w:vAlign w:val="bottom"/>
          </w:tcPr>
          <w:p>
            <w:pPr>
              <w:jc w:val="center"/>
              <w:ind w:left="215"/>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spacing w:after="0"/>
              <w:rPr>
                <w:sz w:val="20"/>
                <w:szCs w:val="20"/>
                <w:color w:val="auto"/>
              </w:rPr>
            </w:pP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center"/>
              <w:ind w:left="35"/>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0"/>
        </w:trPr>
        <w:tc>
          <w:tcPr>
            <w:tcW w:w="15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720" w:type="dxa"/>
            <w:vAlign w:val="bottom"/>
            <w:tcBorders>
              <w:bottom w:val="single" w:sz="8" w:color="B2B2B2"/>
            </w:tcBorders>
          </w:tcPr>
          <w:p>
            <w:pPr>
              <w:spacing w:after="0"/>
              <w:rPr>
                <w:sz w:val="3"/>
                <w:szCs w:val="3"/>
                <w:color w:val="auto"/>
              </w:rPr>
            </w:pPr>
          </w:p>
        </w:tc>
        <w:tc>
          <w:tcPr>
            <w:tcW w:w="760" w:type="dxa"/>
            <w:vAlign w:val="bottom"/>
            <w:tcBorders>
              <w:bottom w:val="single" w:sz="8" w:color="B2B2B2"/>
            </w:tcBorders>
          </w:tcPr>
          <w:p>
            <w:pPr>
              <w:spacing w:after="0"/>
              <w:rPr>
                <w:sz w:val="3"/>
                <w:szCs w:val="3"/>
                <w:color w:val="auto"/>
              </w:rPr>
            </w:pPr>
          </w:p>
        </w:tc>
        <w:tc>
          <w:tcPr>
            <w:tcW w:w="640" w:type="dxa"/>
            <w:vAlign w:val="bottom"/>
            <w:tcBorders>
              <w:bottom w:val="single" w:sz="8" w:color="B2B2B2"/>
            </w:tcBorders>
          </w:tcPr>
          <w:p>
            <w:pPr>
              <w:spacing w:after="0"/>
              <w:rPr>
                <w:sz w:val="3"/>
                <w:szCs w:val="3"/>
                <w:color w:val="auto"/>
              </w:rPr>
            </w:pPr>
          </w:p>
        </w:tc>
        <w:tc>
          <w:tcPr>
            <w:tcW w:w="860" w:type="dxa"/>
            <w:vAlign w:val="bottom"/>
            <w:tcBorders>
              <w:bottom w:val="single" w:sz="8" w:color="B2B2B2"/>
            </w:tcBorders>
          </w:tcPr>
          <w:p>
            <w:pPr>
              <w:spacing w:after="0"/>
              <w:rPr>
                <w:sz w:val="3"/>
                <w:szCs w:val="3"/>
                <w:color w:val="auto"/>
              </w:rPr>
            </w:pPr>
          </w:p>
        </w:tc>
        <w:tc>
          <w:tcPr>
            <w:tcW w:w="84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720" w:type="dxa"/>
            <w:vAlign w:val="bottom"/>
            <w:tcBorders>
              <w:bottom w:val="single" w:sz="8" w:color="B2B2B2"/>
            </w:tcBorders>
          </w:tcPr>
          <w:p>
            <w:pPr>
              <w:spacing w:after="0"/>
              <w:rPr>
                <w:sz w:val="3"/>
                <w:szCs w:val="3"/>
                <w:color w:val="auto"/>
              </w:rPr>
            </w:pPr>
          </w:p>
        </w:tc>
        <w:tc>
          <w:tcPr>
            <w:tcW w:w="840" w:type="dxa"/>
            <w:vAlign w:val="bottom"/>
            <w:tcBorders>
              <w:bottom w:val="single" w:sz="8" w:color="B2B2B2"/>
            </w:tcBorders>
          </w:tcPr>
          <w:p>
            <w:pPr>
              <w:spacing w:after="0"/>
              <w:rPr>
                <w:sz w:val="3"/>
                <w:szCs w:val="3"/>
                <w:color w:val="auto"/>
              </w:rPr>
            </w:pPr>
          </w:p>
        </w:tc>
        <w:tc>
          <w:tcPr>
            <w:tcW w:w="800" w:type="dxa"/>
            <w:vAlign w:val="bottom"/>
            <w:tcBorders>
              <w:bottom w:val="single" w:sz="8" w:color="B2B2B2"/>
            </w:tcBorders>
          </w:tcPr>
          <w:p>
            <w:pPr>
              <w:spacing w:after="0"/>
              <w:rPr>
                <w:sz w:val="3"/>
                <w:szCs w:val="3"/>
                <w:color w:val="auto"/>
              </w:rPr>
            </w:pPr>
          </w:p>
        </w:tc>
        <w:tc>
          <w:tcPr>
            <w:tcW w:w="440" w:type="dxa"/>
            <w:vAlign w:val="bottom"/>
            <w:tcBorders>
              <w:bottom w:val="single" w:sz="8" w:color="B2B2B2"/>
            </w:tcBorders>
          </w:tcPr>
          <w:p>
            <w:pPr>
              <w:spacing w:after="0"/>
              <w:rPr>
                <w:sz w:val="3"/>
                <w:szCs w:val="3"/>
                <w:color w:val="auto"/>
              </w:rPr>
            </w:pPr>
          </w:p>
        </w:tc>
        <w:tc>
          <w:tcPr>
            <w:tcW w:w="740" w:type="dxa"/>
            <w:vAlign w:val="bottom"/>
            <w:tcBorders>
              <w:bottom w:val="single" w:sz="8" w:color="B2B2B2"/>
            </w:tcBorders>
          </w:tcPr>
          <w:p>
            <w:pPr>
              <w:spacing w:after="0"/>
              <w:rPr>
                <w:sz w:val="3"/>
                <w:szCs w:val="3"/>
                <w:color w:val="auto"/>
              </w:rPr>
            </w:pPr>
          </w:p>
        </w:tc>
      </w:tr>
      <w:tr>
        <w:trPr>
          <w:trHeight w:val="239"/>
        </w:trPr>
        <w:tc>
          <w:tcPr>
            <w:tcW w:w="1540" w:type="dxa"/>
            <w:vAlign w:val="bottom"/>
          </w:tcPr>
          <w:p>
            <w:pPr>
              <w:spacing w:after="0"/>
              <w:rPr>
                <w:sz w:val="20"/>
                <w:szCs w:val="20"/>
                <w:color w:val="auto"/>
              </w:rPr>
            </w:pPr>
            <w:r>
              <w:rPr>
                <w:rFonts w:ascii="Calibri" w:cs="Calibri" w:eastAsia="Calibri" w:hAnsi="Calibri"/>
                <w:sz w:val="14"/>
                <w:szCs w:val="14"/>
                <w:b w:val="1"/>
                <w:bCs w:val="1"/>
                <w:color w:val="auto"/>
              </w:rPr>
              <w:t>Thomas Bartlet</w:t>
            </w:r>
          </w:p>
        </w:tc>
        <w:tc>
          <w:tcPr>
            <w:tcW w:w="1040" w:type="dxa"/>
            <w:vAlign w:val="bottom"/>
          </w:tcPr>
          <w:p>
            <w:pPr>
              <w:jc w:val="center"/>
              <w:ind w:left="215"/>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spacing w:after="0"/>
              <w:rPr>
                <w:sz w:val="20"/>
                <w:szCs w:val="20"/>
                <w:color w:val="auto"/>
              </w:rPr>
            </w:pP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spacing w:after="0"/>
              <w:rPr>
                <w:sz w:val="20"/>
                <w:szCs w:val="20"/>
                <w:color w:val="auto"/>
              </w:rPr>
            </w:pP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center"/>
              <w:ind w:left="35"/>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0"/>
        </w:trPr>
        <w:tc>
          <w:tcPr>
            <w:tcW w:w="15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720" w:type="dxa"/>
            <w:vAlign w:val="bottom"/>
            <w:tcBorders>
              <w:bottom w:val="single" w:sz="8" w:color="B2B2B2"/>
            </w:tcBorders>
          </w:tcPr>
          <w:p>
            <w:pPr>
              <w:spacing w:after="0"/>
              <w:rPr>
                <w:sz w:val="3"/>
                <w:szCs w:val="3"/>
                <w:color w:val="auto"/>
              </w:rPr>
            </w:pPr>
          </w:p>
        </w:tc>
        <w:tc>
          <w:tcPr>
            <w:tcW w:w="760" w:type="dxa"/>
            <w:vAlign w:val="bottom"/>
            <w:tcBorders>
              <w:bottom w:val="single" w:sz="8" w:color="B2B2B2"/>
            </w:tcBorders>
          </w:tcPr>
          <w:p>
            <w:pPr>
              <w:spacing w:after="0"/>
              <w:rPr>
                <w:sz w:val="3"/>
                <w:szCs w:val="3"/>
                <w:color w:val="auto"/>
              </w:rPr>
            </w:pPr>
          </w:p>
        </w:tc>
        <w:tc>
          <w:tcPr>
            <w:tcW w:w="640" w:type="dxa"/>
            <w:vAlign w:val="bottom"/>
            <w:tcBorders>
              <w:bottom w:val="single" w:sz="8" w:color="B2B2B2"/>
            </w:tcBorders>
          </w:tcPr>
          <w:p>
            <w:pPr>
              <w:spacing w:after="0"/>
              <w:rPr>
                <w:sz w:val="3"/>
                <w:szCs w:val="3"/>
                <w:color w:val="auto"/>
              </w:rPr>
            </w:pPr>
          </w:p>
        </w:tc>
        <w:tc>
          <w:tcPr>
            <w:tcW w:w="860" w:type="dxa"/>
            <w:vAlign w:val="bottom"/>
            <w:tcBorders>
              <w:bottom w:val="single" w:sz="8" w:color="B2B2B2"/>
            </w:tcBorders>
          </w:tcPr>
          <w:p>
            <w:pPr>
              <w:spacing w:after="0"/>
              <w:rPr>
                <w:sz w:val="3"/>
                <w:szCs w:val="3"/>
                <w:color w:val="auto"/>
              </w:rPr>
            </w:pPr>
          </w:p>
        </w:tc>
        <w:tc>
          <w:tcPr>
            <w:tcW w:w="84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720" w:type="dxa"/>
            <w:vAlign w:val="bottom"/>
            <w:tcBorders>
              <w:bottom w:val="single" w:sz="8" w:color="B2B2B2"/>
            </w:tcBorders>
          </w:tcPr>
          <w:p>
            <w:pPr>
              <w:spacing w:after="0"/>
              <w:rPr>
                <w:sz w:val="3"/>
                <w:szCs w:val="3"/>
                <w:color w:val="auto"/>
              </w:rPr>
            </w:pPr>
          </w:p>
        </w:tc>
        <w:tc>
          <w:tcPr>
            <w:tcW w:w="840" w:type="dxa"/>
            <w:vAlign w:val="bottom"/>
            <w:tcBorders>
              <w:bottom w:val="single" w:sz="8" w:color="B2B2B2"/>
            </w:tcBorders>
          </w:tcPr>
          <w:p>
            <w:pPr>
              <w:spacing w:after="0"/>
              <w:rPr>
                <w:sz w:val="3"/>
                <w:szCs w:val="3"/>
                <w:color w:val="auto"/>
              </w:rPr>
            </w:pPr>
          </w:p>
        </w:tc>
        <w:tc>
          <w:tcPr>
            <w:tcW w:w="800" w:type="dxa"/>
            <w:vAlign w:val="bottom"/>
            <w:tcBorders>
              <w:bottom w:val="single" w:sz="8" w:color="B2B2B2"/>
            </w:tcBorders>
          </w:tcPr>
          <w:p>
            <w:pPr>
              <w:spacing w:after="0"/>
              <w:rPr>
                <w:sz w:val="3"/>
                <w:szCs w:val="3"/>
                <w:color w:val="auto"/>
              </w:rPr>
            </w:pPr>
          </w:p>
        </w:tc>
        <w:tc>
          <w:tcPr>
            <w:tcW w:w="440" w:type="dxa"/>
            <w:vAlign w:val="bottom"/>
            <w:tcBorders>
              <w:bottom w:val="single" w:sz="8" w:color="B2B2B2"/>
            </w:tcBorders>
          </w:tcPr>
          <w:p>
            <w:pPr>
              <w:spacing w:after="0"/>
              <w:rPr>
                <w:sz w:val="3"/>
                <w:szCs w:val="3"/>
                <w:color w:val="auto"/>
              </w:rPr>
            </w:pPr>
          </w:p>
        </w:tc>
        <w:tc>
          <w:tcPr>
            <w:tcW w:w="740" w:type="dxa"/>
            <w:vAlign w:val="bottom"/>
            <w:tcBorders>
              <w:bottom w:val="single" w:sz="8" w:color="B2B2B2"/>
            </w:tcBorders>
          </w:tcPr>
          <w:p>
            <w:pPr>
              <w:spacing w:after="0"/>
              <w:rPr>
                <w:sz w:val="3"/>
                <w:szCs w:val="3"/>
                <w:color w:val="auto"/>
              </w:rPr>
            </w:pPr>
          </w:p>
        </w:tc>
      </w:tr>
      <w:tr>
        <w:trPr>
          <w:trHeight w:val="239"/>
        </w:trPr>
        <w:tc>
          <w:tcPr>
            <w:tcW w:w="1540" w:type="dxa"/>
            <w:vAlign w:val="bottom"/>
          </w:tcPr>
          <w:p>
            <w:pPr>
              <w:spacing w:after="0"/>
              <w:rPr>
                <w:sz w:val="20"/>
                <w:szCs w:val="20"/>
                <w:color w:val="auto"/>
              </w:rPr>
            </w:pPr>
            <w:r>
              <w:rPr>
                <w:rFonts w:ascii="Calibri" w:cs="Calibri" w:eastAsia="Calibri" w:hAnsi="Calibri"/>
                <w:sz w:val="14"/>
                <w:szCs w:val="14"/>
                <w:b w:val="1"/>
                <w:bCs w:val="1"/>
                <w:color w:val="auto"/>
              </w:rPr>
              <w:t>Andreas Fibig</w:t>
            </w:r>
          </w:p>
        </w:tc>
        <w:tc>
          <w:tcPr>
            <w:tcW w:w="1040" w:type="dxa"/>
            <w:vAlign w:val="bottom"/>
          </w:tcPr>
          <w:p>
            <w:pPr>
              <w:spacing w:after="0"/>
              <w:rPr>
                <w:sz w:val="20"/>
                <w:szCs w:val="20"/>
                <w:color w:val="auto"/>
              </w:rPr>
            </w:pP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spacing w:after="0"/>
              <w:rPr>
                <w:sz w:val="20"/>
                <w:szCs w:val="20"/>
                <w:color w:val="auto"/>
              </w:rPr>
            </w:pP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spacing w:after="0"/>
              <w:rPr>
                <w:sz w:val="20"/>
                <w:szCs w:val="20"/>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35"/>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0"/>
        </w:trPr>
        <w:tc>
          <w:tcPr>
            <w:tcW w:w="15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720" w:type="dxa"/>
            <w:vAlign w:val="bottom"/>
            <w:tcBorders>
              <w:bottom w:val="single" w:sz="8" w:color="B2B2B2"/>
            </w:tcBorders>
          </w:tcPr>
          <w:p>
            <w:pPr>
              <w:spacing w:after="0"/>
              <w:rPr>
                <w:sz w:val="3"/>
                <w:szCs w:val="3"/>
                <w:color w:val="auto"/>
              </w:rPr>
            </w:pPr>
          </w:p>
        </w:tc>
        <w:tc>
          <w:tcPr>
            <w:tcW w:w="760" w:type="dxa"/>
            <w:vAlign w:val="bottom"/>
            <w:tcBorders>
              <w:bottom w:val="single" w:sz="8" w:color="B2B2B2"/>
            </w:tcBorders>
          </w:tcPr>
          <w:p>
            <w:pPr>
              <w:spacing w:after="0"/>
              <w:rPr>
                <w:sz w:val="3"/>
                <w:szCs w:val="3"/>
                <w:color w:val="auto"/>
              </w:rPr>
            </w:pPr>
          </w:p>
        </w:tc>
        <w:tc>
          <w:tcPr>
            <w:tcW w:w="640" w:type="dxa"/>
            <w:vAlign w:val="bottom"/>
            <w:tcBorders>
              <w:bottom w:val="single" w:sz="8" w:color="B2B2B2"/>
            </w:tcBorders>
          </w:tcPr>
          <w:p>
            <w:pPr>
              <w:spacing w:after="0"/>
              <w:rPr>
                <w:sz w:val="3"/>
                <w:szCs w:val="3"/>
                <w:color w:val="auto"/>
              </w:rPr>
            </w:pPr>
          </w:p>
        </w:tc>
        <w:tc>
          <w:tcPr>
            <w:tcW w:w="860" w:type="dxa"/>
            <w:vAlign w:val="bottom"/>
            <w:tcBorders>
              <w:bottom w:val="single" w:sz="8" w:color="B2B2B2"/>
            </w:tcBorders>
          </w:tcPr>
          <w:p>
            <w:pPr>
              <w:spacing w:after="0"/>
              <w:rPr>
                <w:sz w:val="3"/>
                <w:szCs w:val="3"/>
                <w:color w:val="auto"/>
              </w:rPr>
            </w:pPr>
          </w:p>
        </w:tc>
        <w:tc>
          <w:tcPr>
            <w:tcW w:w="84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720" w:type="dxa"/>
            <w:vAlign w:val="bottom"/>
            <w:tcBorders>
              <w:bottom w:val="single" w:sz="8" w:color="B2B2B2"/>
            </w:tcBorders>
          </w:tcPr>
          <w:p>
            <w:pPr>
              <w:spacing w:after="0"/>
              <w:rPr>
                <w:sz w:val="3"/>
                <w:szCs w:val="3"/>
                <w:color w:val="auto"/>
              </w:rPr>
            </w:pPr>
          </w:p>
        </w:tc>
        <w:tc>
          <w:tcPr>
            <w:tcW w:w="840" w:type="dxa"/>
            <w:vAlign w:val="bottom"/>
            <w:tcBorders>
              <w:bottom w:val="single" w:sz="8" w:color="B2B2B2"/>
            </w:tcBorders>
          </w:tcPr>
          <w:p>
            <w:pPr>
              <w:spacing w:after="0"/>
              <w:rPr>
                <w:sz w:val="3"/>
                <w:szCs w:val="3"/>
                <w:color w:val="auto"/>
              </w:rPr>
            </w:pPr>
          </w:p>
        </w:tc>
        <w:tc>
          <w:tcPr>
            <w:tcW w:w="800" w:type="dxa"/>
            <w:vAlign w:val="bottom"/>
            <w:tcBorders>
              <w:bottom w:val="single" w:sz="8" w:color="B2B2B2"/>
            </w:tcBorders>
          </w:tcPr>
          <w:p>
            <w:pPr>
              <w:spacing w:after="0"/>
              <w:rPr>
                <w:sz w:val="3"/>
                <w:szCs w:val="3"/>
                <w:color w:val="auto"/>
              </w:rPr>
            </w:pPr>
          </w:p>
        </w:tc>
        <w:tc>
          <w:tcPr>
            <w:tcW w:w="440" w:type="dxa"/>
            <w:vAlign w:val="bottom"/>
            <w:tcBorders>
              <w:bottom w:val="single" w:sz="8" w:color="B2B2B2"/>
            </w:tcBorders>
          </w:tcPr>
          <w:p>
            <w:pPr>
              <w:spacing w:after="0"/>
              <w:rPr>
                <w:sz w:val="3"/>
                <w:szCs w:val="3"/>
                <w:color w:val="auto"/>
              </w:rPr>
            </w:pPr>
          </w:p>
        </w:tc>
        <w:tc>
          <w:tcPr>
            <w:tcW w:w="740" w:type="dxa"/>
            <w:vAlign w:val="bottom"/>
            <w:tcBorders>
              <w:bottom w:val="single" w:sz="8" w:color="B2B2B2"/>
            </w:tcBorders>
          </w:tcPr>
          <w:p>
            <w:pPr>
              <w:spacing w:after="0"/>
              <w:rPr>
                <w:sz w:val="3"/>
                <w:szCs w:val="3"/>
                <w:color w:val="auto"/>
              </w:rPr>
            </w:pPr>
          </w:p>
        </w:tc>
      </w:tr>
      <w:tr>
        <w:trPr>
          <w:trHeight w:val="239"/>
        </w:trPr>
        <w:tc>
          <w:tcPr>
            <w:tcW w:w="1540" w:type="dxa"/>
            <w:vAlign w:val="bottom"/>
          </w:tcPr>
          <w:p>
            <w:pPr>
              <w:spacing w:after="0"/>
              <w:rPr>
                <w:sz w:val="20"/>
                <w:szCs w:val="20"/>
                <w:color w:val="auto"/>
              </w:rPr>
            </w:pPr>
            <w:r>
              <w:rPr>
                <w:rFonts w:ascii="Calibri" w:cs="Calibri" w:eastAsia="Calibri" w:hAnsi="Calibri"/>
                <w:sz w:val="14"/>
                <w:szCs w:val="14"/>
                <w:b w:val="1"/>
                <w:bCs w:val="1"/>
                <w:color w:val="auto"/>
              </w:rPr>
              <w:t>Kristy Pipes</w:t>
            </w:r>
          </w:p>
        </w:tc>
        <w:tc>
          <w:tcPr>
            <w:tcW w:w="1040" w:type="dxa"/>
            <w:vAlign w:val="bottom"/>
          </w:tcPr>
          <w:p>
            <w:pPr>
              <w:jc w:val="center"/>
              <w:ind w:left="215"/>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0"/>
        </w:trPr>
        <w:tc>
          <w:tcPr>
            <w:tcW w:w="15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720" w:type="dxa"/>
            <w:vAlign w:val="bottom"/>
            <w:tcBorders>
              <w:bottom w:val="single" w:sz="8" w:color="B2B2B2"/>
            </w:tcBorders>
          </w:tcPr>
          <w:p>
            <w:pPr>
              <w:spacing w:after="0"/>
              <w:rPr>
                <w:sz w:val="3"/>
                <w:szCs w:val="3"/>
                <w:color w:val="auto"/>
              </w:rPr>
            </w:pPr>
          </w:p>
        </w:tc>
        <w:tc>
          <w:tcPr>
            <w:tcW w:w="760" w:type="dxa"/>
            <w:vAlign w:val="bottom"/>
            <w:tcBorders>
              <w:bottom w:val="single" w:sz="8" w:color="B2B2B2"/>
            </w:tcBorders>
          </w:tcPr>
          <w:p>
            <w:pPr>
              <w:spacing w:after="0"/>
              <w:rPr>
                <w:sz w:val="3"/>
                <w:szCs w:val="3"/>
                <w:color w:val="auto"/>
              </w:rPr>
            </w:pPr>
          </w:p>
        </w:tc>
        <w:tc>
          <w:tcPr>
            <w:tcW w:w="640" w:type="dxa"/>
            <w:vAlign w:val="bottom"/>
            <w:tcBorders>
              <w:bottom w:val="single" w:sz="8" w:color="B2B2B2"/>
            </w:tcBorders>
          </w:tcPr>
          <w:p>
            <w:pPr>
              <w:spacing w:after="0"/>
              <w:rPr>
                <w:sz w:val="3"/>
                <w:szCs w:val="3"/>
                <w:color w:val="auto"/>
              </w:rPr>
            </w:pPr>
          </w:p>
        </w:tc>
        <w:tc>
          <w:tcPr>
            <w:tcW w:w="860" w:type="dxa"/>
            <w:vAlign w:val="bottom"/>
            <w:tcBorders>
              <w:bottom w:val="single" w:sz="8" w:color="B2B2B2"/>
            </w:tcBorders>
          </w:tcPr>
          <w:p>
            <w:pPr>
              <w:spacing w:after="0"/>
              <w:rPr>
                <w:sz w:val="3"/>
                <w:szCs w:val="3"/>
                <w:color w:val="auto"/>
              </w:rPr>
            </w:pPr>
          </w:p>
        </w:tc>
        <w:tc>
          <w:tcPr>
            <w:tcW w:w="84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720" w:type="dxa"/>
            <w:vAlign w:val="bottom"/>
            <w:tcBorders>
              <w:bottom w:val="single" w:sz="8" w:color="B2B2B2"/>
            </w:tcBorders>
          </w:tcPr>
          <w:p>
            <w:pPr>
              <w:spacing w:after="0"/>
              <w:rPr>
                <w:sz w:val="3"/>
                <w:szCs w:val="3"/>
                <w:color w:val="auto"/>
              </w:rPr>
            </w:pPr>
          </w:p>
        </w:tc>
        <w:tc>
          <w:tcPr>
            <w:tcW w:w="840" w:type="dxa"/>
            <w:vAlign w:val="bottom"/>
            <w:tcBorders>
              <w:bottom w:val="single" w:sz="8" w:color="B2B2B2"/>
            </w:tcBorders>
          </w:tcPr>
          <w:p>
            <w:pPr>
              <w:spacing w:after="0"/>
              <w:rPr>
                <w:sz w:val="3"/>
                <w:szCs w:val="3"/>
                <w:color w:val="auto"/>
              </w:rPr>
            </w:pPr>
          </w:p>
        </w:tc>
        <w:tc>
          <w:tcPr>
            <w:tcW w:w="800" w:type="dxa"/>
            <w:vAlign w:val="bottom"/>
            <w:tcBorders>
              <w:bottom w:val="single" w:sz="8" w:color="B2B2B2"/>
            </w:tcBorders>
          </w:tcPr>
          <w:p>
            <w:pPr>
              <w:spacing w:after="0"/>
              <w:rPr>
                <w:sz w:val="3"/>
                <w:szCs w:val="3"/>
                <w:color w:val="auto"/>
              </w:rPr>
            </w:pPr>
          </w:p>
        </w:tc>
        <w:tc>
          <w:tcPr>
            <w:tcW w:w="440" w:type="dxa"/>
            <w:vAlign w:val="bottom"/>
            <w:tcBorders>
              <w:bottom w:val="single" w:sz="8" w:color="B2B2B2"/>
            </w:tcBorders>
          </w:tcPr>
          <w:p>
            <w:pPr>
              <w:spacing w:after="0"/>
              <w:rPr>
                <w:sz w:val="3"/>
                <w:szCs w:val="3"/>
                <w:color w:val="auto"/>
              </w:rPr>
            </w:pPr>
          </w:p>
        </w:tc>
        <w:tc>
          <w:tcPr>
            <w:tcW w:w="740" w:type="dxa"/>
            <w:vAlign w:val="bottom"/>
            <w:tcBorders>
              <w:bottom w:val="single" w:sz="8" w:color="B2B2B2"/>
            </w:tcBorders>
          </w:tcPr>
          <w:p>
            <w:pPr>
              <w:spacing w:after="0"/>
              <w:rPr>
                <w:sz w:val="3"/>
                <w:szCs w:val="3"/>
                <w:color w:val="auto"/>
              </w:rPr>
            </w:pPr>
          </w:p>
        </w:tc>
      </w:tr>
      <w:tr>
        <w:trPr>
          <w:trHeight w:val="239"/>
        </w:trPr>
        <w:tc>
          <w:tcPr>
            <w:tcW w:w="1540" w:type="dxa"/>
            <w:vAlign w:val="bottom"/>
          </w:tcPr>
          <w:p>
            <w:pPr>
              <w:spacing w:after="0"/>
              <w:rPr>
                <w:sz w:val="20"/>
                <w:szCs w:val="20"/>
                <w:color w:val="auto"/>
              </w:rPr>
            </w:pPr>
            <w:r>
              <w:rPr>
                <w:rFonts w:ascii="Calibri" w:cs="Calibri" w:eastAsia="Calibri" w:hAnsi="Calibri"/>
                <w:sz w:val="14"/>
                <w:szCs w:val="14"/>
                <w:b w:val="1"/>
                <w:bCs w:val="1"/>
                <w:color w:val="auto"/>
              </w:rPr>
              <w:t>Nitn Sahney</w:t>
            </w:r>
          </w:p>
        </w:tc>
        <w:tc>
          <w:tcPr>
            <w:tcW w:w="1040" w:type="dxa"/>
            <w:vAlign w:val="bottom"/>
          </w:tcPr>
          <w:p>
            <w:pPr>
              <w:jc w:val="center"/>
              <w:ind w:left="215"/>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center"/>
              <w:ind w:left="35"/>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0"/>
        </w:trPr>
        <w:tc>
          <w:tcPr>
            <w:tcW w:w="15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720" w:type="dxa"/>
            <w:vAlign w:val="bottom"/>
            <w:tcBorders>
              <w:bottom w:val="single" w:sz="8" w:color="B2B2B2"/>
            </w:tcBorders>
          </w:tcPr>
          <w:p>
            <w:pPr>
              <w:spacing w:after="0"/>
              <w:rPr>
                <w:sz w:val="3"/>
                <w:szCs w:val="3"/>
                <w:color w:val="auto"/>
              </w:rPr>
            </w:pPr>
          </w:p>
        </w:tc>
        <w:tc>
          <w:tcPr>
            <w:tcW w:w="760" w:type="dxa"/>
            <w:vAlign w:val="bottom"/>
            <w:tcBorders>
              <w:bottom w:val="single" w:sz="8" w:color="B2B2B2"/>
            </w:tcBorders>
          </w:tcPr>
          <w:p>
            <w:pPr>
              <w:spacing w:after="0"/>
              <w:rPr>
                <w:sz w:val="3"/>
                <w:szCs w:val="3"/>
                <w:color w:val="auto"/>
              </w:rPr>
            </w:pPr>
          </w:p>
        </w:tc>
        <w:tc>
          <w:tcPr>
            <w:tcW w:w="640" w:type="dxa"/>
            <w:vAlign w:val="bottom"/>
            <w:tcBorders>
              <w:bottom w:val="single" w:sz="8" w:color="B2B2B2"/>
            </w:tcBorders>
          </w:tcPr>
          <w:p>
            <w:pPr>
              <w:spacing w:after="0"/>
              <w:rPr>
                <w:sz w:val="3"/>
                <w:szCs w:val="3"/>
                <w:color w:val="auto"/>
              </w:rPr>
            </w:pPr>
          </w:p>
        </w:tc>
        <w:tc>
          <w:tcPr>
            <w:tcW w:w="860" w:type="dxa"/>
            <w:vAlign w:val="bottom"/>
            <w:tcBorders>
              <w:bottom w:val="single" w:sz="8" w:color="B2B2B2"/>
            </w:tcBorders>
          </w:tcPr>
          <w:p>
            <w:pPr>
              <w:spacing w:after="0"/>
              <w:rPr>
                <w:sz w:val="3"/>
                <w:szCs w:val="3"/>
                <w:color w:val="auto"/>
              </w:rPr>
            </w:pPr>
          </w:p>
        </w:tc>
        <w:tc>
          <w:tcPr>
            <w:tcW w:w="84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720" w:type="dxa"/>
            <w:vAlign w:val="bottom"/>
            <w:tcBorders>
              <w:bottom w:val="single" w:sz="8" w:color="B2B2B2"/>
            </w:tcBorders>
          </w:tcPr>
          <w:p>
            <w:pPr>
              <w:spacing w:after="0"/>
              <w:rPr>
                <w:sz w:val="3"/>
                <w:szCs w:val="3"/>
                <w:color w:val="auto"/>
              </w:rPr>
            </w:pPr>
          </w:p>
        </w:tc>
        <w:tc>
          <w:tcPr>
            <w:tcW w:w="840" w:type="dxa"/>
            <w:vAlign w:val="bottom"/>
            <w:tcBorders>
              <w:bottom w:val="single" w:sz="8" w:color="B2B2B2"/>
            </w:tcBorders>
          </w:tcPr>
          <w:p>
            <w:pPr>
              <w:spacing w:after="0"/>
              <w:rPr>
                <w:sz w:val="3"/>
                <w:szCs w:val="3"/>
                <w:color w:val="auto"/>
              </w:rPr>
            </w:pPr>
          </w:p>
        </w:tc>
        <w:tc>
          <w:tcPr>
            <w:tcW w:w="800" w:type="dxa"/>
            <w:vAlign w:val="bottom"/>
            <w:tcBorders>
              <w:bottom w:val="single" w:sz="8" w:color="B2B2B2"/>
            </w:tcBorders>
          </w:tcPr>
          <w:p>
            <w:pPr>
              <w:spacing w:after="0"/>
              <w:rPr>
                <w:sz w:val="3"/>
                <w:szCs w:val="3"/>
                <w:color w:val="auto"/>
              </w:rPr>
            </w:pPr>
          </w:p>
        </w:tc>
        <w:tc>
          <w:tcPr>
            <w:tcW w:w="440" w:type="dxa"/>
            <w:vAlign w:val="bottom"/>
            <w:tcBorders>
              <w:bottom w:val="single" w:sz="8" w:color="B2B2B2"/>
            </w:tcBorders>
          </w:tcPr>
          <w:p>
            <w:pPr>
              <w:spacing w:after="0"/>
              <w:rPr>
                <w:sz w:val="3"/>
                <w:szCs w:val="3"/>
                <w:color w:val="auto"/>
              </w:rPr>
            </w:pPr>
          </w:p>
        </w:tc>
        <w:tc>
          <w:tcPr>
            <w:tcW w:w="740" w:type="dxa"/>
            <w:vAlign w:val="bottom"/>
            <w:tcBorders>
              <w:bottom w:val="single" w:sz="8" w:color="B2B2B2"/>
            </w:tcBorders>
          </w:tcPr>
          <w:p>
            <w:pPr>
              <w:spacing w:after="0"/>
              <w:rPr>
                <w:sz w:val="3"/>
                <w:szCs w:val="3"/>
                <w:color w:val="auto"/>
              </w:rPr>
            </w:pPr>
          </w:p>
        </w:tc>
      </w:tr>
      <w:tr>
        <w:trPr>
          <w:trHeight w:val="239"/>
        </w:trPr>
        <w:tc>
          <w:tcPr>
            <w:tcW w:w="1540" w:type="dxa"/>
            <w:vAlign w:val="bottom"/>
          </w:tcPr>
          <w:p>
            <w:pPr>
              <w:spacing w:after="0"/>
              <w:rPr>
                <w:sz w:val="20"/>
                <w:szCs w:val="20"/>
                <w:color w:val="auto"/>
              </w:rPr>
            </w:pPr>
            <w:r>
              <w:rPr>
                <w:rFonts w:ascii="Calibri" w:cs="Calibri" w:eastAsia="Calibri" w:hAnsi="Calibri"/>
                <w:sz w:val="14"/>
                <w:szCs w:val="14"/>
                <w:b w:val="1"/>
                <w:bCs w:val="1"/>
                <w:color w:val="auto"/>
              </w:rPr>
              <w:t>Jaynie Studenmund</w:t>
            </w:r>
          </w:p>
        </w:tc>
        <w:tc>
          <w:tcPr>
            <w:tcW w:w="1040" w:type="dxa"/>
            <w:vAlign w:val="bottom"/>
          </w:tcPr>
          <w:p>
            <w:pPr>
              <w:jc w:val="center"/>
              <w:ind w:left="215"/>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spacing w:after="0"/>
              <w:rPr>
                <w:sz w:val="20"/>
                <w:szCs w:val="20"/>
                <w:color w:val="auto"/>
              </w:rPr>
            </w:pP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35"/>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0"/>
        </w:trPr>
        <w:tc>
          <w:tcPr>
            <w:tcW w:w="15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720" w:type="dxa"/>
            <w:vAlign w:val="bottom"/>
            <w:tcBorders>
              <w:bottom w:val="single" w:sz="8" w:color="B2B2B2"/>
            </w:tcBorders>
          </w:tcPr>
          <w:p>
            <w:pPr>
              <w:spacing w:after="0"/>
              <w:rPr>
                <w:sz w:val="3"/>
                <w:szCs w:val="3"/>
                <w:color w:val="auto"/>
              </w:rPr>
            </w:pPr>
          </w:p>
        </w:tc>
        <w:tc>
          <w:tcPr>
            <w:tcW w:w="760" w:type="dxa"/>
            <w:vAlign w:val="bottom"/>
            <w:tcBorders>
              <w:bottom w:val="single" w:sz="8" w:color="B2B2B2"/>
            </w:tcBorders>
          </w:tcPr>
          <w:p>
            <w:pPr>
              <w:spacing w:after="0"/>
              <w:rPr>
                <w:sz w:val="3"/>
                <w:szCs w:val="3"/>
                <w:color w:val="auto"/>
              </w:rPr>
            </w:pPr>
          </w:p>
        </w:tc>
        <w:tc>
          <w:tcPr>
            <w:tcW w:w="640" w:type="dxa"/>
            <w:vAlign w:val="bottom"/>
            <w:tcBorders>
              <w:bottom w:val="single" w:sz="8" w:color="B2B2B2"/>
            </w:tcBorders>
          </w:tcPr>
          <w:p>
            <w:pPr>
              <w:spacing w:after="0"/>
              <w:rPr>
                <w:sz w:val="3"/>
                <w:szCs w:val="3"/>
                <w:color w:val="auto"/>
              </w:rPr>
            </w:pPr>
          </w:p>
        </w:tc>
        <w:tc>
          <w:tcPr>
            <w:tcW w:w="860" w:type="dxa"/>
            <w:vAlign w:val="bottom"/>
            <w:tcBorders>
              <w:bottom w:val="single" w:sz="8" w:color="B2B2B2"/>
            </w:tcBorders>
          </w:tcPr>
          <w:p>
            <w:pPr>
              <w:spacing w:after="0"/>
              <w:rPr>
                <w:sz w:val="3"/>
                <w:szCs w:val="3"/>
                <w:color w:val="auto"/>
              </w:rPr>
            </w:pPr>
          </w:p>
        </w:tc>
        <w:tc>
          <w:tcPr>
            <w:tcW w:w="84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720" w:type="dxa"/>
            <w:vAlign w:val="bottom"/>
            <w:tcBorders>
              <w:bottom w:val="single" w:sz="8" w:color="B2B2B2"/>
            </w:tcBorders>
          </w:tcPr>
          <w:p>
            <w:pPr>
              <w:spacing w:after="0"/>
              <w:rPr>
                <w:sz w:val="3"/>
                <w:szCs w:val="3"/>
                <w:color w:val="auto"/>
              </w:rPr>
            </w:pPr>
          </w:p>
        </w:tc>
        <w:tc>
          <w:tcPr>
            <w:tcW w:w="840" w:type="dxa"/>
            <w:vAlign w:val="bottom"/>
            <w:tcBorders>
              <w:bottom w:val="single" w:sz="8" w:color="B2B2B2"/>
            </w:tcBorders>
          </w:tcPr>
          <w:p>
            <w:pPr>
              <w:spacing w:after="0"/>
              <w:rPr>
                <w:sz w:val="3"/>
                <w:szCs w:val="3"/>
                <w:color w:val="auto"/>
              </w:rPr>
            </w:pPr>
          </w:p>
        </w:tc>
        <w:tc>
          <w:tcPr>
            <w:tcW w:w="800" w:type="dxa"/>
            <w:vAlign w:val="bottom"/>
            <w:tcBorders>
              <w:bottom w:val="single" w:sz="8" w:color="B2B2B2"/>
            </w:tcBorders>
          </w:tcPr>
          <w:p>
            <w:pPr>
              <w:spacing w:after="0"/>
              <w:rPr>
                <w:sz w:val="3"/>
                <w:szCs w:val="3"/>
                <w:color w:val="auto"/>
              </w:rPr>
            </w:pPr>
          </w:p>
        </w:tc>
        <w:tc>
          <w:tcPr>
            <w:tcW w:w="440" w:type="dxa"/>
            <w:vAlign w:val="bottom"/>
            <w:tcBorders>
              <w:bottom w:val="single" w:sz="8" w:color="B2B2B2"/>
            </w:tcBorders>
          </w:tcPr>
          <w:p>
            <w:pPr>
              <w:spacing w:after="0"/>
              <w:rPr>
                <w:sz w:val="3"/>
                <w:szCs w:val="3"/>
                <w:color w:val="auto"/>
              </w:rPr>
            </w:pPr>
          </w:p>
        </w:tc>
        <w:tc>
          <w:tcPr>
            <w:tcW w:w="740" w:type="dxa"/>
            <w:vAlign w:val="bottom"/>
            <w:tcBorders>
              <w:bottom w:val="single" w:sz="8" w:color="B2B2B2"/>
            </w:tcBorders>
          </w:tcPr>
          <w:p>
            <w:pPr>
              <w:spacing w:after="0"/>
              <w:rPr>
                <w:sz w:val="3"/>
                <w:szCs w:val="3"/>
                <w:color w:val="auto"/>
              </w:rPr>
            </w:pPr>
          </w:p>
        </w:tc>
      </w:tr>
      <w:tr>
        <w:trPr>
          <w:trHeight w:val="239"/>
        </w:trPr>
        <w:tc>
          <w:tcPr>
            <w:tcW w:w="1540" w:type="dxa"/>
            <w:vAlign w:val="bottom"/>
          </w:tcPr>
          <w:p>
            <w:pPr>
              <w:spacing w:after="0"/>
              <w:rPr>
                <w:sz w:val="20"/>
                <w:szCs w:val="20"/>
                <w:color w:val="auto"/>
              </w:rPr>
            </w:pPr>
            <w:r>
              <w:rPr>
                <w:rFonts w:ascii="Calibri" w:cs="Calibri" w:eastAsia="Calibri" w:hAnsi="Calibri"/>
                <w:sz w:val="14"/>
                <w:szCs w:val="14"/>
                <w:b w:val="1"/>
                <w:bCs w:val="1"/>
                <w:color w:val="auto"/>
              </w:rPr>
              <w:t>Sarah K. Williamson</w:t>
            </w:r>
          </w:p>
        </w:tc>
        <w:tc>
          <w:tcPr>
            <w:tcW w:w="1040" w:type="dxa"/>
            <w:vAlign w:val="bottom"/>
          </w:tcPr>
          <w:p>
            <w:pPr>
              <w:jc w:val="center"/>
              <w:ind w:left="215"/>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spacing w:after="0"/>
              <w:rPr>
                <w:sz w:val="20"/>
                <w:szCs w:val="20"/>
                <w:color w:val="auto"/>
              </w:rPr>
            </w:pP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35"/>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6"/>
        </w:trPr>
        <w:tc>
          <w:tcPr>
            <w:tcW w:w="1540" w:type="dxa"/>
            <w:vAlign w:val="bottom"/>
            <w:tcBorders>
              <w:bottom w:val="single" w:sz="8" w:color="FB4E0B"/>
            </w:tcBorders>
          </w:tcPr>
          <w:p>
            <w:pPr>
              <w:spacing w:after="0"/>
              <w:rPr>
                <w:sz w:val="4"/>
                <w:szCs w:val="4"/>
                <w:color w:val="auto"/>
              </w:rPr>
            </w:pPr>
          </w:p>
        </w:tc>
        <w:tc>
          <w:tcPr>
            <w:tcW w:w="1040" w:type="dxa"/>
            <w:vAlign w:val="bottom"/>
            <w:tcBorders>
              <w:bottom w:val="single" w:sz="8" w:color="FB4E0B"/>
            </w:tcBorders>
          </w:tcPr>
          <w:p>
            <w:pPr>
              <w:spacing w:after="0"/>
              <w:rPr>
                <w:sz w:val="4"/>
                <w:szCs w:val="4"/>
                <w:color w:val="auto"/>
              </w:rPr>
            </w:pPr>
          </w:p>
        </w:tc>
        <w:tc>
          <w:tcPr>
            <w:tcW w:w="720" w:type="dxa"/>
            <w:vAlign w:val="bottom"/>
            <w:tcBorders>
              <w:bottom w:val="single" w:sz="8" w:color="FB4E0B"/>
            </w:tcBorders>
          </w:tcPr>
          <w:p>
            <w:pPr>
              <w:spacing w:after="0"/>
              <w:rPr>
                <w:sz w:val="4"/>
                <w:szCs w:val="4"/>
                <w:color w:val="auto"/>
              </w:rPr>
            </w:pPr>
          </w:p>
        </w:tc>
        <w:tc>
          <w:tcPr>
            <w:tcW w:w="760" w:type="dxa"/>
            <w:vAlign w:val="bottom"/>
            <w:tcBorders>
              <w:bottom w:val="single" w:sz="8" w:color="FB4E0B"/>
            </w:tcBorders>
          </w:tcPr>
          <w:p>
            <w:pPr>
              <w:spacing w:after="0"/>
              <w:rPr>
                <w:sz w:val="4"/>
                <w:szCs w:val="4"/>
                <w:color w:val="auto"/>
              </w:rPr>
            </w:pPr>
          </w:p>
        </w:tc>
        <w:tc>
          <w:tcPr>
            <w:tcW w:w="640" w:type="dxa"/>
            <w:vAlign w:val="bottom"/>
            <w:tcBorders>
              <w:bottom w:val="single" w:sz="8" w:color="FB4E0B"/>
            </w:tcBorders>
          </w:tcPr>
          <w:p>
            <w:pPr>
              <w:spacing w:after="0"/>
              <w:rPr>
                <w:sz w:val="4"/>
                <w:szCs w:val="4"/>
                <w:color w:val="auto"/>
              </w:rPr>
            </w:pPr>
          </w:p>
        </w:tc>
        <w:tc>
          <w:tcPr>
            <w:tcW w:w="860" w:type="dxa"/>
            <w:vAlign w:val="bottom"/>
            <w:tcBorders>
              <w:bottom w:val="single" w:sz="8" w:color="FB4E0B"/>
            </w:tcBorders>
          </w:tcPr>
          <w:p>
            <w:pPr>
              <w:spacing w:after="0"/>
              <w:rPr>
                <w:sz w:val="4"/>
                <w:szCs w:val="4"/>
                <w:color w:val="auto"/>
              </w:rPr>
            </w:pPr>
          </w:p>
        </w:tc>
        <w:tc>
          <w:tcPr>
            <w:tcW w:w="840" w:type="dxa"/>
            <w:vAlign w:val="bottom"/>
            <w:tcBorders>
              <w:bottom w:val="single" w:sz="8" w:color="FB4E0B"/>
            </w:tcBorders>
          </w:tcPr>
          <w:p>
            <w:pPr>
              <w:spacing w:after="0"/>
              <w:rPr>
                <w:sz w:val="4"/>
                <w:szCs w:val="4"/>
                <w:color w:val="auto"/>
              </w:rPr>
            </w:pPr>
          </w:p>
        </w:tc>
        <w:tc>
          <w:tcPr>
            <w:tcW w:w="680" w:type="dxa"/>
            <w:vAlign w:val="bottom"/>
            <w:tcBorders>
              <w:bottom w:val="single" w:sz="8" w:color="FB4E0B"/>
            </w:tcBorders>
          </w:tcPr>
          <w:p>
            <w:pPr>
              <w:spacing w:after="0"/>
              <w:rPr>
                <w:sz w:val="4"/>
                <w:szCs w:val="4"/>
                <w:color w:val="auto"/>
              </w:rPr>
            </w:pPr>
          </w:p>
        </w:tc>
        <w:tc>
          <w:tcPr>
            <w:tcW w:w="720" w:type="dxa"/>
            <w:vAlign w:val="bottom"/>
            <w:tcBorders>
              <w:bottom w:val="single" w:sz="8" w:color="FB4E0B"/>
            </w:tcBorders>
          </w:tcPr>
          <w:p>
            <w:pPr>
              <w:spacing w:after="0"/>
              <w:rPr>
                <w:sz w:val="4"/>
                <w:szCs w:val="4"/>
                <w:color w:val="auto"/>
              </w:rPr>
            </w:pPr>
          </w:p>
        </w:tc>
        <w:tc>
          <w:tcPr>
            <w:tcW w:w="840" w:type="dxa"/>
            <w:vAlign w:val="bottom"/>
            <w:tcBorders>
              <w:bottom w:val="single" w:sz="8" w:color="FB4E0B"/>
            </w:tcBorders>
          </w:tcPr>
          <w:p>
            <w:pPr>
              <w:spacing w:after="0"/>
              <w:rPr>
                <w:sz w:val="4"/>
                <w:szCs w:val="4"/>
                <w:color w:val="auto"/>
              </w:rPr>
            </w:pPr>
          </w:p>
        </w:tc>
        <w:tc>
          <w:tcPr>
            <w:tcW w:w="800" w:type="dxa"/>
            <w:vAlign w:val="bottom"/>
            <w:tcBorders>
              <w:bottom w:val="single" w:sz="8" w:color="FB4E0B"/>
            </w:tcBorders>
          </w:tcPr>
          <w:p>
            <w:pPr>
              <w:spacing w:after="0"/>
              <w:rPr>
                <w:sz w:val="4"/>
                <w:szCs w:val="4"/>
                <w:color w:val="auto"/>
              </w:rPr>
            </w:pPr>
          </w:p>
        </w:tc>
        <w:tc>
          <w:tcPr>
            <w:tcW w:w="440" w:type="dxa"/>
            <w:vAlign w:val="bottom"/>
            <w:tcBorders>
              <w:bottom w:val="single" w:sz="8" w:color="FB4E0B"/>
            </w:tcBorders>
          </w:tcPr>
          <w:p>
            <w:pPr>
              <w:spacing w:after="0"/>
              <w:rPr>
                <w:sz w:val="4"/>
                <w:szCs w:val="4"/>
                <w:color w:val="auto"/>
              </w:rPr>
            </w:pPr>
          </w:p>
        </w:tc>
        <w:tc>
          <w:tcPr>
            <w:tcW w:w="740" w:type="dxa"/>
            <w:vAlign w:val="bottom"/>
            <w:tcBorders>
              <w:bottom w:val="single" w:sz="8" w:color="FB4E0B"/>
            </w:tcBorders>
          </w:tcPr>
          <w:p>
            <w:pPr>
              <w:spacing w:after="0"/>
              <w:rPr>
                <w:sz w:val="4"/>
                <w:szCs w:val="4"/>
                <w:color w:val="auto"/>
              </w:rPr>
            </w:pPr>
          </w:p>
        </w:tc>
      </w:tr>
    </w:tbl>
    <w:p>
      <w:pPr>
        <w:spacing w:after="0" w:line="10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240" w:type="dxa"/>
            <w:vAlign w:val="bottom"/>
            <w:vMerge w:val="restart"/>
          </w:tcPr>
          <w:p>
            <w:pPr>
              <w:spacing w:after="0"/>
              <w:rPr>
                <w:sz w:val="20"/>
                <w:szCs w:val="20"/>
                <w:color w:val="auto"/>
              </w:rPr>
            </w:pPr>
            <w:r>
              <w:rPr>
                <w:rFonts w:ascii="Calibri" w:cs="Calibri" w:eastAsia="Calibri" w:hAnsi="Calibri"/>
                <w:sz w:val="17"/>
                <w:szCs w:val="17"/>
                <w:b w:val="1"/>
                <w:bCs w:val="1"/>
                <w:color w:val="auto"/>
                <w:w w:val="85"/>
              </w:rPr>
              <w:t>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62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60" w:type="dxa"/>
            <w:vAlign w:val="bottom"/>
          </w:tcPr>
          <w:p>
            <w:pPr>
              <w:ind w:left="40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2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620" w:type="dxa"/>
            <w:vAlign w:val="bottom"/>
            <w:vMerge w:val="continue"/>
          </w:tcPr>
          <w:p>
            <w:pPr>
              <w:spacing w:after="0"/>
              <w:rPr>
                <w:sz w:val="10"/>
                <w:szCs w:val="10"/>
                <w:color w:val="auto"/>
              </w:rPr>
            </w:pPr>
          </w:p>
        </w:tc>
        <w:tc>
          <w:tcPr>
            <w:tcW w:w="4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100"/>
        <w:spacing w:after="0"/>
        <w:rPr>
          <w:sz w:val="20"/>
          <w:szCs w:val="20"/>
          <w:color w:val="auto"/>
        </w:rPr>
      </w:pPr>
      <w:r>
        <w:rPr>
          <w:rFonts w:ascii="Calibri" w:cs="Calibri" w:eastAsia="Calibri" w:hAnsi="Calibri"/>
          <w:sz w:val="13"/>
          <w:szCs w:val="13"/>
          <w:b w:val="1"/>
          <w:bCs w:val="1"/>
          <w:color w:val="005071"/>
        </w:rPr>
        <w:t>2024 Proxy Statement summary</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statstcs*</w:t>
      </w:r>
    </w:p>
    <w:p>
      <w:pPr>
        <w:sectPr>
          <w:pgSz w:w="11900" w:h="16838" w:orient="portrait"/>
          <w:cols w:equalWidth="0" w:num="1">
            <w:col w:w="10940"/>
          </w:cols>
          <w:pgMar w:left="320" w:top="471" w:right="639" w:bottom="1440" w:gutter="0" w:footer="0" w:header="0"/>
        </w:sectPr>
      </w:pPr>
    </w:p>
    <w:p>
      <w:pPr>
        <w:spacing w:after="0" w:line="236" w:lineRule="exact"/>
        <w:rPr>
          <w:sz w:val="20"/>
          <w:szCs w:val="20"/>
          <w:color w:val="auto"/>
        </w:rPr>
      </w:pPr>
    </w:p>
    <w:p>
      <w:pPr>
        <w:ind w:left="740"/>
        <w:spacing w:after="0"/>
        <w:rPr>
          <w:sz w:val="20"/>
          <w:szCs w:val="20"/>
          <w:color w:val="auto"/>
        </w:rPr>
      </w:pPr>
      <w:r>
        <w:rPr>
          <w:rFonts w:ascii="Calibri" w:cs="Calibri" w:eastAsia="Calibri" w:hAnsi="Calibri"/>
          <w:sz w:val="19"/>
          <w:szCs w:val="19"/>
          <w:b w:val="1"/>
          <w:bCs w:val="1"/>
          <w:color w:val="FB4E0B"/>
        </w:rPr>
        <w:t>Board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168910</wp:posOffset>
            </wp:positionV>
            <wp:extent cx="1073785" cy="1073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73785" cy="1073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FB4E0B"/>
        </w:rPr>
        <w:t>Gender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168910</wp:posOffset>
            </wp:positionV>
            <wp:extent cx="1057275" cy="1057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57275" cy="1057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FB4E0B"/>
        </w:rPr>
        <w:t>Racial and 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168910</wp:posOffset>
            </wp:positionV>
            <wp:extent cx="1065530" cy="1065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65530" cy="1065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1540"/>
        <w:spacing w:after="0"/>
        <w:rPr>
          <w:sz w:val="20"/>
          <w:szCs w:val="20"/>
          <w:color w:val="auto"/>
        </w:rPr>
      </w:pPr>
      <w:r>
        <w:rPr>
          <w:rFonts w:ascii="Calibri" w:cs="Calibri" w:eastAsia="Calibri" w:hAnsi="Calibri"/>
          <w:sz w:val="19"/>
          <w:szCs w:val="19"/>
          <w:b w:val="1"/>
          <w:bCs w:val="1"/>
          <w:color w:val="FB4E0B"/>
        </w:rPr>
        <w:t>Age distributon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168910</wp:posOffset>
            </wp:positionV>
            <wp:extent cx="2098040" cy="16275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98040" cy="16275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1900" w:space="720"/>
            <w:col w:w="1340" w:space="460"/>
            <w:col w:w="2980" w:space="720"/>
            <w:col w:w="2820"/>
          </w:cols>
          <w:pgMar w:left="320" w:top="471"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40"/>
        <w:spacing w:after="0"/>
        <w:rPr>
          <w:sz w:val="20"/>
          <w:szCs w:val="20"/>
          <w:color w:val="auto"/>
        </w:rPr>
      </w:pPr>
      <w:r>
        <w:rPr>
          <w:rFonts w:ascii="Calibri" w:cs="Calibri" w:eastAsia="Calibri" w:hAnsi="Calibri"/>
          <w:sz w:val="19"/>
          <w:szCs w:val="19"/>
          <w:b w:val="1"/>
          <w:bCs w:val="1"/>
          <w:color w:val="FB4E0B"/>
        </w:rPr>
        <w:t>Board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168910</wp:posOffset>
            </wp:positionV>
            <wp:extent cx="1462405" cy="313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2405" cy="31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40"/>
        <w:spacing w:after="0"/>
        <w:rPr>
          <w:sz w:val="20"/>
          <w:szCs w:val="20"/>
          <w:color w:val="auto"/>
        </w:rPr>
      </w:pPr>
      <w:r>
        <w:rPr>
          <w:rFonts w:ascii="Calibri" w:cs="Calibri" w:eastAsia="Calibri" w:hAnsi="Calibri"/>
          <w:sz w:val="13"/>
          <w:szCs w:val="13"/>
          <w:color w:val="auto"/>
        </w:rPr>
        <w:t>* Following our Annual Meetng, assuming electon of all nominees</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30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620" w:type="dxa"/>
            <w:vAlign w:val="bottom"/>
            <w:vMerge w:val="restart"/>
          </w:tcPr>
          <w:p>
            <w:pPr>
              <w:ind w:left="4100"/>
              <w:spacing w:after="0"/>
              <w:rPr>
                <w:sz w:val="20"/>
                <w:szCs w:val="20"/>
                <w:color w:val="auto"/>
              </w:rPr>
            </w:pPr>
            <w:r>
              <w:rPr>
                <w:rFonts w:ascii="Calibri" w:cs="Calibri" w:eastAsia="Calibri" w:hAnsi="Calibri"/>
                <w:sz w:val="13"/>
                <w:szCs w:val="13"/>
                <w:color w:val="auto"/>
                <w:w w:val="98"/>
              </w:rPr>
              <w:t>EXL 2024 Proxy Statement </w:t>
            </w:r>
          </w:p>
        </w:tc>
        <w:tc>
          <w:tcPr>
            <w:tcW w:w="5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w:t>
            </w: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56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2024 Proxy Statement summary</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Our purpose and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168275</wp:posOffset>
            </wp:positionV>
            <wp:extent cx="5724525" cy="6261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24525" cy="626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tcPr>
          <w:p>
            <w:pPr>
              <w:ind w:left="60"/>
              <w:spacing w:after="0"/>
              <w:rPr>
                <w:sz w:val="20"/>
                <w:szCs w:val="20"/>
                <w:color w:val="auto"/>
              </w:rPr>
            </w:pPr>
            <w:r>
              <w:rPr>
                <w:rFonts w:ascii="Calibri" w:cs="Calibri" w:eastAsia="Calibri" w:hAnsi="Calibri"/>
                <w:sz w:val="13"/>
                <w:szCs w:val="13"/>
                <w:color w:val="auto"/>
              </w:rPr>
              <w:t> </w:t>
            </w:r>
          </w:p>
        </w:tc>
        <w:tc>
          <w:tcPr>
            <w:tcW w:w="4280" w:type="dxa"/>
            <w:vAlign w:val="bottom"/>
          </w:tcPr>
          <w:p>
            <w:pPr>
              <w:ind w:left="40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56"/>
        </w:trPr>
        <w:tc>
          <w:tcPr>
            <w:tcW w:w="3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5500" w:type="dxa"/>
            <w:vAlign w:val="bottom"/>
          </w:tcPr>
          <w:p>
            <w:pPr>
              <w:ind w:left="60"/>
              <w:spacing w:after="0" w:line="156" w:lineRule="exact"/>
              <w:rPr>
                <w:sz w:val="20"/>
                <w:szCs w:val="20"/>
                <w:color w:val="auto"/>
              </w:rPr>
            </w:pPr>
            <w:r>
              <w:rPr>
                <w:rFonts w:ascii="Calibri" w:cs="Calibri" w:eastAsia="Calibri" w:hAnsi="Calibri"/>
                <w:sz w:val="13"/>
                <w:szCs w:val="13"/>
                <w:color w:val="auto"/>
              </w:rPr>
              <w:t>EXL 2024 Proxy Statement</w:t>
            </w:r>
          </w:p>
        </w:tc>
        <w:tc>
          <w:tcPr>
            <w:tcW w:w="4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1" w:right="7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2024 Proxy Statement summary</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Sustainability</w:t>
      </w:r>
    </w:p>
    <w:p>
      <w:pPr>
        <w:spacing w:after="0" w:line="114"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At EXL, we believe that there is always a beter way; we look deeper, fnd it, and make it happen. This purpose informs our corporate culture, which, in turn, is rooted in our fve core values. In line with our purpose, values and culture, we are commited to fnding a beter way through sustainability initatves that are aligned with our long-term corporate strategy and designed to beneft our stockholders, clients, employees, communites and manage expectatons and commitments across various stakeholder groups. See “Sustainability” beginning on page 44 below for more details on our recent accomplishments in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163830</wp:posOffset>
            </wp:positionV>
            <wp:extent cx="4493895" cy="27755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93895" cy="277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Compensaton Overview</w:t>
      </w:r>
    </w:p>
    <w:p>
      <w:pPr>
        <w:spacing w:after="0" w:line="126" w:lineRule="exact"/>
        <w:rPr>
          <w:sz w:val="20"/>
          <w:szCs w:val="20"/>
          <w:color w:val="auto"/>
        </w:rPr>
      </w:pPr>
    </w:p>
    <w:p>
      <w:pPr>
        <w:ind w:left="1260" w:hanging="423"/>
        <w:spacing w:after="0"/>
        <w:tabs>
          <w:tab w:leader="none" w:pos="1260" w:val="left"/>
        </w:tabs>
        <w:numPr>
          <w:ilvl w:val="0"/>
          <w:numId w:val="9"/>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Compensaton philosophy: </w:t>
      </w:r>
      <w:r>
        <w:rPr>
          <w:rFonts w:ascii="Calibri" w:cs="Calibri" w:eastAsia="Calibri" w:hAnsi="Calibri"/>
          <w:sz w:val="17"/>
          <w:szCs w:val="17"/>
          <w:color w:val="auto"/>
        </w:rPr>
        <w:t>Our executve compensaton philosophy is focused on pay-for-performance.</w:t>
      </w:r>
    </w:p>
    <w:p>
      <w:pPr>
        <w:spacing w:after="0" w:line="119" w:lineRule="exact"/>
        <w:rPr>
          <w:rFonts w:ascii="Calibri" w:cs="Calibri" w:eastAsia="Calibri" w:hAnsi="Calibri"/>
          <w:sz w:val="17"/>
          <w:szCs w:val="17"/>
          <w:color w:val="auto"/>
        </w:rPr>
      </w:pPr>
    </w:p>
    <w:p>
      <w:pPr>
        <w:ind w:left="1260" w:right="340" w:hanging="423"/>
        <w:spacing w:after="0" w:line="239" w:lineRule="auto"/>
        <w:tabs>
          <w:tab w:leader="none" w:pos="1260"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 xml:space="preserve">Over </w:t>
      </w:r>
      <w:r>
        <w:rPr>
          <w:rFonts w:ascii="Calibri" w:cs="Calibri" w:eastAsia="Calibri" w:hAnsi="Calibri"/>
          <w:sz w:val="17"/>
          <w:szCs w:val="17"/>
          <w:b w:val="1"/>
          <w:bCs w:val="1"/>
          <w:color w:val="auto"/>
        </w:rPr>
        <w:t>98% Say-on-Pay approval of 2022 compensaton</w:t>
      </w:r>
      <w:r>
        <w:rPr>
          <w:rFonts w:ascii="Calibri" w:cs="Calibri" w:eastAsia="Calibri" w:hAnsi="Calibri"/>
          <w:sz w:val="17"/>
          <w:szCs w:val="17"/>
          <w:color w:val="auto"/>
        </w:rPr>
        <w:t>: At our 2023 Annual Meetng of Stockholders, our stockholders approved, on a non-binding advisory basis, the compensaton paid to our named executve ofcers for fscal year 2022. Over 98% of the votes present in person or by proxy (excluding broker non-votes) voted in favor of fscal year 2022 compensaton.</w:t>
      </w:r>
    </w:p>
    <w:p>
      <w:pPr>
        <w:spacing w:after="0" w:line="121" w:lineRule="exact"/>
        <w:rPr>
          <w:rFonts w:ascii="Calibri" w:cs="Calibri" w:eastAsia="Calibri" w:hAnsi="Calibri"/>
          <w:sz w:val="17"/>
          <w:szCs w:val="17"/>
          <w:color w:val="auto"/>
        </w:rPr>
      </w:pPr>
    </w:p>
    <w:p>
      <w:pPr>
        <w:ind w:left="1260" w:right="100" w:hanging="423"/>
        <w:spacing w:after="0" w:line="239" w:lineRule="auto"/>
        <w:tabs>
          <w:tab w:leader="none" w:pos="1260" w:val="left"/>
        </w:tabs>
        <w:numPr>
          <w:ilvl w:val="0"/>
          <w:numId w:val="9"/>
        </w:numPr>
        <w:rPr>
          <w:rFonts w:ascii="Calibri" w:cs="Calibri" w:eastAsia="Calibri" w:hAnsi="Calibri"/>
          <w:sz w:val="17"/>
          <w:szCs w:val="17"/>
          <w:color w:val="auto"/>
        </w:rPr>
      </w:pPr>
      <w:r>
        <w:rPr>
          <w:rFonts w:ascii="Calibri" w:cs="Calibri" w:eastAsia="Calibri" w:hAnsi="Calibri"/>
          <w:sz w:val="17"/>
          <w:szCs w:val="17"/>
          <w:b w:val="1"/>
          <w:bCs w:val="1"/>
          <w:color w:val="auto"/>
        </w:rPr>
        <w:t>Annual incentve program</w:t>
      </w:r>
      <w:r>
        <w:rPr>
          <w:rFonts w:ascii="Calibri" w:cs="Calibri" w:eastAsia="Calibri" w:hAnsi="Calibri"/>
          <w:sz w:val="17"/>
          <w:szCs w:val="17"/>
          <w:color w:val="auto"/>
        </w:rPr>
        <w:t>: Our annual incentve program contnued to use the same, formulaic performance criteria for 2023 as it has been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using for several years, which includes:</w:t>
      </w:r>
    </w:p>
    <w:p>
      <w:pPr>
        <w:spacing w:after="0" w:line="66" w:lineRule="exact"/>
        <w:rPr>
          <w:rFonts w:ascii="Calibri" w:cs="Calibri" w:eastAsia="Calibri" w:hAnsi="Calibri"/>
          <w:sz w:val="17"/>
          <w:szCs w:val="17"/>
          <w:color w:val="auto"/>
        </w:rPr>
      </w:pPr>
    </w:p>
    <w:p>
      <w:pPr>
        <w:ind w:left="12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Company-wide metrics (75%)—Revenue and adjusted operatng proft margin (“AOPM”)</w:t>
      </w:r>
    </w:p>
    <w:p>
      <w:pPr>
        <w:spacing w:after="0" w:line="65" w:lineRule="exact"/>
        <w:rPr>
          <w:rFonts w:ascii="Calibri" w:cs="Calibri" w:eastAsia="Calibri" w:hAnsi="Calibri"/>
          <w:sz w:val="17"/>
          <w:szCs w:val="17"/>
          <w:color w:val="auto"/>
        </w:rPr>
      </w:pPr>
    </w:p>
    <w:p>
      <w:pPr>
        <w:ind w:left="1260"/>
        <w:spacing w:after="0"/>
        <w:rPr>
          <w:rFonts w:ascii="Calibri" w:cs="Calibri" w:eastAsia="Calibri" w:hAnsi="Calibri"/>
          <w:sz w:val="17"/>
          <w:szCs w:val="17"/>
          <w:color w:val="auto"/>
        </w:rPr>
      </w:pPr>
      <w:r>
        <w:rPr>
          <w:rFonts w:ascii="Calibri" w:cs="Calibri" w:eastAsia="Calibri" w:hAnsi="Calibri"/>
          <w:sz w:val="17"/>
          <w:szCs w:val="17"/>
          <w:color w:val="auto"/>
        </w:rPr>
        <w:t>–Individual metrics (25%)—Linked to areas of performance that are specifc to each executve</w:t>
      </w:r>
    </w:p>
    <w:p>
      <w:pPr>
        <w:spacing w:after="0" w:line="67" w:lineRule="exact"/>
        <w:rPr>
          <w:sz w:val="20"/>
          <w:szCs w:val="20"/>
          <w:color w:val="auto"/>
        </w:rPr>
      </w:pPr>
    </w:p>
    <w:p>
      <w:pPr>
        <w:ind w:left="1260" w:right="520" w:hanging="423"/>
        <w:spacing w:after="0" w:line="239" w:lineRule="auto"/>
        <w:tabs>
          <w:tab w:leader="none" w:pos="1260" w:val="left"/>
        </w:tabs>
        <w:numPr>
          <w:ilvl w:val="0"/>
          <w:numId w:val="10"/>
        </w:numPr>
        <w:rPr>
          <w:rFonts w:ascii="Calibri" w:cs="Calibri" w:eastAsia="Calibri" w:hAnsi="Calibri"/>
          <w:sz w:val="17"/>
          <w:szCs w:val="17"/>
          <w:color w:val="auto"/>
        </w:rPr>
      </w:pPr>
      <w:r>
        <w:rPr>
          <w:rFonts w:ascii="Calibri" w:cs="Calibri" w:eastAsia="Calibri" w:hAnsi="Calibri"/>
          <w:sz w:val="17"/>
          <w:szCs w:val="17"/>
          <w:color w:val="auto"/>
        </w:rPr>
        <w:t>In 2023, we achieved 100.6% of our revenue performance target, and 101.4% of our AOPM target resultng in annual incentve payout calculatons for our named executve ofcers, ranging from 113% of target performance to 133% of target performance.</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2024 Proxy Statement summary</w:t>
      </w:r>
    </w:p>
    <w:p>
      <w:pPr>
        <w:spacing w:after="0" w:line="348" w:lineRule="exact"/>
        <w:rPr>
          <w:sz w:val="20"/>
          <w:szCs w:val="20"/>
          <w:color w:val="auto"/>
        </w:rPr>
      </w:pPr>
    </w:p>
    <w:p>
      <w:pPr>
        <w:ind w:left="1260" w:right="180" w:hanging="423"/>
        <w:spacing w:after="0"/>
        <w:tabs>
          <w:tab w:leader="none" w:pos="1260" w:val="left"/>
        </w:tabs>
        <w:numPr>
          <w:ilvl w:val="0"/>
          <w:numId w:val="1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Long-term equity incentve program: </w:t>
      </w:r>
      <w:r>
        <w:rPr>
          <w:rFonts w:ascii="Calibri" w:cs="Calibri" w:eastAsia="Calibri" w:hAnsi="Calibri"/>
          <w:sz w:val="17"/>
          <w:szCs w:val="17"/>
          <w:color w:val="auto"/>
        </w:rPr>
        <w:t>We also contnued our equity incentve program, which in 2023 included grantng a balanced mix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tme-vested restricted stock units and performance-based restricted stock units to all of our named executve ofcers. The performance-based restricted stock units were comprised of relatve total stockholder return-linked restricted stock units and revenue-linked restricted stock units.</w:t>
      </w:r>
    </w:p>
    <w:p>
      <w:pPr>
        <w:spacing w:after="0" w:line="120" w:lineRule="exact"/>
        <w:rPr>
          <w:sz w:val="20"/>
          <w:szCs w:val="20"/>
          <w:color w:val="auto"/>
        </w:rPr>
      </w:pPr>
    </w:p>
    <w:p>
      <w:pPr>
        <w:ind w:left="1260" w:right="460" w:hanging="423"/>
        <w:spacing w:after="0" w:line="239" w:lineRule="auto"/>
        <w:tabs>
          <w:tab w:leader="none" w:pos="1260"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In 2023, we also granted one-tme stock optons to all the members of our Executve Commitee (which includes our named executve ofcers), except for our Chair and CEO.</w:t>
      </w:r>
    </w:p>
    <w:p>
      <w:pPr>
        <w:spacing w:after="0" w:line="120" w:lineRule="exact"/>
        <w:rPr>
          <w:rFonts w:ascii="Calibri" w:cs="Calibri" w:eastAsia="Calibri" w:hAnsi="Calibri"/>
          <w:sz w:val="17"/>
          <w:szCs w:val="17"/>
          <w:color w:val="auto"/>
        </w:rPr>
      </w:pPr>
    </w:p>
    <w:p>
      <w:pPr>
        <w:ind w:left="1260" w:right="240" w:hanging="423"/>
        <w:spacing w:after="0" w:line="239" w:lineRule="auto"/>
        <w:tabs>
          <w:tab w:leader="none" w:pos="1260"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This was the third and fnal performance year for the performance-based restricted stock units granted in 2021, which were linked to the Company’s TSR performance relatve to a peer group. The Company’s TSR performance was at the 96</w:t>
      </w:r>
      <w:r>
        <w:rPr>
          <w:rFonts w:ascii="Calibri" w:cs="Calibri" w:eastAsia="Calibri" w:hAnsi="Calibri"/>
          <w:sz w:val="13"/>
          <w:szCs w:val="13"/>
          <w:color w:val="auto"/>
        </w:rPr>
        <w:t>th</w:t>
      </w:r>
      <w:r>
        <w:rPr>
          <w:rFonts w:ascii="Calibri" w:cs="Calibri" w:eastAsia="Calibri" w:hAnsi="Calibri"/>
          <w:sz w:val="17"/>
          <w:szCs w:val="17"/>
          <w:color w:val="auto"/>
        </w:rPr>
        <w:t xml:space="preserve"> percentle among its peer group, resultng in the executves earning 200% of the target funding of those grants.</w:t>
      </w:r>
    </w:p>
    <w:p>
      <w:pPr>
        <w:spacing w:after="0" w:line="122" w:lineRule="exact"/>
        <w:rPr>
          <w:sz w:val="20"/>
          <w:szCs w:val="20"/>
          <w:color w:val="auto"/>
        </w:rPr>
      </w:pPr>
    </w:p>
    <w:p>
      <w:pPr>
        <w:ind w:left="1260" w:hanging="423"/>
        <w:spacing w:after="0"/>
        <w:tabs>
          <w:tab w:leader="none" w:pos="1260" w:val="left"/>
        </w:tabs>
        <w:numPr>
          <w:ilvl w:val="0"/>
          <w:numId w:val="13"/>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Compensaton Policies. </w:t>
      </w:r>
      <w:r>
        <w:rPr>
          <w:rFonts w:ascii="Calibri" w:cs="Calibri" w:eastAsia="Calibri" w:hAnsi="Calibri"/>
          <w:sz w:val="17"/>
          <w:szCs w:val="17"/>
          <w:color w:val="auto"/>
        </w:rPr>
        <w:t>Our compensaton program is designed to refect appropriate governance practces aligned with the needs of our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business, and includes, among others, the following features: robust clawback policy; robust stock ownership guidelines; limited perquisites; no excise tax gross-ups; and an ant-hedging and ant-pledging policy. See “Executve compensaton program, practces and policies” beginning on page 65 below.</w:t>
      </w:r>
    </w:p>
    <w:p>
      <w:pPr>
        <w:spacing w:after="0" w:line="20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Compensaton mix</w:t>
      </w:r>
    </w:p>
    <w:p>
      <w:pPr>
        <w:spacing w:after="0" w:line="236" w:lineRule="exact"/>
        <w:rPr>
          <w:sz w:val="20"/>
          <w:szCs w:val="20"/>
          <w:color w:val="auto"/>
        </w:rPr>
      </w:pPr>
    </w:p>
    <w:tbl>
      <w:tblPr>
        <w:tblLayout w:type="fixed"/>
        <w:tblInd w:w="2240" w:type="dxa"/>
        <w:tblCellMar>
          <w:top w:w="0" w:type="dxa"/>
          <w:left w:w="0" w:type="dxa"/>
          <w:bottom w:w="0" w:type="dxa"/>
          <w:right w:w="0" w:type="dxa"/>
        </w:tblCellMar>
      </w:tblPr>
      <w:tr>
        <w:trPr>
          <w:trHeight w:val="232"/>
        </w:trPr>
        <w:tc>
          <w:tcPr>
            <w:tcW w:w="3320" w:type="dxa"/>
            <w:vAlign w:val="bottom"/>
          </w:tcPr>
          <w:p>
            <w:pPr>
              <w:jc w:val="center"/>
              <w:ind w:right="1765"/>
              <w:spacing w:after="0"/>
              <w:rPr>
                <w:sz w:val="20"/>
                <w:szCs w:val="20"/>
                <w:color w:val="auto"/>
              </w:rPr>
            </w:pPr>
            <w:r>
              <w:rPr>
                <w:rFonts w:ascii="Calibri" w:cs="Calibri" w:eastAsia="Calibri" w:hAnsi="Calibri"/>
                <w:sz w:val="19"/>
                <w:szCs w:val="19"/>
                <w:b w:val="1"/>
                <w:bCs w:val="1"/>
                <w:color w:val="FB4E0B"/>
              </w:rPr>
              <w:t>Chair &amp; CEO</w:t>
            </w:r>
          </w:p>
        </w:tc>
        <w:tc>
          <w:tcPr>
            <w:tcW w:w="3720" w:type="dxa"/>
            <w:vAlign w:val="bottom"/>
          </w:tcPr>
          <w:p>
            <w:pPr>
              <w:jc w:val="center"/>
              <w:ind w:left="1758"/>
              <w:spacing w:after="0"/>
              <w:rPr>
                <w:sz w:val="20"/>
                <w:szCs w:val="20"/>
                <w:color w:val="auto"/>
              </w:rPr>
            </w:pPr>
            <w:r>
              <w:rPr>
                <w:rFonts w:ascii="Calibri" w:cs="Calibri" w:eastAsia="Calibri" w:hAnsi="Calibri"/>
                <w:sz w:val="19"/>
                <w:szCs w:val="19"/>
                <w:b w:val="1"/>
                <w:bCs w:val="1"/>
                <w:color w:val="FB4E0B"/>
              </w:rPr>
              <w:t>NEO compensaton mix</w:t>
            </w:r>
          </w:p>
        </w:tc>
      </w:tr>
      <w:tr>
        <w:trPr>
          <w:trHeight w:val="234"/>
        </w:trPr>
        <w:tc>
          <w:tcPr>
            <w:tcW w:w="3320" w:type="dxa"/>
            <w:vAlign w:val="bottom"/>
          </w:tcPr>
          <w:p>
            <w:pPr>
              <w:jc w:val="center"/>
              <w:ind w:right="1745"/>
              <w:spacing w:after="0"/>
              <w:rPr>
                <w:sz w:val="20"/>
                <w:szCs w:val="20"/>
                <w:color w:val="auto"/>
              </w:rPr>
            </w:pPr>
            <w:r>
              <w:rPr>
                <w:rFonts w:ascii="Calibri" w:cs="Calibri" w:eastAsia="Calibri" w:hAnsi="Calibri"/>
                <w:sz w:val="19"/>
                <w:szCs w:val="19"/>
                <w:b w:val="1"/>
                <w:bCs w:val="1"/>
                <w:color w:val="FB4E0B"/>
              </w:rPr>
              <w:t>compensaton mix</w:t>
            </w:r>
          </w:p>
        </w:tc>
        <w:tc>
          <w:tcPr>
            <w:tcW w:w="3720" w:type="dxa"/>
            <w:vAlign w:val="bottom"/>
          </w:tcPr>
          <w:p>
            <w:pPr>
              <w:jc w:val="center"/>
              <w:ind w:left="1758"/>
              <w:spacing w:after="0"/>
              <w:rPr>
                <w:sz w:val="20"/>
                <w:szCs w:val="20"/>
                <w:color w:val="auto"/>
              </w:rPr>
            </w:pPr>
            <w:r>
              <w:rPr>
                <w:rFonts w:ascii="Calibri" w:cs="Calibri" w:eastAsia="Calibri" w:hAnsi="Calibri"/>
                <w:sz w:val="14"/>
                <w:szCs w:val="14"/>
                <w:color w:val="auto"/>
                <w:w w:val="98"/>
              </w:rPr>
              <w:t>(Excluding Chair &amp;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177165</wp:posOffset>
            </wp:positionV>
            <wp:extent cx="4436110" cy="2073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36110" cy="207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Base salary also includes items included in “All Other Compensaton” in the Summary Compensaton Table on page 84.</w:t>
      </w:r>
    </w:p>
    <w:p>
      <w:pPr>
        <w:spacing w:after="0" w:line="118"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tcPr>
          <w:p>
            <w:pPr>
              <w:ind w:left="60"/>
              <w:spacing w:after="0"/>
              <w:rPr>
                <w:sz w:val="20"/>
                <w:szCs w:val="20"/>
                <w:color w:val="auto"/>
              </w:rPr>
            </w:pPr>
            <w:r>
              <w:rPr>
                <w:rFonts w:ascii="Calibri" w:cs="Calibri" w:eastAsia="Calibri" w:hAnsi="Calibri"/>
                <w:sz w:val="13"/>
                <w:szCs w:val="13"/>
                <w:color w:val="auto"/>
              </w:rPr>
              <w:t> </w:t>
            </w:r>
          </w:p>
        </w:tc>
        <w:tc>
          <w:tcPr>
            <w:tcW w:w="4280" w:type="dxa"/>
            <w:vAlign w:val="bottom"/>
          </w:tcPr>
          <w:p>
            <w:pPr>
              <w:ind w:left="40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56"/>
        </w:trPr>
        <w:tc>
          <w:tcPr>
            <w:tcW w:w="3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5500" w:type="dxa"/>
            <w:vAlign w:val="bottom"/>
          </w:tcPr>
          <w:p>
            <w:pPr>
              <w:ind w:left="60"/>
              <w:spacing w:after="0" w:line="156" w:lineRule="exact"/>
              <w:rPr>
                <w:sz w:val="20"/>
                <w:szCs w:val="20"/>
                <w:color w:val="auto"/>
              </w:rPr>
            </w:pPr>
            <w:r>
              <w:rPr>
                <w:rFonts w:ascii="Calibri" w:cs="Calibri" w:eastAsia="Calibri" w:hAnsi="Calibri"/>
                <w:sz w:val="13"/>
                <w:szCs w:val="13"/>
                <w:color w:val="auto"/>
              </w:rPr>
              <w:t>EXL 2024 Proxy Statement</w:t>
            </w:r>
          </w:p>
        </w:tc>
        <w:tc>
          <w:tcPr>
            <w:tcW w:w="4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71" w:right="7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board of directors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Our board of directors</w:t>
      </w:r>
    </w:p>
    <w:p>
      <w:pPr>
        <w:spacing w:after="0" w:line="330"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Our board of directors currently consists of nine directors (including our eight director nominees, and one of our directors who currently serves on the board, but will not stand for re-electon) with diverse experience, including in analytcs, digital operatons and solutons, client industries, informaton and cybersecurity, human capital management, sustainability, and fnance and accountng,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165100</wp:posOffset>
            </wp:positionV>
            <wp:extent cx="5881370" cy="38906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81370" cy="389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0" w:right="520"/>
        <w:spacing w:after="0" w:line="239" w:lineRule="auto"/>
        <w:rPr>
          <w:sz w:val="20"/>
          <w:szCs w:val="20"/>
          <w:color w:val="auto"/>
        </w:rPr>
      </w:pPr>
      <w:r>
        <w:rPr>
          <w:rFonts w:ascii="Calibri" w:cs="Calibri" w:eastAsia="Calibri" w:hAnsi="Calibri"/>
          <w:sz w:val="17"/>
          <w:szCs w:val="17"/>
          <w:color w:val="auto"/>
        </w:rPr>
        <w:t>From top lef: Nitn Sahney (Independent Director and Nominatng and Governance Commitee Chair), Kristy Pipes (Independent Director and Audit Commitee Chair), Andreas Fibig (Independent Director) Jaynie Studenmund, (Independent Director and Compensaton and Talent Management Commitee Chair)</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From botom lef: Sarah K. Williamson, (Independent Director) , Rohit Kapoor (Chair and CEO), Vikram Pandit (Lead Director), Som Mital* (Independent</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Director). Not pictured: Thomas Bartlet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254000</wp:posOffset>
            </wp:positionV>
            <wp:extent cx="7435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Not standing for re-electon</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board of directors</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Board diversity matrix</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2024 Board diversity matrix (as of April 29, 2024)*</w:t>
      </w:r>
    </w:p>
    <w:p>
      <w:pPr>
        <w:spacing w:after="0" w:line="110" w:lineRule="exact"/>
        <w:rPr>
          <w:sz w:val="20"/>
          <w:szCs w:val="20"/>
          <w:color w:val="auto"/>
        </w:rPr>
      </w:pPr>
    </w:p>
    <w:tbl>
      <w:tblPr>
        <w:tblLayout w:type="fixed"/>
        <w:tblInd w:w="320" w:type="dxa"/>
        <w:tblCellMar>
          <w:top w:w="0" w:type="dxa"/>
          <w:left w:w="0" w:type="dxa"/>
          <w:bottom w:w="0" w:type="dxa"/>
          <w:right w:w="0" w:type="dxa"/>
        </w:tblCellMar>
      </w:tblPr>
      <w:tr>
        <w:trPr>
          <w:trHeight w:val="266"/>
        </w:trPr>
        <w:tc>
          <w:tcPr>
            <w:tcW w:w="9220" w:type="dxa"/>
            <w:vAlign w:val="bottom"/>
            <w:tcBorders>
              <w:bottom w:val="single" w:sz="8" w:color="auto"/>
            </w:tcBorders>
            <w:shd w:val="clear" w:color="auto" w:fill="DCF3FA"/>
          </w:tcPr>
          <w:p>
            <w:pPr>
              <w:spacing w:after="0"/>
              <w:rPr>
                <w:sz w:val="20"/>
                <w:szCs w:val="20"/>
                <w:color w:val="auto"/>
              </w:rPr>
            </w:pPr>
            <w:r>
              <w:rPr>
                <w:rFonts w:ascii="Calibri" w:cs="Calibri" w:eastAsia="Calibri" w:hAnsi="Calibri"/>
                <w:sz w:val="17"/>
                <w:szCs w:val="17"/>
                <w:b w:val="1"/>
                <w:bCs w:val="1"/>
                <w:color w:val="auto"/>
              </w:rPr>
              <w:t> Total number of directors:</w:t>
            </w:r>
          </w:p>
        </w:tc>
        <w:tc>
          <w:tcPr>
            <w:tcW w:w="720" w:type="dxa"/>
            <w:vAlign w:val="bottom"/>
            <w:tcBorders>
              <w:bottom w:val="single" w:sz="8" w:color="auto"/>
            </w:tcBorders>
            <w:shd w:val="clear" w:color="auto" w:fill="DCF3FA"/>
          </w:tcPr>
          <w:p>
            <w:pPr>
              <w:spacing w:after="0"/>
              <w:rPr>
                <w:sz w:val="23"/>
                <w:szCs w:val="23"/>
                <w:color w:val="auto"/>
              </w:rPr>
            </w:pPr>
          </w:p>
        </w:tc>
        <w:tc>
          <w:tcPr>
            <w:tcW w:w="680" w:type="dxa"/>
            <w:vAlign w:val="bottom"/>
            <w:tcBorders>
              <w:bottom w:val="single" w:sz="8" w:color="auto"/>
            </w:tcBorders>
            <w:shd w:val="clear" w:color="auto" w:fill="DCF3FA"/>
          </w:tcPr>
          <w:p>
            <w:pPr>
              <w:jc w:val="right"/>
              <w:ind w:right="517"/>
              <w:spacing w:after="0"/>
              <w:rPr>
                <w:sz w:val="20"/>
                <w:szCs w:val="20"/>
                <w:color w:val="auto"/>
              </w:rPr>
            </w:pPr>
            <w:r>
              <w:rPr>
                <w:rFonts w:ascii="Calibri" w:cs="Calibri" w:eastAsia="Calibri" w:hAnsi="Calibri"/>
                <w:sz w:val="14"/>
                <w:szCs w:val="14"/>
                <w:color w:val="auto"/>
                <w:w w:val="83"/>
              </w:rPr>
              <w:t>9</w:t>
            </w:r>
          </w:p>
        </w:tc>
      </w:tr>
      <w:tr>
        <w:trPr>
          <w:trHeight w:val="237"/>
        </w:trPr>
        <w:tc>
          <w:tcPr>
            <w:tcW w:w="9220" w:type="dxa"/>
            <w:vAlign w:val="bottom"/>
          </w:tcPr>
          <w:p>
            <w:pPr>
              <w:spacing w:after="0"/>
              <w:rPr>
                <w:sz w:val="20"/>
                <w:szCs w:val="20"/>
                <w:color w:val="auto"/>
              </w:rPr>
            </w:pPr>
          </w:p>
        </w:tc>
        <w:tc>
          <w:tcPr>
            <w:tcW w:w="720" w:type="dxa"/>
            <w:vAlign w:val="bottom"/>
          </w:tcPr>
          <w:p>
            <w:pPr>
              <w:ind w:left="200"/>
              <w:spacing w:after="0"/>
              <w:rPr>
                <w:sz w:val="20"/>
                <w:szCs w:val="20"/>
                <w:color w:val="auto"/>
              </w:rPr>
            </w:pPr>
            <w:r>
              <w:rPr>
                <w:rFonts w:ascii="Calibri" w:cs="Calibri" w:eastAsia="Calibri" w:hAnsi="Calibri"/>
                <w:sz w:val="17"/>
                <w:szCs w:val="17"/>
                <w:b w:val="1"/>
                <w:bCs w:val="1"/>
                <w:color w:val="FB4E0B"/>
                <w:w w:val="97"/>
              </w:rPr>
              <w:t>Female</w:t>
            </w:r>
          </w:p>
        </w:tc>
        <w:tc>
          <w:tcPr>
            <w:tcW w:w="680" w:type="dxa"/>
            <w:vAlign w:val="bottom"/>
          </w:tcPr>
          <w:p>
            <w:pPr>
              <w:jc w:val="center"/>
              <w:ind w:left="37"/>
              <w:spacing w:after="0"/>
              <w:rPr>
                <w:sz w:val="20"/>
                <w:szCs w:val="20"/>
                <w:color w:val="auto"/>
              </w:rPr>
            </w:pPr>
            <w:r>
              <w:rPr>
                <w:rFonts w:ascii="Calibri" w:cs="Calibri" w:eastAsia="Calibri" w:hAnsi="Calibri"/>
                <w:sz w:val="17"/>
                <w:szCs w:val="17"/>
                <w:b w:val="1"/>
                <w:bCs w:val="1"/>
                <w:color w:val="FB4E0B"/>
                <w:w w:val="99"/>
              </w:rPr>
              <w:t>Male</w:t>
            </w:r>
          </w:p>
        </w:tc>
      </w:tr>
      <w:tr>
        <w:trPr>
          <w:trHeight w:val="29"/>
        </w:trPr>
        <w:tc>
          <w:tcPr>
            <w:tcW w:w="9220" w:type="dxa"/>
            <w:vAlign w:val="bottom"/>
            <w:tcBorders>
              <w:bottom w:val="single" w:sz="8" w:color="FB4E0B"/>
            </w:tcBorders>
          </w:tcPr>
          <w:p>
            <w:pPr>
              <w:spacing w:after="0"/>
              <w:rPr>
                <w:sz w:val="2"/>
                <w:szCs w:val="2"/>
                <w:color w:val="auto"/>
              </w:rPr>
            </w:pPr>
          </w:p>
        </w:tc>
        <w:tc>
          <w:tcPr>
            <w:tcW w:w="720" w:type="dxa"/>
            <w:vAlign w:val="bottom"/>
            <w:tcBorders>
              <w:bottom w:val="single" w:sz="8" w:color="FB4E0B"/>
            </w:tcBorders>
          </w:tcPr>
          <w:p>
            <w:pPr>
              <w:spacing w:after="0"/>
              <w:rPr>
                <w:sz w:val="2"/>
                <w:szCs w:val="2"/>
                <w:color w:val="auto"/>
              </w:rPr>
            </w:pPr>
          </w:p>
        </w:tc>
        <w:tc>
          <w:tcPr>
            <w:tcW w:w="680" w:type="dxa"/>
            <w:vAlign w:val="bottom"/>
            <w:tcBorders>
              <w:bottom w:val="single" w:sz="8" w:color="FB4E0B"/>
            </w:tcBorders>
          </w:tcPr>
          <w:p>
            <w:pPr>
              <w:spacing w:after="0"/>
              <w:rPr>
                <w:sz w:val="2"/>
                <w:szCs w:val="2"/>
                <w:color w:val="auto"/>
              </w:rPr>
            </w:pPr>
          </w:p>
        </w:tc>
      </w:tr>
      <w:tr>
        <w:trPr>
          <w:trHeight w:val="237"/>
        </w:trPr>
        <w:tc>
          <w:tcPr>
            <w:tcW w:w="9220" w:type="dxa"/>
            <w:vAlign w:val="bottom"/>
            <w:shd w:val="clear" w:color="auto" w:fill="DCF3FA"/>
          </w:tcPr>
          <w:p>
            <w:pPr>
              <w:spacing w:after="0"/>
              <w:rPr>
                <w:sz w:val="20"/>
                <w:szCs w:val="20"/>
                <w:color w:val="auto"/>
              </w:rPr>
            </w:pPr>
            <w:r>
              <w:rPr>
                <w:rFonts w:ascii="Calibri" w:cs="Calibri" w:eastAsia="Calibri" w:hAnsi="Calibri"/>
                <w:sz w:val="17"/>
                <w:szCs w:val="17"/>
                <w:b w:val="1"/>
                <w:bCs w:val="1"/>
                <w:color w:val="auto"/>
              </w:rPr>
              <w:t> Part I: Gender identty</w:t>
            </w:r>
          </w:p>
        </w:tc>
        <w:tc>
          <w:tcPr>
            <w:tcW w:w="720" w:type="dxa"/>
            <w:vAlign w:val="bottom"/>
            <w:shd w:val="clear" w:color="auto" w:fill="DCF3FA"/>
          </w:tcPr>
          <w:p>
            <w:pPr>
              <w:spacing w:after="0"/>
              <w:rPr>
                <w:sz w:val="20"/>
                <w:szCs w:val="20"/>
                <w:color w:val="auto"/>
              </w:rPr>
            </w:pPr>
          </w:p>
        </w:tc>
        <w:tc>
          <w:tcPr>
            <w:tcW w:w="680" w:type="dxa"/>
            <w:vAlign w:val="bottom"/>
            <w:shd w:val="clear" w:color="auto" w:fill="DCF3FA"/>
          </w:tcPr>
          <w:p>
            <w:pPr>
              <w:spacing w:after="0"/>
              <w:rPr>
                <w:sz w:val="20"/>
                <w:szCs w:val="20"/>
                <w:color w:val="auto"/>
              </w:rPr>
            </w:pPr>
          </w:p>
        </w:tc>
      </w:tr>
      <w:tr>
        <w:trPr>
          <w:trHeight w:val="88"/>
        </w:trPr>
        <w:tc>
          <w:tcPr>
            <w:tcW w:w="9220" w:type="dxa"/>
            <w:vAlign w:val="bottom"/>
            <w:tcBorders>
              <w:bottom w:val="single" w:sz="8" w:color="B2B2B2"/>
            </w:tcBorders>
            <w:shd w:val="clear" w:color="auto" w:fill="DCF3FA"/>
          </w:tcPr>
          <w:p>
            <w:pPr>
              <w:spacing w:after="0"/>
              <w:rPr>
                <w:sz w:val="7"/>
                <w:szCs w:val="7"/>
                <w:color w:val="auto"/>
              </w:rPr>
            </w:pPr>
          </w:p>
        </w:tc>
        <w:tc>
          <w:tcPr>
            <w:tcW w:w="720" w:type="dxa"/>
            <w:vAlign w:val="bottom"/>
            <w:tcBorders>
              <w:bottom w:val="single" w:sz="8" w:color="B2B2B2"/>
            </w:tcBorders>
            <w:shd w:val="clear" w:color="auto" w:fill="DCF3FA"/>
          </w:tcPr>
          <w:p>
            <w:pPr>
              <w:spacing w:after="0"/>
              <w:rPr>
                <w:sz w:val="7"/>
                <w:szCs w:val="7"/>
                <w:color w:val="auto"/>
              </w:rPr>
            </w:pPr>
          </w:p>
        </w:tc>
        <w:tc>
          <w:tcPr>
            <w:tcW w:w="680" w:type="dxa"/>
            <w:vAlign w:val="bottom"/>
            <w:tcBorders>
              <w:bottom w:val="single" w:sz="8" w:color="B2B2B2"/>
            </w:tcBorders>
            <w:shd w:val="clear" w:color="auto" w:fill="DCF3FA"/>
          </w:tcPr>
          <w:p>
            <w:pPr>
              <w:spacing w:after="0"/>
              <w:rPr>
                <w:sz w:val="7"/>
                <w:szCs w:val="7"/>
                <w:color w:val="auto"/>
              </w:rPr>
            </w:pPr>
          </w:p>
        </w:tc>
      </w:tr>
      <w:tr>
        <w:trPr>
          <w:trHeight w:val="230"/>
        </w:trPr>
        <w:tc>
          <w:tcPr>
            <w:tcW w:w="9220" w:type="dxa"/>
            <w:vAlign w:val="bottom"/>
          </w:tcPr>
          <w:p>
            <w:pPr>
              <w:spacing w:after="0"/>
              <w:rPr>
                <w:sz w:val="20"/>
                <w:szCs w:val="20"/>
                <w:color w:val="auto"/>
              </w:rPr>
            </w:pPr>
            <w:r>
              <w:rPr>
                <w:rFonts w:ascii="Calibri" w:cs="Calibri" w:eastAsia="Calibri" w:hAnsi="Calibri"/>
                <w:sz w:val="17"/>
                <w:szCs w:val="17"/>
                <w:color w:val="auto"/>
              </w:rPr>
              <w:t> Directors</w:t>
            </w:r>
          </w:p>
        </w:tc>
        <w:tc>
          <w:tcPr>
            <w:tcW w:w="720" w:type="dxa"/>
            <w:vAlign w:val="bottom"/>
          </w:tcPr>
          <w:p>
            <w:pPr>
              <w:jc w:val="center"/>
              <w:ind w:left="133"/>
              <w:spacing w:after="0"/>
              <w:rPr>
                <w:sz w:val="20"/>
                <w:szCs w:val="20"/>
                <w:color w:val="auto"/>
              </w:rPr>
            </w:pPr>
            <w:r>
              <w:rPr>
                <w:rFonts w:ascii="Calibri" w:cs="Calibri" w:eastAsia="Calibri" w:hAnsi="Calibri"/>
                <w:sz w:val="17"/>
                <w:szCs w:val="17"/>
                <w:color w:val="auto"/>
              </w:rPr>
              <w:t>3</w:t>
            </w:r>
          </w:p>
        </w:tc>
        <w:tc>
          <w:tcPr>
            <w:tcW w:w="680" w:type="dxa"/>
            <w:vAlign w:val="bottom"/>
          </w:tcPr>
          <w:p>
            <w:pPr>
              <w:jc w:val="center"/>
              <w:ind w:left="37"/>
              <w:spacing w:after="0"/>
              <w:rPr>
                <w:sz w:val="20"/>
                <w:szCs w:val="20"/>
                <w:color w:val="auto"/>
              </w:rPr>
            </w:pPr>
            <w:r>
              <w:rPr>
                <w:rFonts w:ascii="Calibri" w:cs="Calibri" w:eastAsia="Calibri" w:hAnsi="Calibri"/>
                <w:sz w:val="17"/>
                <w:szCs w:val="17"/>
                <w:color w:val="auto"/>
                <w:w w:val="92"/>
              </w:rPr>
              <w:t>6</w:t>
            </w:r>
          </w:p>
        </w:tc>
      </w:tr>
      <w:tr>
        <w:trPr>
          <w:trHeight w:val="88"/>
        </w:trPr>
        <w:tc>
          <w:tcPr>
            <w:tcW w:w="9220" w:type="dxa"/>
            <w:vAlign w:val="bottom"/>
            <w:tcBorders>
              <w:bottom w:val="single" w:sz="8" w:color="B2B2B2"/>
            </w:tcBorders>
          </w:tcPr>
          <w:p>
            <w:pPr>
              <w:spacing w:after="0"/>
              <w:rPr>
                <w:sz w:val="7"/>
                <w:szCs w:val="7"/>
                <w:color w:val="auto"/>
              </w:rPr>
            </w:pPr>
          </w:p>
        </w:tc>
        <w:tc>
          <w:tcPr>
            <w:tcW w:w="720" w:type="dxa"/>
            <w:vAlign w:val="bottom"/>
            <w:tcBorders>
              <w:bottom w:val="single" w:sz="8" w:color="B2B2B2"/>
            </w:tcBorders>
          </w:tcPr>
          <w:p>
            <w:pPr>
              <w:spacing w:after="0"/>
              <w:rPr>
                <w:sz w:val="7"/>
                <w:szCs w:val="7"/>
                <w:color w:val="auto"/>
              </w:rPr>
            </w:pPr>
          </w:p>
        </w:tc>
        <w:tc>
          <w:tcPr>
            <w:tcW w:w="680" w:type="dxa"/>
            <w:vAlign w:val="bottom"/>
            <w:tcBorders>
              <w:bottom w:val="single" w:sz="8" w:color="B2B2B2"/>
            </w:tcBorders>
          </w:tcPr>
          <w:p>
            <w:pPr>
              <w:spacing w:after="0"/>
              <w:rPr>
                <w:sz w:val="7"/>
                <w:szCs w:val="7"/>
                <w:color w:val="auto"/>
              </w:rPr>
            </w:pPr>
          </w:p>
        </w:tc>
      </w:tr>
      <w:tr>
        <w:trPr>
          <w:trHeight w:val="230"/>
        </w:trPr>
        <w:tc>
          <w:tcPr>
            <w:tcW w:w="9220" w:type="dxa"/>
            <w:vAlign w:val="bottom"/>
            <w:shd w:val="clear" w:color="auto" w:fill="DCF3FA"/>
          </w:tcPr>
          <w:p>
            <w:pPr>
              <w:spacing w:after="0"/>
              <w:rPr>
                <w:sz w:val="20"/>
                <w:szCs w:val="20"/>
                <w:color w:val="auto"/>
              </w:rPr>
            </w:pPr>
            <w:r>
              <w:rPr>
                <w:rFonts w:ascii="Calibri" w:cs="Calibri" w:eastAsia="Calibri" w:hAnsi="Calibri"/>
                <w:sz w:val="17"/>
                <w:szCs w:val="17"/>
                <w:b w:val="1"/>
                <w:bCs w:val="1"/>
                <w:color w:val="auto"/>
              </w:rPr>
              <w:t> Part II: Demographic background</w:t>
            </w:r>
          </w:p>
        </w:tc>
        <w:tc>
          <w:tcPr>
            <w:tcW w:w="720" w:type="dxa"/>
            <w:vAlign w:val="bottom"/>
            <w:shd w:val="clear" w:color="auto" w:fill="DCF3FA"/>
          </w:tcPr>
          <w:p>
            <w:pPr>
              <w:spacing w:after="0"/>
              <w:rPr>
                <w:sz w:val="20"/>
                <w:szCs w:val="20"/>
                <w:color w:val="auto"/>
              </w:rPr>
            </w:pPr>
          </w:p>
        </w:tc>
        <w:tc>
          <w:tcPr>
            <w:tcW w:w="680" w:type="dxa"/>
            <w:vAlign w:val="bottom"/>
            <w:shd w:val="clear" w:color="auto" w:fill="DCF3FA"/>
          </w:tcPr>
          <w:p>
            <w:pPr>
              <w:spacing w:after="0"/>
              <w:rPr>
                <w:sz w:val="20"/>
                <w:szCs w:val="20"/>
                <w:color w:val="auto"/>
              </w:rPr>
            </w:pPr>
          </w:p>
        </w:tc>
      </w:tr>
      <w:tr>
        <w:trPr>
          <w:trHeight w:val="88"/>
        </w:trPr>
        <w:tc>
          <w:tcPr>
            <w:tcW w:w="9220" w:type="dxa"/>
            <w:vAlign w:val="bottom"/>
            <w:tcBorders>
              <w:bottom w:val="single" w:sz="8" w:color="B2B2B2"/>
            </w:tcBorders>
            <w:shd w:val="clear" w:color="auto" w:fill="DCF3FA"/>
          </w:tcPr>
          <w:p>
            <w:pPr>
              <w:spacing w:after="0"/>
              <w:rPr>
                <w:sz w:val="7"/>
                <w:szCs w:val="7"/>
                <w:color w:val="auto"/>
              </w:rPr>
            </w:pPr>
          </w:p>
        </w:tc>
        <w:tc>
          <w:tcPr>
            <w:tcW w:w="720" w:type="dxa"/>
            <w:vAlign w:val="bottom"/>
            <w:tcBorders>
              <w:bottom w:val="single" w:sz="8" w:color="B2B2B2"/>
            </w:tcBorders>
            <w:shd w:val="clear" w:color="auto" w:fill="DCF3FA"/>
          </w:tcPr>
          <w:p>
            <w:pPr>
              <w:spacing w:after="0"/>
              <w:rPr>
                <w:sz w:val="7"/>
                <w:szCs w:val="7"/>
                <w:color w:val="auto"/>
              </w:rPr>
            </w:pPr>
          </w:p>
        </w:tc>
        <w:tc>
          <w:tcPr>
            <w:tcW w:w="680" w:type="dxa"/>
            <w:vAlign w:val="bottom"/>
            <w:tcBorders>
              <w:bottom w:val="single" w:sz="8" w:color="B2B2B2"/>
            </w:tcBorders>
            <w:shd w:val="clear" w:color="auto" w:fill="DCF3FA"/>
          </w:tcPr>
          <w:p>
            <w:pPr>
              <w:spacing w:after="0"/>
              <w:rPr>
                <w:sz w:val="7"/>
                <w:szCs w:val="7"/>
                <w:color w:val="auto"/>
              </w:rPr>
            </w:pPr>
          </w:p>
        </w:tc>
      </w:tr>
      <w:tr>
        <w:trPr>
          <w:trHeight w:val="230"/>
        </w:trPr>
        <w:tc>
          <w:tcPr>
            <w:tcW w:w="9220" w:type="dxa"/>
            <w:vAlign w:val="bottom"/>
          </w:tcPr>
          <w:p>
            <w:pPr>
              <w:spacing w:after="0"/>
              <w:rPr>
                <w:sz w:val="20"/>
                <w:szCs w:val="20"/>
                <w:color w:val="auto"/>
              </w:rPr>
            </w:pPr>
            <w:r>
              <w:rPr>
                <w:rFonts w:ascii="Calibri" w:cs="Calibri" w:eastAsia="Calibri" w:hAnsi="Calibri"/>
                <w:sz w:val="17"/>
                <w:szCs w:val="17"/>
                <w:color w:val="auto"/>
              </w:rPr>
              <w:t> Asian</w:t>
            </w:r>
          </w:p>
        </w:tc>
        <w:tc>
          <w:tcPr>
            <w:tcW w:w="720" w:type="dxa"/>
            <w:vAlign w:val="bottom"/>
          </w:tcPr>
          <w:p>
            <w:pPr>
              <w:jc w:val="center"/>
              <w:ind w:left="133"/>
              <w:spacing w:after="0"/>
              <w:rPr>
                <w:sz w:val="20"/>
                <w:szCs w:val="20"/>
                <w:color w:val="auto"/>
              </w:rPr>
            </w:pPr>
            <w:r>
              <w:rPr>
                <w:rFonts w:ascii="Calibri" w:cs="Calibri" w:eastAsia="Calibri" w:hAnsi="Calibri"/>
                <w:sz w:val="17"/>
                <w:szCs w:val="17"/>
                <w:color w:val="auto"/>
                <w:w w:val="90"/>
              </w:rPr>
              <w:t>—</w:t>
            </w:r>
          </w:p>
        </w:tc>
        <w:tc>
          <w:tcPr>
            <w:tcW w:w="680" w:type="dxa"/>
            <w:vAlign w:val="bottom"/>
          </w:tcPr>
          <w:p>
            <w:pPr>
              <w:jc w:val="center"/>
              <w:ind w:left="37"/>
              <w:spacing w:after="0"/>
              <w:rPr>
                <w:sz w:val="20"/>
                <w:szCs w:val="20"/>
                <w:color w:val="auto"/>
              </w:rPr>
            </w:pPr>
            <w:r>
              <w:rPr>
                <w:rFonts w:ascii="Calibri" w:cs="Calibri" w:eastAsia="Calibri" w:hAnsi="Calibri"/>
                <w:sz w:val="17"/>
                <w:szCs w:val="17"/>
                <w:color w:val="auto"/>
                <w:w w:val="92"/>
              </w:rPr>
              <w:t>4</w:t>
            </w:r>
          </w:p>
        </w:tc>
      </w:tr>
      <w:tr>
        <w:trPr>
          <w:trHeight w:val="88"/>
        </w:trPr>
        <w:tc>
          <w:tcPr>
            <w:tcW w:w="9220" w:type="dxa"/>
            <w:vAlign w:val="bottom"/>
            <w:tcBorders>
              <w:bottom w:val="single" w:sz="8" w:color="B2B2B2"/>
            </w:tcBorders>
          </w:tcPr>
          <w:p>
            <w:pPr>
              <w:spacing w:after="0"/>
              <w:rPr>
                <w:sz w:val="7"/>
                <w:szCs w:val="7"/>
                <w:color w:val="auto"/>
              </w:rPr>
            </w:pPr>
          </w:p>
        </w:tc>
        <w:tc>
          <w:tcPr>
            <w:tcW w:w="720" w:type="dxa"/>
            <w:vAlign w:val="bottom"/>
            <w:tcBorders>
              <w:bottom w:val="single" w:sz="8" w:color="B2B2B2"/>
            </w:tcBorders>
          </w:tcPr>
          <w:p>
            <w:pPr>
              <w:spacing w:after="0"/>
              <w:rPr>
                <w:sz w:val="7"/>
                <w:szCs w:val="7"/>
                <w:color w:val="auto"/>
              </w:rPr>
            </w:pPr>
          </w:p>
        </w:tc>
        <w:tc>
          <w:tcPr>
            <w:tcW w:w="680" w:type="dxa"/>
            <w:vAlign w:val="bottom"/>
            <w:tcBorders>
              <w:bottom w:val="single" w:sz="8" w:color="B2B2B2"/>
            </w:tcBorders>
          </w:tcPr>
          <w:p>
            <w:pPr>
              <w:spacing w:after="0"/>
              <w:rPr>
                <w:sz w:val="7"/>
                <w:szCs w:val="7"/>
                <w:color w:val="auto"/>
              </w:rPr>
            </w:pPr>
          </w:p>
        </w:tc>
      </w:tr>
      <w:tr>
        <w:trPr>
          <w:trHeight w:val="230"/>
        </w:trPr>
        <w:tc>
          <w:tcPr>
            <w:tcW w:w="9220" w:type="dxa"/>
            <w:vAlign w:val="bottom"/>
          </w:tcPr>
          <w:p>
            <w:pPr>
              <w:spacing w:after="0"/>
              <w:rPr>
                <w:sz w:val="20"/>
                <w:szCs w:val="20"/>
                <w:color w:val="auto"/>
              </w:rPr>
            </w:pPr>
            <w:r>
              <w:rPr>
                <w:rFonts w:ascii="Calibri" w:cs="Calibri" w:eastAsia="Calibri" w:hAnsi="Calibri"/>
                <w:sz w:val="17"/>
                <w:szCs w:val="17"/>
                <w:color w:val="auto"/>
              </w:rPr>
              <w:t> White (other than Middle Eastern)</w:t>
            </w:r>
          </w:p>
        </w:tc>
        <w:tc>
          <w:tcPr>
            <w:tcW w:w="720" w:type="dxa"/>
            <w:vAlign w:val="bottom"/>
          </w:tcPr>
          <w:p>
            <w:pPr>
              <w:jc w:val="center"/>
              <w:ind w:left="133"/>
              <w:spacing w:after="0"/>
              <w:rPr>
                <w:sz w:val="20"/>
                <w:szCs w:val="20"/>
                <w:color w:val="auto"/>
              </w:rPr>
            </w:pPr>
            <w:r>
              <w:rPr>
                <w:rFonts w:ascii="Calibri" w:cs="Calibri" w:eastAsia="Calibri" w:hAnsi="Calibri"/>
                <w:sz w:val="17"/>
                <w:szCs w:val="17"/>
                <w:color w:val="auto"/>
              </w:rPr>
              <w:t>3</w:t>
            </w:r>
          </w:p>
        </w:tc>
        <w:tc>
          <w:tcPr>
            <w:tcW w:w="680" w:type="dxa"/>
            <w:vAlign w:val="bottom"/>
          </w:tcPr>
          <w:p>
            <w:pPr>
              <w:jc w:val="center"/>
              <w:ind w:left="37"/>
              <w:spacing w:after="0"/>
              <w:rPr>
                <w:sz w:val="20"/>
                <w:szCs w:val="20"/>
                <w:color w:val="auto"/>
              </w:rPr>
            </w:pPr>
            <w:r>
              <w:rPr>
                <w:rFonts w:ascii="Calibri" w:cs="Calibri" w:eastAsia="Calibri" w:hAnsi="Calibri"/>
                <w:sz w:val="17"/>
                <w:szCs w:val="17"/>
                <w:color w:val="auto"/>
                <w:w w:val="92"/>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64135</wp:posOffset>
            </wp:positionV>
            <wp:extent cx="674052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98"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Includes our nine current directors, including our eight nominees for electon at the Annual Meetng.</w:t>
      </w:r>
    </w:p>
    <w:p>
      <w:pPr>
        <w:spacing w:after="0" w:line="14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2023 Board diversity matrix (as of April 29, 2023)</w:t>
      </w:r>
    </w:p>
    <w:p>
      <w:pPr>
        <w:spacing w:after="0" w:line="110" w:lineRule="exact"/>
        <w:rPr>
          <w:sz w:val="20"/>
          <w:szCs w:val="20"/>
          <w:color w:val="auto"/>
        </w:rPr>
      </w:pPr>
    </w:p>
    <w:tbl>
      <w:tblPr>
        <w:tblLayout w:type="fixed"/>
        <w:tblInd w:w="320" w:type="dxa"/>
        <w:tblCellMar>
          <w:top w:w="0" w:type="dxa"/>
          <w:left w:w="0" w:type="dxa"/>
          <w:bottom w:w="0" w:type="dxa"/>
          <w:right w:w="0" w:type="dxa"/>
        </w:tblCellMar>
      </w:tblPr>
      <w:tr>
        <w:trPr>
          <w:trHeight w:val="266"/>
        </w:trPr>
        <w:tc>
          <w:tcPr>
            <w:tcW w:w="9220" w:type="dxa"/>
            <w:vAlign w:val="bottom"/>
            <w:tcBorders>
              <w:bottom w:val="single" w:sz="8" w:color="auto"/>
            </w:tcBorders>
            <w:shd w:val="clear" w:color="auto" w:fill="DCF3FA"/>
          </w:tcPr>
          <w:p>
            <w:pPr>
              <w:spacing w:after="0"/>
              <w:rPr>
                <w:sz w:val="20"/>
                <w:szCs w:val="20"/>
                <w:color w:val="auto"/>
              </w:rPr>
            </w:pPr>
            <w:r>
              <w:rPr>
                <w:rFonts w:ascii="Calibri" w:cs="Calibri" w:eastAsia="Calibri" w:hAnsi="Calibri"/>
                <w:sz w:val="17"/>
                <w:szCs w:val="17"/>
                <w:b w:val="1"/>
                <w:bCs w:val="1"/>
                <w:color w:val="auto"/>
              </w:rPr>
              <w:t> Total number of directors:</w:t>
            </w:r>
          </w:p>
        </w:tc>
        <w:tc>
          <w:tcPr>
            <w:tcW w:w="740" w:type="dxa"/>
            <w:vAlign w:val="bottom"/>
            <w:tcBorders>
              <w:bottom w:val="single" w:sz="8" w:color="auto"/>
            </w:tcBorders>
            <w:shd w:val="clear" w:color="auto" w:fill="DCF3FA"/>
          </w:tcPr>
          <w:p>
            <w:pPr>
              <w:spacing w:after="0"/>
              <w:rPr>
                <w:sz w:val="23"/>
                <w:szCs w:val="23"/>
                <w:color w:val="auto"/>
              </w:rPr>
            </w:pPr>
          </w:p>
        </w:tc>
        <w:tc>
          <w:tcPr>
            <w:tcW w:w="660" w:type="dxa"/>
            <w:vAlign w:val="bottom"/>
            <w:tcBorders>
              <w:bottom w:val="single" w:sz="8" w:color="auto"/>
            </w:tcBorders>
            <w:shd w:val="clear" w:color="auto" w:fill="DCF3FA"/>
          </w:tcPr>
          <w:p>
            <w:pPr>
              <w:jc w:val="right"/>
              <w:ind w:right="476"/>
              <w:spacing w:after="0"/>
              <w:rPr>
                <w:sz w:val="20"/>
                <w:szCs w:val="20"/>
                <w:color w:val="auto"/>
              </w:rPr>
            </w:pPr>
            <w:r>
              <w:rPr>
                <w:rFonts w:ascii="Calibri" w:cs="Calibri" w:eastAsia="Calibri" w:hAnsi="Calibri"/>
                <w:sz w:val="14"/>
                <w:szCs w:val="14"/>
                <w:color w:val="auto"/>
              </w:rPr>
              <w:t>9</w:t>
            </w:r>
          </w:p>
        </w:tc>
        <w:tc>
          <w:tcPr>
            <w:tcW w:w="0" w:type="dxa"/>
            <w:vAlign w:val="bottom"/>
          </w:tcPr>
          <w:p>
            <w:pPr>
              <w:spacing w:after="0"/>
              <w:rPr>
                <w:sz w:val="1"/>
                <w:szCs w:val="1"/>
                <w:color w:val="auto"/>
              </w:rPr>
            </w:pPr>
          </w:p>
        </w:tc>
      </w:tr>
      <w:tr>
        <w:trPr>
          <w:trHeight w:val="237"/>
        </w:trPr>
        <w:tc>
          <w:tcPr>
            <w:tcW w:w="922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Calibri" w:cs="Calibri" w:eastAsia="Calibri" w:hAnsi="Calibri"/>
                <w:sz w:val="17"/>
                <w:szCs w:val="17"/>
                <w:b w:val="1"/>
                <w:bCs w:val="1"/>
                <w:color w:val="FB4E0B"/>
              </w:rPr>
              <w:t>Female</w:t>
            </w:r>
          </w:p>
        </w:tc>
        <w:tc>
          <w:tcPr>
            <w:tcW w:w="660" w:type="dxa"/>
            <w:vAlign w:val="bottom"/>
          </w:tcPr>
          <w:p>
            <w:pPr>
              <w:jc w:val="center"/>
              <w:ind w:left="16"/>
              <w:spacing w:after="0"/>
              <w:rPr>
                <w:sz w:val="20"/>
                <w:szCs w:val="20"/>
                <w:color w:val="auto"/>
              </w:rPr>
            </w:pPr>
            <w:r>
              <w:rPr>
                <w:rFonts w:ascii="Calibri" w:cs="Calibri" w:eastAsia="Calibri" w:hAnsi="Calibri"/>
                <w:sz w:val="17"/>
                <w:szCs w:val="17"/>
                <w:b w:val="1"/>
                <w:bCs w:val="1"/>
                <w:color w:val="FB4E0B"/>
                <w:w w:val="99"/>
              </w:rPr>
              <w:t>Male</w:t>
            </w:r>
          </w:p>
        </w:tc>
        <w:tc>
          <w:tcPr>
            <w:tcW w:w="0" w:type="dxa"/>
            <w:vAlign w:val="bottom"/>
          </w:tcPr>
          <w:p>
            <w:pPr>
              <w:spacing w:after="0"/>
              <w:rPr>
                <w:sz w:val="1"/>
                <w:szCs w:val="1"/>
                <w:color w:val="auto"/>
              </w:rPr>
            </w:pPr>
          </w:p>
        </w:tc>
      </w:tr>
      <w:tr>
        <w:trPr>
          <w:trHeight w:val="29"/>
        </w:trPr>
        <w:tc>
          <w:tcPr>
            <w:tcW w:w="9220" w:type="dxa"/>
            <w:vAlign w:val="bottom"/>
            <w:tcBorders>
              <w:bottom w:val="single" w:sz="8" w:color="FB4E0B"/>
            </w:tcBorders>
          </w:tcPr>
          <w:p>
            <w:pPr>
              <w:spacing w:after="0"/>
              <w:rPr>
                <w:sz w:val="2"/>
                <w:szCs w:val="2"/>
                <w:color w:val="auto"/>
              </w:rPr>
            </w:pPr>
          </w:p>
        </w:tc>
        <w:tc>
          <w:tcPr>
            <w:tcW w:w="740" w:type="dxa"/>
            <w:vAlign w:val="bottom"/>
            <w:tcBorders>
              <w:bottom w:val="single" w:sz="8" w:color="FB4E0B"/>
            </w:tcBorders>
          </w:tcPr>
          <w:p>
            <w:pPr>
              <w:spacing w:after="0"/>
              <w:rPr>
                <w:sz w:val="2"/>
                <w:szCs w:val="2"/>
                <w:color w:val="auto"/>
              </w:rPr>
            </w:pPr>
          </w:p>
        </w:tc>
        <w:tc>
          <w:tcPr>
            <w:tcW w:w="660" w:type="dxa"/>
            <w:vAlign w:val="bottom"/>
            <w:tcBorders>
              <w:bottom w:val="single" w:sz="8" w:color="FB4E0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20" w:type="dxa"/>
            <w:vAlign w:val="bottom"/>
            <w:shd w:val="clear" w:color="auto" w:fill="DCF3FA"/>
          </w:tcPr>
          <w:p>
            <w:pPr>
              <w:spacing w:after="0"/>
              <w:rPr>
                <w:sz w:val="20"/>
                <w:szCs w:val="20"/>
                <w:color w:val="auto"/>
              </w:rPr>
            </w:pPr>
            <w:r>
              <w:rPr>
                <w:rFonts w:ascii="Calibri" w:cs="Calibri" w:eastAsia="Calibri" w:hAnsi="Calibri"/>
                <w:sz w:val="17"/>
                <w:szCs w:val="17"/>
                <w:b w:val="1"/>
                <w:bCs w:val="1"/>
                <w:color w:val="auto"/>
              </w:rPr>
              <w:t> Part I: Gender identty</w:t>
            </w:r>
          </w:p>
        </w:tc>
        <w:tc>
          <w:tcPr>
            <w:tcW w:w="740" w:type="dxa"/>
            <w:vAlign w:val="bottom"/>
            <w:shd w:val="clear" w:color="auto" w:fill="DCF3FA"/>
          </w:tcPr>
          <w:p>
            <w:pPr>
              <w:spacing w:after="0"/>
              <w:rPr>
                <w:sz w:val="20"/>
                <w:szCs w:val="20"/>
                <w:color w:val="auto"/>
              </w:rPr>
            </w:pPr>
          </w:p>
        </w:tc>
        <w:tc>
          <w:tcPr>
            <w:tcW w:w="660" w:type="dxa"/>
            <w:vAlign w:val="bottom"/>
            <w:shd w:val="clear" w:color="auto" w:fill="DCF3FA"/>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9220" w:type="dxa"/>
            <w:vAlign w:val="bottom"/>
            <w:tcBorders>
              <w:bottom w:val="single" w:sz="8" w:color="B2B2B2"/>
            </w:tcBorders>
            <w:shd w:val="clear" w:color="auto" w:fill="DCF3FA"/>
          </w:tcPr>
          <w:p>
            <w:pPr>
              <w:spacing w:after="0"/>
              <w:rPr>
                <w:sz w:val="7"/>
                <w:szCs w:val="7"/>
                <w:color w:val="auto"/>
              </w:rPr>
            </w:pPr>
          </w:p>
        </w:tc>
        <w:tc>
          <w:tcPr>
            <w:tcW w:w="740" w:type="dxa"/>
            <w:vAlign w:val="bottom"/>
            <w:tcBorders>
              <w:bottom w:val="single" w:sz="8" w:color="B2B2B2"/>
            </w:tcBorders>
            <w:shd w:val="clear" w:color="auto" w:fill="DCF3FA"/>
          </w:tcPr>
          <w:p>
            <w:pPr>
              <w:spacing w:after="0"/>
              <w:rPr>
                <w:sz w:val="7"/>
                <w:szCs w:val="7"/>
                <w:color w:val="auto"/>
              </w:rPr>
            </w:pPr>
          </w:p>
        </w:tc>
        <w:tc>
          <w:tcPr>
            <w:tcW w:w="660" w:type="dxa"/>
            <w:vAlign w:val="bottom"/>
            <w:tcBorders>
              <w:bottom w:val="single" w:sz="8" w:color="B2B2B2"/>
            </w:tcBorders>
            <w:shd w:val="clear" w:color="auto" w:fill="DCF3FA"/>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220" w:type="dxa"/>
            <w:vAlign w:val="bottom"/>
          </w:tcPr>
          <w:p>
            <w:pPr>
              <w:spacing w:after="0"/>
              <w:rPr>
                <w:sz w:val="20"/>
                <w:szCs w:val="20"/>
                <w:color w:val="auto"/>
              </w:rPr>
            </w:pPr>
            <w:r>
              <w:rPr>
                <w:rFonts w:ascii="Calibri" w:cs="Calibri" w:eastAsia="Calibri" w:hAnsi="Calibri"/>
                <w:sz w:val="17"/>
                <w:szCs w:val="17"/>
                <w:color w:val="auto"/>
              </w:rPr>
              <w:t> Directors</w:t>
            </w:r>
          </w:p>
        </w:tc>
        <w:tc>
          <w:tcPr>
            <w:tcW w:w="740" w:type="dxa"/>
            <w:vAlign w:val="bottom"/>
          </w:tcPr>
          <w:p>
            <w:pPr>
              <w:jc w:val="center"/>
              <w:ind w:left="113"/>
              <w:spacing w:after="0"/>
              <w:rPr>
                <w:sz w:val="20"/>
                <w:szCs w:val="20"/>
                <w:color w:val="auto"/>
              </w:rPr>
            </w:pPr>
            <w:r>
              <w:rPr>
                <w:rFonts w:ascii="Calibri" w:cs="Calibri" w:eastAsia="Calibri" w:hAnsi="Calibri"/>
                <w:sz w:val="17"/>
                <w:szCs w:val="17"/>
                <w:color w:val="auto"/>
              </w:rPr>
              <w:t>3</w:t>
            </w:r>
          </w:p>
        </w:tc>
        <w:tc>
          <w:tcPr>
            <w:tcW w:w="660" w:type="dxa"/>
            <w:vAlign w:val="bottom"/>
          </w:tcPr>
          <w:p>
            <w:pPr>
              <w:jc w:val="center"/>
              <w:ind w:left="16"/>
              <w:spacing w:after="0"/>
              <w:rPr>
                <w:sz w:val="20"/>
                <w:szCs w:val="20"/>
                <w:color w:val="auto"/>
              </w:rPr>
            </w:pPr>
            <w:r>
              <w:rPr>
                <w:rFonts w:ascii="Calibri" w:cs="Calibri" w:eastAsia="Calibri" w:hAnsi="Calibri"/>
                <w:sz w:val="17"/>
                <w:szCs w:val="17"/>
                <w:color w:val="auto"/>
                <w:w w:val="92"/>
              </w:rPr>
              <w:t>6</w:t>
            </w:r>
          </w:p>
        </w:tc>
        <w:tc>
          <w:tcPr>
            <w:tcW w:w="0" w:type="dxa"/>
            <w:vAlign w:val="bottom"/>
          </w:tcPr>
          <w:p>
            <w:pPr>
              <w:spacing w:after="0"/>
              <w:rPr>
                <w:sz w:val="1"/>
                <w:szCs w:val="1"/>
                <w:color w:val="auto"/>
              </w:rPr>
            </w:pPr>
          </w:p>
        </w:tc>
      </w:tr>
      <w:tr>
        <w:trPr>
          <w:trHeight w:val="88"/>
        </w:trPr>
        <w:tc>
          <w:tcPr>
            <w:tcW w:w="9220" w:type="dxa"/>
            <w:vAlign w:val="bottom"/>
            <w:tcBorders>
              <w:bottom w:val="single" w:sz="8" w:color="B2B2B2"/>
            </w:tcBorders>
          </w:tcPr>
          <w:p>
            <w:pPr>
              <w:spacing w:after="0"/>
              <w:rPr>
                <w:sz w:val="7"/>
                <w:szCs w:val="7"/>
                <w:color w:val="auto"/>
              </w:rPr>
            </w:pPr>
          </w:p>
        </w:tc>
        <w:tc>
          <w:tcPr>
            <w:tcW w:w="740" w:type="dxa"/>
            <w:vAlign w:val="bottom"/>
            <w:tcBorders>
              <w:bottom w:val="single" w:sz="8" w:color="B2B2B2"/>
            </w:tcBorders>
          </w:tcPr>
          <w:p>
            <w:pPr>
              <w:spacing w:after="0"/>
              <w:rPr>
                <w:sz w:val="7"/>
                <w:szCs w:val="7"/>
                <w:color w:val="auto"/>
              </w:rPr>
            </w:pPr>
          </w:p>
        </w:tc>
        <w:tc>
          <w:tcPr>
            <w:tcW w:w="660" w:type="dxa"/>
            <w:vAlign w:val="bottom"/>
            <w:tcBorders>
              <w:bottom w:val="single" w:sz="8" w:color="B2B2B2"/>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220" w:type="dxa"/>
            <w:vAlign w:val="bottom"/>
            <w:shd w:val="clear" w:color="auto" w:fill="DCF3FA"/>
          </w:tcPr>
          <w:p>
            <w:pPr>
              <w:spacing w:after="0"/>
              <w:rPr>
                <w:sz w:val="20"/>
                <w:szCs w:val="20"/>
                <w:color w:val="auto"/>
              </w:rPr>
            </w:pPr>
            <w:r>
              <w:rPr>
                <w:rFonts w:ascii="Calibri" w:cs="Calibri" w:eastAsia="Calibri" w:hAnsi="Calibri"/>
                <w:sz w:val="17"/>
                <w:szCs w:val="17"/>
                <w:b w:val="1"/>
                <w:bCs w:val="1"/>
                <w:color w:val="auto"/>
              </w:rPr>
              <w:t> Part II: Demographic background</w:t>
            </w:r>
          </w:p>
        </w:tc>
        <w:tc>
          <w:tcPr>
            <w:tcW w:w="740" w:type="dxa"/>
            <w:vAlign w:val="bottom"/>
            <w:shd w:val="clear" w:color="auto" w:fill="DCF3FA"/>
          </w:tcPr>
          <w:p>
            <w:pPr>
              <w:spacing w:after="0"/>
              <w:rPr>
                <w:sz w:val="20"/>
                <w:szCs w:val="20"/>
                <w:color w:val="auto"/>
              </w:rPr>
            </w:pPr>
          </w:p>
        </w:tc>
        <w:tc>
          <w:tcPr>
            <w:tcW w:w="660" w:type="dxa"/>
            <w:vAlign w:val="bottom"/>
            <w:shd w:val="clear" w:color="auto" w:fill="DCF3FA"/>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9220" w:type="dxa"/>
            <w:vAlign w:val="bottom"/>
            <w:tcBorders>
              <w:bottom w:val="single" w:sz="8" w:color="B2B2B2"/>
            </w:tcBorders>
            <w:shd w:val="clear" w:color="auto" w:fill="DCF3FA"/>
          </w:tcPr>
          <w:p>
            <w:pPr>
              <w:spacing w:after="0"/>
              <w:rPr>
                <w:sz w:val="7"/>
                <w:szCs w:val="7"/>
                <w:color w:val="auto"/>
              </w:rPr>
            </w:pPr>
          </w:p>
        </w:tc>
        <w:tc>
          <w:tcPr>
            <w:tcW w:w="740" w:type="dxa"/>
            <w:vAlign w:val="bottom"/>
            <w:tcBorders>
              <w:bottom w:val="single" w:sz="8" w:color="B2B2B2"/>
            </w:tcBorders>
            <w:shd w:val="clear" w:color="auto" w:fill="DCF3FA"/>
          </w:tcPr>
          <w:p>
            <w:pPr>
              <w:spacing w:after="0"/>
              <w:rPr>
                <w:sz w:val="7"/>
                <w:szCs w:val="7"/>
                <w:color w:val="auto"/>
              </w:rPr>
            </w:pPr>
          </w:p>
        </w:tc>
        <w:tc>
          <w:tcPr>
            <w:tcW w:w="660" w:type="dxa"/>
            <w:vAlign w:val="bottom"/>
            <w:tcBorders>
              <w:bottom w:val="single" w:sz="8" w:color="B2B2B2"/>
            </w:tcBorders>
            <w:shd w:val="clear" w:color="auto" w:fill="DCF3FA"/>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220" w:type="dxa"/>
            <w:vAlign w:val="bottom"/>
          </w:tcPr>
          <w:p>
            <w:pPr>
              <w:spacing w:after="0"/>
              <w:rPr>
                <w:sz w:val="20"/>
                <w:szCs w:val="20"/>
                <w:color w:val="auto"/>
              </w:rPr>
            </w:pPr>
            <w:r>
              <w:rPr>
                <w:rFonts w:ascii="Calibri" w:cs="Calibri" w:eastAsia="Calibri" w:hAnsi="Calibri"/>
                <w:sz w:val="17"/>
                <w:szCs w:val="17"/>
                <w:color w:val="auto"/>
              </w:rPr>
              <w:t> Asian</w:t>
            </w:r>
          </w:p>
        </w:tc>
        <w:tc>
          <w:tcPr>
            <w:tcW w:w="740" w:type="dxa"/>
            <w:vAlign w:val="bottom"/>
          </w:tcPr>
          <w:p>
            <w:pPr>
              <w:jc w:val="center"/>
              <w:ind w:left="113"/>
              <w:spacing w:after="0"/>
              <w:rPr>
                <w:sz w:val="20"/>
                <w:szCs w:val="20"/>
                <w:color w:val="auto"/>
              </w:rPr>
            </w:pPr>
            <w:r>
              <w:rPr>
                <w:rFonts w:ascii="Calibri" w:cs="Calibri" w:eastAsia="Calibri" w:hAnsi="Calibri"/>
                <w:sz w:val="17"/>
                <w:szCs w:val="17"/>
                <w:color w:val="auto"/>
                <w:w w:val="90"/>
              </w:rPr>
              <w:t>—</w:t>
            </w:r>
          </w:p>
        </w:tc>
        <w:tc>
          <w:tcPr>
            <w:tcW w:w="660" w:type="dxa"/>
            <w:vAlign w:val="bottom"/>
          </w:tcPr>
          <w:p>
            <w:pPr>
              <w:jc w:val="center"/>
              <w:ind w:left="16"/>
              <w:spacing w:after="0"/>
              <w:rPr>
                <w:sz w:val="20"/>
                <w:szCs w:val="20"/>
                <w:color w:val="auto"/>
              </w:rPr>
            </w:pPr>
            <w:r>
              <w:rPr>
                <w:rFonts w:ascii="Calibri" w:cs="Calibri" w:eastAsia="Calibri" w:hAnsi="Calibri"/>
                <w:sz w:val="17"/>
                <w:szCs w:val="17"/>
                <w:color w:val="auto"/>
                <w:w w:val="92"/>
              </w:rPr>
              <w:t>4</w:t>
            </w:r>
          </w:p>
        </w:tc>
        <w:tc>
          <w:tcPr>
            <w:tcW w:w="0" w:type="dxa"/>
            <w:vAlign w:val="bottom"/>
          </w:tcPr>
          <w:p>
            <w:pPr>
              <w:spacing w:after="0"/>
              <w:rPr>
                <w:sz w:val="1"/>
                <w:szCs w:val="1"/>
                <w:color w:val="auto"/>
              </w:rPr>
            </w:pPr>
          </w:p>
        </w:tc>
      </w:tr>
      <w:tr>
        <w:trPr>
          <w:trHeight w:val="88"/>
        </w:trPr>
        <w:tc>
          <w:tcPr>
            <w:tcW w:w="9220" w:type="dxa"/>
            <w:vAlign w:val="bottom"/>
            <w:tcBorders>
              <w:bottom w:val="single" w:sz="8" w:color="B2B2B2"/>
            </w:tcBorders>
          </w:tcPr>
          <w:p>
            <w:pPr>
              <w:spacing w:after="0"/>
              <w:rPr>
                <w:sz w:val="7"/>
                <w:szCs w:val="7"/>
                <w:color w:val="auto"/>
              </w:rPr>
            </w:pPr>
          </w:p>
        </w:tc>
        <w:tc>
          <w:tcPr>
            <w:tcW w:w="740" w:type="dxa"/>
            <w:vAlign w:val="bottom"/>
            <w:tcBorders>
              <w:bottom w:val="single" w:sz="8" w:color="B2B2B2"/>
            </w:tcBorders>
          </w:tcPr>
          <w:p>
            <w:pPr>
              <w:spacing w:after="0"/>
              <w:rPr>
                <w:sz w:val="7"/>
                <w:szCs w:val="7"/>
                <w:color w:val="auto"/>
              </w:rPr>
            </w:pPr>
          </w:p>
        </w:tc>
        <w:tc>
          <w:tcPr>
            <w:tcW w:w="660" w:type="dxa"/>
            <w:vAlign w:val="bottom"/>
            <w:tcBorders>
              <w:bottom w:val="single" w:sz="8" w:color="B2B2B2"/>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220" w:type="dxa"/>
            <w:vAlign w:val="bottom"/>
          </w:tcPr>
          <w:p>
            <w:pPr>
              <w:spacing w:after="0"/>
              <w:rPr>
                <w:sz w:val="20"/>
                <w:szCs w:val="20"/>
                <w:color w:val="auto"/>
              </w:rPr>
            </w:pPr>
            <w:r>
              <w:rPr>
                <w:rFonts w:ascii="Calibri" w:cs="Calibri" w:eastAsia="Calibri" w:hAnsi="Calibri"/>
                <w:sz w:val="17"/>
                <w:szCs w:val="17"/>
                <w:color w:val="auto"/>
              </w:rPr>
              <w:t> White (other than Middle Eastern)</w:t>
            </w:r>
          </w:p>
        </w:tc>
        <w:tc>
          <w:tcPr>
            <w:tcW w:w="740" w:type="dxa"/>
            <w:vAlign w:val="bottom"/>
          </w:tcPr>
          <w:p>
            <w:pPr>
              <w:jc w:val="center"/>
              <w:ind w:left="113"/>
              <w:spacing w:after="0"/>
              <w:rPr>
                <w:sz w:val="20"/>
                <w:szCs w:val="20"/>
                <w:color w:val="auto"/>
              </w:rPr>
            </w:pPr>
            <w:r>
              <w:rPr>
                <w:rFonts w:ascii="Calibri" w:cs="Calibri" w:eastAsia="Calibri" w:hAnsi="Calibri"/>
                <w:sz w:val="17"/>
                <w:szCs w:val="17"/>
                <w:color w:val="auto"/>
              </w:rPr>
              <w:t>3</w:t>
            </w:r>
          </w:p>
        </w:tc>
        <w:tc>
          <w:tcPr>
            <w:tcW w:w="660" w:type="dxa"/>
            <w:vAlign w:val="bottom"/>
          </w:tcPr>
          <w:p>
            <w:pPr>
              <w:jc w:val="center"/>
              <w:ind w:left="16"/>
              <w:spacing w:after="0"/>
              <w:rPr>
                <w:sz w:val="20"/>
                <w:szCs w:val="20"/>
                <w:color w:val="auto"/>
              </w:rPr>
            </w:pPr>
            <w:r>
              <w:rPr>
                <w:rFonts w:ascii="Calibri" w:cs="Calibri" w:eastAsia="Calibri" w:hAnsi="Calibri"/>
                <w:sz w:val="17"/>
                <w:szCs w:val="17"/>
                <w:color w:val="auto"/>
                <w:w w:val="92"/>
              </w:rPr>
              <w:t>2</w:t>
            </w:r>
          </w:p>
        </w:tc>
        <w:tc>
          <w:tcPr>
            <w:tcW w:w="0" w:type="dxa"/>
            <w:vAlign w:val="bottom"/>
          </w:tcPr>
          <w:p>
            <w:pPr>
              <w:spacing w:after="0"/>
              <w:rPr>
                <w:sz w:val="1"/>
                <w:szCs w:val="1"/>
                <w:color w:val="auto"/>
              </w:rPr>
            </w:pPr>
          </w:p>
        </w:tc>
      </w:tr>
      <w:tr>
        <w:trPr>
          <w:trHeight w:val="107"/>
        </w:trPr>
        <w:tc>
          <w:tcPr>
            <w:tcW w:w="9220" w:type="dxa"/>
            <w:vAlign w:val="bottom"/>
            <w:tcBorders>
              <w:bottom w:val="single" w:sz="8" w:color="FB4E0B"/>
            </w:tcBorders>
          </w:tcPr>
          <w:p>
            <w:pPr>
              <w:spacing w:after="0"/>
              <w:rPr>
                <w:sz w:val="9"/>
                <w:szCs w:val="9"/>
                <w:color w:val="auto"/>
              </w:rPr>
            </w:pPr>
          </w:p>
        </w:tc>
        <w:tc>
          <w:tcPr>
            <w:tcW w:w="740" w:type="dxa"/>
            <w:vAlign w:val="bottom"/>
            <w:tcBorders>
              <w:bottom w:val="single" w:sz="8" w:color="FB4E0B"/>
            </w:tcBorders>
          </w:tcPr>
          <w:p>
            <w:pPr>
              <w:spacing w:after="0"/>
              <w:rPr>
                <w:sz w:val="9"/>
                <w:szCs w:val="9"/>
                <w:color w:val="auto"/>
              </w:rPr>
            </w:pPr>
          </w:p>
        </w:tc>
        <w:tc>
          <w:tcPr>
            <w:tcW w:w="660" w:type="dxa"/>
            <w:vAlign w:val="bottom"/>
            <w:tcBorders>
              <w:bottom w:val="single" w:sz="8" w:color="FB4E0B"/>
            </w:tcBorders>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9220" w:type="dxa"/>
            <w:vAlign w:val="bottom"/>
            <w:vMerge w:val="restart"/>
          </w:tcPr>
          <w:p>
            <w:pPr>
              <w:ind w:left="80"/>
              <w:spacing w:after="0"/>
              <w:rPr>
                <w:sz w:val="20"/>
                <w:szCs w:val="20"/>
                <w:color w:val="auto"/>
              </w:rPr>
            </w:pPr>
            <w:r>
              <w:rPr>
                <w:rFonts w:ascii="Calibri" w:cs="Calibri" w:eastAsia="Calibri" w:hAnsi="Calibri"/>
                <w:sz w:val="17"/>
                <w:szCs w:val="17"/>
                <w:b w:val="1"/>
                <w:bCs w:val="1"/>
                <w:color w:val="auto"/>
              </w:rPr>
              <w:t xml:space="preserve">14    </w:t>
            </w:r>
            <w:r>
              <w:rPr>
                <w:rFonts w:ascii="Calibri" w:cs="Calibri" w:eastAsia="Calibri" w:hAnsi="Calibri"/>
                <w:sz w:val="27"/>
                <w:szCs w:val="27"/>
                <w:b w:val="1"/>
                <w:bCs w:val="1"/>
                <w:color w:val="FB4E0B"/>
              </w:rPr>
              <w:t>/</w:t>
            </w:r>
            <w:r>
              <w:rPr>
                <w:rFonts w:ascii="Calibri" w:cs="Calibri" w:eastAsia="Calibri" w:hAnsi="Calibri"/>
                <w:sz w:val="17"/>
                <w:szCs w:val="17"/>
                <w:b w:val="1"/>
                <w:bCs w:val="1"/>
                <w:color w:val="auto"/>
              </w:rPr>
              <w:t xml:space="preserve"> </w:t>
            </w:r>
            <w:r>
              <w:rPr>
                <w:rFonts w:ascii="Calibri" w:cs="Calibri" w:eastAsia="Calibri" w:hAnsi="Calibri"/>
                <w:sz w:val="13"/>
                <w:szCs w:val="13"/>
                <w:color w:val="auto"/>
              </w:rPr>
              <w:t xml:space="preserve">   EXL 2024 Proxy Statement</w:t>
            </w:r>
          </w:p>
        </w:tc>
        <w:tc>
          <w:tcPr>
            <w:tcW w:w="740" w:type="dxa"/>
            <w:vAlign w:val="bottom"/>
          </w:tcPr>
          <w:p>
            <w:pPr>
              <w:spacing w:after="0"/>
              <w:rPr>
                <w:sz w:val="24"/>
                <w:szCs w:val="24"/>
                <w:color w:val="auto"/>
              </w:rPr>
            </w:pPr>
          </w:p>
        </w:tc>
        <w:tc>
          <w:tcPr>
            <w:tcW w:w="660" w:type="dxa"/>
            <w:vAlign w:val="bottom"/>
          </w:tcPr>
          <w:p>
            <w:pPr>
              <w:jc w:val="right"/>
              <w:ind w:right="56"/>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92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board of directors</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Director nominees for electon at the Annual Meetng</w:t>
      </w:r>
    </w:p>
    <w:p>
      <w:pPr>
        <w:spacing w:after="0" w:line="114" w:lineRule="exact"/>
        <w:rPr>
          <w:sz w:val="20"/>
          <w:szCs w:val="20"/>
          <w:color w:val="auto"/>
        </w:rPr>
      </w:pPr>
    </w:p>
    <w:p>
      <w:pPr>
        <w:jc w:val="both"/>
        <w:ind w:left="320" w:right="380"/>
        <w:spacing w:after="0" w:line="239" w:lineRule="auto"/>
        <w:rPr>
          <w:sz w:val="20"/>
          <w:szCs w:val="20"/>
          <w:color w:val="auto"/>
        </w:rPr>
      </w:pPr>
      <w:r>
        <w:rPr>
          <w:rFonts w:ascii="Calibri" w:cs="Calibri" w:eastAsia="Calibri" w:hAnsi="Calibri"/>
          <w:sz w:val="17"/>
          <w:szCs w:val="17"/>
          <w:color w:val="auto"/>
        </w:rPr>
        <w:t>Upon the recommendaton of our Nominatng and Governance Commitee, we are pleased to propose eight of our existng directors as nominees for electon as directors at the Annual Meetng. As previously disclosed, one of our current directors, Mr. Mital, will not be standing for re-electon at the Annual Meetng; the remaining eight directors are our director nominees at the Annual Meetng.</w:t>
      </w:r>
    </w:p>
    <w:p>
      <w:pPr>
        <w:spacing w:after="0" w:line="109" w:lineRule="exact"/>
        <w:rPr>
          <w:sz w:val="20"/>
          <w:szCs w:val="20"/>
          <w:color w:val="auto"/>
        </w:rPr>
      </w:pPr>
    </w:p>
    <w:p>
      <w:pPr>
        <w:ind w:left="320" w:right="540"/>
        <w:spacing w:after="0" w:line="239" w:lineRule="auto"/>
        <w:rPr>
          <w:sz w:val="20"/>
          <w:szCs w:val="20"/>
          <w:color w:val="auto"/>
        </w:rPr>
      </w:pPr>
      <w:r>
        <w:rPr>
          <w:rFonts w:ascii="Calibri" w:cs="Calibri" w:eastAsia="Calibri" w:hAnsi="Calibri"/>
          <w:sz w:val="17"/>
          <w:szCs w:val="17"/>
          <w:color w:val="auto"/>
        </w:rPr>
        <w:t>The following tables provide a summary of our board compositon by tenure, age, gender and independence immediately afer our Annual Meetng (assuming the electon of all nominees).</w:t>
      </w:r>
    </w:p>
    <w:p>
      <w:pPr>
        <w:spacing w:after="0" w:line="111" w:lineRule="exact"/>
        <w:rPr>
          <w:sz w:val="20"/>
          <w:szCs w:val="20"/>
          <w:color w:val="auto"/>
        </w:rPr>
      </w:pPr>
    </w:p>
    <w:p>
      <w:pPr>
        <w:ind w:left="900"/>
        <w:spacing w:after="0"/>
        <w:tabs>
          <w:tab w:leader="none" w:pos="3200" w:val="left"/>
          <w:tab w:leader="none" w:pos="5520" w:val="left"/>
          <w:tab w:leader="none" w:pos="8320" w:val="left"/>
        </w:tabs>
        <w:rPr>
          <w:sz w:val="20"/>
          <w:szCs w:val="20"/>
          <w:color w:val="auto"/>
        </w:rPr>
      </w:pPr>
      <w:r>
        <w:rPr>
          <w:rFonts w:ascii="Calibri" w:cs="Calibri" w:eastAsia="Calibri" w:hAnsi="Calibri"/>
          <w:sz w:val="19"/>
          <w:szCs w:val="19"/>
          <w:b w:val="1"/>
          <w:bCs w:val="1"/>
          <w:color w:val="FB4E0B"/>
        </w:rPr>
        <w:t>  Board tenure</w:t>
      </w:r>
      <w:r>
        <w:rPr>
          <w:sz w:val="20"/>
          <w:szCs w:val="20"/>
          <w:color w:val="auto"/>
        </w:rPr>
        <w:tab/>
      </w:r>
      <w:r>
        <w:rPr>
          <w:rFonts w:ascii="Calibri" w:cs="Calibri" w:eastAsia="Calibri" w:hAnsi="Calibri"/>
          <w:sz w:val="19"/>
          <w:szCs w:val="19"/>
          <w:b w:val="1"/>
          <w:bCs w:val="1"/>
          <w:color w:val="FB4E0B"/>
        </w:rPr>
        <w:t>Age distributon</w:t>
      </w:r>
      <w:r>
        <w:rPr>
          <w:sz w:val="20"/>
          <w:szCs w:val="20"/>
          <w:color w:val="auto"/>
        </w:rPr>
        <w:tab/>
      </w:r>
      <w:r>
        <w:rPr>
          <w:rFonts w:ascii="Calibri" w:cs="Calibri" w:eastAsia="Calibri" w:hAnsi="Calibri"/>
          <w:sz w:val="19"/>
          <w:szCs w:val="19"/>
          <w:b w:val="1"/>
          <w:bCs w:val="1"/>
          <w:color w:val="FB4E0B"/>
        </w:rPr>
        <w:t>Gender diversity</w:t>
      </w:r>
      <w:r>
        <w:rPr>
          <w:sz w:val="20"/>
          <w:szCs w:val="20"/>
          <w:color w:val="auto"/>
        </w:rPr>
        <w:tab/>
      </w:r>
      <w:r>
        <w:rPr>
          <w:rFonts w:ascii="Calibri" w:cs="Calibri" w:eastAsia="Calibri" w:hAnsi="Calibri"/>
          <w:sz w:val="19"/>
          <w:szCs w:val="19"/>
          <w:b w:val="1"/>
          <w:bCs w:val="1"/>
          <w:color w:val="FB4E0B"/>
        </w:rPr>
        <w:t>Board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86360</wp:posOffset>
            </wp:positionV>
            <wp:extent cx="6154420" cy="1644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54420" cy="164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800"/>
        <w:spacing w:after="0"/>
        <w:rPr>
          <w:sz w:val="20"/>
          <w:szCs w:val="20"/>
          <w:color w:val="auto"/>
        </w:rPr>
      </w:pPr>
      <w:r>
        <w:rPr>
          <w:rFonts w:ascii="Arial" w:cs="Arial" w:eastAsia="Arial" w:hAnsi="Arial"/>
          <w:sz w:val="17"/>
          <w:szCs w:val="17"/>
          <w:color w:val="auto"/>
        </w:rPr>
        <w:t> </w:t>
      </w:r>
    </w:p>
    <w:p>
      <w:pPr>
        <w:spacing w:after="0" w:line="111"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Following our Annual Meetng, assuming electon of all nominees</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board of directors</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nominees for electon as directors at the Annual Meetng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88900</wp:posOffset>
            </wp:positionV>
            <wp:extent cx="6740525" cy="8591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40525" cy="85915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140"/>
        <w:spacing w:after="0"/>
        <w:rPr>
          <w:sz w:val="20"/>
          <w:szCs w:val="20"/>
          <w:color w:val="auto"/>
        </w:rPr>
      </w:pPr>
      <w:r>
        <w:rPr>
          <w:rFonts w:ascii="Calibri" w:cs="Calibri" w:eastAsia="Calibri" w:hAnsi="Calibri"/>
          <w:sz w:val="16"/>
          <w:szCs w:val="16"/>
          <w:b w:val="1"/>
          <w:bCs w:val="1"/>
          <w:color w:val="auto"/>
        </w:rPr>
        <w:t>Rohit Kapoor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Vikram Pandit</w:t>
      </w:r>
    </w:p>
    <w:p>
      <w:pPr>
        <w:spacing w:after="0" w:line="13" w:lineRule="exact"/>
        <w:rPr>
          <w:sz w:val="20"/>
          <w:szCs w:val="20"/>
          <w:color w:val="auto"/>
        </w:rPr>
      </w:pPr>
    </w:p>
    <w:p>
      <w:pPr>
        <w:sectPr>
          <w:pgSz w:w="11900" w:h="16838" w:orient="portrait"/>
          <w:cols w:equalWidth="0" w:num="2">
            <w:col w:w="6820" w:space="720"/>
            <w:col w:w="3400"/>
          </w:cols>
          <w:pgMar w:left="320" w:top="471" w:right="639" w:bottom="1440" w:gutter="0" w:footer="0" w:header="0"/>
          <w:type w:val="continuous"/>
        </w:sectPr>
      </w:pPr>
    </w:p>
    <w:p>
      <w:pPr>
        <w:ind w:left="2140"/>
        <w:spacing w:after="0"/>
        <w:rPr>
          <w:sz w:val="20"/>
          <w:szCs w:val="20"/>
          <w:color w:val="auto"/>
        </w:rPr>
      </w:pPr>
      <w:r>
        <w:rPr>
          <w:rFonts w:ascii="Calibri" w:cs="Calibri" w:eastAsia="Calibri" w:hAnsi="Calibri"/>
          <w:sz w:val="16"/>
          <w:szCs w:val="16"/>
          <w:color w:val="auto"/>
        </w:rPr>
        <w:t>Chair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335280</wp:posOffset>
            </wp:positionV>
            <wp:extent cx="793115" cy="7848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93115" cy="784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6"/>
          <w:szCs w:val="16"/>
          <w:i w:val="1"/>
          <w:iCs w:val="1"/>
          <w:color w:val="auto"/>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318770</wp:posOffset>
            </wp:positionV>
            <wp:extent cx="6740525" cy="801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40525" cy="801370"/>
                    </a:xfrm>
                    <a:prstGeom prst="rect">
                      <a:avLst/>
                    </a:prstGeom>
                    <a:noFill/>
                  </pic:spPr>
                </pic:pic>
              </a:graphicData>
            </a:graphic>
          </wp:anchor>
        </w:drawing>
        <w:drawing>
          <wp:anchor simplePos="0" relativeHeight="251657728" behindDoc="1" locked="0" layoutInCell="0" allowOverlap="1">
            <wp:simplePos x="0" y="0"/>
            <wp:positionH relativeFrom="column">
              <wp:posOffset>-4586605</wp:posOffset>
            </wp:positionH>
            <wp:positionV relativeFrom="paragraph">
              <wp:posOffset>318770</wp:posOffset>
            </wp:positionV>
            <wp:extent cx="6740525" cy="801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40525" cy="801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400"/>
          </w:cols>
          <w:pgMar w:left="320" w:top="471"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140"/>
        <w:spacing w:after="0"/>
        <w:rPr>
          <w:sz w:val="20"/>
          <w:szCs w:val="20"/>
          <w:color w:val="auto"/>
        </w:rPr>
      </w:pPr>
      <w:r>
        <w:rPr>
          <w:rFonts w:ascii="Calibri" w:cs="Calibri" w:eastAsia="Calibri" w:hAnsi="Calibri"/>
          <w:sz w:val="17"/>
          <w:szCs w:val="17"/>
          <w:b w:val="1"/>
          <w:bCs w:val="1"/>
          <w:color w:val="auto"/>
        </w:rPr>
        <w:t>Thomas Bartlet</w:t>
      </w:r>
    </w:p>
    <w:p>
      <w:pPr>
        <w:spacing w:after="0" w:line="2" w:lineRule="exact"/>
        <w:rPr>
          <w:sz w:val="20"/>
          <w:szCs w:val="20"/>
          <w:color w:val="auto"/>
        </w:rPr>
      </w:pPr>
    </w:p>
    <w:p>
      <w:pPr>
        <w:ind w:left="2140"/>
        <w:spacing w:after="0"/>
        <w:rPr>
          <w:sz w:val="20"/>
          <w:szCs w:val="20"/>
          <w:color w:val="auto"/>
        </w:rPr>
      </w:pPr>
      <w:r>
        <w:rPr>
          <w:rFonts w:ascii="Calibri" w:cs="Calibri" w:eastAsia="Calibri" w:hAnsi="Calibri"/>
          <w:sz w:val="16"/>
          <w:szCs w:val="16"/>
          <w:i w:val="1"/>
          <w:i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327025</wp:posOffset>
            </wp:positionV>
            <wp:extent cx="793115" cy="784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93115" cy="784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Andreas Fibig</w:t>
      </w:r>
    </w:p>
    <w:p>
      <w:pPr>
        <w:spacing w:after="0" w:line="2"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310515</wp:posOffset>
            </wp:positionV>
            <wp:extent cx="6740525" cy="801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40525" cy="801370"/>
                    </a:xfrm>
                    <a:prstGeom prst="rect">
                      <a:avLst/>
                    </a:prstGeom>
                    <a:noFill/>
                  </pic:spPr>
                </pic:pic>
              </a:graphicData>
            </a:graphic>
          </wp:anchor>
        </w:drawing>
        <w:drawing>
          <wp:anchor simplePos="0" relativeHeight="251657728" behindDoc="1" locked="0" layoutInCell="0" allowOverlap="1">
            <wp:simplePos x="0" y="0"/>
            <wp:positionH relativeFrom="column">
              <wp:posOffset>-4586605</wp:posOffset>
            </wp:positionH>
            <wp:positionV relativeFrom="paragraph">
              <wp:posOffset>310515</wp:posOffset>
            </wp:positionV>
            <wp:extent cx="6740525" cy="801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40525" cy="801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400"/>
          </w:cols>
          <w:pgMar w:left="320" w:top="471"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6260" w:type="dxa"/>
            <w:vAlign w:val="bottom"/>
          </w:tcPr>
          <w:p>
            <w:pPr>
              <w:ind w:left="1820"/>
              <w:spacing w:after="0"/>
              <w:rPr>
                <w:sz w:val="20"/>
                <w:szCs w:val="20"/>
                <w:color w:val="auto"/>
              </w:rPr>
            </w:pPr>
            <w:r>
              <w:rPr>
                <w:rFonts w:ascii="Calibri" w:cs="Calibri" w:eastAsia="Calibri" w:hAnsi="Calibri"/>
                <w:sz w:val="17"/>
                <w:szCs w:val="17"/>
                <w:b w:val="1"/>
                <w:bCs w:val="1"/>
                <w:color w:val="auto"/>
              </w:rPr>
              <w:t>Kristy Pipes</w:t>
            </w:r>
          </w:p>
        </w:tc>
        <w:tc>
          <w:tcPr>
            <w:tcW w:w="4360" w:type="dxa"/>
            <w:vAlign w:val="bottom"/>
          </w:tcPr>
          <w:p>
            <w:pPr>
              <w:ind w:left="960"/>
              <w:spacing w:after="0"/>
              <w:rPr>
                <w:sz w:val="20"/>
                <w:szCs w:val="20"/>
                <w:color w:val="auto"/>
              </w:rPr>
            </w:pPr>
            <w:r>
              <w:rPr>
                <w:rFonts w:ascii="Calibri" w:cs="Calibri" w:eastAsia="Calibri" w:hAnsi="Calibri"/>
                <w:sz w:val="17"/>
                <w:szCs w:val="17"/>
                <w:b w:val="1"/>
                <w:bCs w:val="1"/>
                <w:color w:val="auto"/>
              </w:rPr>
              <w:t>Nitn Sahney</w:t>
            </w:r>
          </w:p>
        </w:tc>
        <w:tc>
          <w:tcPr>
            <w:tcW w:w="0" w:type="dxa"/>
            <w:vAlign w:val="bottom"/>
          </w:tcPr>
          <w:p>
            <w:pPr>
              <w:spacing w:after="0"/>
              <w:rPr>
                <w:sz w:val="1"/>
                <w:szCs w:val="1"/>
                <w:color w:val="auto"/>
              </w:rPr>
            </w:pPr>
          </w:p>
        </w:tc>
      </w:tr>
      <w:tr>
        <w:trPr>
          <w:trHeight w:val="208"/>
        </w:trPr>
        <w:tc>
          <w:tcPr>
            <w:tcW w:w="6260" w:type="dxa"/>
            <w:vAlign w:val="bottom"/>
          </w:tcPr>
          <w:p>
            <w:pPr>
              <w:ind w:left="1820"/>
              <w:spacing w:after="0"/>
              <w:rPr>
                <w:sz w:val="20"/>
                <w:szCs w:val="20"/>
                <w:color w:val="auto"/>
              </w:rPr>
            </w:pPr>
            <w:r>
              <w:rPr>
                <w:rFonts w:ascii="Calibri" w:cs="Calibri" w:eastAsia="Calibri" w:hAnsi="Calibri"/>
                <w:sz w:val="17"/>
                <w:szCs w:val="17"/>
                <w:i w:val="1"/>
                <w:iCs w:val="1"/>
                <w:color w:val="auto"/>
              </w:rPr>
              <w:t>Independent Director and Chair of the Audit</w:t>
            </w:r>
          </w:p>
        </w:tc>
        <w:tc>
          <w:tcPr>
            <w:tcW w:w="4360" w:type="dxa"/>
            <w:vAlign w:val="bottom"/>
          </w:tcPr>
          <w:p>
            <w:pPr>
              <w:ind w:left="960"/>
              <w:spacing w:after="0"/>
              <w:rPr>
                <w:sz w:val="20"/>
                <w:szCs w:val="20"/>
                <w:color w:val="auto"/>
              </w:rPr>
            </w:pPr>
            <w:r>
              <w:rPr>
                <w:rFonts w:ascii="Calibri" w:cs="Calibri" w:eastAsia="Calibri" w:hAnsi="Calibri"/>
                <w:sz w:val="17"/>
                <w:szCs w:val="17"/>
                <w:i w:val="1"/>
                <w:iCs w:val="1"/>
                <w:color w:val="auto"/>
              </w:rPr>
              <w:t>Independent Director and Chair of the</w:t>
            </w:r>
          </w:p>
        </w:tc>
        <w:tc>
          <w:tcPr>
            <w:tcW w:w="0" w:type="dxa"/>
            <w:vAlign w:val="bottom"/>
          </w:tcPr>
          <w:p>
            <w:pPr>
              <w:spacing w:after="0"/>
              <w:rPr>
                <w:sz w:val="1"/>
                <w:szCs w:val="1"/>
                <w:color w:val="auto"/>
              </w:rPr>
            </w:pPr>
          </w:p>
        </w:tc>
      </w:tr>
      <w:tr>
        <w:trPr>
          <w:trHeight w:val="208"/>
        </w:trPr>
        <w:tc>
          <w:tcPr>
            <w:tcW w:w="6260" w:type="dxa"/>
            <w:vAlign w:val="bottom"/>
          </w:tcPr>
          <w:p>
            <w:pPr>
              <w:ind w:left="1820"/>
              <w:spacing w:after="0"/>
              <w:rPr>
                <w:sz w:val="20"/>
                <w:szCs w:val="20"/>
                <w:color w:val="auto"/>
              </w:rPr>
            </w:pPr>
            <w:r>
              <w:rPr>
                <w:rFonts w:ascii="Calibri" w:cs="Calibri" w:eastAsia="Calibri" w:hAnsi="Calibri"/>
                <w:sz w:val="17"/>
                <w:szCs w:val="17"/>
                <w:i w:val="1"/>
                <w:iCs w:val="1"/>
                <w:color w:val="auto"/>
              </w:rPr>
              <w:t>Commitee</w:t>
            </w:r>
          </w:p>
        </w:tc>
        <w:tc>
          <w:tcPr>
            <w:tcW w:w="4360" w:type="dxa"/>
            <w:vAlign w:val="bottom"/>
          </w:tcPr>
          <w:p>
            <w:pPr>
              <w:ind w:left="960"/>
              <w:spacing w:after="0"/>
              <w:rPr>
                <w:sz w:val="20"/>
                <w:szCs w:val="20"/>
                <w:color w:val="auto"/>
              </w:rPr>
            </w:pPr>
            <w:r>
              <w:rPr>
                <w:rFonts w:ascii="Calibri" w:cs="Calibri" w:eastAsia="Calibri" w:hAnsi="Calibri"/>
                <w:sz w:val="17"/>
                <w:szCs w:val="17"/>
                <w:i w:val="1"/>
                <w:iCs w:val="1"/>
                <w:color w:val="auto"/>
              </w:rPr>
              <w:t>Nominatng and Governance Commitee</w:t>
            </w:r>
          </w:p>
        </w:tc>
        <w:tc>
          <w:tcPr>
            <w:tcW w:w="0" w:type="dxa"/>
            <w:vAlign w:val="bottom"/>
          </w:tcPr>
          <w:p>
            <w:pPr>
              <w:spacing w:after="0"/>
              <w:rPr>
                <w:sz w:val="1"/>
                <w:szCs w:val="1"/>
                <w:color w:val="auto"/>
              </w:rPr>
            </w:pPr>
          </w:p>
        </w:tc>
      </w:tr>
      <w:tr>
        <w:trPr>
          <w:trHeight w:val="374"/>
        </w:trPr>
        <w:tc>
          <w:tcPr>
            <w:tcW w:w="62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260" w:type="dxa"/>
            <w:vAlign w:val="bottom"/>
          </w:tcPr>
          <w:p>
            <w:pPr>
              <w:spacing w:after="0"/>
              <w:rPr>
                <w:sz w:val="16"/>
                <w:szCs w:val="16"/>
                <w:color w:val="auto"/>
              </w:rPr>
            </w:pPr>
          </w:p>
        </w:tc>
        <w:tc>
          <w:tcPr>
            <w:tcW w:w="4360" w:type="dxa"/>
            <w:vAlign w:val="bottom"/>
          </w:tcPr>
          <w:p>
            <w:pPr>
              <w:ind w:left="960"/>
              <w:spacing w:after="0" w:line="193" w:lineRule="exact"/>
              <w:rPr>
                <w:sz w:val="20"/>
                <w:szCs w:val="20"/>
                <w:color w:val="auto"/>
              </w:rPr>
            </w:pPr>
            <w:r>
              <w:rPr>
                <w:rFonts w:ascii="Calibri" w:cs="Calibri" w:eastAsia="Calibri" w:hAnsi="Calibri"/>
                <w:sz w:val="17"/>
                <w:szCs w:val="17"/>
                <w:b w:val="1"/>
                <w:bCs w:val="1"/>
                <w:color w:val="auto"/>
              </w:rPr>
              <w:t>Sarah K. Williamson</w:t>
            </w:r>
          </w:p>
        </w:tc>
        <w:tc>
          <w:tcPr>
            <w:tcW w:w="0" w:type="dxa"/>
            <w:vAlign w:val="bottom"/>
          </w:tcPr>
          <w:p>
            <w:pPr>
              <w:spacing w:after="0"/>
              <w:rPr>
                <w:sz w:val="1"/>
                <w:szCs w:val="1"/>
                <w:color w:val="auto"/>
              </w:rPr>
            </w:pPr>
          </w:p>
        </w:tc>
      </w:tr>
      <w:tr>
        <w:trPr>
          <w:trHeight w:val="206"/>
        </w:trPr>
        <w:tc>
          <w:tcPr>
            <w:tcW w:w="6260" w:type="dxa"/>
            <w:vAlign w:val="bottom"/>
            <w:vMerge w:val="restart"/>
          </w:tcPr>
          <w:p>
            <w:pPr>
              <w:ind w:left="1820"/>
              <w:spacing w:after="0"/>
              <w:rPr>
                <w:sz w:val="20"/>
                <w:szCs w:val="20"/>
                <w:color w:val="auto"/>
              </w:rPr>
            </w:pPr>
            <w:r>
              <w:rPr>
                <w:rFonts w:ascii="Calibri" w:cs="Calibri" w:eastAsia="Calibri" w:hAnsi="Calibri"/>
                <w:sz w:val="17"/>
                <w:szCs w:val="17"/>
                <w:b w:val="1"/>
                <w:bCs w:val="1"/>
                <w:color w:val="auto"/>
              </w:rPr>
              <w:t>Jaynie Studenmund</w:t>
            </w:r>
          </w:p>
        </w:tc>
        <w:tc>
          <w:tcPr>
            <w:tcW w:w="4360" w:type="dxa"/>
            <w:vAlign w:val="bottom"/>
          </w:tcPr>
          <w:p>
            <w:pPr>
              <w:ind w:left="960"/>
              <w:spacing w:after="0" w:line="206" w:lineRule="exact"/>
              <w:rPr>
                <w:sz w:val="20"/>
                <w:szCs w:val="20"/>
                <w:color w:val="auto"/>
              </w:rPr>
            </w:pPr>
            <w:r>
              <w:rPr>
                <w:rFonts w:ascii="Calibri" w:cs="Calibri" w:eastAsia="Calibri" w:hAnsi="Calibri"/>
                <w:sz w:val="17"/>
                <w:szCs w:val="17"/>
                <w:i w:val="1"/>
                <w:iCs w:val="1"/>
                <w:color w:val="auto"/>
              </w:rPr>
              <w:t>Independent Director</w:t>
            </w: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260" w:type="dxa"/>
            <w:vAlign w:val="bottom"/>
          </w:tcPr>
          <w:p>
            <w:pPr>
              <w:ind w:left="1820"/>
              <w:spacing w:after="0"/>
              <w:rPr>
                <w:sz w:val="20"/>
                <w:szCs w:val="20"/>
                <w:color w:val="auto"/>
              </w:rPr>
            </w:pPr>
            <w:r>
              <w:rPr>
                <w:rFonts w:ascii="Calibri" w:cs="Calibri" w:eastAsia="Calibri" w:hAnsi="Calibri"/>
                <w:sz w:val="17"/>
                <w:szCs w:val="17"/>
                <w:i w:val="1"/>
                <w:iCs w:val="1"/>
                <w:color w:val="auto"/>
              </w:rPr>
              <w:t>Independent Director and Chair of the</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tcPr>
          <w:p>
            <w:pPr>
              <w:ind w:left="1820"/>
              <w:spacing w:after="0"/>
              <w:rPr>
                <w:sz w:val="20"/>
                <w:szCs w:val="20"/>
                <w:color w:val="auto"/>
              </w:rPr>
            </w:pPr>
            <w:r>
              <w:rPr>
                <w:rFonts w:ascii="Calibri" w:cs="Calibri" w:eastAsia="Calibri" w:hAnsi="Calibri"/>
                <w:sz w:val="17"/>
                <w:szCs w:val="17"/>
                <w:i w:val="1"/>
                <w:iCs w:val="1"/>
                <w:color w:val="auto"/>
              </w:rPr>
              <w:t>Compensaton and Talent Management Commitee</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-588010</wp:posOffset>
            </wp:positionV>
            <wp:extent cx="6740525" cy="8509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40525" cy="85090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We believe that our director nominees, individually and together as a whole, possess the requisite skills, experience and qualifcatons necessary to maintain an efectve board to serve the best interests of the Company and its stockholders described below under “Director qualifcatons” beginning on page 29.</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board of directors</w:t>
      </w:r>
    </w:p>
    <w:p>
      <w:pPr>
        <w:spacing w:after="0" w:line="348" w:lineRule="exact"/>
        <w:rPr>
          <w:sz w:val="20"/>
          <w:szCs w:val="20"/>
          <w:color w:val="auto"/>
        </w:rPr>
      </w:pPr>
    </w:p>
    <w:p>
      <w:pPr>
        <w:ind w:left="320" w:right="340"/>
        <w:spacing w:after="0" w:line="239" w:lineRule="auto"/>
        <w:rPr>
          <w:sz w:val="20"/>
          <w:szCs w:val="20"/>
          <w:color w:val="auto"/>
        </w:rPr>
      </w:pPr>
      <w:r>
        <w:rPr>
          <w:rFonts w:ascii="Calibri" w:cs="Calibri" w:eastAsia="Calibri" w:hAnsi="Calibri"/>
          <w:sz w:val="17"/>
          <w:szCs w:val="17"/>
          <w:color w:val="auto"/>
        </w:rPr>
        <w:t>The name, age (as of the date of this Proxy Statement), principal occupaton and other informaton, including the specifc experience, qualifcatons, atributes or skills that led to the conclusion that such person should serve as a director of the Company, with respect to each of the nominees, are set forth below. There are no family relatonships among any of our directors or executve ofcers.</w:t>
      </w:r>
    </w:p>
    <w:p>
      <w:pPr>
        <w:spacing w:after="0" w:line="38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Nominees for electon at the Annual Meetng - Biographical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168910</wp:posOffset>
            </wp:positionV>
            <wp:extent cx="6740525" cy="5784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40525" cy="57848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Calibri" w:cs="Calibri" w:eastAsia="Calibri" w:hAnsi="Calibri"/>
          <w:sz w:val="24"/>
          <w:szCs w:val="24"/>
          <w:b w:val="1"/>
          <w:bCs w:val="1"/>
          <w:color w:val="FB4E0B"/>
        </w:rPr>
        <w:t>  Rohit Kapoor</w:t>
      </w:r>
    </w:p>
    <w:p>
      <w:pPr>
        <w:spacing w:after="0" w:line="9" w:lineRule="exact"/>
        <w:rPr>
          <w:sz w:val="20"/>
          <w:szCs w:val="20"/>
          <w:color w:val="auto"/>
        </w:rPr>
      </w:pPr>
    </w:p>
    <w:p>
      <w:pPr>
        <w:ind w:left="320"/>
        <w:spacing w:after="0"/>
        <w:tabs>
          <w:tab w:leader="none" w:pos="2720" w:val="left"/>
          <w:tab w:leader="none" w:pos="2960" w:val="left"/>
          <w:tab w:leader="none" w:pos="9320" w:val="left"/>
        </w:tabs>
        <w:rPr>
          <w:sz w:val="20"/>
          <w:szCs w:val="20"/>
          <w:color w:val="auto"/>
        </w:rPr>
      </w:pPr>
      <w:r>
        <w:rPr>
          <w:rFonts w:ascii="Calibri" w:cs="Calibri" w:eastAsia="Calibri" w:hAnsi="Calibri"/>
          <w:sz w:val="17"/>
          <w:szCs w:val="17"/>
          <w:b w:val="1"/>
          <w:bCs w:val="1"/>
          <w:color w:val="auto"/>
        </w:rPr>
        <w:t>   Director since November 2002 </w:t>
        <w:tab/>
        <w:t xml:space="preserve">| </w:t>
        <w:tab/>
        <w:t>Chair (since 2024) and CEO (since 2008)</w:t>
      </w:r>
      <w:r>
        <w:rPr>
          <w:sz w:val="20"/>
          <w:szCs w:val="20"/>
          <w:color w:val="auto"/>
        </w:rPr>
        <w:tab/>
      </w:r>
      <w:r>
        <w:rPr>
          <w:rFonts w:ascii="Calibri" w:cs="Calibri" w:eastAsia="Calibri" w:hAnsi="Calibri"/>
          <w:sz w:val="16"/>
          <w:szCs w:val="16"/>
          <w:b w:val="1"/>
          <w:bCs w:val="1"/>
          <w:color w:val="FB4E0B"/>
        </w:rPr>
        <w:t>Non-independent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187960</wp:posOffset>
            </wp:positionV>
            <wp:extent cx="1164590" cy="1164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1740" w:type="dxa"/>
            <w:vAlign w:val="bottom"/>
          </w:tcPr>
          <w:p>
            <w:pPr>
              <w:ind w:left="720"/>
              <w:spacing w:after="0"/>
              <w:rPr>
                <w:sz w:val="20"/>
                <w:szCs w:val="20"/>
                <w:color w:val="auto"/>
              </w:rPr>
            </w:pPr>
            <w:r>
              <w:rPr>
                <w:rFonts w:ascii="Calibri" w:cs="Calibri" w:eastAsia="Calibri" w:hAnsi="Calibri"/>
                <w:sz w:val="10"/>
                <w:szCs w:val="10"/>
                <w:b w:val="1"/>
                <w:bCs w:val="1"/>
                <w:color w:val="auto"/>
              </w:rPr>
              <w:t>SKILLS</w:t>
            </w:r>
          </w:p>
        </w:tc>
        <w:tc>
          <w:tcPr>
            <w:tcW w:w="60" w:type="dxa"/>
            <w:vAlign w:val="bottom"/>
          </w:tcPr>
          <w:p>
            <w:pPr>
              <w:ind w:left="20"/>
              <w:spacing w:after="0"/>
              <w:rPr>
                <w:sz w:val="20"/>
                <w:szCs w:val="20"/>
                <w:color w:val="auto"/>
              </w:rPr>
            </w:pPr>
            <w:r>
              <w:rPr>
                <w:rFonts w:ascii="Calibri" w:cs="Calibri" w:eastAsia="Calibri" w:hAnsi="Calibri"/>
                <w:sz w:val="2"/>
                <w:szCs w:val="2"/>
                <w:b w:val="1"/>
                <w:bCs w:val="1"/>
                <w:color w:val="auto"/>
                <w:w w:val="97"/>
              </w:rPr>
              <w:t> </w:t>
            </w:r>
          </w:p>
        </w:tc>
        <w:tc>
          <w:tcPr>
            <w:tcW w:w="0" w:type="dxa"/>
            <w:vAlign w:val="bottom"/>
          </w:tcPr>
          <w:p>
            <w:pPr>
              <w:spacing w:after="0"/>
              <w:rPr>
                <w:sz w:val="1"/>
                <w:szCs w:val="1"/>
                <w:color w:val="auto"/>
              </w:rPr>
            </w:pPr>
          </w:p>
        </w:tc>
      </w:tr>
      <w:tr>
        <w:trPr>
          <w:trHeight w:val="247"/>
        </w:trPr>
        <w:tc>
          <w:tcPr>
            <w:tcW w:w="260" w:type="dxa"/>
            <w:vAlign w:val="bottom"/>
          </w:tcPr>
          <w:p>
            <w:pPr>
              <w:spacing w:after="0"/>
              <w:rPr>
                <w:sz w:val="21"/>
                <w:szCs w:val="21"/>
                <w:color w:val="auto"/>
              </w:rPr>
            </w:pPr>
          </w:p>
        </w:tc>
        <w:tc>
          <w:tcPr>
            <w:tcW w:w="1740" w:type="dxa"/>
            <w:vAlign w:val="bottom"/>
          </w:tcPr>
          <w:p>
            <w:pPr>
              <w:ind w:left="720"/>
              <w:spacing w:after="0"/>
              <w:rPr>
                <w:sz w:val="20"/>
                <w:szCs w:val="20"/>
                <w:color w:val="auto"/>
              </w:rPr>
            </w:pPr>
            <w:r>
              <w:rPr>
                <w:rFonts w:ascii="Calibri" w:cs="Calibri" w:eastAsia="Calibri" w:hAnsi="Calibri"/>
                <w:sz w:val="10"/>
                <w:szCs w:val="10"/>
                <w:color w:val="auto"/>
              </w:rPr>
              <w:t>Finance</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0" w:type="dxa"/>
            <w:vAlign w:val="bottom"/>
            <w:vMerge w:val="restart"/>
          </w:tcPr>
          <w:p>
            <w:pPr>
              <w:spacing w:after="0"/>
              <w:rPr>
                <w:sz w:val="20"/>
                <w:szCs w:val="20"/>
                <w:color w:val="auto"/>
              </w:rPr>
            </w:pPr>
            <w:r>
              <w:rPr>
                <w:rFonts w:ascii="Arial" w:cs="Arial" w:eastAsia="Arial" w:hAnsi="Arial"/>
                <w:sz w:val="10"/>
                <w:szCs w:val="10"/>
                <w:color w:val="auto"/>
              </w:rPr>
              <w:t> </w:t>
            </w:r>
          </w:p>
        </w:tc>
        <w:tc>
          <w:tcPr>
            <w:tcW w:w="1740" w:type="dxa"/>
            <w:vAlign w:val="bottom"/>
          </w:tcPr>
          <w:p>
            <w:pPr>
              <w:ind w:left="720"/>
              <w:spacing w:after="0" w:line="104" w:lineRule="exact"/>
              <w:rPr>
                <w:sz w:val="20"/>
                <w:szCs w:val="20"/>
                <w:color w:val="auto"/>
              </w:rPr>
            </w:pPr>
            <w:r>
              <w:rPr>
                <w:rFonts w:ascii="Calibri" w:cs="Calibri" w:eastAsia="Calibri" w:hAnsi="Calibri"/>
                <w:sz w:val="10"/>
                <w:szCs w:val="10"/>
                <w:color w:val="auto"/>
              </w:rPr>
              <w:t>and accountng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60" w:type="dxa"/>
            <w:vAlign w:val="bottom"/>
            <w:vMerge w:val="continue"/>
          </w:tcPr>
          <w:p>
            <w:pPr>
              <w:spacing w:after="0"/>
              <w:rPr>
                <w:sz w:val="11"/>
                <w:szCs w:val="11"/>
                <w:color w:val="auto"/>
              </w:rPr>
            </w:pPr>
          </w:p>
        </w:tc>
        <w:tc>
          <w:tcPr>
            <w:tcW w:w="1740" w:type="dxa"/>
            <w:vAlign w:val="bottom"/>
          </w:tcPr>
          <w:p>
            <w:pPr>
              <w:ind w:left="240"/>
              <w:spacing w:after="0"/>
              <w:rPr>
                <w:sz w:val="20"/>
                <w:szCs w:val="20"/>
                <w:color w:val="auto"/>
              </w:rPr>
            </w:pPr>
            <w:r>
              <w:rPr>
                <w:rFonts w:ascii="Arial" w:cs="Arial" w:eastAsia="Arial" w:hAnsi="Arial"/>
                <w:sz w:val="10"/>
                <w:szCs w:val="10"/>
                <w:color w:val="auto"/>
              </w:rPr>
              <w:t xml:space="preserve">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1740" w:type="dxa"/>
            <w:vAlign w:val="bottom"/>
          </w:tcPr>
          <w:p>
            <w:pPr>
              <w:ind w:left="720"/>
              <w:spacing w:after="0"/>
              <w:rPr>
                <w:sz w:val="20"/>
                <w:szCs w:val="20"/>
                <w:color w:val="auto"/>
              </w:rPr>
            </w:pPr>
            <w:r>
              <w:rPr>
                <w:rFonts w:ascii="Calibri" w:cs="Calibri" w:eastAsia="Calibri" w:hAnsi="Calibri"/>
                <w:sz w:val="10"/>
                <w:szCs w:val="10"/>
                <w:color w:val="auto"/>
              </w:rPr>
              <w:t>Executve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740" w:type="dxa"/>
            <w:vAlign w:val="bottom"/>
          </w:tcPr>
          <w:p>
            <w:pPr>
              <w:ind w:left="720"/>
              <w:spacing w:after="0"/>
              <w:rPr>
                <w:sz w:val="20"/>
                <w:szCs w:val="20"/>
                <w:color w:val="auto"/>
              </w:rPr>
            </w:pPr>
            <w:r>
              <w:rPr>
                <w:rFonts w:ascii="Calibri" w:cs="Calibri" w:eastAsia="Calibri" w:hAnsi="Calibri"/>
                <w:sz w:val="10"/>
                <w:szCs w:val="10"/>
                <w:color w:val="auto"/>
              </w:rPr>
              <w:t>leadership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0" w:type="dxa"/>
            <w:vAlign w:val="bottom"/>
            <w:vMerge w:val="restart"/>
          </w:tcPr>
          <w:p>
            <w:pPr>
              <w:spacing w:after="0"/>
              <w:rPr>
                <w:sz w:val="20"/>
                <w:szCs w:val="20"/>
                <w:color w:val="auto"/>
              </w:rPr>
            </w:pPr>
            <w:r>
              <w:rPr>
                <w:rFonts w:ascii="Arial" w:cs="Arial" w:eastAsia="Arial" w:hAnsi="Arial"/>
                <w:sz w:val="10"/>
                <w:szCs w:val="10"/>
                <w:color w:val="auto"/>
              </w:rPr>
              <w:t> </w:t>
            </w:r>
          </w:p>
        </w:tc>
        <w:tc>
          <w:tcPr>
            <w:tcW w:w="1740" w:type="dxa"/>
            <w:vAlign w:val="bottom"/>
          </w:tcPr>
          <w:p>
            <w:pPr>
              <w:ind w:left="720"/>
              <w:spacing w:after="0"/>
              <w:rPr>
                <w:sz w:val="20"/>
                <w:szCs w:val="20"/>
                <w:color w:val="auto"/>
              </w:rPr>
            </w:pPr>
            <w:r>
              <w:rPr>
                <w:rFonts w:ascii="Calibri" w:cs="Calibri" w:eastAsia="Calibri" w:hAnsi="Calibri"/>
                <w:sz w:val="10"/>
                <w:szCs w:val="10"/>
                <w:color w:val="auto"/>
              </w:rPr>
              <w:t>(within the last 5 years)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60" w:type="dxa"/>
            <w:vAlign w:val="bottom"/>
            <w:vMerge w:val="continue"/>
          </w:tcPr>
          <w:p>
            <w:pPr>
              <w:spacing w:after="0"/>
              <w:rPr>
                <w:sz w:val="8"/>
                <w:szCs w:val="8"/>
                <w:color w:val="auto"/>
              </w:rPr>
            </w:pPr>
          </w:p>
        </w:tc>
        <w:tc>
          <w:tcPr>
            <w:tcW w:w="1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260" w:type="dxa"/>
            <w:vAlign w:val="bottom"/>
          </w:tcPr>
          <w:p>
            <w:pPr>
              <w:spacing w:after="0"/>
              <w:rPr>
                <w:sz w:val="20"/>
                <w:szCs w:val="20"/>
                <w:color w:val="auto"/>
              </w:rPr>
            </w:pPr>
          </w:p>
        </w:tc>
        <w:tc>
          <w:tcPr>
            <w:tcW w:w="1740" w:type="dxa"/>
            <w:vAlign w:val="bottom"/>
          </w:tcPr>
          <w:p>
            <w:pPr>
              <w:ind w:left="720"/>
              <w:spacing w:after="0"/>
              <w:rPr>
                <w:sz w:val="20"/>
                <w:szCs w:val="20"/>
                <w:color w:val="auto"/>
              </w:rPr>
            </w:pPr>
            <w:r>
              <w:rPr>
                <w:rFonts w:ascii="Calibri" w:cs="Calibri" w:eastAsia="Calibri" w:hAnsi="Calibri"/>
                <w:sz w:val="10"/>
                <w:szCs w:val="10"/>
                <w:color w:val="auto"/>
              </w:rPr>
              <w:t>Public company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60" w:type="dxa"/>
            <w:vAlign w:val="bottom"/>
            <w:vMerge w:val="restart"/>
          </w:tcPr>
          <w:p>
            <w:pPr>
              <w:spacing w:after="0"/>
              <w:rPr>
                <w:sz w:val="20"/>
                <w:szCs w:val="20"/>
                <w:color w:val="auto"/>
              </w:rPr>
            </w:pPr>
            <w:r>
              <w:rPr>
                <w:rFonts w:ascii="Calibri" w:cs="Calibri" w:eastAsia="Calibri" w:hAnsi="Calibri"/>
                <w:sz w:val="17"/>
                <w:szCs w:val="17"/>
                <w:color w:val="auto"/>
              </w:rPr>
              <w:t> </w:t>
            </w:r>
          </w:p>
        </w:tc>
        <w:tc>
          <w:tcPr>
            <w:tcW w:w="1740" w:type="dxa"/>
            <w:vAlign w:val="bottom"/>
          </w:tcPr>
          <w:p>
            <w:pPr>
              <w:ind w:left="720"/>
              <w:spacing w:after="0"/>
              <w:rPr>
                <w:sz w:val="20"/>
                <w:szCs w:val="20"/>
                <w:color w:val="auto"/>
              </w:rPr>
            </w:pPr>
            <w:r>
              <w:rPr>
                <w:rFonts w:ascii="Calibri" w:cs="Calibri" w:eastAsia="Calibri" w:hAnsi="Calibri"/>
                <w:sz w:val="10"/>
                <w:szCs w:val="10"/>
                <w:color w:val="auto"/>
              </w:rPr>
              <w:t>governance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6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60" w:type="dxa"/>
            <w:vAlign w:val="bottom"/>
          </w:tcPr>
          <w:p>
            <w:pPr>
              <w:spacing w:after="0"/>
              <w:rPr>
                <w:sz w:val="20"/>
                <w:szCs w:val="20"/>
                <w:color w:val="auto"/>
              </w:rPr>
            </w:pPr>
          </w:p>
        </w:tc>
        <w:tc>
          <w:tcPr>
            <w:tcW w:w="1740" w:type="dxa"/>
            <w:vAlign w:val="bottom"/>
          </w:tcPr>
          <w:p>
            <w:pPr>
              <w:ind w:left="720"/>
              <w:spacing w:after="0"/>
              <w:rPr>
                <w:sz w:val="20"/>
                <w:szCs w:val="20"/>
                <w:color w:val="auto"/>
              </w:rPr>
            </w:pPr>
            <w:r>
              <w:rPr>
                <w:rFonts w:ascii="Calibri" w:cs="Calibri" w:eastAsia="Calibri" w:hAnsi="Calibri"/>
                <w:sz w:val="10"/>
                <w:szCs w:val="10"/>
                <w:color w:val="auto"/>
              </w:rPr>
              <w:t>Analytcs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20"/>
                <w:szCs w:val="20"/>
                <w:color w:val="auto"/>
              </w:rPr>
            </w:pPr>
            <w:r>
              <w:rPr>
                <w:rFonts w:ascii="Arial" w:cs="Arial" w:eastAsia="Arial" w:hAnsi="Arial"/>
                <w:sz w:val="10"/>
                <w:szCs w:val="10"/>
                <w:color w:val="auto"/>
              </w:rPr>
              <w:t> </w:t>
            </w: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-1167765</wp:posOffset>
            </wp:positionV>
            <wp:extent cx="231140" cy="2311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-845820</wp:posOffset>
            </wp:positionV>
            <wp:extent cx="247650" cy="2311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7650" cy="23114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-515620</wp:posOffset>
            </wp:positionV>
            <wp:extent cx="132080" cy="2063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2080" cy="20637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-184785</wp:posOffset>
            </wp:positionV>
            <wp:extent cx="255905" cy="165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5905" cy="165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80"/>
        <w:spacing w:after="0"/>
        <w:rPr>
          <w:sz w:val="20"/>
          <w:szCs w:val="20"/>
          <w:color w:val="auto"/>
        </w:rPr>
      </w:pPr>
      <w:r>
        <w:rPr>
          <w:rFonts w:ascii="Calibri" w:cs="Calibri" w:eastAsia="Calibri" w:hAnsi="Calibri"/>
          <w:sz w:val="17"/>
          <w:szCs w:val="17"/>
          <w:color w:val="auto"/>
        </w:rPr>
        <w:t>Age: 59 — co-founded EXL in April 1999 and has served as our Chair and CEO since April 2024, and previously our Vice Chair and CEO since April 2012 and as a director since November 2002. He previously served as our President and CEO from May 2008 to March 2012. Mr. Kapoor’s business experience, skills and directorships are detailed below. The Company has concluded that, in connecton with Mr. Kapoor’s experience as a founder and current role as CEO of the Company, Mr. Kapoor should serve as a director.</w:t>
      </w:r>
    </w:p>
    <w:p>
      <w:pPr>
        <w:spacing w:after="0" w:line="11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 N/A</w:t>
      </w:r>
    </w:p>
    <w:p>
      <w:pPr>
        <w:spacing w:after="0" w:line="15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 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51879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41"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Chair and CEO (2024 - present)</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Vice Chair and CEO (2012 - 2024)</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President and CEO (2008 - 2012)</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Various senior leadership roles, including CFO and COO (2000 - 2008)</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51879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41"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 Business head, Deutsche Bank, a fnancial services provider (1999 - 2000)</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 Various capacites at Bank of America in the United States and Asia, including India (1991 - 1999)</w:t>
      </w:r>
    </w:p>
    <w:p>
      <w:pPr>
        <w:spacing w:after="0" w:line="125" w:lineRule="exact"/>
        <w:rPr>
          <w:sz w:val="20"/>
          <w:szCs w:val="20"/>
          <w:color w:val="auto"/>
        </w:rPr>
      </w:pPr>
    </w:p>
    <w:p>
      <w:pPr>
        <w:sectPr>
          <w:pgSz w:w="11900" w:h="16838" w:orient="portrait"/>
          <w:cols w:equalWidth="0" w:num="2">
            <w:col w:w="2380" w:space="380"/>
            <w:col w:w="8180"/>
          </w:cols>
          <w:pgMar w:left="320" w:top="471" w:right="639" w:bottom="1440" w:gutter="0" w:footer="0" w:header="0"/>
          <w:type w:val="continuous"/>
        </w:sectPr>
      </w:pPr>
    </w:p>
    <w:p>
      <w:pPr>
        <w:spacing w:after="0" w:line="103"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-64135</wp:posOffset>
            </wp:positionV>
            <wp:extent cx="214630"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management</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125"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Digital operatons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-64135</wp:posOffset>
            </wp:positionV>
            <wp:extent cx="239395"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9395" cy="21463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solutons</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92075</wp:posOffset>
            </wp:positionV>
            <wp:extent cx="239395" cy="2393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196"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Marketng</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138"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-72390</wp:posOffset>
            </wp:positionV>
            <wp:extent cx="231140" cy="2311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experience</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125"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Risk oversight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-64135</wp:posOffset>
            </wp:positionV>
            <wp:extent cx="231140" cy="214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management</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125"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Mergers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-64135</wp:posOffset>
            </wp:positionV>
            <wp:extent cx="231140" cy="2063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acquisitons</w:t>
      </w: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alibri" w:cs="Calibri" w:eastAsia="Calibri" w:hAnsi="Calibri"/>
          <w:sz w:val="17"/>
          <w:szCs w:val="17"/>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51879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41"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Lead independent director, director and member of the audit commitee, CA Technologies, Inc. (NASDAQ: CA), a</w:t>
      </w:r>
    </w:p>
    <w:p>
      <w:pPr>
        <w:ind w:left="620"/>
        <w:spacing w:after="0"/>
        <w:rPr>
          <w:sz w:val="20"/>
          <w:szCs w:val="20"/>
          <w:color w:val="auto"/>
        </w:rPr>
      </w:pPr>
      <w:r>
        <w:rPr>
          <w:rFonts w:ascii="Calibri" w:cs="Calibri" w:eastAsia="Calibri" w:hAnsi="Calibri"/>
          <w:sz w:val="16"/>
          <w:szCs w:val="16"/>
          <w:color w:val="auto"/>
        </w:rPr>
        <w:t>sofware services company (2011 - 2018)</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Board of Directors, American India Foundaton (AIF)</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Board of Directors, Pratham (Tristate Chapter)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1338580</wp:posOffset>
            </wp:positionV>
            <wp:extent cx="674052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1926" w:lineRule="exact"/>
        <w:rPr>
          <w:sz w:val="20"/>
          <w:szCs w:val="20"/>
          <w:color w:val="auto"/>
        </w:rPr>
      </w:pPr>
    </w:p>
    <w:p>
      <w:pPr>
        <w:sectPr>
          <w:pgSz w:w="11900" w:h="16838" w:orient="portrait"/>
          <w:cols w:equalWidth="0" w:num="2">
            <w:col w:w="2220" w:space="540"/>
            <w:col w:w="8180"/>
          </w:cols>
          <w:pgMar w:left="320" w:top="471" w:right="6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40525" cy="5784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40525" cy="57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Calibri" w:cs="Calibri" w:eastAsia="Calibri" w:hAnsi="Calibri"/>
          <w:sz w:val="24"/>
          <w:szCs w:val="24"/>
          <w:b w:val="1"/>
          <w:bCs w:val="1"/>
          <w:color w:val="FB4E0B"/>
        </w:rPr>
        <w:t>  Vikram S. Pandit</w:t>
      </w:r>
    </w:p>
    <w:p>
      <w:pPr>
        <w:spacing w:after="0" w:line="9" w:lineRule="exact"/>
        <w:rPr>
          <w:sz w:val="20"/>
          <w:szCs w:val="20"/>
          <w:color w:val="auto"/>
        </w:rPr>
      </w:pPr>
    </w:p>
    <w:p>
      <w:pPr>
        <w:ind w:left="320"/>
        <w:spacing w:after="0"/>
        <w:tabs>
          <w:tab w:leader="none" w:pos="2540" w:val="left"/>
          <w:tab w:leader="none" w:pos="2800" w:val="left"/>
          <w:tab w:leader="none" w:pos="9660" w:val="left"/>
        </w:tabs>
        <w:rPr>
          <w:sz w:val="20"/>
          <w:szCs w:val="20"/>
          <w:color w:val="auto"/>
        </w:rPr>
      </w:pPr>
      <w:r>
        <w:rPr>
          <w:rFonts w:ascii="Calibri" w:cs="Calibri" w:eastAsia="Calibri" w:hAnsi="Calibri"/>
          <w:sz w:val="17"/>
          <w:szCs w:val="17"/>
          <w:b w:val="1"/>
          <w:bCs w:val="1"/>
          <w:color w:val="auto"/>
        </w:rPr>
        <w:t>   Director since October 2018 </w:t>
        <w:tab/>
        <w:t xml:space="preserve">| </w:t>
        <w:tab/>
        <w:t>Lead Director since 2024 (Chair of Board from 2022 - 2024)</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187960</wp:posOffset>
            </wp:positionV>
            <wp:extent cx="1164590" cy="1164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320" w:right="80"/>
        <w:spacing w:after="0"/>
        <w:rPr>
          <w:sz w:val="20"/>
          <w:szCs w:val="20"/>
          <w:color w:val="auto"/>
        </w:rPr>
      </w:pPr>
      <w:r>
        <w:rPr>
          <w:rFonts w:ascii="Calibri" w:cs="Calibri" w:eastAsia="Calibri" w:hAnsi="Calibri"/>
          <w:sz w:val="17"/>
          <w:szCs w:val="17"/>
          <w:color w:val="auto"/>
        </w:rPr>
        <w:t>Age: 67 — is Chairman and Chief Executve Ofcer of The Orogen Group, which makes signifcant long-term strategic investments in fnancial services companies and related businesses. Mr. Pandit’s business experience, skills and directorships are detailed below. The Company has concluded, based in part on Mr. Pandit’s more than 30 years of experience in the fnancial services industry, including his experience as Chief Executve Ofcer, and a member of the board of directors, of Citgroup Inc. (NYSE: C), that Mr. Pandit should serve as a director.</w:t>
      </w:r>
    </w:p>
    <w:p>
      <w:pPr>
        <w:spacing w:after="0" w:line="119" w:lineRule="exact"/>
        <w:rPr>
          <w:sz w:val="20"/>
          <w:szCs w:val="20"/>
          <w:color w:val="auto"/>
        </w:rPr>
      </w:pPr>
    </w:p>
    <w:p>
      <w:pPr>
        <w:ind w:left="2320"/>
        <w:spacing w:after="0"/>
        <w:rPr>
          <w:sz w:val="20"/>
          <w:szCs w:val="20"/>
          <w:color w:val="auto"/>
        </w:rPr>
      </w:pPr>
      <w:r>
        <w:rPr>
          <w:rFonts w:ascii="Calibri" w:cs="Calibri" w:eastAsia="Calibri" w:hAnsi="Calibri"/>
          <w:sz w:val="17"/>
          <w:szCs w:val="17"/>
          <w:b w:val="1"/>
          <w:bCs w:val="1"/>
          <w:color w:val="auto"/>
        </w:rPr>
        <w:t>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14605</wp:posOffset>
            </wp:positionV>
            <wp:extent cx="54686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68620" cy="8255"/>
                    </a:xfrm>
                    <a:prstGeom prst="rect">
                      <a:avLst/>
                    </a:prstGeom>
                    <a:noFill/>
                  </pic:spPr>
                </pic:pic>
              </a:graphicData>
            </a:graphic>
          </wp:anchor>
        </w:drawing>
      </w:r>
    </w:p>
    <w:p>
      <w:pPr>
        <w:spacing w:after="0" w:line="28" w:lineRule="exact"/>
        <w:rPr>
          <w:sz w:val="20"/>
          <w:szCs w:val="20"/>
          <w:color w:val="auto"/>
        </w:rPr>
      </w:pPr>
    </w:p>
    <w:p>
      <w:pPr>
        <w:ind w:left="2640"/>
        <w:spacing w:after="0"/>
        <w:tabs>
          <w:tab w:leader="none" w:pos="28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Compensaton and Talent Management; Nominatng and Governance</w:t>
      </w:r>
    </w:p>
    <w:p>
      <w:pPr>
        <w:spacing w:after="0" w:line="80" w:lineRule="exact"/>
        <w:rPr>
          <w:sz w:val="20"/>
          <w:szCs w:val="20"/>
          <w:color w:val="auto"/>
        </w:rPr>
      </w:pPr>
    </w:p>
    <w:p>
      <w:pPr>
        <w:ind w:left="2320"/>
        <w:spacing w:after="0"/>
        <w:rPr>
          <w:sz w:val="20"/>
          <w:szCs w:val="20"/>
          <w:color w:val="auto"/>
        </w:rPr>
      </w:pPr>
      <w:r>
        <w:rPr>
          <w:rFonts w:ascii="Calibri" w:cs="Calibri" w:eastAsia="Calibri" w:hAnsi="Calibri"/>
          <w:sz w:val="17"/>
          <w:szCs w:val="17"/>
          <w:b w:val="1"/>
          <w:bCs w:val="1"/>
          <w:color w:val="auto"/>
        </w:rPr>
        <w:t>Business experience</w:t>
      </w:r>
    </w:p>
    <w:p>
      <w:pPr>
        <w:ind w:left="920"/>
        <w:spacing w:after="0" w:line="183" w:lineRule="auto"/>
        <w:tabs>
          <w:tab w:leader="none" w:pos="2060" w:val="left"/>
        </w:tabs>
        <w:rPr>
          <w:sz w:val="20"/>
          <w:szCs w:val="20"/>
          <w:color w:val="auto"/>
        </w:rPr>
      </w:pPr>
      <w:r>
        <w:rPr>
          <w:rFonts w:ascii="Calibri" w:cs="Calibri" w:eastAsia="Calibri" w:hAnsi="Calibri"/>
          <w:sz w:val="9"/>
          <w:szCs w:val="9"/>
          <w:b w:val="1"/>
          <w:bCs w:val="1"/>
          <w:color w:val="auto"/>
        </w:rPr>
        <w:t>SKILLS</w:t>
      </w:r>
      <w:r>
        <w:rPr>
          <w:sz w:val="20"/>
          <w:szCs w:val="20"/>
          <w:color w:val="auto"/>
        </w:rPr>
        <w:tab/>
      </w:r>
      <w:r>
        <w:rPr>
          <w:rFonts w:ascii="Calibri" w:cs="Calibri" w:eastAsia="Calibri" w:hAnsi="Calibri"/>
          <w:sz w:val="12"/>
          <w:szCs w:val="1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-29210</wp:posOffset>
            </wp:positionV>
            <wp:extent cx="54686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68620" cy="8255"/>
                    </a:xfrm>
                    <a:prstGeom prst="rect">
                      <a:avLst/>
                    </a:prstGeom>
                    <a:noFill/>
                  </pic:spPr>
                </pic:pic>
              </a:graphicData>
            </a:graphic>
          </wp:anchor>
        </w:drawing>
      </w:r>
    </w:p>
    <w:p>
      <w:pPr>
        <w:sectPr>
          <w:pgSz w:w="11900" w:h="16838" w:orient="portrait"/>
          <w:cols w:equalWidth="0" w:num="1">
            <w:col w:w="10920"/>
          </w:cols>
          <w:pgMar w:left="320" w:top="471" w:right="659" w:bottom="1440" w:gutter="0" w:footer="0" w:header="0"/>
        </w:sectPr>
      </w:pPr>
    </w:p>
    <w:p>
      <w:pPr>
        <w:spacing w:after="0" w:line="128" w:lineRule="exact"/>
        <w:rPr>
          <w:sz w:val="20"/>
          <w:szCs w:val="20"/>
          <w:color w:val="auto"/>
        </w:rPr>
      </w:pPr>
    </w:p>
    <w:p>
      <w:pPr>
        <w:ind w:left="920"/>
        <w:spacing w:after="0"/>
        <w:rPr>
          <w:sz w:val="20"/>
          <w:szCs w:val="20"/>
          <w:color w:val="auto"/>
        </w:rPr>
      </w:pPr>
      <w:r>
        <w:rPr>
          <w:rFonts w:ascii="Calibri" w:cs="Calibri" w:eastAsia="Calibri" w:hAnsi="Calibri"/>
          <w:sz w:val="10"/>
          <w:szCs w:val="10"/>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-97155</wp:posOffset>
            </wp:positionV>
            <wp:extent cx="231140" cy="2311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ind w:left="920"/>
        <w:spacing w:after="0" w:line="227" w:lineRule="auto"/>
        <w:rPr>
          <w:sz w:val="20"/>
          <w:szCs w:val="20"/>
          <w:color w:val="auto"/>
        </w:rPr>
      </w:pPr>
      <w:r>
        <w:rPr>
          <w:rFonts w:ascii="Calibri" w:cs="Calibri" w:eastAsia="Calibri" w:hAnsi="Calibri"/>
          <w:sz w:val="10"/>
          <w:szCs w:val="10"/>
          <w:color w:val="auto"/>
        </w:rPr>
        <w:t>and accountng</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13" w:lineRule="exact"/>
        <w:rPr>
          <w:sz w:val="20"/>
          <w:szCs w:val="20"/>
          <w:color w:val="auto"/>
        </w:rPr>
      </w:pPr>
    </w:p>
    <w:p>
      <w:pPr>
        <w:jc w:val="center"/>
        <w:ind w:left="320"/>
        <w:spacing w:after="0"/>
        <w:rPr>
          <w:sz w:val="20"/>
          <w:szCs w:val="20"/>
          <w:color w:val="auto"/>
        </w:rPr>
      </w:pPr>
      <w:r>
        <w:rPr>
          <w:rFonts w:ascii="Calibri" w:cs="Calibri" w:eastAsia="Calibri" w:hAnsi="Calibri"/>
          <w:sz w:val="10"/>
          <w:szCs w:val="10"/>
          <w:color w:val="auto"/>
        </w:rPr>
        <w:t>Executve</w:t>
      </w:r>
    </w:p>
    <w:p>
      <w:pPr>
        <w:ind w:left="320"/>
        <w:spacing w:after="0" w:line="184" w:lineRule="auto"/>
        <w:tabs>
          <w:tab w:leader="none" w:pos="900" w:val="left"/>
        </w:tabs>
        <w:rPr>
          <w:sz w:val="20"/>
          <w:szCs w:val="20"/>
          <w:color w:val="auto"/>
        </w:rPr>
      </w:pPr>
      <w:r>
        <w:rPr>
          <w:rFonts w:ascii="Arial" w:cs="Arial" w:eastAsia="Arial" w:hAnsi="Arial"/>
          <w:sz w:val="14"/>
          <w:szCs w:val="14"/>
          <w:color w:val="auto"/>
          <w:vertAlign w:val="superscript"/>
        </w:rPr>
        <w:t> </w:t>
      </w:r>
      <w:r>
        <w:rPr>
          <w:sz w:val="20"/>
          <w:szCs w:val="20"/>
          <w:color w:val="auto"/>
        </w:rPr>
        <w:tab/>
      </w:r>
      <w:r>
        <w:rPr>
          <w:rFonts w:ascii="Calibri" w:cs="Calibri" w:eastAsia="Calibri" w:hAnsi="Calibri"/>
          <w:sz w:val="8"/>
          <w:szCs w:val="8"/>
          <w:color w:val="auto"/>
        </w:rPr>
        <w:t>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-11430</wp:posOffset>
            </wp:positionV>
            <wp:extent cx="247650" cy="2311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7650" cy="231140"/>
                    </a:xfrm>
                    <a:prstGeom prst="rect">
                      <a:avLst/>
                    </a:prstGeom>
                    <a:noFill/>
                  </pic:spPr>
                </pic:pic>
              </a:graphicData>
            </a:graphic>
          </wp:anchor>
        </w:drawing>
      </w:r>
    </w:p>
    <w:p>
      <w:pPr>
        <w:spacing w:after="0" w:line="21" w:lineRule="exact"/>
        <w:rPr>
          <w:sz w:val="20"/>
          <w:szCs w:val="20"/>
          <w:color w:val="auto"/>
        </w:rPr>
      </w:pPr>
    </w:p>
    <w:p>
      <w:pPr>
        <w:jc w:val="right"/>
        <w:spacing w:after="0"/>
        <w:rPr>
          <w:sz w:val="20"/>
          <w:szCs w:val="20"/>
          <w:color w:val="auto"/>
        </w:rPr>
      </w:pPr>
      <w:r>
        <w:rPr>
          <w:rFonts w:ascii="Calibri" w:cs="Calibri" w:eastAsia="Calibri" w:hAnsi="Calibri"/>
          <w:sz w:val="10"/>
          <w:szCs w:val="10"/>
          <w:color w:val="auto"/>
        </w:rPr>
        <w:t>(within the last 5 years)</w:t>
      </w:r>
    </w:p>
    <w:p>
      <w:pPr>
        <w:spacing w:after="0" w:line="20" w:lineRule="exact"/>
        <w:rPr>
          <w:sz w:val="20"/>
          <w:szCs w:val="20"/>
          <w:color w:val="auto"/>
        </w:rPr>
      </w:pPr>
      <w:r>
        <w:rPr>
          <w:sz w:val="20"/>
          <w:szCs w:val="20"/>
          <w:color w:val="auto"/>
        </w:rPr>
        <w:br w:type="column"/>
      </w: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Chairman and Chief Executve Ofcer, The Orogen Group LLC (July 2016 - present)</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Chairman, TGG Group (February 2014 - June 2016)</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tab/>
        <w:t>  Chief Executve Ofcer, Citgroup Inc. (December 2007 - October 2012)</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4686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68620"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1900" w:space="420"/>
            <w:col w:w="8600"/>
          </w:cols>
          <w:pgMar w:left="320" w:top="471" w:right="659" w:bottom="1440" w:gutter="0" w:footer="0" w:header="0"/>
          <w:type w:val="continuous"/>
        </w:sectPr>
      </w:pPr>
    </w:p>
    <w:p>
      <w:pPr>
        <w:spacing w:after="0" w:line="201" w:lineRule="exact"/>
        <w:rPr>
          <w:sz w:val="20"/>
          <w:szCs w:val="20"/>
          <w:color w:val="auto"/>
        </w:rPr>
      </w:pPr>
    </w:p>
    <w:p>
      <w:pPr>
        <w:ind w:left="320"/>
        <w:spacing w:after="0"/>
        <w:rPr>
          <w:sz w:val="20"/>
          <w:szCs w:val="20"/>
          <w:color w:val="auto"/>
        </w:rPr>
      </w:pPr>
      <w:r>
        <w:rPr>
          <w:rFonts w:ascii="Calibri" w:cs="Calibri" w:eastAsia="Calibri" w:hAnsi="Calibri"/>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-132715</wp:posOffset>
            </wp:positionV>
            <wp:extent cx="132080" cy="2063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Calibri" w:cs="Calibri" w:eastAsia="Calibri" w:hAnsi="Calibri"/>
          <w:sz w:val="10"/>
          <w:szCs w:val="10"/>
          <w:color w:val="auto"/>
        </w:rPr>
        <w:t>Public company</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governance</w:t>
      </w:r>
    </w:p>
    <w:p>
      <w:pPr>
        <w:spacing w:after="0" w:line="20" w:lineRule="exact"/>
        <w:rPr>
          <w:sz w:val="20"/>
          <w:szCs w:val="20"/>
          <w:color w:val="auto"/>
        </w:rPr>
      </w:pPr>
      <w:r>
        <w:rPr>
          <w:sz w:val="20"/>
          <w:szCs w:val="20"/>
          <w:color w:val="auto"/>
        </w:rPr>
        <w:br w:type="column"/>
      </w:r>
    </w:p>
    <w:p>
      <w:pPr>
        <w:spacing w:after="0"/>
        <w:tabs>
          <w:tab w:leader="none" w:pos="20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and member of the nominatng and governance and fnance commitees, Virtusa Corporaton (NASDAQ: VRTU) (2017</w:t>
      </w:r>
    </w:p>
    <w:p>
      <w:pPr>
        <w:ind w:left="300"/>
        <w:spacing w:after="0"/>
        <w:rPr>
          <w:sz w:val="20"/>
          <w:szCs w:val="20"/>
          <w:color w:val="auto"/>
        </w:rPr>
      </w:pPr>
      <w:r>
        <w:rPr>
          <w:rFonts w:ascii="Calibri" w:cs="Calibri" w:eastAsia="Calibri" w:hAnsi="Calibri"/>
          <w:sz w:val="16"/>
          <w:szCs w:val="16"/>
          <w:color w:val="auto"/>
        </w:rPr>
        <w:t>- 2021)</w:t>
      </w:r>
    </w:p>
    <w:p>
      <w:pPr>
        <w:spacing w:after="0" w:line="117" w:lineRule="exact"/>
        <w:rPr>
          <w:sz w:val="20"/>
          <w:szCs w:val="20"/>
          <w:color w:val="auto"/>
        </w:rPr>
      </w:pPr>
    </w:p>
    <w:p>
      <w:pPr>
        <w:sectPr>
          <w:pgSz w:w="11900" w:h="16838" w:orient="portrait"/>
          <w:cols w:equalWidth="0" w:num="3">
            <w:col w:w="360" w:space="560"/>
            <w:col w:w="1000" w:space="720"/>
            <w:col w:w="8280"/>
          </w:cols>
          <w:pgMar w:left="320" w:top="471" w:right="659" w:bottom="1440" w:gutter="0" w:footer="0" w:header="0"/>
          <w:type w:val="continuous"/>
        </w:sectPr>
      </w:pPr>
    </w:p>
    <w:p>
      <w:pPr>
        <w:spacing w:after="0" w:line="16"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jc w:val="right"/>
        <w:ind w:right="620"/>
        <w:spacing w:after="0" w:line="204" w:lineRule="auto"/>
        <w:rPr>
          <w:sz w:val="20"/>
          <w:szCs w:val="20"/>
          <w:color w:val="auto"/>
        </w:rPr>
      </w:pPr>
      <w:r>
        <w:rPr>
          <w:rFonts w:ascii="Calibri" w:cs="Calibri" w:eastAsia="Calibri" w:hAnsi="Calibri"/>
          <w:sz w:val="10"/>
          <w:szCs w:val="10"/>
          <w:color w:val="auto"/>
        </w:rPr>
        <w:t>Analytcs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-40640</wp:posOffset>
            </wp:positionV>
            <wp:extent cx="255905" cy="165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5905" cy="165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0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 Lead Independent Director, chair of the human resources and compensaton commitee and member of the corporate</w:t>
      </w:r>
    </w:p>
    <w:p>
      <w:pPr>
        <w:spacing w:after="0" w:line="10" w:lineRule="exact"/>
        <w:rPr>
          <w:sz w:val="20"/>
          <w:szCs w:val="20"/>
          <w:color w:val="auto"/>
        </w:rPr>
      </w:pPr>
    </w:p>
    <w:p>
      <w:pPr>
        <w:ind w:left="300"/>
        <w:spacing w:after="0"/>
        <w:rPr>
          <w:sz w:val="20"/>
          <w:szCs w:val="20"/>
          <w:color w:val="auto"/>
        </w:rPr>
      </w:pPr>
      <w:r>
        <w:rPr>
          <w:rFonts w:ascii="Calibri" w:cs="Calibri" w:eastAsia="Calibri" w:hAnsi="Calibri"/>
          <w:sz w:val="14"/>
          <w:szCs w:val="14"/>
          <w:color w:val="auto"/>
        </w:rPr>
        <w:t>governance and nominatng commitee, former member of the audit commitee, Bombardier Inc. (TSX: BBD) (2014 - 2021)</w:t>
      </w:r>
    </w:p>
    <w:p>
      <w:pPr>
        <w:spacing w:after="0" w:line="136" w:lineRule="exact"/>
        <w:rPr>
          <w:sz w:val="20"/>
          <w:szCs w:val="20"/>
          <w:color w:val="auto"/>
        </w:rPr>
      </w:pPr>
    </w:p>
    <w:p>
      <w:pPr>
        <w:sectPr>
          <w:pgSz w:w="11900" w:h="16838" w:orient="portrait"/>
          <w:cols w:equalWidth="0" w:num="2">
            <w:col w:w="1920" w:space="720"/>
            <w:col w:w="8280"/>
          </w:cols>
          <w:pgMar w:left="320" w:top="471" w:right="659" w:bottom="1440" w:gutter="0" w:footer="0" w:header="0"/>
          <w:type w:val="continuous"/>
        </w:sectPr>
      </w:pPr>
    </w:p>
    <w:p>
      <w:pPr>
        <w:spacing w:after="0" w:line="145" w:lineRule="exact"/>
        <w:rPr>
          <w:sz w:val="20"/>
          <w:szCs w:val="20"/>
          <w:color w:val="auto"/>
        </w:rPr>
      </w:pPr>
    </w:p>
    <w:p>
      <w:pPr>
        <w:ind w:left="920"/>
        <w:spacing w:after="0"/>
        <w:rPr>
          <w:sz w:val="20"/>
          <w:szCs w:val="20"/>
          <w:color w:val="auto"/>
        </w:rPr>
      </w:pPr>
      <w:r>
        <w:rPr>
          <w:rFonts w:ascii="Calibri" w:cs="Calibri" w:eastAsia="Calibri" w:hAnsi="Calibri"/>
          <w:sz w:val="10"/>
          <w:szCs w:val="10"/>
          <w:color w:val="auto"/>
        </w:rPr>
        <w:t>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-64135</wp:posOffset>
            </wp:positionV>
            <wp:extent cx="214630" cy="214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ind w:left="920"/>
        <w:spacing w:after="0"/>
        <w:rPr>
          <w:sz w:val="20"/>
          <w:szCs w:val="20"/>
          <w:color w:val="auto"/>
        </w:rPr>
      </w:pPr>
      <w:r>
        <w:rPr>
          <w:rFonts w:ascii="Calibri" w:cs="Calibri" w:eastAsia="Calibri" w:hAnsi="Calibri"/>
          <w:sz w:val="10"/>
          <w:szCs w:val="10"/>
          <w:color w:val="auto"/>
        </w:rPr>
        <w:t>management</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177" w:lineRule="exact"/>
        <w:rPr>
          <w:sz w:val="20"/>
          <w:szCs w:val="20"/>
          <w:color w:val="auto"/>
        </w:rPr>
      </w:pPr>
    </w:p>
    <w:p>
      <w:pPr>
        <w:ind w:left="920" w:right="140" w:hanging="604"/>
        <w:spacing w:after="0" w:line="192" w:lineRule="auto"/>
        <w:tabs>
          <w:tab w:leader="none" w:pos="920" w:val="left"/>
        </w:tabs>
        <w:numPr>
          <w:ilvl w:val="0"/>
          <w:numId w:val="14"/>
        </w:numPr>
        <w:rPr>
          <w:rFonts w:ascii="Arial" w:cs="Arial" w:eastAsia="Arial" w:hAnsi="Arial"/>
          <w:sz w:val="18"/>
          <w:szCs w:val="18"/>
          <w:color w:val="auto"/>
          <w:vertAlign w:val="superscript"/>
        </w:rPr>
      </w:pPr>
      <w:r>
        <w:rPr>
          <w:rFonts w:ascii="Calibri" w:cs="Calibri" w:eastAsia="Calibri" w:hAnsi="Calibri"/>
          <w:sz w:val="9"/>
          <w:szCs w:val="9"/>
          <w:color w:val="auto"/>
        </w:rPr>
        <w:t>Digital operatons and solutons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-106045</wp:posOffset>
            </wp:positionV>
            <wp:extent cx="239395" cy="2146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9395" cy="214630"/>
                    </a:xfrm>
                    <a:prstGeom prst="rect">
                      <a:avLst/>
                    </a:prstGeom>
                    <a:noFill/>
                  </pic:spPr>
                </pic:pic>
              </a:graphicData>
            </a:graphic>
          </wp:anchor>
        </w:drawing>
      </w:r>
    </w:p>
    <w:p>
      <w:pPr>
        <w:spacing w:after="0" w:line="273" w:lineRule="exact"/>
        <w:rPr>
          <w:sz w:val="20"/>
          <w:szCs w:val="20"/>
          <w:color w:val="auto"/>
        </w:rPr>
      </w:pPr>
    </w:p>
    <w:p>
      <w:pPr>
        <w:ind w:left="920"/>
        <w:spacing w:after="0"/>
        <w:rPr>
          <w:sz w:val="20"/>
          <w:szCs w:val="20"/>
          <w:color w:val="auto"/>
        </w:rPr>
      </w:pPr>
      <w:r>
        <w:rPr>
          <w:rFonts w:ascii="Calibri" w:cs="Calibri" w:eastAsia="Calibri" w:hAnsi="Calibri"/>
          <w:sz w:val="10"/>
          <w:szCs w:val="10"/>
          <w:color w:val="auto"/>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-72390</wp:posOffset>
            </wp:positionV>
            <wp:extent cx="231140" cy="2311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ind w:left="920"/>
        <w:spacing w:after="0"/>
        <w:rPr>
          <w:sz w:val="20"/>
          <w:szCs w:val="20"/>
          <w:color w:val="auto"/>
        </w:rPr>
      </w:pPr>
      <w:r>
        <w:rPr>
          <w:rFonts w:ascii="Calibri" w:cs="Calibri" w:eastAsia="Calibri" w:hAnsi="Calibri"/>
          <w:sz w:val="10"/>
          <w:szCs w:val="10"/>
          <w:color w:val="auto"/>
        </w:rPr>
        <w:t>experience</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92075</wp:posOffset>
            </wp:positionV>
            <wp:extent cx="231140" cy="2063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Calibri" w:cs="Calibri" w:eastAsia="Calibri" w:hAnsi="Calibri"/>
          <w:sz w:val="10"/>
          <w:szCs w:val="10"/>
          <w:color w:val="auto"/>
        </w:rPr>
        <w:t>Mergers and acquisitons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7"/>
          <w:szCs w:val="17"/>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4686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6862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Citgroup Inc. (December 2007 - October 2012)</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Fair Square Financial Holdings (2017 - 2021)</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Westcor Land Title Insurance Company (2020 - present)</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Chairman, JM Financial Credit Solutons Ltd. (2014 - present)</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of the Board of Overseers of Columbia Business School</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of the Board of Visitors of Columbia School of Engineering and Applied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653415</wp:posOffset>
            </wp:positionV>
            <wp:extent cx="674052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2">
            <w:col w:w="1980" w:space="340"/>
            <w:col w:w="8600"/>
          </w:cols>
          <w:pgMar w:left="320" w:top="471"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1" w:right="6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40525" cy="5784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40525" cy="57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Calibri" w:cs="Calibri" w:eastAsia="Calibri" w:hAnsi="Calibri"/>
          <w:sz w:val="24"/>
          <w:szCs w:val="24"/>
          <w:b w:val="1"/>
          <w:bCs w:val="1"/>
          <w:color w:val="FB4E0B"/>
        </w:rPr>
        <w:t>  Thomas Bartlet</w:t>
      </w:r>
    </w:p>
    <w:p>
      <w:pPr>
        <w:spacing w:after="0" w:line="9" w:lineRule="exact"/>
        <w:rPr>
          <w:sz w:val="20"/>
          <w:szCs w:val="20"/>
          <w:color w:val="auto"/>
        </w:rPr>
      </w:pPr>
    </w:p>
    <w:p>
      <w:pPr>
        <w:ind w:left="320"/>
        <w:spacing w:after="0"/>
        <w:tabs>
          <w:tab w:leader="none" w:pos="9660" w:val="left"/>
        </w:tabs>
        <w:rPr>
          <w:sz w:val="20"/>
          <w:szCs w:val="20"/>
          <w:color w:val="auto"/>
        </w:rPr>
      </w:pPr>
      <w:r>
        <w:rPr>
          <w:rFonts w:ascii="Calibri" w:cs="Calibri" w:eastAsia="Calibri" w:hAnsi="Calibri"/>
          <w:sz w:val="17"/>
          <w:szCs w:val="17"/>
          <w:b w:val="1"/>
          <w:bCs w:val="1"/>
          <w:color w:val="auto"/>
        </w:rPr>
        <w:t>   Director since March 2024 </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187960</wp:posOffset>
            </wp:positionV>
            <wp:extent cx="1073785" cy="1057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73785" cy="105727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880"/>
        <w:spacing w:after="0"/>
        <w:tabs>
          <w:tab w:leader="none" w:pos="1800" w:val="left"/>
          <w:tab w:leader="none" w:pos="1940" w:val="left"/>
        </w:tabs>
        <w:rPr>
          <w:sz w:val="20"/>
          <w:szCs w:val="20"/>
          <w:color w:val="auto"/>
        </w:rPr>
      </w:pPr>
      <w:r>
        <w:rPr>
          <w:rFonts w:ascii="Calibri" w:cs="Calibri" w:eastAsia="Calibri" w:hAnsi="Calibri"/>
          <w:sz w:val="10"/>
          <w:szCs w:val="10"/>
          <w:b w:val="1"/>
          <w:bCs w:val="1"/>
          <w:color w:val="auto"/>
        </w:rPr>
        <w:t>SKILLS</w:t>
      </w:r>
      <w:r>
        <w:rPr>
          <w:sz w:val="20"/>
          <w:szCs w:val="20"/>
          <w:color w:val="auto"/>
        </w:rPr>
        <w:tab/>
      </w:r>
      <w:r>
        <w:rPr>
          <w:rFonts w:ascii="Calibri" w:cs="Calibri" w:eastAsia="Calibri" w:hAnsi="Calibri"/>
          <w:sz w:val="14"/>
          <w:szCs w:val="14"/>
          <w:b w:val="1"/>
          <w:bCs w:val="1"/>
          <w:color w:val="auto"/>
        </w:rPr>
        <w:t> </w:t>
        <w:tab/>
        <w:t xml:space="preserve">   </w:t>
      </w:r>
    </w:p>
    <w:p>
      <w:pPr>
        <w:spacing w:after="0" w:line="11" w:lineRule="exact"/>
        <w:rPr>
          <w:sz w:val="20"/>
          <w:szCs w:val="20"/>
          <w:color w:val="auto"/>
        </w:rPr>
      </w:pPr>
    </w:p>
    <w:p>
      <w:pPr>
        <w:ind w:left="880" w:hanging="564"/>
        <w:spacing w:after="0"/>
        <w:tabs>
          <w:tab w:leader="none" w:pos="880" w:val="left"/>
        </w:tabs>
        <w:numPr>
          <w:ilvl w:val="0"/>
          <w:numId w:val="15"/>
        </w:numPr>
        <w:rPr>
          <w:rFonts w:ascii="Arial" w:cs="Arial" w:eastAsia="Arial" w:hAnsi="Arial"/>
          <w:sz w:val="21"/>
          <w:szCs w:val="21"/>
          <w:color w:val="auto"/>
          <w:vertAlign w:val="superscript"/>
        </w:rPr>
      </w:pPr>
      <w:r>
        <w:rPr>
          <w:rFonts w:ascii="Calibri" w:cs="Calibri" w:eastAsia="Calibri" w:hAnsi="Calibri"/>
          <w:sz w:val="10"/>
          <w:szCs w:val="10"/>
          <w:color w:val="auto"/>
        </w:rPr>
        <w:t>Finance</w:t>
      </w:r>
    </w:p>
    <w:p>
      <w:pPr>
        <w:spacing w:after="0" w:line="26" w:lineRule="exact"/>
        <w:rPr>
          <w:rFonts w:ascii="Arial" w:cs="Arial" w:eastAsia="Arial" w:hAnsi="Arial"/>
          <w:sz w:val="21"/>
          <w:szCs w:val="21"/>
          <w:color w:val="auto"/>
          <w:vertAlign w:val="superscript"/>
        </w:rPr>
      </w:pPr>
    </w:p>
    <w:p>
      <w:pPr>
        <w:ind w:left="880"/>
        <w:spacing w:after="0" w:line="204" w:lineRule="auto"/>
        <w:rPr>
          <w:rFonts w:ascii="Arial" w:cs="Arial" w:eastAsia="Arial" w:hAnsi="Arial"/>
          <w:sz w:val="21"/>
          <w:szCs w:val="21"/>
          <w:color w:val="auto"/>
          <w:vertAlign w:val="superscript"/>
        </w:rPr>
      </w:pPr>
      <w:r>
        <w:rPr>
          <w:rFonts w:ascii="Calibri" w:cs="Calibri" w:eastAsia="Calibri" w:hAnsi="Calibri"/>
          <w:sz w:val="10"/>
          <w:szCs w:val="10"/>
          <w:color w:val="auto"/>
        </w:rPr>
        <w:t>and accountng</w:t>
      </w:r>
    </w:p>
    <w:p>
      <w:pPr>
        <w:spacing w:after="0" w:line="318" w:lineRule="exact"/>
        <w:rPr>
          <w:rFonts w:ascii="Arial" w:cs="Arial" w:eastAsia="Arial" w:hAnsi="Arial"/>
          <w:sz w:val="21"/>
          <w:szCs w:val="21"/>
          <w:color w:val="auto"/>
          <w:vertAlign w:val="superscript"/>
        </w:rPr>
      </w:pPr>
    </w:p>
    <w:p>
      <w:pPr>
        <w:ind w:left="880" w:right="740" w:hanging="564"/>
        <w:spacing w:after="0" w:line="192" w:lineRule="auto"/>
        <w:tabs>
          <w:tab w:leader="none" w:pos="880" w:val="left"/>
        </w:tabs>
        <w:numPr>
          <w:ilvl w:val="0"/>
          <w:numId w:val="15"/>
        </w:numPr>
        <w:rPr>
          <w:rFonts w:ascii="Arial" w:cs="Arial" w:eastAsia="Arial" w:hAnsi="Arial"/>
          <w:sz w:val="18"/>
          <w:szCs w:val="18"/>
          <w:color w:val="auto"/>
          <w:vertAlign w:val="superscript"/>
        </w:rPr>
      </w:pPr>
      <w:r>
        <w:rPr>
          <w:rFonts w:ascii="Calibri" w:cs="Calibri" w:eastAsia="Calibri" w:hAnsi="Calibri"/>
          <w:sz w:val="9"/>
          <w:szCs w:val="9"/>
          <w:color w:val="auto"/>
        </w:rPr>
        <w:t>Executve leadership</w:t>
      </w:r>
    </w:p>
    <w:p>
      <w:pPr>
        <w:spacing w:after="0" w:line="6" w:lineRule="exact"/>
        <w:rPr>
          <w:rFonts w:ascii="Arial" w:cs="Arial" w:eastAsia="Arial" w:hAnsi="Arial"/>
          <w:sz w:val="18"/>
          <w:szCs w:val="18"/>
          <w:color w:val="auto"/>
          <w:vertAlign w:val="superscript"/>
        </w:rPr>
      </w:pPr>
    </w:p>
    <w:p>
      <w:pPr>
        <w:ind w:left="880" w:right="180"/>
        <w:spacing w:after="0" w:line="434" w:lineRule="auto"/>
        <w:rPr>
          <w:rFonts w:ascii="Arial" w:cs="Arial" w:eastAsia="Arial" w:hAnsi="Arial"/>
          <w:sz w:val="18"/>
          <w:szCs w:val="18"/>
          <w:color w:val="auto"/>
          <w:vertAlign w:val="superscript"/>
        </w:rPr>
      </w:pPr>
      <w:r>
        <w:rPr>
          <w:rFonts w:ascii="Calibri" w:cs="Calibri" w:eastAsia="Calibri" w:hAnsi="Calibri"/>
          <w:sz w:val="10"/>
          <w:szCs w:val="10"/>
          <w:color w:val="auto"/>
        </w:rPr>
        <w:t>(within the last 5 years)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-754380</wp:posOffset>
            </wp:positionV>
            <wp:extent cx="231140" cy="2311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-391160</wp:posOffset>
            </wp:positionV>
            <wp:extent cx="247650" cy="2311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7650" cy="23114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-76835</wp:posOffset>
            </wp:positionV>
            <wp:extent cx="132080" cy="2063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ind w:left="880"/>
        <w:spacing w:after="0" w:line="204" w:lineRule="auto"/>
        <w:rPr>
          <w:sz w:val="20"/>
          <w:szCs w:val="20"/>
          <w:color w:val="auto"/>
        </w:rPr>
      </w:pPr>
      <w:r>
        <w:rPr>
          <w:rFonts w:ascii="Calibri" w:cs="Calibri" w:eastAsia="Calibri" w:hAnsi="Calibri"/>
          <w:sz w:val="7"/>
          <w:szCs w:val="7"/>
          <w:color w:val="auto"/>
        </w:rPr>
        <w:t>governance</w:t>
      </w:r>
    </w:p>
    <w:p>
      <w:pPr>
        <w:ind w:left="320"/>
        <w:spacing w:after="0" w:line="199" w:lineRule="auto"/>
        <w:rPr>
          <w:sz w:val="20"/>
          <w:szCs w:val="20"/>
          <w:color w:val="auto"/>
        </w:rPr>
      </w:pPr>
      <w:r>
        <w:rPr>
          <w:rFonts w:ascii="Calibri" w:cs="Calibri" w:eastAsia="Calibri" w:hAnsi="Calibri"/>
          <w:sz w:val="17"/>
          <w:szCs w:val="17"/>
          <w:color w:val="auto"/>
        </w:rPr>
        <w:t> </w:t>
      </w:r>
    </w:p>
    <w:p>
      <w:pPr>
        <w:spacing w:after="0" w:line="133" w:lineRule="exact"/>
        <w:rPr>
          <w:sz w:val="20"/>
          <w:szCs w:val="20"/>
          <w:color w:val="auto"/>
        </w:rPr>
      </w:pPr>
    </w:p>
    <w:p>
      <w:pPr>
        <w:ind w:left="880"/>
        <w:spacing w:after="0"/>
        <w:rPr>
          <w:sz w:val="20"/>
          <w:szCs w:val="20"/>
          <w:color w:val="auto"/>
        </w:rPr>
      </w:pPr>
      <w:r>
        <w:rPr>
          <w:rFonts w:ascii="Calibri" w:cs="Calibri" w:eastAsia="Calibri" w:hAnsi="Calibri"/>
          <w:sz w:val="10"/>
          <w:szCs w:val="10"/>
          <w:color w:val="auto"/>
        </w:rPr>
        <w:t>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-64135</wp:posOffset>
            </wp:positionV>
            <wp:extent cx="214630" cy="2146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ind w:left="880"/>
        <w:spacing w:after="0"/>
        <w:rPr>
          <w:sz w:val="20"/>
          <w:szCs w:val="20"/>
          <w:color w:val="auto"/>
        </w:rPr>
      </w:pPr>
      <w:r>
        <w:rPr>
          <w:rFonts w:ascii="Calibri" w:cs="Calibri" w:eastAsia="Calibri" w:hAnsi="Calibri"/>
          <w:sz w:val="10"/>
          <w:szCs w:val="10"/>
          <w:color w:val="auto"/>
        </w:rPr>
        <w:t>management</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 w:lineRule="exact"/>
        <w:rPr>
          <w:sz w:val="20"/>
          <w:szCs w:val="20"/>
          <w:color w:val="auto"/>
        </w:rPr>
      </w:pPr>
    </w:p>
    <w:p>
      <w:pPr>
        <w:ind w:left="880" w:right="420"/>
        <w:spacing w:after="0" w:line="230" w:lineRule="auto"/>
        <w:rPr>
          <w:sz w:val="20"/>
          <w:szCs w:val="20"/>
          <w:color w:val="auto"/>
        </w:rPr>
      </w:pPr>
      <w:r>
        <w:rPr>
          <w:rFonts w:ascii="Calibri" w:cs="Calibri" w:eastAsia="Calibri" w:hAnsi="Calibri"/>
          <w:sz w:val="10"/>
          <w:szCs w:val="10"/>
          <w:color w:val="auto"/>
        </w:rPr>
        <w:t>Digital operatons and solutons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-139700</wp:posOffset>
            </wp:positionV>
            <wp:extent cx="239395" cy="2146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9395" cy="214630"/>
                    </a:xfrm>
                    <a:prstGeom prst="rect">
                      <a:avLst/>
                    </a:prstGeom>
                    <a:noFill/>
                  </pic:spPr>
                </pic:pic>
              </a:graphicData>
            </a:graphic>
          </wp:anchor>
        </w:drawing>
      </w:r>
    </w:p>
    <w:p>
      <w:pPr>
        <w:spacing w:after="0" w:line="272" w:lineRule="exact"/>
        <w:rPr>
          <w:sz w:val="20"/>
          <w:szCs w:val="20"/>
          <w:color w:val="auto"/>
        </w:rPr>
      </w:pPr>
    </w:p>
    <w:p>
      <w:pPr>
        <w:ind w:left="880" w:right="700" w:hanging="564"/>
        <w:spacing w:after="0" w:line="192" w:lineRule="auto"/>
        <w:tabs>
          <w:tab w:leader="none" w:pos="880" w:val="left"/>
        </w:tabs>
        <w:numPr>
          <w:ilvl w:val="0"/>
          <w:numId w:val="16"/>
        </w:numPr>
        <w:rPr>
          <w:rFonts w:ascii="Arial" w:cs="Arial" w:eastAsia="Arial" w:hAnsi="Arial"/>
          <w:sz w:val="18"/>
          <w:szCs w:val="18"/>
          <w:color w:val="auto"/>
          <w:vertAlign w:val="superscript"/>
        </w:rPr>
      </w:pPr>
      <w:r>
        <w:rPr>
          <w:rFonts w:ascii="Calibri" w:cs="Calibri" w:eastAsia="Calibri" w:hAnsi="Calibri"/>
          <w:sz w:val="9"/>
          <w:szCs w:val="9"/>
          <w:color w:val="auto"/>
        </w:rPr>
        <w:t>Global experience</w:t>
      </w:r>
    </w:p>
    <w:p>
      <w:pPr>
        <w:spacing w:after="0" w:line="344" w:lineRule="exact"/>
        <w:rPr>
          <w:rFonts w:ascii="Arial" w:cs="Arial" w:eastAsia="Arial" w:hAnsi="Arial"/>
          <w:sz w:val="18"/>
          <w:szCs w:val="18"/>
          <w:color w:val="auto"/>
          <w:vertAlign w:val="superscript"/>
        </w:rPr>
      </w:pPr>
    </w:p>
    <w:p>
      <w:pPr>
        <w:ind w:left="880" w:right="400" w:hanging="564"/>
        <w:spacing w:after="0" w:line="192" w:lineRule="auto"/>
        <w:tabs>
          <w:tab w:leader="none" w:pos="880" w:val="left"/>
        </w:tabs>
        <w:numPr>
          <w:ilvl w:val="0"/>
          <w:numId w:val="16"/>
        </w:numPr>
        <w:rPr>
          <w:rFonts w:ascii="Arial" w:cs="Arial" w:eastAsia="Arial" w:hAnsi="Arial"/>
          <w:sz w:val="18"/>
          <w:szCs w:val="18"/>
          <w:color w:val="auto"/>
          <w:vertAlign w:val="superscript"/>
        </w:rPr>
      </w:pPr>
      <w:r>
        <w:rPr>
          <w:rFonts w:ascii="Calibri" w:cs="Calibri" w:eastAsia="Calibri" w:hAnsi="Calibri"/>
          <w:sz w:val="9"/>
          <w:szCs w:val="9"/>
          <w:color w:val="auto"/>
        </w:rPr>
        <w:t>Risk oversight and management</w:t>
      </w:r>
    </w:p>
    <w:p>
      <w:pPr>
        <w:spacing w:after="0" w:line="318" w:lineRule="exact"/>
        <w:rPr>
          <w:rFonts w:ascii="Arial" w:cs="Arial" w:eastAsia="Arial" w:hAnsi="Arial"/>
          <w:sz w:val="18"/>
          <w:szCs w:val="18"/>
          <w:color w:val="auto"/>
          <w:vertAlign w:val="superscript"/>
        </w:rPr>
      </w:pPr>
    </w:p>
    <w:p>
      <w:pPr>
        <w:jc w:val="both"/>
        <w:ind w:left="880" w:right="640" w:hanging="564"/>
        <w:spacing w:after="0" w:line="192" w:lineRule="auto"/>
        <w:tabs>
          <w:tab w:leader="none" w:pos="880" w:val="left"/>
        </w:tabs>
        <w:numPr>
          <w:ilvl w:val="0"/>
          <w:numId w:val="16"/>
        </w:numPr>
        <w:rPr>
          <w:rFonts w:ascii="Arial" w:cs="Arial" w:eastAsia="Arial" w:hAnsi="Arial"/>
          <w:sz w:val="18"/>
          <w:szCs w:val="18"/>
          <w:color w:val="auto"/>
          <w:vertAlign w:val="superscript"/>
        </w:rPr>
      </w:pPr>
      <w:r>
        <w:rPr>
          <w:rFonts w:ascii="Calibri" w:cs="Calibri" w:eastAsia="Calibri" w:hAnsi="Calibri"/>
          <w:sz w:val="9"/>
          <w:szCs w:val="9"/>
          <w:color w:val="auto"/>
        </w:rPr>
        <w:t>Mergers and acquisitons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-857885</wp:posOffset>
            </wp:positionV>
            <wp:extent cx="231140" cy="2311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-469900</wp:posOffset>
            </wp:positionV>
            <wp:extent cx="231140" cy="2146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1140" cy="214630"/>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-97790</wp:posOffset>
            </wp:positionV>
            <wp:extent cx="231140" cy="2063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7"/>
          <w:szCs w:val="17"/>
          <w:color w:val="auto"/>
        </w:rPr>
        <w:t>Age: 66 — is a seasoned business executve with extensive experience in technology and management of real estate.</w:t>
      </w:r>
    </w:p>
    <w:p>
      <w:pPr>
        <w:spacing w:after="0" w:line="2" w:lineRule="exact"/>
        <w:rPr>
          <w:sz w:val="20"/>
          <w:szCs w:val="20"/>
          <w:color w:val="auto"/>
        </w:rPr>
      </w:pPr>
    </w:p>
    <w:p>
      <w:pPr>
        <w:jc w:val="both"/>
        <w:ind w:right="260"/>
        <w:spacing w:after="0" w:line="239" w:lineRule="auto"/>
        <w:rPr>
          <w:sz w:val="20"/>
          <w:szCs w:val="20"/>
          <w:color w:val="auto"/>
        </w:rPr>
      </w:pPr>
      <w:r>
        <w:rPr>
          <w:rFonts w:ascii="Calibri" w:cs="Calibri" w:eastAsia="Calibri" w:hAnsi="Calibri"/>
          <w:sz w:val="17"/>
          <w:szCs w:val="17"/>
          <w:color w:val="auto"/>
        </w:rPr>
        <w:t>Mr. Bartlet’s business experience, skills and directorships are detailed below. The Company has concluded, based in part on Mr. Bartlet’s experience as the former Chief Executve Ofcer of American Tower Corporaton, as well as his prior executve experience at Verizon Communicatons, that Mr. Bartlet should serve as a director.</w:t>
      </w:r>
    </w:p>
    <w:p>
      <w:pPr>
        <w:spacing w:after="0" w:line="12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55429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42915"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Audit*; Nominatng and Governance</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55429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42915"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tab/>
        <w:t>  Former Chief Executve Ofcer of American Tower Corporaton (2020-2023); Executve vice president and chief fnancial ofcer</w:t>
      </w:r>
    </w:p>
    <w:p>
      <w:pPr>
        <w:ind w:left="620"/>
        <w:spacing w:after="0"/>
        <w:rPr>
          <w:sz w:val="20"/>
          <w:szCs w:val="20"/>
          <w:color w:val="auto"/>
        </w:rPr>
      </w:pPr>
      <w:r>
        <w:rPr>
          <w:rFonts w:ascii="Calibri" w:cs="Calibri" w:eastAsia="Calibri" w:hAnsi="Calibri"/>
          <w:sz w:val="16"/>
          <w:szCs w:val="16"/>
          <w:color w:val="auto"/>
        </w:rPr>
        <w:t>(2009-2020); Treasurer (July 2017-Nov. 2018, 2012-2013)</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Various operatons and business development roles with predecessor companies and afliates, including most recently senior</w:t>
      </w:r>
    </w:p>
    <w:p>
      <w:pPr>
        <w:ind w:left="620"/>
        <w:spacing w:after="0"/>
        <w:rPr>
          <w:sz w:val="20"/>
          <w:szCs w:val="20"/>
          <w:color w:val="auto"/>
        </w:rPr>
      </w:pPr>
      <w:r>
        <w:rPr>
          <w:rFonts w:ascii="Calibri" w:cs="Calibri" w:eastAsia="Calibri" w:hAnsi="Calibri"/>
          <w:sz w:val="16"/>
          <w:szCs w:val="16"/>
          <w:color w:val="auto"/>
        </w:rPr>
        <w:t>vice president and corporate controller, Verizon Communicatons (1984-2009)</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Began career at Deloite, Haskins &amp; Sells</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55429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42915"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and member of the audit commitee and the compensaton commitee, Ots Worldwide Corporaton (NYSE: OTIS)</w:t>
      </w:r>
    </w:p>
    <w:p>
      <w:pPr>
        <w:ind w:left="620"/>
        <w:spacing w:after="0"/>
        <w:rPr>
          <w:sz w:val="20"/>
          <w:szCs w:val="20"/>
          <w:color w:val="auto"/>
        </w:rPr>
      </w:pPr>
      <w:r>
        <w:rPr>
          <w:rFonts w:ascii="Calibri" w:cs="Calibri" w:eastAsia="Calibri" w:hAnsi="Calibri"/>
          <w:sz w:val="16"/>
          <w:szCs w:val="16"/>
          <w:color w:val="auto"/>
        </w:rPr>
        <w:t>(2023-present)</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and member of the audit commitee and chair of the fnance commitee, Equinix, Inc. (Nasdaq: EQIX) (2013-2021)</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American Tower Corporaton (NYSE: AMT) (2020-2024)</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55429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42915"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Board of Advisors of the Rutgers Business School</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Samaritans Advisory Council</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Former member, Business Roundtable</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Former member, Massachusets Insttute of Technology Presidental CEO Advisory Board</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Former member, World Economic Forum’s Informaton and Communicatons Technology Board of Governors</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Former member, Natonal Associaton of Real Estate Investment Trust (NAREIT) Executve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264795</wp:posOffset>
            </wp:positionV>
            <wp:extent cx="674052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140"/>
            <w:col w:w="8740"/>
          </w:cols>
          <w:pgMar w:left="320" w:top="471" w:right="639" w:bottom="1440" w:gutter="0" w:footer="0" w:header="0"/>
          <w:type w:val="continuous"/>
        </w:sectPr>
      </w:pPr>
    </w:p>
    <w:p>
      <w:pPr>
        <w:spacing w:after="0" w:line="273"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Audit commitee fnancial expert under applicable SEC rules and regulatons.</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40525" cy="5784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40525" cy="57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Calibri" w:cs="Calibri" w:eastAsia="Calibri" w:hAnsi="Calibri"/>
          <w:sz w:val="24"/>
          <w:szCs w:val="24"/>
          <w:b w:val="1"/>
          <w:bCs w:val="1"/>
          <w:color w:val="FB4E0B"/>
        </w:rPr>
        <w:t>  Andreas Fibig</w:t>
      </w:r>
    </w:p>
    <w:p>
      <w:pPr>
        <w:spacing w:after="0" w:line="9" w:lineRule="exact"/>
        <w:rPr>
          <w:sz w:val="20"/>
          <w:szCs w:val="20"/>
          <w:color w:val="auto"/>
        </w:rPr>
      </w:pPr>
    </w:p>
    <w:p>
      <w:pPr>
        <w:ind w:left="320"/>
        <w:spacing w:after="0"/>
        <w:tabs>
          <w:tab w:leader="none" w:pos="9660" w:val="left"/>
        </w:tabs>
        <w:rPr>
          <w:sz w:val="20"/>
          <w:szCs w:val="20"/>
          <w:color w:val="auto"/>
        </w:rPr>
      </w:pPr>
      <w:r>
        <w:rPr>
          <w:rFonts w:ascii="Calibri" w:cs="Calibri" w:eastAsia="Calibri" w:hAnsi="Calibri"/>
          <w:sz w:val="17"/>
          <w:szCs w:val="17"/>
          <w:b w:val="1"/>
          <w:bCs w:val="1"/>
          <w:color w:val="auto"/>
        </w:rPr>
        <w:t>   Director since January 2023</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187960</wp:posOffset>
            </wp:positionV>
            <wp:extent cx="1164590" cy="1164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320" w:right="80"/>
        <w:spacing w:after="0"/>
        <w:rPr>
          <w:sz w:val="20"/>
          <w:szCs w:val="20"/>
          <w:color w:val="auto"/>
        </w:rPr>
      </w:pPr>
      <w:r>
        <w:rPr>
          <w:rFonts w:ascii="Calibri" w:cs="Calibri" w:eastAsia="Calibri" w:hAnsi="Calibri"/>
          <w:sz w:val="17"/>
          <w:szCs w:val="17"/>
          <w:color w:val="auto"/>
        </w:rPr>
        <w:t>Age: 62 — is a leader in the biosciences, healthcare and pharmaceutcal industries. Mr. Fibig’s business experience, skills and directorships are detailed below. The Company has concluded, based in part on Mr. Fibig’s experience as Chairman and CEO of Internatonal Flavors &amp; Fragrance, Inc. and his expertse from over 25 years in the biosciences, healthcare and the pharmaceutcal industries, as well as in ESG, that Mr. Fibig should serve as a director.</w:t>
      </w:r>
    </w:p>
    <w:p>
      <w:pPr>
        <w:spacing w:after="0" w:line="118" w:lineRule="exact"/>
        <w:rPr>
          <w:sz w:val="20"/>
          <w:szCs w:val="20"/>
          <w:color w:val="auto"/>
        </w:rPr>
      </w:pPr>
    </w:p>
    <w:p>
      <w:pPr>
        <w:ind w:left="2320"/>
        <w:spacing w:after="0"/>
        <w:rPr>
          <w:sz w:val="20"/>
          <w:szCs w:val="20"/>
          <w:color w:val="auto"/>
        </w:rPr>
      </w:pPr>
      <w:r>
        <w:rPr>
          <w:rFonts w:ascii="Calibri" w:cs="Calibri" w:eastAsia="Calibri" w:hAnsi="Calibri"/>
          <w:sz w:val="17"/>
          <w:szCs w:val="17"/>
          <w:b w:val="1"/>
          <w:bCs w:val="1"/>
          <w:color w:val="auto"/>
        </w:rPr>
        <w:t>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14605</wp:posOffset>
            </wp:positionV>
            <wp:extent cx="54686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68620" cy="8255"/>
                    </a:xfrm>
                    <a:prstGeom prst="rect">
                      <a:avLst/>
                    </a:prstGeom>
                    <a:noFill/>
                  </pic:spPr>
                </pic:pic>
              </a:graphicData>
            </a:graphic>
          </wp:anchor>
        </w:drawing>
      </w:r>
    </w:p>
    <w:p>
      <w:pPr>
        <w:spacing w:after="0" w:line="28" w:lineRule="exact"/>
        <w:rPr>
          <w:sz w:val="20"/>
          <w:szCs w:val="20"/>
          <w:color w:val="auto"/>
        </w:rPr>
      </w:pPr>
    </w:p>
    <w:p>
      <w:pPr>
        <w:ind w:left="2640"/>
        <w:spacing w:after="0"/>
        <w:tabs>
          <w:tab w:leader="none" w:pos="2840" w:val="left"/>
        </w:tabs>
        <w:rPr>
          <w:sz w:val="20"/>
          <w:szCs w:val="20"/>
          <w:color w:val="auto"/>
        </w:rPr>
      </w:pPr>
      <w:r>
        <w:rPr>
          <w:rFonts w:ascii="Calibri" w:cs="Calibri" w:eastAsia="Calibri" w:hAnsi="Calibri"/>
          <w:sz w:val="16"/>
          <w:szCs w:val="16"/>
          <w:color w:val="auto"/>
        </w:rPr>
        <w:t>• </w:t>
        <w:tab/>
        <w:t>  Audit; Nominatng and Governance Commitee</w:t>
      </w:r>
    </w:p>
    <w:p>
      <w:pPr>
        <w:spacing w:after="0" w:line="122" w:lineRule="exact"/>
        <w:rPr>
          <w:sz w:val="20"/>
          <w:szCs w:val="20"/>
          <w:color w:val="auto"/>
        </w:rPr>
      </w:pPr>
    </w:p>
    <w:p>
      <w:pPr>
        <w:ind w:left="2320"/>
        <w:spacing w:after="0"/>
        <w:rPr>
          <w:sz w:val="20"/>
          <w:szCs w:val="20"/>
          <w:color w:val="auto"/>
        </w:rPr>
      </w:pPr>
      <w:r>
        <w:rPr>
          <w:rFonts w:ascii="Calibri" w:cs="Calibri" w:eastAsia="Calibri" w:hAnsi="Calibri"/>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14605</wp:posOffset>
            </wp:positionV>
            <wp:extent cx="54686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68620" cy="8255"/>
                    </a:xfrm>
                    <a:prstGeom prst="rect">
                      <a:avLst/>
                    </a:prstGeom>
                    <a:noFill/>
                  </pic:spPr>
                </pic:pic>
              </a:graphicData>
            </a:graphic>
          </wp:anchor>
        </w:drawing>
      </w:r>
    </w:p>
    <w:p>
      <w:pPr>
        <w:spacing w:after="0" w:line="3" w:lineRule="exact"/>
        <w:rPr>
          <w:sz w:val="20"/>
          <w:szCs w:val="20"/>
          <w:color w:val="auto"/>
        </w:rPr>
      </w:pPr>
    </w:p>
    <w:p>
      <w:pPr>
        <w:ind w:left="2640"/>
        <w:spacing w:after="0"/>
        <w:tabs>
          <w:tab w:leader="none" w:pos="28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Chairman and Chief Executve Ofcer, Internatonal Flavors &amp; Fragrances, Inc., a food ingredients, beverage, scent, healthcare</w:t>
      </w:r>
    </w:p>
    <w:tbl>
      <w:tblPr>
        <w:tblLayout w:type="fixed"/>
        <w:tblInd w:w="920" w:type="dxa"/>
        <w:tblCellMar>
          <w:top w:w="0" w:type="dxa"/>
          <w:left w:w="0" w:type="dxa"/>
          <w:bottom w:w="0" w:type="dxa"/>
          <w:right w:w="0" w:type="dxa"/>
        </w:tblCellMar>
      </w:tblPr>
      <w:tr>
        <w:trPr>
          <w:trHeight w:val="166"/>
        </w:trPr>
        <w:tc>
          <w:tcPr>
            <w:tcW w:w="720" w:type="dxa"/>
            <w:vAlign w:val="bottom"/>
          </w:tcPr>
          <w:p>
            <w:pPr>
              <w:spacing w:after="0"/>
              <w:rPr>
                <w:sz w:val="20"/>
                <w:szCs w:val="20"/>
                <w:color w:val="auto"/>
              </w:rPr>
            </w:pPr>
            <w:r>
              <w:rPr>
                <w:rFonts w:ascii="Calibri" w:cs="Calibri" w:eastAsia="Calibri" w:hAnsi="Calibri"/>
                <w:sz w:val="10"/>
                <w:szCs w:val="10"/>
                <w:b w:val="1"/>
                <w:bCs w:val="1"/>
                <w:color w:val="auto"/>
              </w:rPr>
              <w:t>SKILLS</w:t>
            </w:r>
          </w:p>
        </w:tc>
        <w:tc>
          <w:tcPr>
            <w:tcW w:w="900" w:type="dxa"/>
            <w:vAlign w:val="bottom"/>
          </w:tcPr>
          <w:p>
            <w:pPr>
              <w:ind w:left="440"/>
              <w:spacing w:after="0" w:line="166" w:lineRule="exact"/>
              <w:rPr>
                <w:sz w:val="20"/>
                <w:szCs w:val="20"/>
                <w:color w:val="auto"/>
              </w:rPr>
            </w:pPr>
            <w:r>
              <w:rPr>
                <w:rFonts w:ascii="Calibri" w:cs="Calibri" w:eastAsia="Calibri" w:hAnsi="Calibri"/>
                <w:sz w:val="14"/>
                <w:szCs w:val="14"/>
                <w:b w:val="1"/>
                <w:bCs w:val="1"/>
                <w:color w:val="auto"/>
              </w:rPr>
              <w:t> </w:t>
            </w:r>
          </w:p>
        </w:tc>
        <w:tc>
          <w:tcPr>
            <w:tcW w:w="2900" w:type="dxa"/>
            <w:vAlign w:val="bottom"/>
            <w:vMerge w:val="restart"/>
          </w:tcPr>
          <w:p>
            <w:pPr>
              <w:ind w:left="400"/>
              <w:spacing w:after="0"/>
              <w:rPr>
                <w:sz w:val="20"/>
                <w:szCs w:val="20"/>
                <w:color w:val="auto"/>
              </w:rPr>
            </w:pPr>
            <w:r>
              <w:rPr>
                <w:rFonts w:ascii="Calibri" w:cs="Calibri" w:eastAsia="Calibri" w:hAnsi="Calibri"/>
                <w:sz w:val="16"/>
                <w:szCs w:val="16"/>
                <w:color w:val="auto"/>
                <w:w w:val="96"/>
              </w:rPr>
              <w:t>and biosciences company (2014 - 2022)</w:t>
            </w:r>
          </w:p>
        </w:tc>
        <w:tc>
          <w:tcPr>
            <w:tcW w:w="0" w:type="dxa"/>
            <w:vAlign w:val="bottom"/>
          </w:tcPr>
          <w:p>
            <w:pPr>
              <w:spacing w:after="0"/>
              <w:rPr>
                <w:sz w:val="1"/>
                <w:szCs w:val="1"/>
                <w:color w:val="auto"/>
              </w:rPr>
            </w:pPr>
          </w:p>
        </w:tc>
      </w:tr>
      <w:tr>
        <w:trPr>
          <w:trHeight w:val="54"/>
        </w:trPr>
        <w:tc>
          <w:tcPr>
            <w:tcW w:w="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0920"/>
          </w:cols>
          <w:pgMar w:left="320" w:top="471" w:right="659" w:bottom="1440" w:gutter="0" w:footer="0" w:header="0"/>
        </w:sectPr>
      </w:pPr>
    </w:p>
    <w:p>
      <w:pPr>
        <w:ind w:left="920" w:right="620" w:hanging="604"/>
        <w:spacing w:after="0" w:line="255" w:lineRule="auto"/>
        <w:tabs>
          <w:tab w:leader="none" w:pos="920" w:val="left"/>
        </w:tabs>
        <w:numPr>
          <w:ilvl w:val="0"/>
          <w:numId w:val="17"/>
        </w:numPr>
        <w:rPr>
          <w:rFonts w:ascii="Arial" w:cs="Arial" w:eastAsia="Arial" w:hAnsi="Arial"/>
          <w:sz w:val="10"/>
          <w:szCs w:val="10"/>
          <w:color w:val="auto"/>
        </w:rPr>
      </w:pPr>
      <w:r>
        <w:rPr>
          <w:rFonts w:ascii="Calibri" w:cs="Calibri" w:eastAsia="Calibri" w:hAnsi="Calibri"/>
          <w:sz w:val="10"/>
          <w:szCs w:val="10"/>
          <w:color w:val="auto"/>
        </w:rPr>
        <w:t>Executve leadership</w:t>
      </w:r>
    </w:p>
    <w:p>
      <w:pPr>
        <w:ind w:left="920" w:right="60"/>
        <w:spacing w:after="0" w:line="505" w:lineRule="auto"/>
        <w:rPr>
          <w:rFonts w:ascii="Arial" w:cs="Arial" w:eastAsia="Arial" w:hAnsi="Arial"/>
          <w:sz w:val="10"/>
          <w:szCs w:val="10"/>
          <w:color w:val="auto"/>
        </w:rPr>
      </w:pPr>
      <w:r>
        <w:rPr>
          <w:rFonts w:ascii="Calibri" w:cs="Calibri" w:eastAsia="Calibri" w:hAnsi="Calibri"/>
          <w:sz w:val="10"/>
          <w:szCs w:val="10"/>
          <w:color w:val="auto"/>
        </w:rPr>
        <w:t>(within the last 5 years) Public company</w:t>
      </w:r>
    </w:p>
    <w:p>
      <w:pPr>
        <w:spacing w:after="0" w:line="6" w:lineRule="exact"/>
        <w:rPr>
          <w:rFonts w:ascii="Arial" w:cs="Arial" w:eastAsia="Arial" w:hAnsi="Arial"/>
          <w:sz w:val="10"/>
          <w:szCs w:val="10"/>
          <w:color w:val="auto"/>
        </w:rPr>
      </w:pPr>
    </w:p>
    <w:p>
      <w:pPr>
        <w:ind w:left="920" w:right="440" w:hanging="604"/>
        <w:spacing w:after="0" w:line="230" w:lineRule="auto"/>
        <w:tabs>
          <w:tab w:leader="none" w:pos="920" w:val="left"/>
        </w:tabs>
        <w:numPr>
          <w:ilvl w:val="0"/>
          <w:numId w:val="17"/>
        </w:numPr>
        <w:rPr>
          <w:rFonts w:ascii="Calibri" w:cs="Calibri" w:eastAsia="Calibri" w:hAnsi="Calibri"/>
          <w:sz w:val="35"/>
          <w:szCs w:val="35"/>
          <w:color w:val="auto"/>
          <w:vertAlign w:val="subscript"/>
        </w:rPr>
      </w:pPr>
      <w:r>
        <w:rPr>
          <w:rFonts w:ascii="Calibri" w:cs="Calibri" w:eastAsia="Calibri" w:hAnsi="Calibri"/>
          <w:sz w:val="10"/>
          <w:szCs w:val="10"/>
          <w:color w:val="auto"/>
        </w:rPr>
        <w:t>governance 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-750570</wp:posOffset>
            </wp:positionV>
            <wp:extent cx="247650" cy="2311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7650" cy="23114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-420370</wp:posOffset>
            </wp:positionV>
            <wp:extent cx="132080" cy="2063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2080" cy="20637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-73025</wp:posOffset>
            </wp:positionV>
            <wp:extent cx="214630" cy="214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ind w:left="920"/>
        <w:spacing w:after="0"/>
        <w:rPr>
          <w:sz w:val="20"/>
          <w:szCs w:val="20"/>
          <w:color w:val="auto"/>
        </w:rPr>
      </w:pPr>
      <w:r>
        <w:rPr>
          <w:rFonts w:ascii="Calibri" w:cs="Calibri" w:eastAsia="Calibri" w:hAnsi="Calibri"/>
          <w:sz w:val="10"/>
          <w:szCs w:val="10"/>
          <w:color w:val="auto"/>
        </w:rPr>
        <w:t>management</w:t>
      </w: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93980</wp:posOffset>
            </wp:positionV>
            <wp:extent cx="239395" cy="239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199" w:lineRule="exact"/>
        <w:rPr>
          <w:sz w:val="20"/>
          <w:szCs w:val="20"/>
          <w:color w:val="auto"/>
        </w:rPr>
      </w:pPr>
    </w:p>
    <w:p>
      <w:pPr>
        <w:ind w:left="920"/>
        <w:spacing w:after="0"/>
        <w:rPr>
          <w:sz w:val="20"/>
          <w:szCs w:val="20"/>
          <w:color w:val="auto"/>
        </w:rPr>
      </w:pPr>
      <w:r>
        <w:rPr>
          <w:rFonts w:ascii="Calibri" w:cs="Calibri" w:eastAsia="Calibri" w:hAnsi="Calibri"/>
          <w:sz w:val="10"/>
          <w:szCs w:val="10"/>
          <w:color w:val="auto"/>
        </w:rPr>
        <w:t>Marketng</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100330</wp:posOffset>
            </wp:positionV>
            <wp:extent cx="231140" cy="2311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144" w:lineRule="exact"/>
        <w:rPr>
          <w:sz w:val="20"/>
          <w:szCs w:val="20"/>
          <w:color w:val="auto"/>
        </w:rPr>
      </w:pPr>
    </w:p>
    <w:p>
      <w:pPr>
        <w:ind w:left="920"/>
        <w:spacing w:after="0"/>
        <w:rPr>
          <w:sz w:val="20"/>
          <w:szCs w:val="20"/>
          <w:color w:val="auto"/>
        </w:rPr>
      </w:pPr>
      <w:r>
        <w:rPr>
          <w:rFonts w:ascii="Calibri" w:cs="Calibri" w:eastAsia="Calibri" w:hAnsi="Calibri"/>
          <w:sz w:val="10"/>
          <w:szCs w:val="10"/>
          <w:color w:val="auto"/>
        </w:rPr>
        <w:t>Global</w:t>
      </w:r>
    </w:p>
    <w:p>
      <w:pPr>
        <w:spacing w:after="0" w:line="8" w:lineRule="exact"/>
        <w:rPr>
          <w:sz w:val="20"/>
          <w:szCs w:val="20"/>
          <w:color w:val="auto"/>
        </w:rPr>
      </w:pPr>
    </w:p>
    <w:p>
      <w:pPr>
        <w:ind w:left="920"/>
        <w:spacing w:after="0"/>
        <w:rPr>
          <w:sz w:val="20"/>
          <w:szCs w:val="20"/>
          <w:color w:val="auto"/>
        </w:rPr>
      </w:pPr>
      <w:r>
        <w:rPr>
          <w:rFonts w:ascii="Calibri" w:cs="Calibri" w:eastAsia="Calibri" w:hAnsi="Calibri"/>
          <w:sz w:val="10"/>
          <w:szCs w:val="10"/>
          <w:color w:val="auto"/>
        </w:rPr>
        <w:t>experience</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108585</wp:posOffset>
            </wp:positionV>
            <wp:extent cx="231140" cy="1981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1140" cy="198120"/>
                    </a:xfrm>
                    <a:prstGeom prst="rect">
                      <a:avLst/>
                    </a:prstGeom>
                    <a:noFill/>
                  </pic:spPr>
                </pic:pic>
              </a:graphicData>
            </a:graphic>
          </wp:anchor>
        </w:drawing>
      </w:r>
    </w:p>
    <w:p>
      <w:pPr>
        <w:spacing w:after="0" w:line="196" w:lineRule="exact"/>
        <w:rPr>
          <w:sz w:val="20"/>
          <w:szCs w:val="20"/>
          <w:color w:val="auto"/>
        </w:rPr>
      </w:pPr>
    </w:p>
    <w:p>
      <w:pPr>
        <w:ind w:left="920"/>
        <w:spacing w:after="0"/>
        <w:rPr>
          <w:sz w:val="20"/>
          <w:szCs w:val="20"/>
          <w:color w:val="auto"/>
        </w:rPr>
      </w:pPr>
      <w:r>
        <w:rPr>
          <w:rFonts w:ascii="Calibri" w:cs="Calibri" w:eastAsia="Calibri" w:hAnsi="Calibri"/>
          <w:sz w:val="10"/>
          <w:szCs w:val="10"/>
          <w:color w:val="auto"/>
        </w:rPr>
        <w:t>ESG</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100330</wp:posOffset>
            </wp:positionV>
            <wp:extent cx="231140" cy="2063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Calibri" w:cs="Calibri" w:eastAsia="Calibri" w:hAnsi="Calibri"/>
          <w:sz w:val="10"/>
          <w:szCs w:val="10"/>
          <w:color w:val="auto"/>
        </w:rPr>
        <w:t>Mergers and acquisitons</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President and Chairman of the Board of Management, Bayer Healthcare Pharmaceutcals, LLC a global pharmaceutcal</w:t>
      </w:r>
    </w:p>
    <w:p>
      <w:pPr>
        <w:ind w:left="620"/>
        <w:spacing w:after="0"/>
        <w:rPr>
          <w:sz w:val="20"/>
          <w:szCs w:val="20"/>
          <w:color w:val="auto"/>
        </w:rPr>
      </w:pPr>
      <w:r>
        <w:rPr>
          <w:rFonts w:ascii="Calibri" w:cs="Calibri" w:eastAsia="Calibri" w:hAnsi="Calibri"/>
          <w:sz w:val="16"/>
          <w:szCs w:val="16"/>
          <w:color w:val="auto"/>
        </w:rPr>
        <w:t>company (2008 - 2014)</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Senior Vice President/General Manager and various leadership positons, Pfzer, Inc., a multnatonal pharmaceutcal and</w:t>
      </w:r>
    </w:p>
    <w:p>
      <w:pPr>
        <w:ind w:left="620"/>
        <w:spacing w:after="0"/>
        <w:rPr>
          <w:sz w:val="20"/>
          <w:szCs w:val="20"/>
          <w:color w:val="auto"/>
        </w:rPr>
      </w:pPr>
      <w:r>
        <w:rPr>
          <w:rFonts w:ascii="Calibri" w:cs="Calibri" w:eastAsia="Calibri" w:hAnsi="Calibri"/>
          <w:sz w:val="16"/>
          <w:szCs w:val="16"/>
          <w:color w:val="auto"/>
        </w:rPr>
        <w:t>biotechnology company (2000 - 2008))</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4686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6862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Internatonal Flavors &amp; Fragrances, Inc. (2011 - 2022, Chairman from 2014 - 2022)</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 Independent director and member of the research and development commitee, former member of the audit commitee,</w:t>
      </w:r>
    </w:p>
    <w:p>
      <w:pPr>
        <w:ind w:left="620"/>
        <w:spacing w:after="0"/>
        <w:rPr>
          <w:sz w:val="20"/>
          <w:szCs w:val="20"/>
          <w:color w:val="auto"/>
        </w:rPr>
      </w:pPr>
      <w:r>
        <w:rPr>
          <w:rFonts w:ascii="Calibri" w:cs="Calibri" w:eastAsia="Calibri" w:hAnsi="Calibri"/>
          <w:sz w:val="16"/>
          <w:szCs w:val="16"/>
          <w:color w:val="auto"/>
        </w:rPr>
        <w:t>Novo-Nordisk A/S (NYSE: NVO), a global healthcare company (2018 - present)</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 Independent director and member of the audit commitee and fnance and risk policy commitee, Bunge Limited (NYSE: BG), a</w:t>
      </w:r>
    </w:p>
    <w:p>
      <w:pPr>
        <w:ind w:left="620"/>
        <w:spacing w:after="0"/>
        <w:rPr>
          <w:sz w:val="20"/>
          <w:szCs w:val="20"/>
          <w:color w:val="auto"/>
        </w:rPr>
      </w:pPr>
      <w:r>
        <w:rPr>
          <w:rFonts w:ascii="Calibri" w:cs="Calibri" w:eastAsia="Calibri" w:hAnsi="Calibri"/>
          <w:sz w:val="16"/>
          <w:szCs w:val="16"/>
          <w:color w:val="auto"/>
        </w:rPr>
        <w:t>global agribusiness and food company (2016 - 2018)</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4686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6862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Chairman, Simtra (formerly Baxter Bioscience), a pharmaceutcal contract development and manufacturing organizaton</w:t>
      </w:r>
    </w:p>
    <w:p>
      <w:pPr>
        <w:ind w:left="620"/>
        <w:spacing w:after="0"/>
        <w:rPr>
          <w:sz w:val="20"/>
          <w:szCs w:val="20"/>
          <w:color w:val="auto"/>
        </w:rPr>
      </w:pPr>
      <w:r>
        <w:rPr>
          <w:rFonts w:ascii="Calibri" w:cs="Calibri" w:eastAsia="Calibri" w:hAnsi="Calibri"/>
          <w:sz w:val="16"/>
          <w:szCs w:val="16"/>
          <w:color w:val="auto"/>
        </w:rPr>
        <w:t>(2023 - present)</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Indigo Agriculture, an agricultural technology company (2022 - present)</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EvodiaBio, a bioindustrial aroma company (2022 -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256540</wp:posOffset>
            </wp:positionV>
            <wp:extent cx="6740525"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340"/>
            <w:col w:w="8600"/>
          </w:cols>
          <w:pgMar w:left="320" w:top="471" w:right="659" w:bottom="1440" w:gutter="0" w:footer="0" w:header="0"/>
          <w:type w:val="continuous"/>
        </w:sectPr>
      </w:pPr>
    </w:p>
    <w:p>
      <w:pPr>
        <w:spacing w:after="0" w:line="383" w:lineRule="exact"/>
        <w:rPr>
          <w:sz w:val="20"/>
          <w:szCs w:val="20"/>
          <w:color w:val="auto"/>
        </w:rPr>
      </w:pPr>
    </w:p>
    <w:tbl>
      <w:tblPr>
        <w:tblLayout w:type="fixed"/>
        <w:tblInd w:w="400" w:type="dxa"/>
        <w:tblCellMar>
          <w:top w:w="0" w:type="dxa"/>
          <w:left w:w="0" w:type="dxa"/>
          <w:bottom w:w="0" w:type="dxa"/>
          <w:right w:w="0" w:type="dxa"/>
        </w:tblCellMar>
      </w:tblPr>
      <w:tr>
        <w:trPr>
          <w:trHeight w:val="215"/>
        </w:trPr>
        <w:tc>
          <w:tcPr>
            <w:tcW w:w="460" w:type="dxa"/>
            <w:vAlign w:val="bottom"/>
            <w:vMerge w:val="restart"/>
          </w:tcPr>
          <w:p>
            <w:pPr>
              <w:jc w:val="right"/>
              <w:spacing w:after="0"/>
              <w:rPr>
                <w:sz w:val="20"/>
                <w:szCs w:val="20"/>
                <w:color w:val="auto"/>
              </w:rPr>
            </w:pPr>
            <w:r>
              <w:rPr>
                <w:rFonts w:ascii="Calibri" w:cs="Calibri" w:eastAsia="Calibri" w:hAnsi="Calibri"/>
                <w:sz w:val="17"/>
                <w:szCs w:val="17"/>
                <w:b w:val="1"/>
                <w:bCs w:val="1"/>
                <w:color w:val="auto"/>
              </w:rPr>
              <w:t xml:space="preserve">20 </w:t>
            </w:r>
            <w:r>
              <w:rPr>
                <w:rFonts w:ascii="Calibri" w:cs="Calibri" w:eastAsia="Calibri" w:hAnsi="Calibri"/>
                <w:sz w:val="27"/>
                <w:szCs w:val="27"/>
                <w:b w:val="1"/>
                <w:bCs w:val="1"/>
                <w:color w:val="FB4E0B"/>
              </w:rPr>
              <w:t>/</w:t>
            </w:r>
          </w:p>
        </w:tc>
        <w:tc>
          <w:tcPr>
            <w:tcW w:w="5580" w:type="dxa"/>
            <w:vAlign w:val="bottom"/>
            <w:vMerge w:val="restart"/>
          </w:tcPr>
          <w:p>
            <w:pPr>
              <w:ind w:left="60"/>
              <w:spacing w:after="0"/>
              <w:rPr>
                <w:sz w:val="20"/>
                <w:szCs w:val="20"/>
                <w:color w:val="auto"/>
              </w:rPr>
            </w:pPr>
            <w:r>
              <w:rPr>
                <w:rFonts w:ascii="Calibri" w:cs="Calibri" w:eastAsia="Calibri" w:hAnsi="Calibri"/>
                <w:sz w:val="13"/>
                <w:szCs w:val="13"/>
                <w:color w:val="auto"/>
              </w:rPr>
              <w:t>EXL 2024 Proxy Statement</w:t>
            </w:r>
          </w:p>
        </w:tc>
        <w:tc>
          <w:tcPr>
            <w:tcW w:w="4360" w:type="dxa"/>
            <w:vAlign w:val="bottom"/>
          </w:tcPr>
          <w:p>
            <w:pPr>
              <w:ind w:left="41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60" w:type="dxa"/>
            <w:vAlign w:val="bottom"/>
            <w:vMerge w:val="continue"/>
          </w:tcPr>
          <w:p>
            <w:pPr>
              <w:spacing w:after="0"/>
              <w:rPr>
                <w:sz w:val="10"/>
                <w:szCs w:val="10"/>
                <w:color w:val="auto"/>
              </w:rPr>
            </w:pPr>
          </w:p>
        </w:tc>
        <w:tc>
          <w:tcPr>
            <w:tcW w:w="5580" w:type="dxa"/>
            <w:vAlign w:val="bottom"/>
            <w:vMerge w:val="continue"/>
          </w:tcPr>
          <w:p>
            <w:pPr>
              <w:spacing w:after="0"/>
              <w:rPr>
                <w:sz w:val="10"/>
                <w:szCs w:val="10"/>
                <w:color w:val="auto"/>
              </w:rPr>
            </w:pPr>
          </w:p>
        </w:tc>
        <w:tc>
          <w:tcPr>
            <w:tcW w:w="4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1" w:right="6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40525" cy="5784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40525" cy="57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Calibri" w:cs="Calibri" w:eastAsia="Calibri" w:hAnsi="Calibri"/>
          <w:sz w:val="24"/>
          <w:szCs w:val="24"/>
          <w:b w:val="1"/>
          <w:bCs w:val="1"/>
          <w:color w:val="FB4E0B"/>
        </w:rPr>
        <w:t>  Kristy Pipes</w:t>
      </w:r>
    </w:p>
    <w:p>
      <w:pPr>
        <w:spacing w:after="0" w:line="9" w:lineRule="exact"/>
        <w:rPr>
          <w:sz w:val="20"/>
          <w:szCs w:val="20"/>
          <w:color w:val="auto"/>
        </w:rPr>
      </w:pPr>
    </w:p>
    <w:p>
      <w:pPr>
        <w:ind w:left="320"/>
        <w:spacing w:after="0"/>
        <w:tabs>
          <w:tab w:leader="none" w:pos="9660" w:val="left"/>
        </w:tabs>
        <w:rPr>
          <w:sz w:val="20"/>
          <w:szCs w:val="20"/>
          <w:color w:val="auto"/>
        </w:rPr>
      </w:pPr>
      <w:r>
        <w:rPr>
          <w:rFonts w:ascii="Calibri" w:cs="Calibri" w:eastAsia="Calibri" w:hAnsi="Calibri"/>
          <w:sz w:val="17"/>
          <w:szCs w:val="17"/>
          <w:b w:val="1"/>
          <w:bCs w:val="1"/>
          <w:color w:val="auto"/>
        </w:rPr>
        <w:t>   Director since January 2021</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187960</wp:posOffset>
            </wp:positionV>
            <wp:extent cx="1073785" cy="1057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73785" cy="105727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2180" w:right="100"/>
        <w:spacing w:after="0"/>
        <w:rPr>
          <w:sz w:val="20"/>
          <w:szCs w:val="20"/>
          <w:color w:val="auto"/>
        </w:rPr>
      </w:pPr>
      <w:r>
        <w:rPr>
          <w:rFonts w:ascii="Calibri" w:cs="Calibri" w:eastAsia="Calibri" w:hAnsi="Calibri"/>
          <w:sz w:val="17"/>
          <w:szCs w:val="17"/>
          <w:color w:val="auto"/>
        </w:rPr>
        <w:t>Age: 65 — is a leader in the professional services industry. Ms. Pipes’s business experience, skills and directorships are detailed below. The Company has concluded, based in part on Ms. Pipes’s experience as the Chief Financial Ofcer and as a member of the Management Commitee of Deloite Consultng, LLP and her expertse in the consultng and fnancial services industry that Ms. Pipes should serve as a director.</w:t>
      </w:r>
    </w:p>
    <w:p>
      <w:pPr>
        <w:spacing w:after="0" w:line="118" w:lineRule="exact"/>
        <w:rPr>
          <w:sz w:val="20"/>
          <w:szCs w:val="20"/>
          <w:color w:val="auto"/>
        </w:rPr>
      </w:pPr>
    </w:p>
    <w:p>
      <w:pPr>
        <w:ind w:left="2180"/>
        <w:spacing w:after="0"/>
        <w:rPr>
          <w:sz w:val="20"/>
          <w:szCs w:val="20"/>
          <w:color w:val="auto"/>
        </w:rPr>
      </w:pPr>
      <w:r>
        <w:rPr>
          <w:rFonts w:ascii="Calibri" w:cs="Calibri" w:eastAsia="Calibri" w:hAnsi="Calibri"/>
          <w:sz w:val="17"/>
          <w:szCs w:val="17"/>
          <w:b w:val="1"/>
          <w:bCs w:val="1"/>
          <w:color w:val="auto"/>
        </w:rPr>
        <w:t>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14605</wp:posOffset>
            </wp:positionV>
            <wp:extent cx="55594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59425" cy="8255"/>
                    </a:xfrm>
                    <a:prstGeom prst="rect">
                      <a:avLst/>
                    </a:prstGeom>
                    <a:noFill/>
                  </pic:spPr>
                </pic:pic>
              </a:graphicData>
            </a:graphic>
          </wp:anchor>
        </w:drawing>
      </w:r>
    </w:p>
    <w:p>
      <w:pPr>
        <w:spacing w:after="0" w:line="28" w:lineRule="exact"/>
        <w:rPr>
          <w:sz w:val="20"/>
          <w:szCs w:val="20"/>
          <w:color w:val="auto"/>
        </w:rPr>
      </w:pPr>
    </w:p>
    <w:p>
      <w:pPr>
        <w:ind w:left="2480"/>
        <w:spacing w:after="0"/>
        <w:tabs>
          <w:tab w:leader="none" w:pos="270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Audit (Chair)*; Compensaton and Talent Management</w:t>
      </w:r>
    </w:p>
    <w:p>
      <w:pPr>
        <w:spacing w:after="0" w:line="93" w:lineRule="exact"/>
        <w:rPr>
          <w:sz w:val="20"/>
          <w:szCs w:val="20"/>
          <w:color w:val="auto"/>
        </w:rPr>
      </w:pPr>
    </w:p>
    <w:p>
      <w:pPr>
        <w:ind w:left="2180"/>
        <w:spacing w:after="0"/>
        <w:rPr>
          <w:sz w:val="20"/>
          <w:szCs w:val="20"/>
          <w:color w:val="auto"/>
        </w:rPr>
      </w:pPr>
      <w:r>
        <w:rPr>
          <w:rFonts w:ascii="Calibri" w:cs="Calibri" w:eastAsia="Calibri" w:hAnsi="Calibri"/>
          <w:sz w:val="17"/>
          <w:szCs w:val="17"/>
          <w:b w:val="1"/>
          <w:bCs w:val="1"/>
          <w:color w:val="auto"/>
        </w:rPr>
        <w:t>Business experience</w:t>
      </w:r>
    </w:p>
    <w:tbl>
      <w:tblPr>
        <w:tblLayout w:type="fixed"/>
        <w:tblInd w:w="320" w:type="dxa"/>
        <w:tblCellMar>
          <w:top w:w="0" w:type="dxa"/>
          <w:left w:w="0" w:type="dxa"/>
          <w:bottom w:w="0" w:type="dxa"/>
          <w:right w:w="0" w:type="dxa"/>
        </w:tblCellMar>
      </w:tblPr>
      <w:tr>
        <w:trPr>
          <w:trHeight w:val="52"/>
        </w:trPr>
        <w:tc>
          <w:tcPr>
            <w:tcW w:w="32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Calibri" w:cs="Calibri" w:eastAsia="Calibri" w:hAnsi="Calibri"/>
                <w:sz w:val="10"/>
                <w:szCs w:val="10"/>
                <w:b w:val="1"/>
                <w:bCs w:val="1"/>
                <w:color w:val="auto"/>
              </w:rPr>
              <w:t>SKILLS</w:t>
            </w:r>
          </w:p>
        </w:tc>
        <w:tc>
          <w:tcPr>
            <w:tcW w:w="500" w:type="dxa"/>
            <w:vAlign w:val="bottom"/>
            <w:vMerge w:val="restart"/>
          </w:tcPr>
          <w:p>
            <w:pPr>
              <w:ind w:left="120"/>
              <w:spacing w:after="0" w:line="166" w:lineRule="exact"/>
              <w:rPr>
                <w:sz w:val="20"/>
                <w:szCs w:val="20"/>
                <w:color w:val="auto"/>
              </w:rPr>
            </w:pPr>
            <w:r>
              <w:rPr>
                <w:rFonts w:ascii="Calibri" w:cs="Calibri" w:eastAsia="Calibri" w:hAnsi="Calibri"/>
                <w:sz w:val="14"/>
                <w:szCs w:val="14"/>
                <w:b w:val="1"/>
                <w:bCs w:val="1"/>
                <w:color w:val="auto"/>
              </w:rPr>
              <w:t xml:space="preserve">      </w:t>
            </w:r>
          </w:p>
        </w:tc>
        <w:tc>
          <w:tcPr>
            <w:tcW w:w="480" w:type="dxa"/>
            <w:vAlign w:val="bottom"/>
            <w:tcBorders>
              <w:bottom w:val="single" w:sz="8" w:color="auto"/>
            </w:tcBorders>
          </w:tcPr>
          <w:p>
            <w:pPr>
              <w:spacing w:after="0"/>
              <w:rPr>
                <w:sz w:val="4"/>
                <w:szCs w:val="4"/>
                <w:color w:val="auto"/>
              </w:rPr>
            </w:pPr>
          </w:p>
        </w:tc>
        <w:tc>
          <w:tcPr>
            <w:tcW w:w="8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480" w:type="dxa"/>
            <w:vAlign w:val="bottom"/>
            <w:vMerge w:val="restart"/>
          </w:tcPr>
          <w:p>
            <w:pPr>
              <w:ind w:left="300"/>
              <w:spacing w:after="0"/>
              <w:rPr>
                <w:sz w:val="20"/>
                <w:szCs w:val="20"/>
                <w:color w:val="auto"/>
              </w:rPr>
            </w:pPr>
            <w:r>
              <w:rPr>
                <w:rFonts w:ascii="Calibri" w:cs="Calibri" w:eastAsia="Calibri" w:hAnsi="Calibri"/>
                <w:sz w:val="14"/>
                <w:szCs w:val="14"/>
                <w:color w:val="auto"/>
                <w:w w:val="76"/>
              </w:rPr>
              <w:t>• </w:t>
            </w:r>
          </w:p>
        </w:tc>
        <w:tc>
          <w:tcPr>
            <w:tcW w:w="8280" w:type="dxa"/>
            <w:vAlign w:val="bottom"/>
            <w:vMerge w:val="restart"/>
          </w:tcPr>
          <w:p>
            <w:pPr>
              <w:ind w:left="60"/>
              <w:spacing w:after="0"/>
              <w:rPr>
                <w:sz w:val="20"/>
                <w:szCs w:val="20"/>
                <w:color w:val="auto"/>
              </w:rPr>
            </w:pPr>
            <w:r>
              <w:rPr>
                <w:rFonts w:ascii="Calibri" w:cs="Calibri" w:eastAsia="Calibri" w:hAnsi="Calibri"/>
                <w:sz w:val="16"/>
                <w:szCs w:val="16"/>
                <w:color w:val="auto"/>
              </w:rPr>
              <w:t>  Chief Financial Ofcer, member of the Management Commitee and various leadership positons, Deloite Consultng LLP, a</w:t>
            </w:r>
          </w:p>
        </w:tc>
        <w:tc>
          <w:tcPr>
            <w:tcW w:w="0" w:type="dxa"/>
            <w:vAlign w:val="bottom"/>
          </w:tcPr>
          <w:p>
            <w:pPr>
              <w:spacing w:after="0"/>
              <w:rPr>
                <w:sz w:val="1"/>
                <w:szCs w:val="1"/>
                <w:color w:val="auto"/>
              </w:rPr>
            </w:pPr>
          </w:p>
        </w:tc>
      </w:tr>
      <w:tr>
        <w:trPr>
          <w:trHeight w:val="106"/>
        </w:trPr>
        <w:tc>
          <w:tcPr>
            <w:tcW w:w="320" w:type="dxa"/>
            <w:vAlign w:val="bottom"/>
          </w:tcPr>
          <w:p>
            <w:pPr>
              <w:spacing w:after="0"/>
              <w:rPr>
                <w:sz w:val="9"/>
                <w:szCs w:val="9"/>
                <w:color w:val="auto"/>
              </w:rPr>
            </w:pPr>
          </w:p>
        </w:tc>
        <w:tc>
          <w:tcPr>
            <w:tcW w:w="1040" w:type="dxa"/>
            <w:vAlign w:val="bottom"/>
            <w:vMerge w:val="restart"/>
          </w:tcPr>
          <w:p>
            <w:pPr>
              <w:ind w:left="280"/>
              <w:spacing w:after="0"/>
              <w:rPr>
                <w:sz w:val="20"/>
                <w:szCs w:val="20"/>
                <w:color w:val="auto"/>
              </w:rPr>
            </w:pPr>
            <w:r>
              <w:rPr>
                <w:rFonts w:ascii="Calibri" w:cs="Calibri" w:eastAsia="Calibri" w:hAnsi="Calibri"/>
                <w:sz w:val="10"/>
                <w:szCs w:val="10"/>
                <w:color w:val="auto"/>
              </w:rPr>
              <w:t>Finance</w:t>
            </w:r>
          </w:p>
        </w:tc>
        <w:tc>
          <w:tcPr>
            <w:tcW w:w="5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8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80" w:type="dxa"/>
            <w:vAlign w:val="bottom"/>
            <w:vMerge w:val="restart"/>
          </w:tcPr>
          <w:p>
            <w:pPr>
              <w:ind w:left="140"/>
              <w:spacing w:after="0"/>
              <w:rPr>
                <w:sz w:val="20"/>
                <w:szCs w:val="20"/>
                <w:color w:val="auto"/>
              </w:rPr>
            </w:pPr>
            <w:r>
              <w:rPr>
                <w:rFonts w:ascii="Calibri" w:cs="Calibri" w:eastAsia="Calibri" w:hAnsi="Calibri"/>
                <w:sz w:val="16"/>
                <w:szCs w:val="16"/>
                <w:color w:val="auto"/>
              </w:rPr>
              <w:t>management consultng frm (1999 - 2019)</w:t>
            </w:r>
          </w:p>
        </w:tc>
        <w:tc>
          <w:tcPr>
            <w:tcW w:w="0" w:type="dxa"/>
            <w:vAlign w:val="bottom"/>
          </w:tcPr>
          <w:p>
            <w:pPr>
              <w:spacing w:after="0"/>
              <w:rPr>
                <w:sz w:val="1"/>
                <w:szCs w:val="1"/>
                <w:color w:val="auto"/>
              </w:rPr>
            </w:pPr>
          </w:p>
        </w:tc>
      </w:tr>
      <w:tr>
        <w:trPr>
          <w:trHeight w:val="77"/>
        </w:trPr>
        <w:tc>
          <w:tcPr>
            <w:tcW w:w="320" w:type="dxa"/>
            <w:vAlign w:val="bottom"/>
          </w:tcPr>
          <w:p>
            <w:pPr>
              <w:spacing w:after="0"/>
              <w:rPr>
                <w:sz w:val="6"/>
                <w:szCs w:val="6"/>
                <w:color w:val="auto"/>
              </w:rPr>
            </w:pPr>
          </w:p>
        </w:tc>
        <w:tc>
          <w:tcPr>
            <w:tcW w:w="1040" w:type="dxa"/>
            <w:vAlign w:val="bottom"/>
            <w:vMerge w:val="restart"/>
          </w:tcPr>
          <w:p>
            <w:pPr>
              <w:ind w:left="280"/>
              <w:spacing w:after="0"/>
              <w:rPr>
                <w:sz w:val="20"/>
                <w:szCs w:val="20"/>
                <w:color w:val="auto"/>
              </w:rPr>
            </w:pPr>
            <w:r>
              <w:rPr>
                <w:rFonts w:ascii="Calibri" w:cs="Calibri" w:eastAsia="Calibri" w:hAnsi="Calibri"/>
                <w:sz w:val="10"/>
                <w:szCs w:val="10"/>
                <w:color w:val="auto"/>
              </w:rPr>
              <w:t>and accountng</w:t>
            </w: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320" w:type="dxa"/>
            <w:vAlign w:val="bottom"/>
            <w:vMerge w:val="restart"/>
          </w:tcPr>
          <w:p>
            <w:pPr>
              <w:spacing w:after="0"/>
              <w:rPr>
                <w:sz w:val="20"/>
                <w:szCs w:val="20"/>
                <w:color w:val="auto"/>
              </w:rPr>
            </w:pPr>
            <w:r>
              <w:rPr>
                <w:rFonts w:ascii="Arial" w:cs="Arial" w:eastAsia="Arial" w:hAnsi="Arial"/>
                <w:sz w:val="10"/>
                <w:szCs w:val="10"/>
                <w:color w:val="auto"/>
              </w:rPr>
              <w:t> </w:t>
            </w:r>
          </w:p>
        </w:tc>
        <w:tc>
          <w:tcPr>
            <w:tcW w:w="10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3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vMerge w:val="restart"/>
          </w:tcPr>
          <w:p>
            <w:pPr>
              <w:ind w:left="300"/>
              <w:spacing w:after="0"/>
              <w:rPr>
                <w:sz w:val="20"/>
                <w:szCs w:val="20"/>
                <w:color w:val="auto"/>
              </w:rPr>
            </w:pPr>
            <w:r>
              <w:rPr>
                <w:rFonts w:ascii="Calibri" w:cs="Calibri" w:eastAsia="Calibri" w:hAnsi="Calibri"/>
                <w:sz w:val="14"/>
                <w:szCs w:val="14"/>
                <w:color w:val="auto"/>
                <w:w w:val="76"/>
              </w:rPr>
              <w:t>• </w:t>
            </w:r>
          </w:p>
        </w:tc>
        <w:tc>
          <w:tcPr>
            <w:tcW w:w="8280" w:type="dxa"/>
            <w:vAlign w:val="bottom"/>
            <w:vMerge w:val="restart"/>
          </w:tcPr>
          <w:p>
            <w:pPr>
              <w:ind w:left="60"/>
              <w:spacing w:after="0"/>
              <w:rPr>
                <w:sz w:val="20"/>
                <w:szCs w:val="20"/>
                <w:color w:val="auto"/>
              </w:rPr>
            </w:pPr>
            <w:r>
              <w:rPr>
                <w:rFonts w:ascii="Calibri" w:cs="Calibri" w:eastAsia="Calibri" w:hAnsi="Calibri"/>
                <w:sz w:val="16"/>
                <w:szCs w:val="16"/>
                <w:color w:val="auto"/>
              </w:rPr>
              <w:t>  Vice President and Manager, Finance Division, Transamerica Life Companies (1997 - 1999)</w:t>
            </w: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0"/>
                <w:szCs w:val="10"/>
                <w:color w:val="auto"/>
              </w:rPr>
              <w:t> </w:t>
            </w: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320" w:type="dxa"/>
            <w:vAlign w:val="bottom"/>
            <w:vMerge w:val="continue"/>
          </w:tcPr>
          <w:p>
            <w:pPr>
              <w:spacing w:after="0"/>
              <w:rPr>
                <w:sz w:val="7"/>
                <w:szCs w:val="7"/>
                <w:color w:val="auto"/>
              </w:rPr>
            </w:pPr>
          </w:p>
        </w:tc>
        <w:tc>
          <w:tcPr>
            <w:tcW w:w="1040" w:type="dxa"/>
            <w:vAlign w:val="bottom"/>
            <w:vMerge w:val="restart"/>
          </w:tcPr>
          <w:p>
            <w:pPr>
              <w:ind w:left="280"/>
              <w:spacing w:after="0"/>
              <w:rPr>
                <w:sz w:val="20"/>
                <w:szCs w:val="20"/>
                <w:color w:val="auto"/>
              </w:rPr>
            </w:pPr>
            <w:r>
              <w:rPr>
                <w:rFonts w:ascii="Calibri" w:cs="Calibri" w:eastAsia="Calibri" w:hAnsi="Calibri"/>
                <w:sz w:val="10"/>
                <w:szCs w:val="10"/>
                <w:color w:val="auto"/>
              </w:rPr>
              <w:t>Executve</w:t>
            </w: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vMerge w:val="restart"/>
          </w:tcPr>
          <w:p>
            <w:pPr>
              <w:ind w:left="300"/>
              <w:spacing w:after="0"/>
              <w:rPr>
                <w:sz w:val="20"/>
                <w:szCs w:val="20"/>
                <w:color w:val="auto"/>
              </w:rPr>
            </w:pPr>
            <w:r>
              <w:rPr>
                <w:rFonts w:ascii="Calibri" w:cs="Calibri" w:eastAsia="Calibri" w:hAnsi="Calibri"/>
                <w:sz w:val="14"/>
                <w:szCs w:val="14"/>
                <w:color w:val="auto"/>
                <w:w w:val="76"/>
              </w:rPr>
              <w:t>• </w:t>
            </w:r>
          </w:p>
        </w:tc>
        <w:tc>
          <w:tcPr>
            <w:tcW w:w="8280" w:type="dxa"/>
            <w:vAlign w:val="bottom"/>
            <w:vMerge w:val="restart"/>
          </w:tcPr>
          <w:p>
            <w:pPr>
              <w:ind w:left="60"/>
              <w:spacing w:after="0"/>
              <w:rPr>
                <w:sz w:val="20"/>
                <w:szCs w:val="20"/>
                <w:color w:val="auto"/>
              </w:rPr>
            </w:pPr>
            <w:r>
              <w:rPr>
                <w:rFonts w:ascii="Calibri" w:cs="Calibri" w:eastAsia="Calibri" w:hAnsi="Calibri"/>
                <w:sz w:val="16"/>
                <w:szCs w:val="16"/>
                <w:color w:val="auto"/>
              </w:rPr>
              <w:t>  Senior Vice President and Chief of Staf for the President and CEO, among other senior management positons, First Interstate</w:t>
            </w: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1040" w:type="dxa"/>
            <w:vAlign w:val="bottom"/>
          </w:tcPr>
          <w:p>
            <w:pPr>
              <w:ind w:left="280"/>
              <w:spacing w:after="0"/>
              <w:rPr>
                <w:sz w:val="20"/>
                <w:szCs w:val="20"/>
                <w:color w:val="auto"/>
              </w:rPr>
            </w:pPr>
            <w:r>
              <w:rPr>
                <w:rFonts w:ascii="Calibri" w:cs="Calibri" w:eastAsia="Calibri" w:hAnsi="Calibri"/>
                <w:sz w:val="10"/>
                <w:szCs w:val="10"/>
                <w:color w:val="auto"/>
              </w:rPr>
              <w:t>leadership</w:t>
            </w:r>
          </w:p>
        </w:tc>
        <w:tc>
          <w:tcPr>
            <w:tcW w:w="5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80" w:type="dxa"/>
            <w:vAlign w:val="bottom"/>
          </w:tcPr>
          <w:p>
            <w:pPr>
              <w:ind w:left="140"/>
              <w:spacing w:after="0"/>
              <w:rPr>
                <w:sz w:val="20"/>
                <w:szCs w:val="20"/>
                <w:color w:val="auto"/>
              </w:rPr>
            </w:pPr>
            <w:r>
              <w:rPr>
                <w:rFonts w:ascii="Calibri" w:cs="Calibri" w:eastAsia="Calibri" w:hAnsi="Calibri"/>
                <w:sz w:val="16"/>
                <w:szCs w:val="16"/>
                <w:color w:val="auto"/>
              </w:rPr>
              <w:t>Bank of California (1985 - 1996)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-668020</wp:posOffset>
            </wp:positionV>
            <wp:extent cx="231140" cy="2311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-271145</wp:posOffset>
            </wp:positionV>
            <wp:extent cx="247650" cy="2311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7650" cy="23114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27" w:lineRule="exact"/>
        <w:rPr>
          <w:sz w:val="20"/>
          <w:szCs w:val="20"/>
          <w:color w:val="auto"/>
        </w:rPr>
      </w:pPr>
    </w:p>
    <w:p>
      <w:pPr>
        <w:ind w:left="320"/>
        <w:spacing w:after="0"/>
        <w:rPr>
          <w:sz w:val="20"/>
          <w:szCs w:val="20"/>
          <w:color w:val="auto"/>
        </w:rPr>
      </w:pPr>
      <w:r>
        <w:rPr>
          <w:rFonts w:ascii="Calibri" w:cs="Calibri" w:eastAsia="Calibri" w:hAnsi="Calibri"/>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-132715</wp:posOffset>
            </wp:positionV>
            <wp:extent cx="132080" cy="2063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Calibri" w:cs="Calibri" w:eastAsia="Calibri" w:hAnsi="Calibri"/>
          <w:sz w:val="10"/>
          <w:szCs w:val="10"/>
          <w:color w:val="auto"/>
        </w:rPr>
        <w:t>Public company</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governance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5594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59425" cy="825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3">
            <w:col w:w="360" w:space="560"/>
            <w:col w:w="660" w:space="600"/>
            <w:col w:w="8760"/>
          </w:cols>
          <w:pgMar w:left="320" w:top="471" w:right="639" w:bottom="1440" w:gutter="0" w:footer="0" w:header="0"/>
          <w:type w:val="continuous"/>
        </w:sectPr>
      </w:pPr>
    </w:p>
    <w:p>
      <w:pPr>
        <w:spacing w:after="0" w:line="162" w:lineRule="exact"/>
        <w:rPr>
          <w:sz w:val="20"/>
          <w:szCs w:val="20"/>
          <w:color w:val="auto"/>
        </w:rPr>
      </w:pPr>
    </w:p>
    <w:p>
      <w:pPr>
        <w:ind w:left="920" w:hanging="604"/>
        <w:spacing w:after="0"/>
        <w:tabs>
          <w:tab w:leader="none" w:pos="920" w:val="left"/>
        </w:tabs>
        <w:numPr>
          <w:ilvl w:val="0"/>
          <w:numId w:val="18"/>
        </w:numPr>
        <w:rPr>
          <w:rFonts w:ascii="Arial" w:cs="Arial" w:eastAsia="Arial" w:hAnsi="Arial"/>
          <w:sz w:val="10"/>
          <w:szCs w:val="10"/>
          <w:color w:val="auto"/>
        </w:rPr>
      </w:pPr>
      <w:r>
        <w:rPr>
          <w:rFonts w:ascii="Calibri" w:cs="Calibri" w:eastAsia="Calibri" w:hAnsi="Calibri"/>
          <w:sz w:val="10"/>
          <w:szCs w:val="10"/>
          <w:color w:val="auto"/>
        </w:rPr>
        <w:t>Analytcs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1270</wp:posOffset>
            </wp:positionV>
            <wp:extent cx="255905" cy="165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5905" cy="165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hanging="311"/>
        <w:spacing w:after="0" w:line="215" w:lineRule="auto"/>
        <w:rPr>
          <w:sz w:val="20"/>
          <w:szCs w:val="20"/>
          <w:color w:val="auto"/>
        </w:rPr>
      </w:pPr>
      <w:r>
        <w:rPr>
          <w:rFonts w:ascii="Calibri" w:cs="Calibri" w:eastAsia="Calibri" w:hAnsi="Calibri"/>
          <w:sz w:val="16"/>
          <w:szCs w:val="16"/>
          <w:color w:val="auto"/>
        </w:rPr>
        <w:t>• </w:t>
      </w:r>
      <w:r>
        <w:rPr>
          <w:sz w:val="20"/>
          <w:szCs w:val="20"/>
          <w:color w:val="auto"/>
        </w:rPr>
        <w:t xml:space="preserve"> </w:t>
      </w:r>
      <w:r>
        <w:rPr>
          <w:rFonts w:ascii="Calibri" w:cs="Calibri" w:eastAsia="Calibri" w:hAnsi="Calibri"/>
          <w:sz w:val="16"/>
          <w:szCs w:val="16"/>
          <w:color w:val="auto"/>
        </w:rPr>
        <w:t>   Director and chair of the audit commitee, and member of the nominatng, governance and sustainability commitee, Public Storage (NYSE: PSA), an internatonal self storage company</w:t>
      </w:r>
    </w:p>
    <w:p>
      <w:pPr>
        <w:ind w:left="80"/>
        <w:spacing w:after="0"/>
        <w:rPr>
          <w:sz w:val="20"/>
          <w:szCs w:val="20"/>
          <w:color w:val="auto"/>
        </w:rPr>
      </w:pPr>
      <w:r>
        <w:rPr>
          <w:rFonts w:ascii="Calibri" w:cs="Calibri" w:eastAsia="Calibri" w:hAnsi="Calibri"/>
          <w:sz w:val="16"/>
          <w:szCs w:val="16"/>
          <w:color w:val="auto"/>
        </w:rPr>
        <w:t>(2020 - present)</w:t>
      </w:r>
    </w:p>
    <w:p>
      <w:pPr>
        <w:spacing w:after="0" w:line="111" w:lineRule="exact"/>
        <w:rPr>
          <w:sz w:val="20"/>
          <w:szCs w:val="20"/>
          <w:color w:val="auto"/>
        </w:rPr>
      </w:pPr>
    </w:p>
    <w:p>
      <w:pPr>
        <w:sectPr>
          <w:pgSz w:w="11900" w:h="16838" w:orient="portrait"/>
          <w:cols w:equalWidth="0" w:num="2">
            <w:col w:w="2000" w:space="720"/>
            <w:col w:w="8220"/>
          </w:cols>
          <w:pgMar w:left="320" w:top="471" w:right="639" w:bottom="1440" w:gutter="0" w:footer="0" w:header="0"/>
          <w:type w:val="continuous"/>
        </w:sectPr>
      </w:pPr>
    </w:p>
    <w:p>
      <w:pPr>
        <w:ind w:left="920"/>
        <w:spacing w:after="0"/>
        <w:rPr>
          <w:sz w:val="20"/>
          <w:szCs w:val="20"/>
          <w:color w:val="auto"/>
        </w:rPr>
      </w:pPr>
      <w:r>
        <w:rPr>
          <w:rFonts w:ascii="Calibri" w:cs="Calibri" w:eastAsia="Calibri" w:hAnsi="Calibri"/>
          <w:sz w:val="10"/>
          <w:szCs w:val="10"/>
          <w:color w:val="auto"/>
        </w:rPr>
        <w:t>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-64135</wp:posOffset>
            </wp:positionV>
            <wp:extent cx="214630" cy="214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ind w:left="920"/>
        <w:spacing w:after="0"/>
        <w:rPr>
          <w:sz w:val="20"/>
          <w:szCs w:val="20"/>
          <w:color w:val="auto"/>
        </w:rPr>
      </w:pPr>
      <w:r>
        <w:rPr>
          <w:rFonts w:ascii="Calibri" w:cs="Calibri" w:eastAsia="Calibri" w:hAnsi="Calibri"/>
          <w:sz w:val="10"/>
          <w:szCs w:val="10"/>
          <w:color w:val="auto"/>
        </w:rPr>
        <w:t>management</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138" w:lineRule="exact"/>
        <w:rPr>
          <w:sz w:val="20"/>
          <w:szCs w:val="20"/>
          <w:color w:val="auto"/>
        </w:rPr>
      </w:pPr>
    </w:p>
    <w:p>
      <w:pPr>
        <w:ind w:left="920"/>
        <w:spacing w:after="0"/>
        <w:rPr>
          <w:sz w:val="20"/>
          <w:szCs w:val="20"/>
          <w:color w:val="auto"/>
        </w:rPr>
      </w:pPr>
      <w:r>
        <w:rPr>
          <w:rFonts w:ascii="Calibri" w:cs="Calibri" w:eastAsia="Calibri" w:hAnsi="Calibri"/>
          <w:sz w:val="10"/>
          <w:szCs w:val="10"/>
          <w:color w:val="auto"/>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-72390</wp:posOffset>
            </wp:positionV>
            <wp:extent cx="231140" cy="2311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ind w:left="920"/>
        <w:spacing w:after="0"/>
        <w:rPr>
          <w:sz w:val="20"/>
          <w:szCs w:val="20"/>
          <w:color w:val="auto"/>
        </w:rPr>
      </w:pPr>
      <w:r>
        <w:rPr>
          <w:rFonts w:ascii="Calibri" w:cs="Calibri" w:eastAsia="Calibri" w:hAnsi="Calibri"/>
          <w:sz w:val="10"/>
          <w:szCs w:val="10"/>
          <w:color w:val="auto"/>
        </w:rPr>
        <w:t>experience</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125" w:lineRule="exact"/>
        <w:rPr>
          <w:sz w:val="20"/>
          <w:szCs w:val="20"/>
          <w:color w:val="auto"/>
        </w:rPr>
      </w:pPr>
    </w:p>
    <w:p>
      <w:pPr>
        <w:ind w:left="920"/>
        <w:spacing w:after="0"/>
        <w:rPr>
          <w:sz w:val="20"/>
          <w:szCs w:val="20"/>
          <w:color w:val="auto"/>
        </w:rPr>
      </w:pPr>
      <w:r>
        <w:rPr>
          <w:rFonts w:ascii="Calibri" w:cs="Calibri" w:eastAsia="Calibri" w:hAnsi="Calibri"/>
          <w:sz w:val="10"/>
          <w:szCs w:val="10"/>
          <w:color w:val="auto"/>
        </w:rPr>
        <w:t>Risk oversight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-64135</wp:posOffset>
            </wp:positionV>
            <wp:extent cx="231140" cy="2146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ind w:left="920"/>
        <w:spacing w:after="0"/>
        <w:rPr>
          <w:sz w:val="20"/>
          <w:szCs w:val="20"/>
          <w:color w:val="auto"/>
        </w:rPr>
      </w:pPr>
      <w:r>
        <w:rPr>
          <w:rFonts w:ascii="Calibri" w:cs="Calibri" w:eastAsia="Calibri" w:hAnsi="Calibri"/>
          <w:sz w:val="10"/>
          <w:szCs w:val="10"/>
          <w:color w:val="auto"/>
        </w:rPr>
        <w:t>management</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138" w:lineRule="exact"/>
        <w:rPr>
          <w:sz w:val="20"/>
          <w:szCs w:val="20"/>
          <w:color w:val="auto"/>
        </w:rPr>
      </w:pPr>
    </w:p>
    <w:p>
      <w:pPr>
        <w:ind w:left="920"/>
        <w:spacing w:after="0"/>
        <w:rPr>
          <w:sz w:val="20"/>
          <w:szCs w:val="20"/>
          <w:color w:val="auto"/>
        </w:rPr>
      </w:pPr>
      <w:r>
        <w:rPr>
          <w:rFonts w:ascii="Calibri" w:cs="Calibri" w:eastAsia="Calibri" w:hAnsi="Calibri"/>
          <w:sz w:val="10"/>
          <w:szCs w:val="10"/>
          <w:color w:val="auto"/>
        </w:rPr>
        <w:t>Informaton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-72390</wp:posOffset>
            </wp:positionV>
            <wp:extent cx="206375" cy="2146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6375" cy="214630"/>
                    </a:xfrm>
                    <a:prstGeom prst="rect">
                      <a:avLst/>
                    </a:prstGeom>
                    <a:noFill/>
                  </pic:spPr>
                </pic:pic>
              </a:graphicData>
            </a:graphic>
          </wp:anchor>
        </w:drawing>
      </w:r>
    </w:p>
    <w:p>
      <w:pPr>
        <w:ind w:left="920"/>
        <w:spacing w:after="0"/>
        <w:rPr>
          <w:sz w:val="20"/>
          <w:szCs w:val="20"/>
          <w:color w:val="auto"/>
        </w:rPr>
      </w:pPr>
      <w:r>
        <w:rPr>
          <w:rFonts w:ascii="Calibri" w:cs="Calibri" w:eastAsia="Calibri" w:hAnsi="Calibri"/>
          <w:sz w:val="10"/>
          <w:szCs w:val="10"/>
          <w:color w:val="auto"/>
        </w:rPr>
        <w:t>cybersecurity</w:t>
      </w: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br w:type="column"/>
      </w:r>
    </w:p>
    <w:p>
      <w:pPr>
        <w:spacing w:after="0"/>
        <w:tabs>
          <w:tab w:leader="none" w:pos="2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and chair of the audit commitee, AECOM (NYSE: ACM), an internatonal infrastructure consultng frm (2022 - present)</w:t>
      </w:r>
    </w:p>
    <w:p>
      <w:pPr>
        <w:spacing w:after="0" w:line="117" w:lineRule="exact"/>
        <w:rPr>
          <w:sz w:val="20"/>
          <w:szCs w:val="20"/>
          <w:color w:val="auto"/>
        </w:rPr>
      </w:pPr>
    </w:p>
    <w:p>
      <w:pPr>
        <w:spacing w:after="0"/>
        <w:tabs>
          <w:tab w:leader="none" w:pos="2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and member of the nominatng, governance, and sustainability commitee, Savers Value Village (NYSE: SVV) one of the</w:t>
      </w:r>
    </w:p>
    <w:p>
      <w:pPr>
        <w:ind w:left="320"/>
        <w:spacing w:after="0"/>
        <w:rPr>
          <w:sz w:val="20"/>
          <w:szCs w:val="20"/>
          <w:color w:val="auto"/>
        </w:rPr>
      </w:pPr>
      <w:r>
        <w:rPr>
          <w:rFonts w:ascii="Calibri" w:cs="Calibri" w:eastAsia="Calibri" w:hAnsi="Calibri"/>
          <w:sz w:val="16"/>
          <w:szCs w:val="16"/>
          <w:color w:val="auto"/>
        </w:rPr>
        <w:t>world’s largest thrif retailers (2023 - present)</w:t>
      </w:r>
    </w:p>
    <w:p>
      <w:pPr>
        <w:spacing w:after="0" w:line="117" w:lineRule="exact"/>
        <w:rPr>
          <w:sz w:val="20"/>
          <w:szCs w:val="20"/>
          <w:color w:val="auto"/>
        </w:rPr>
      </w:pPr>
    </w:p>
    <w:p>
      <w:pPr>
        <w:spacing w:after="0"/>
        <w:tabs>
          <w:tab w:leader="none" w:pos="2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and chair of the audit commitee, and member of the nominatng/corporate governance commitee, PS Business Parks,</w:t>
      </w:r>
    </w:p>
    <w:p>
      <w:pPr>
        <w:ind w:left="320"/>
        <w:spacing w:after="0"/>
        <w:rPr>
          <w:sz w:val="20"/>
          <w:szCs w:val="20"/>
          <w:color w:val="auto"/>
        </w:rPr>
      </w:pPr>
      <w:r>
        <w:rPr>
          <w:rFonts w:ascii="Calibri" w:cs="Calibri" w:eastAsia="Calibri" w:hAnsi="Calibri"/>
          <w:sz w:val="16"/>
          <w:szCs w:val="16"/>
          <w:color w:val="auto"/>
        </w:rPr>
        <w:t>Inc. (NYSE: PSB), a commercial property real estate investment trust (2019 - 2022)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744220</wp:posOffset>
            </wp:positionV>
            <wp:extent cx="6740525"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872" w:lineRule="exact"/>
        <w:rPr>
          <w:sz w:val="20"/>
          <w:szCs w:val="20"/>
          <w:color w:val="auto"/>
        </w:rPr>
      </w:pPr>
    </w:p>
    <w:p>
      <w:pPr>
        <w:sectPr>
          <w:pgSz w:w="11900" w:h="16838" w:orient="portrait"/>
          <w:cols w:equalWidth="0" w:num="2">
            <w:col w:w="1760" w:space="720"/>
            <w:col w:w="8460"/>
          </w:cols>
          <w:pgMar w:left="320" w:top="471" w:right="639" w:bottom="1440" w:gutter="0" w:footer="0" w:header="0"/>
          <w:type w:val="continuous"/>
        </w:sectPr>
      </w:pPr>
    </w:p>
    <w:p>
      <w:pPr>
        <w:spacing w:after="0" w:line="355"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Audit commitee fnancial expert under applicable SEC rules and regulatons.</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40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640" w:type="dxa"/>
            <w:vAlign w:val="bottom"/>
            <w:vMerge w:val="restart"/>
          </w:tcPr>
          <w:p>
            <w:pPr>
              <w:ind w:left="4200"/>
              <w:spacing w:after="0"/>
              <w:rPr>
                <w:sz w:val="20"/>
                <w:szCs w:val="20"/>
                <w:color w:val="auto"/>
              </w:rPr>
            </w:pPr>
            <w:r>
              <w:rPr>
                <w:rFonts w:ascii="Calibri" w:cs="Calibri" w:eastAsia="Calibri" w:hAnsi="Calibri"/>
                <w:sz w:val="13"/>
                <w:szCs w:val="13"/>
                <w:color w:val="auto"/>
              </w:rPr>
              <w:t>EXL 2024 Proxy Statement</w:t>
            </w:r>
          </w:p>
        </w:tc>
        <w:tc>
          <w:tcPr>
            <w:tcW w:w="46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21</w:t>
            </w: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56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40525" cy="5784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40525" cy="57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Calibri" w:cs="Calibri" w:eastAsia="Calibri" w:hAnsi="Calibri"/>
          <w:sz w:val="24"/>
          <w:szCs w:val="24"/>
          <w:b w:val="1"/>
          <w:bCs w:val="1"/>
          <w:color w:val="FB4E0B"/>
        </w:rPr>
        <w:t>  Nitn Sahney</w:t>
      </w:r>
    </w:p>
    <w:p>
      <w:pPr>
        <w:spacing w:after="0" w:line="9" w:lineRule="exact"/>
        <w:rPr>
          <w:sz w:val="20"/>
          <w:szCs w:val="20"/>
          <w:color w:val="auto"/>
        </w:rPr>
      </w:pPr>
    </w:p>
    <w:p>
      <w:pPr>
        <w:ind w:left="320"/>
        <w:spacing w:after="0"/>
        <w:tabs>
          <w:tab w:leader="none" w:pos="9660" w:val="left"/>
        </w:tabs>
        <w:rPr>
          <w:sz w:val="20"/>
          <w:szCs w:val="20"/>
          <w:color w:val="auto"/>
        </w:rPr>
      </w:pPr>
      <w:r>
        <w:rPr>
          <w:rFonts w:ascii="Calibri" w:cs="Calibri" w:eastAsia="Calibri" w:hAnsi="Calibri"/>
          <w:sz w:val="17"/>
          <w:szCs w:val="17"/>
          <w:b w:val="1"/>
          <w:bCs w:val="1"/>
          <w:color w:val="auto"/>
        </w:rPr>
        <w:t>   Director since January 2016 </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187960</wp:posOffset>
            </wp:positionV>
            <wp:extent cx="1164590" cy="1164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800"/>
          </w:cols>
          <w:pgMar w:left="320" w:top="471"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0" w:hanging="124"/>
        <w:spacing w:after="0"/>
        <w:tabs>
          <w:tab w:leader="none" w:pos="440" w:val="left"/>
        </w:tabs>
        <w:numPr>
          <w:ilvl w:val="0"/>
          <w:numId w:val="19"/>
        </w:numPr>
        <w:rPr>
          <w:rFonts w:ascii="Arial" w:cs="Arial" w:eastAsia="Arial" w:hAnsi="Arial"/>
          <w:sz w:val="1"/>
          <w:szCs w:val="1"/>
          <w:color w:val="auto"/>
        </w:rPr>
      </w:pPr>
      <w:r>
        <w:rPr>
          <w:rFonts w:ascii="Arial" w:cs="Arial" w:eastAsia="Arial" w:hAnsi="Arial"/>
          <w:sz w:val="1"/>
          <w:szCs w:val="1"/>
          <w:color w:val="auto"/>
        </w:rPr>
        <w:drawing>
          <wp:inline distT="0" distB="0" distL="0" distR="0">
            <wp:extent cx="231140" cy="23114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p>
    <w:p>
      <w:pPr>
        <w:spacing w:after="0" w:line="141" w:lineRule="exact"/>
        <w:rPr>
          <w:rFonts w:ascii="Arial" w:cs="Arial" w:eastAsia="Arial" w:hAnsi="Arial"/>
          <w:sz w:val="1"/>
          <w:szCs w:val="1"/>
          <w:color w:val="auto"/>
        </w:rPr>
      </w:pPr>
    </w:p>
    <w:p>
      <w:pPr>
        <w:ind w:left="440" w:hanging="124"/>
        <w:spacing w:after="0"/>
        <w:tabs>
          <w:tab w:leader="none" w:pos="440" w:val="left"/>
        </w:tabs>
        <w:numPr>
          <w:ilvl w:val="0"/>
          <w:numId w:val="19"/>
        </w:numPr>
        <w:rPr>
          <w:rFonts w:ascii="Arial" w:cs="Arial" w:eastAsia="Arial" w:hAnsi="Arial"/>
          <w:sz w:val="1"/>
          <w:szCs w:val="1"/>
          <w:color w:val="auto"/>
        </w:rPr>
      </w:pPr>
      <w:r>
        <w:rPr>
          <w:rFonts w:ascii="Arial" w:cs="Arial" w:eastAsia="Arial" w:hAnsi="Arial"/>
          <w:sz w:val="1"/>
          <w:szCs w:val="1"/>
          <w:color w:val="auto"/>
        </w:rPr>
        <w:drawing>
          <wp:inline distT="0" distB="0" distL="0" distR="0">
            <wp:extent cx="247650" cy="23114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7650" cy="231140"/>
                    </a:xfrm>
                    <a:prstGeom prst="rect">
                      <a:avLst/>
                    </a:prstGeom>
                    <a:noFill/>
                    <a:ln>
                      <a:noFill/>
                    </a:ln>
                  </pic:spPr>
                </pic:pic>
              </a:graphicData>
            </a:graphic>
          </wp:inline>
        </w:drawing>
      </w:r>
    </w:p>
    <w:p>
      <w:pPr>
        <w:spacing w:after="0" w:line="110" w:lineRule="exact"/>
        <w:rPr>
          <w:rFonts w:ascii="Arial" w:cs="Arial" w:eastAsia="Arial" w:hAnsi="Arial"/>
          <w:sz w:val="1"/>
          <w:szCs w:val="1"/>
          <w:color w:val="auto"/>
        </w:rPr>
      </w:pPr>
    </w:p>
    <w:p>
      <w:pPr>
        <w:ind w:left="520" w:hanging="204"/>
        <w:spacing w:after="0"/>
        <w:tabs>
          <w:tab w:leader="none" w:pos="520" w:val="left"/>
        </w:tabs>
        <w:numPr>
          <w:ilvl w:val="0"/>
          <w:numId w:val="19"/>
        </w:numPr>
        <w:rPr>
          <w:rFonts w:ascii="Calibri" w:cs="Calibri" w:eastAsia="Calibri" w:hAnsi="Calibri"/>
          <w:sz w:val="17"/>
          <w:szCs w:val="17"/>
          <w:color w:val="auto"/>
        </w:rPr>
      </w:pPr>
      <w:r>
        <w:rPr>
          <w:rFonts w:ascii="Calibri" w:cs="Calibri" w:eastAsia="Calibri" w:hAnsi="Calibri"/>
          <w:sz w:val="1"/>
          <w:szCs w:val="1"/>
          <w:color w:val="auto"/>
        </w:rPr>
        <w:drawing>
          <wp:inline distT="0" distB="0" distL="0" distR="0">
            <wp:extent cx="132080" cy="20637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2080" cy="206375"/>
                    </a:xfrm>
                    <a:prstGeom prst="rect">
                      <a:avLst/>
                    </a:prstGeom>
                    <a:noFill/>
                    <a:ln>
                      <a:noFill/>
                    </a:ln>
                  </pic:spPr>
                </pic:pic>
              </a:graphicData>
            </a:graphic>
          </wp:inline>
        </w:drawing>
      </w:r>
    </w:p>
    <w:p>
      <w:pPr>
        <w:spacing w:after="0" w:line="193" w:lineRule="exact"/>
        <w:rPr>
          <w:rFonts w:ascii="Calibri" w:cs="Calibri" w:eastAsia="Calibri" w:hAnsi="Calibri"/>
          <w:sz w:val="17"/>
          <w:szCs w:val="17"/>
          <w:color w:val="auto"/>
        </w:rPr>
      </w:pPr>
    </w:p>
    <w:p>
      <w:pPr>
        <w:ind w:left="440" w:hanging="124"/>
        <w:spacing w:after="0"/>
        <w:tabs>
          <w:tab w:leader="none" w:pos="440" w:val="left"/>
        </w:tabs>
        <w:numPr>
          <w:ilvl w:val="0"/>
          <w:numId w:val="19"/>
        </w:numPr>
        <w:rPr>
          <w:rFonts w:ascii="Arial" w:cs="Arial" w:eastAsia="Arial" w:hAnsi="Arial"/>
          <w:sz w:val="1"/>
          <w:szCs w:val="1"/>
          <w:color w:val="auto"/>
        </w:rPr>
      </w:pPr>
      <w:r>
        <w:rPr>
          <w:rFonts w:ascii="Arial" w:cs="Arial" w:eastAsia="Arial" w:hAnsi="Arial"/>
          <w:sz w:val="1"/>
          <w:szCs w:val="1"/>
          <w:color w:val="auto"/>
        </w:rPr>
        <w:drawing>
          <wp:inline distT="0" distB="0" distL="0" distR="0">
            <wp:extent cx="231140" cy="20637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1140" cy="206375"/>
                    </a:xfrm>
                    <a:prstGeom prst="rect">
                      <a:avLst/>
                    </a:prstGeom>
                    <a:noFill/>
                    <a:ln>
                      <a:noFill/>
                    </a:ln>
                  </pic:spPr>
                </pic:pic>
              </a:graphicData>
            </a:graphic>
          </wp:inline>
        </w:drawing>
      </w:r>
    </w:p>
    <w:p>
      <w:pPr>
        <w:spacing w:after="0" w:line="135" w:lineRule="exact"/>
        <w:rPr>
          <w:rFonts w:ascii="Arial" w:cs="Arial" w:eastAsia="Arial" w:hAnsi="Arial"/>
          <w:sz w:val="1"/>
          <w:szCs w:val="1"/>
          <w:color w:val="auto"/>
        </w:rPr>
      </w:pPr>
    </w:p>
    <w:p>
      <w:pPr>
        <w:ind w:left="480" w:hanging="164"/>
        <w:spacing w:after="0"/>
        <w:tabs>
          <w:tab w:leader="none" w:pos="480" w:val="left"/>
        </w:tabs>
        <w:numPr>
          <w:ilvl w:val="0"/>
          <w:numId w:val="19"/>
        </w:numPr>
        <w:rPr>
          <w:rFonts w:ascii="Calibri" w:cs="Calibri" w:eastAsia="Calibri" w:hAnsi="Calibri"/>
          <w:sz w:val="16"/>
          <w:szCs w:val="16"/>
          <w:color w:val="auto"/>
        </w:rPr>
      </w:pPr>
      <w:r>
        <w:rPr>
          <w:rFonts w:ascii="Calibri" w:cs="Calibri" w:eastAsia="Calibri" w:hAnsi="Calibri"/>
          <w:sz w:val="16"/>
          <w:szCs w:val="16"/>
          <w:color w:val="auto"/>
        </w:rPr>
        <w:t> </w:t>
      </w:r>
    </w:p>
    <w:p>
      <w:pPr>
        <w:spacing w:after="0" w:line="142" w:lineRule="exact"/>
        <w:rPr>
          <w:rFonts w:ascii="Calibri" w:cs="Calibri" w:eastAsia="Calibri" w:hAnsi="Calibri"/>
          <w:sz w:val="16"/>
          <w:szCs w:val="16"/>
          <w:color w:val="auto"/>
        </w:rPr>
      </w:pPr>
    </w:p>
    <w:p>
      <w:pPr>
        <w:ind w:left="480" w:hanging="164"/>
        <w:spacing w:after="0"/>
        <w:tabs>
          <w:tab w:leader="none" w:pos="480" w:val="left"/>
        </w:tabs>
        <w:numPr>
          <w:ilvl w:val="0"/>
          <w:numId w:val="19"/>
        </w:numPr>
        <w:rPr>
          <w:rFonts w:ascii="Calibri" w:cs="Calibri" w:eastAsia="Calibri" w:hAnsi="Calibri"/>
          <w:sz w:val="16"/>
          <w:szCs w:val="16"/>
          <w:color w:val="auto"/>
        </w:rPr>
      </w:pPr>
      <w:r>
        <w:rPr>
          <w:rFonts w:ascii="Calibri" w:cs="Calibri" w:eastAsia="Calibri" w:hAnsi="Calibri"/>
          <w:sz w:val="16"/>
          <w:szCs w:val="16"/>
          <w:color w:val="auto"/>
        </w:rPr>
        <w:t> </w:t>
      </w:r>
    </w:p>
    <w:p>
      <w:pPr>
        <w:spacing w:after="0" w:line="142" w:lineRule="exact"/>
        <w:rPr>
          <w:rFonts w:ascii="Calibri" w:cs="Calibri" w:eastAsia="Calibri" w:hAnsi="Calibri"/>
          <w:sz w:val="16"/>
          <w:szCs w:val="16"/>
          <w:color w:val="auto"/>
        </w:rPr>
      </w:pPr>
    </w:p>
    <w:p>
      <w:pPr>
        <w:ind w:left="480" w:hanging="164"/>
        <w:spacing w:after="0"/>
        <w:tabs>
          <w:tab w:leader="none" w:pos="480" w:val="left"/>
        </w:tabs>
        <w:numPr>
          <w:ilvl w:val="0"/>
          <w:numId w:val="19"/>
        </w:numPr>
        <w:rPr>
          <w:rFonts w:ascii="Calibri" w:cs="Calibri" w:eastAsia="Calibri" w:hAnsi="Calibri"/>
          <w:sz w:val="16"/>
          <w:szCs w:val="16"/>
          <w:color w:val="auto"/>
        </w:rPr>
      </w:pPr>
      <w:r>
        <w:rPr>
          <w:rFonts w:ascii="Calibri" w:cs="Calibri" w:eastAsia="Calibri" w:hAnsi="Calibri"/>
          <w:sz w:val="16"/>
          <w:szCs w:val="16"/>
          <w:color w:val="auto"/>
        </w:rPr>
        <w:t> </w:t>
      </w:r>
    </w:p>
    <w:p>
      <w:pPr>
        <w:spacing w:after="0" w:line="142" w:lineRule="exact"/>
        <w:rPr>
          <w:rFonts w:ascii="Calibri" w:cs="Calibri" w:eastAsia="Calibri" w:hAnsi="Calibri"/>
          <w:sz w:val="16"/>
          <w:szCs w:val="16"/>
          <w:color w:val="auto"/>
        </w:rPr>
      </w:pPr>
    </w:p>
    <w:p>
      <w:pPr>
        <w:ind w:left="480" w:hanging="164"/>
        <w:spacing w:after="0"/>
        <w:tabs>
          <w:tab w:leader="none" w:pos="480" w:val="left"/>
        </w:tabs>
        <w:numPr>
          <w:ilvl w:val="0"/>
          <w:numId w:val="19"/>
        </w:numPr>
        <w:rPr>
          <w:rFonts w:ascii="Calibri" w:cs="Calibri" w:eastAsia="Calibri" w:hAnsi="Calibri"/>
          <w:sz w:val="16"/>
          <w:szCs w:val="16"/>
          <w:color w:val="auto"/>
        </w:rPr>
      </w:pPr>
      <w:r>
        <w:rPr>
          <w:rFonts w:ascii="Calibri" w:cs="Calibri" w:eastAsia="Calibri" w:hAnsi="Calibri"/>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
          <w:szCs w:val="2"/>
          <w:b w:val="1"/>
          <w:bCs w:val="1"/>
          <w:color w:val="auto"/>
        </w:rPr>
        <w:t>SKILLS</w:t>
      </w:r>
      <w:r>
        <w:rPr>
          <w:sz w:val="20"/>
          <w:szCs w:val="20"/>
          <w:color w:val="auto"/>
        </w:rPr>
        <w:tab/>
      </w:r>
      <w:r>
        <w:rPr>
          <w:rFonts w:ascii="Calibri" w:cs="Calibri" w:eastAsia="Calibri" w:hAnsi="Calibri"/>
          <w:sz w:val="2"/>
          <w:szCs w:val="2"/>
          <w:b w:val="1"/>
          <w:bCs w:val="1"/>
          <w:color w:val="auto"/>
        </w:rPr>
        <w:t> </w:t>
      </w:r>
    </w:p>
    <w:p>
      <w:pPr>
        <w:spacing w:after="0" w:line="270" w:lineRule="exact"/>
        <w:rPr>
          <w:sz w:val="20"/>
          <w:szCs w:val="20"/>
          <w:color w:val="auto"/>
        </w:rPr>
      </w:pPr>
    </w:p>
    <w:p>
      <w:pPr>
        <w:spacing w:after="0"/>
        <w:rPr>
          <w:sz w:val="20"/>
          <w:szCs w:val="20"/>
          <w:color w:val="auto"/>
        </w:rPr>
      </w:pPr>
      <w:r>
        <w:rPr>
          <w:rFonts w:ascii="Calibri" w:cs="Calibri" w:eastAsia="Calibri" w:hAnsi="Calibri"/>
          <w:sz w:val="10"/>
          <w:szCs w:val="10"/>
          <w:color w:val="auto"/>
        </w:rPr>
        <w:t>Finance</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and accountng</w:t>
      </w:r>
    </w:p>
    <w:p>
      <w:pPr>
        <w:spacing w:after="0" w:line="138" w:lineRule="exact"/>
        <w:rPr>
          <w:sz w:val="20"/>
          <w:szCs w:val="20"/>
          <w:color w:val="auto"/>
        </w:rPr>
      </w:pPr>
    </w:p>
    <w:p>
      <w:pPr>
        <w:spacing w:after="0"/>
        <w:rPr>
          <w:sz w:val="20"/>
          <w:szCs w:val="20"/>
          <w:color w:val="auto"/>
        </w:rPr>
      </w:pPr>
      <w:r>
        <w:rPr>
          <w:rFonts w:ascii="Calibri" w:cs="Calibri" w:eastAsia="Calibri" w:hAnsi="Calibri"/>
          <w:sz w:val="10"/>
          <w:szCs w:val="10"/>
          <w:color w:val="auto"/>
        </w:rPr>
        <w:t>Executve</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leadership</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(within the last 5 years)</w:t>
      </w:r>
    </w:p>
    <w:p>
      <w:pPr>
        <w:spacing w:after="0" w:line="216" w:lineRule="exact"/>
        <w:rPr>
          <w:sz w:val="20"/>
          <w:szCs w:val="20"/>
          <w:color w:val="auto"/>
        </w:rPr>
      </w:pPr>
    </w:p>
    <w:p>
      <w:pPr>
        <w:spacing w:after="0"/>
        <w:rPr>
          <w:sz w:val="20"/>
          <w:szCs w:val="20"/>
          <w:color w:val="auto"/>
        </w:rPr>
      </w:pPr>
      <w:r>
        <w:rPr>
          <w:rFonts w:ascii="Calibri" w:cs="Calibri" w:eastAsia="Calibri" w:hAnsi="Calibri"/>
          <w:sz w:val="10"/>
          <w:szCs w:val="10"/>
          <w:color w:val="auto"/>
        </w:rPr>
        <w:t>Public company</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governance</w:t>
      </w:r>
    </w:p>
    <w:p>
      <w:pPr>
        <w:spacing w:after="0" w:line="190" w:lineRule="exact"/>
        <w:rPr>
          <w:sz w:val="20"/>
          <w:szCs w:val="20"/>
          <w:color w:val="auto"/>
        </w:rPr>
      </w:pPr>
    </w:p>
    <w:p>
      <w:pPr>
        <w:spacing w:after="0"/>
        <w:rPr>
          <w:sz w:val="20"/>
          <w:szCs w:val="20"/>
          <w:color w:val="auto"/>
        </w:rPr>
      </w:pPr>
      <w:r>
        <w:rPr>
          <w:rFonts w:ascii="Calibri" w:cs="Calibri" w:eastAsia="Calibri" w:hAnsi="Calibri"/>
          <w:sz w:val="10"/>
          <w:szCs w:val="10"/>
          <w:color w:val="auto"/>
        </w:rPr>
        <w:t>Mergers and</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acquisitons</w:t>
      </w:r>
    </w:p>
    <w:p>
      <w:pPr>
        <w:spacing w:after="0" w:line="216" w:lineRule="exact"/>
        <w:rPr>
          <w:sz w:val="20"/>
          <w:szCs w:val="20"/>
          <w:color w:val="auto"/>
        </w:rPr>
      </w:pPr>
    </w:p>
    <w:p>
      <w:pPr>
        <w:spacing w:after="0"/>
        <w:rPr>
          <w:sz w:val="20"/>
          <w:szCs w:val="20"/>
          <w:color w:val="auto"/>
        </w:rPr>
      </w:pPr>
      <w:r>
        <w:rPr>
          <w:rFonts w:ascii="Calibri" w:cs="Calibri" w:eastAsia="Calibri" w:hAnsi="Calibri"/>
          <w:sz w:val="10"/>
          <w:szCs w:val="10"/>
          <w:color w:val="auto"/>
        </w:rPr>
        <w:t> </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 </w:t>
      </w:r>
    </w:p>
    <w:p>
      <w:pPr>
        <w:spacing w:after="0" w:line="164" w:lineRule="exact"/>
        <w:rPr>
          <w:sz w:val="20"/>
          <w:szCs w:val="20"/>
          <w:color w:val="auto"/>
        </w:rPr>
      </w:pPr>
    </w:p>
    <w:p>
      <w:pPr>
        <w:spacing w:after="0"/>
        <w:rPr>
          <w:sz w:val="20"/>
          <w:szCs w:val="20"/>
          <w:color w:val="auto"/>
        </w:rPr>
      </w:pPr>
      <w:r>
        <w:rPr>
          <w:rFonts w:ascii="Calibri" w:cs="Calibri" w:eastAsia="Calibri" w:hAnsi="Calibri"/>
          <w:sz w:val="10"/>
          <w:szCs w:val="10"/>
          <w:color w:val="auto"/>
        </w:rPr>
        <w:t> </w:t>
      </w:r>
    </w:p>
    <w:p>
      <w:pPr>
        <w:spacing w:after="0" w:line="138" w:lineRule="exact"/>
        <w:rPr>
          <w:sz w:val="20"/>
          <w:szCs w:val="20"/>
          <w:color w:val="auto"/>
        </w:rPr>
      </w:pPr>
    </w:p>
    <w:p>
      <w:pPr>
        <w:spacing w:after="0"/>
        <w:rPr>
          <w:sz w:val="20"/>
          <w:szCs w:val="20"/>
          <w:color w:val="auto"/>
        </w:rPr>
      </w:pPr>
      <w:r>
        <w:rPr>
          <w:rFonts w:ascii="Calibri" w:cs="Calibri" w:eastAsia="Calibri" w:hAnsi="Calibri"/>
          <w:sz w:val="10"/>
          <w:szCs w:val="10"/>
          <w:color w:val="auto"/>
        </w:rPr>
        <w:t> </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 </w:t>
      </w:r>
    </w:p>
    <w:p>
      <w:pPr>
        <w:spacing w:after="0" w:line="86" w:lineRule="exact"/>
        <w:rPr>
          <w:sz w:val="20"/>
          <w:szCs w:val="20"/>
          <w:color w:val="auto"/>
        </w:rPr>
      </w:pPr>
    </w:p>
    <w:p>
      <w:pPr>
        <w:spacing w:after="0"/>
        <w:rPr>
          <w:sz w:val="20"/>
          <w:szCs w:val="20"/>
          <w:color w:val="auto"/>
        </w:rPr>
      </w:pPr>
      <w:r>
        <w:rPr>
          <w:rFonts w:ascii="Calibri" w:cs="Calibri" w:eastAsia="Calibri" w:hAnsi="Calibri"/>
          <w:sz w:val="10"/>
          <w:szCs w:val="10"/>
          <w:color w:val="auto"/>
        </w:rPr>
        <w:t> </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Age: 61 — Is a leader in the healthcare industry with over 25 years of experience across all areas of healthcare. Mr. Sahney’s business experience, skills and directorships are detailed below. The Company has concluded, based in part on Mr. Sahney’s experience as CEO of PharmaCord and Omnicare, Inc. and his expertse in the healthcare industry garnered from more than two decades of experience, that Mr. Sahney should serve as a director.</w:t>
      </w:r>
    </w:p>
    <w:p>
      <w:pPr>
        <w:spacing w:after="0" w:line="11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4686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6862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Nominatng and Governance (Chair); Audit</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4686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46862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Founder, Member-Manager and Chief Executve Ofcer, PharmaCord, LLC, a company that helps biopharma manufacturers</w:t>
      </w:r>
    </w:p>
    <w:p>
      <w:pPr>
        <w:ind w:left="620"/>
        <w:spacing w:after="0"/>
        <w:rPr>
          <w:sz w:val="20"/>
          <w:szCs w:val="20"/>
          <w:color w:val="auto"/>
        </w:rPr>
      </w:pPr>
      <w:r>
        <w:rPr>
          <w:rFonts w:ascii="Calibri" w:cs="Calibri" w:eastAsia="Calibri" w:hAnsi="Calibri"/>
          <w:sz w:val="16"/>
          <w:szCs w:val="16"/>
          <w:color w:val="auto"/>
        </w:rPr>
        <w:t>address product access hurdles (2016 - present)</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Operatng Advisor, Clayton Dubilier &amp; Rice Funds, a private equity frm (2016 - 2017)</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President and CEO (2014 - 2015) and President and COO (2012 - 2014) of Omnicare Inc., a former New York Stock Exchange-</w:t>
      </w:r>
    </w:p>
    <w:p>
      <w:pPr>
        <w:ind w:left="620"/>
        <w:spacing w:after="0"/>
        <w:rPr>
          <w:sz w:val="20"/>
          <w:szCs w:val="20"/>
          <w:color w:val="auto"/>
        </w:rPr>
      </w:pPr>
      <w:r>
        <w:rPr>
          <w:rFonts w:ascii="Calibri" w:cs="Calibri" w:eastAsia="Calibri" w:hAnsi="Calibri"/>
          <w:sz w:val="16"/>
          <w:szCs w:val="16"/>
          <w:color w:val="auto"/>
        </w:rPr>
        <w:t>listed Fortune 500 company in the long-term care and specialty care industries</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Manager of a healthcare investment fund (2008 - 2010)</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Founder and CEO of RxCrossroads, a specialty pharmaceutcal company (2001 - 2007)</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Prior leadership positons with Cardinal Healthcare, a global healthcare services and products company</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4686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68620" cy="8255"/>
                    </a:xfrm>
                    <a:prstGeom prst="rect">
                      <a:avLst/>
                    </a:prstGeom>
                    <a:noFill/>
                  </pic:spPr>
                </pic:pic>
              </a:graphicData>
            </a:graphic>
          </wp:anchor>
        </w:drawing>
      </w:r>
    </w:p>
    <w:p>
      <w:pPr>
        <w:spacing w:after="0" w:line="38" w:lineRule="exact"/>
        <w:rPr>
          <w:sz w:val="20"/>
          <w:szCs w:val="20"/>
          <w:color w:val="auto"/>
        </w:rPr>
      </w:pPr>
    </w:p>
    <w:p>
      <w:pPr>
        <w:ind w:left="540" w:right="340" w:hanging="311"/>
        <w:spacing w:after="0" w:line="233" w:lineRule="auto"/>
        <w:tabs>
          <w:tab w:leader="none" w:pos="520" w:val="left"/>
        </w:tabs>
        <w:rPr>
          <w:sz w:val="20"/>
          <w:szCs w:val="20"/>
          <w:color w:val="auto"/>
        </w:rPr>
      </w:pPr>
      <w:r>
        <w:rPr>
          <w:rFonts w:ascii="Calibri" w:cs="Calibri" w:eastAsia="Calibri" w:hAnsi="Calibri"/>
          <w:sz w:val="16"/>
          <w:szCs w:val="16"/>
          <w:color w:val="auto"/>
        </w:rPr>
        <w:t>• </w:t>
        <w:tab/>
        <w:t>   Director and member of the audit commitee and the nominatng and governance commitee, Opton Care Health, Inc. (NASDAQ: OPCH) (2019 - 2023)</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4686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6862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of the Board of Trustees, University of Louisville (2016 - 2019)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372110</wp:posOffset>
            </wp:positionV>
            <wp:extent cx="674052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58" w:lineRule="exact"/>
        <w:rPr>
          <w:sz w:val="20"/>
          <w:szCs w:val="20"/>
          <w:color w:val="auto"/>
        </w:rPr>
      </w:pPr>
    </w:p>
    <w:p>
      <w:pPr>
        <w:sectPr>
          <w:pgSz w:w="11900" w:h="16838" w:orient="portrait"/>
          <w:cols w:equalWidth="0" w:num="3">
            <w:col w:w="840" w:space="180"/>
            <w:col w:w="1000" w:space="300"/>
            <w:col w:w="8480"/>
          </w:cols>
          <w:pgMar w:left="320" w:top="471" w:right="77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22 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1" w:right="77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40525" cy="5784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40525" cy="57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Calibri" w:cs="Calibri" w:eastAsia="Calibri" w:hAnsi="Calibri"/>
          <w:sz w:val="24"/>
          <w:szCs w:val="24"/>
          <w:b w:val="1"/>
          <w:bCs w:val="1"/>
          <w:color w:val="FB4E0B"/>
        </w:rPr>
        <w:t>  Jaynie Studenmund</w:t>
      </w:r>
    </w:p>
    <w:p>
      <w:pPr>
        <w:spacing w:after="0" w:line="9" w:lineRule="exact"/>
        <w:rPr>
          <w:sz w:val="20"/>
          <w:szCs w:val="20"/>
          <w:color w:val="auto"/>
        </w:rPr>
      </w:pPr>
    </w:p>
    <w:p>
      <w:pPr>
        <w:ind w:left="320"/>
        <w:spacing w:after="0"/>
        <w:tabs>
          <w:tab w:leader="none" w:pos="9660" w:val="left"/>
        </w:tabs>
        <w:rPr>
          <w:sz w:val="20"/>
          <w:szCs w:val="20"/>
          <w:color w:val="auto"/>
        </w:rPr>
      </w:pPr>
      <w:r>
        <w:rPr>
          <w:rFonts w:ascii="Calibri" w:cs="Calibri" w:eastAsia="Calibri" w:hAnsi="Calibri"/>
          <w:sz w:val="17"/>
          <w:szCs w:val="17"/>
          <w:b w:val="1"/>
          <w:bCs w:val="1"/>
          <w:color w:val="auto"/>
        </w:rPr>
        <w:t>   Director since September 2018 </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187960</wp:posOffset>
            </wp:positionV>
            <wp:extent cx="1164590" cy="1164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340" w:right="300"/>
        <w:spacing w:after="0"/>
        <w:rPr>
          <w:sz w:val="20"/>
          <w:szCs w:val="20"/>
          <w:color w:val="auto"/>
        </w:rPr>
      </w:pPr>
      <w:r>
        <w:rPr>
          <w:rFonts w:ascii="Calibri" w:cs="Calibri" w:eastAsia="Calibri" w:hAnsi="Calibri"/>
          <w:sz w:val="17"/>
          <w:szCs w:val="17"/>
          <w:color w:val="auto"/>
        </w:rPr>
        <w:t>Age: 69 — is a seasoned executve with signifcant experience as a top line executve leading fnancial services and digital companies. She also has extensive experience as a public company director. Ms. Studenmund’s business experience, skills and directorships are detailed below. The Company has concluded, based in part on Ms. Studenmund’s extensive public company board experience, together with her knowledge and experience in the digital, fnancial services, health care and consumer business sectors, and her expertse in compensaton and corporate governance, that Ms. Studenmund should serve as a director.</w:t>
      </w:r>
    </w:p>
    <w:p>
      <w:pPr>
        <w:spacing w:after="0" w:line="119" w:lineRule="exact"/>
        <w:rPr>
          <w:sz w:val="20"/>
          <w:szCs w:val="20"/>
          <w:color w:val="auto"/>
        </w:rPr>
      </w:pPr>
    </w:p>
    <w:p>
      <w:pPr>
        <w:ind w:left="2340"/>
        <w:spacing w:after="0"/>
        <w:rPr>
          <w:sz w:val="20"/>
          <w:szCs w:val="20"/>
          <w:color w:val="auto"/>
        </w:rPr>
      </w:pPr>
      <w:r>
        <w:rPr>
          <w:rFonts w:ascii="Calibri" w:cs="Calibri" w:eastAsia="Calibri" w:hAnsi="Calibri"/>
          <w:sz w:val="17"/>
          <w:szCs w:val="17"/>
          <w:b w:val="1"/>
          <w:bCs w:val="1"/>
          <w:color w:val="auto"/>
        </w:rPr>
        <w:t>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1481455</wp:posOffset>
            </wp:positionH>
            <wp:positionV relativeFrom="paragraph">
              <wp:posOffset>14605</wp:posOffset>
            </wp:positionV>
            <wp:extent cx="54603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28" w:lineRule="exact"/>
        <w:rPr>
          <w:sz w:val="20"/>
          <w:szCs w:val="20"/>
          <w:color w:val="auto"/>
        </w:rPr>
      </w:pPr>
    </w:p>
    <w:p>
      <w:pPr>
        <w:ind w:left="2640"/>
        <w:spacing w:after="0"/>
        <w:tabs>
          <w:tab w:leader="none" w:pos="286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Compensaton and Talent Management (Chair), Audit*</w:t>
      </w:r>
    </w:p>
    <w:p>
      <w:pPr>
        <w:sectPr>
          <w:pgSz w:w="11900" w:h="16838" w:orient="portrait"/>
          <w:cols w:equalWidth="0" w:num="1">
            <w:col w:w="10940"/>
          </w:cols>
          <w:pgMar w:left="320" w:top="471" w:right="639" w:bottom="1440" w:gutter="0" w:footer="0" w:header="0"/>
        </w:sectPr>
      </w:pPr>
    </w:p>
    <w:p>
      <w:pPr>
        <w:spacing w:after="0" w:line="20" w:lineRule="exact"/>
        <w:rPr>
          <w:sz w:val="20"/>
          <w:szCs w:val="20"/>
          <w:color w:val="auto"/>
        </w:rPr>
      </w:pPr>
    </w:p>
    <w:p>
      <w:pPr>
        <w:jc w:val="both"/>
        <w:ind w:left="1000"/>
        <w:spacing w:after="0"/>
        <w:tabs>
          <w:tab w:leader="none" w:pos="1880" w:val="left"/>
          <w:tab w:leader="none" w:pos="2020" w:val="left"/>
        </w:tabs>
        <w:rPr>
          <w:sz w:val="20"/>
          <w:szCs w:val="20"/>
          <w:color w:val="auto"/>
        </w:rPr>
      </w:pPr>
      <w:r>
        <w:rPr>
          <w:rFonts w:ascii="Calibri" w:cs="Calibri" w:eastAsia="Calibri" w:hAnsi="Calibri"/>
          <w:sz w:val="10"/>
          <w:szCs w:val="10"/>
          <w:b w:val="1"/>
          <w:bCs w:val="1"/>
          <w:color w:val="auto"/>
        </w:rPr>
        <w:t>SKILLS</w:t>
      </w:r>
      <w:r>
        <w:rPr>
          <w:sz w:val="20"/>
          <w:szCs w:val="20"/>
          <w:color w:val="auto"/>
        </w:rPr>
        <w:tab/>
      </w:r>
      <w:r>
        <w:rPr>
          <w:rFonts w:ascii="Calibri" w:cs="Calibri" w:eastAsia="Calibri" w:hAnsi="Calibri"/>
          <w:sz w:val="14"/>
          <w:szCs w:val="14"/>
          <w:b w:val="1"/>
          <w:bCs w:val="1"/>
          <w:color w:val="auto"/>
        </w:rPr>
        <w:t> </w:t>
      </w:r>
      <w:r>
        <w:rPr>
          <w:sz w:val="20"/>
          <w:szCs w:val="20"/>
          <w:color w:val="auto"/>
        </w:rPr>
        <w:tab/>
      </w:r>
      <w:r>
        <w:rPr>
          <w:rFonts w:ascii="Calibri" w:cs="Calibri" w:eastAsia="Calibri" w:hAnsi="Calibri"/>
          <w:sz w:val="3"/>
          <w:szCs w:val="3"/>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60960</wp:posOffset>
            </wp:positionV>
            <wp:extent cx="231140" cy="2311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108" w:lineRule="exact"/>
        <w:rPr>
          <w:sz w:val="20"/>
          <w:szCs w:val="20"/>
          <w:color w:val="auto"/>
        </w:rPr>
      </w:pPr>
    </w:p>
    <w:p>
      <w:pPr>
        <w:ind w:left="1000"/>
        <w:spacing w:after="0"/>
        <w:rPr>
          <w:sz w:val="20"/>
          <w:szCs w:val="20"/>
          <w:color w:val="auto"/>
        </w:rPr>
      </w:pPr>
      <w:r>
        <w:rPr>
          <w:rFonts w:ascii="Calibri" w:cs="Calibri" w:eastAsia="Calibri" w:hAnsi="Calibri"/>
          <w:sz w:val="10"/>
          <w:szCs w:val="10"/>
          <w:color w:val="auto"/>
        </w:rPr>
        <w:t>Finance</w:t>
      </w:r>
    </w:p>
    <w:p>
      <w:pPr>
        <w:ind w:left="1000"/>
        <w:spacing w:after="0" w:line="227" w:lineRule="auto"/>
        <w:rPr>
          <w:sz w:val="20"/>
          <w:szCs w:val="20"/>
          <w:color w:val="auto"/>
        </w:rPr>
      </w:pPr>
      <w:r>
        <w:rPr>
          <w:rFonts w:ascii="Calibri" w:cs="Calibri" w:eastAsia="Calibri" w:hAnsi="Calibri"/>
          <w:sz w:val="10"/>
          <w:szCs w:val="10"/>
          <w:color w:val="auto"/>
        </w:rPr>
        <w:t>and accountng</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37" w:lineRule="exact"/>
        <w:rPr>
          <w:sz w:val="20"/>
          <w:szCs w:val="20"/>
          <w:color w:val="auto"/>
        </w:rPr>
      </w:pPr>
    </w:p>
    <w:p>
      <w:pPr>
        <w:ind w:left="1000"/>
        <w:spacing w:after="0"/>
        <w:rPr>
          <w:sz w:val="20"/>
          <w:szCs w:val="20"/>
          <w:color w:val="auto"/>
        </w:rPr>
      </w:pPr>
      <w:r>
        <w:rPr>
          <w:rFonts w:ascii="Calibri" w:cs="Calibri" w:eastAsia="Calibri" w:hAnsi="Calibri"/>
          <w:sz w:val="10"/>
          <w:szCs w:val="10"/>
          <w:color w:val="auto"/>
        </w:rPr>
        <w:t>Executve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-22860</wp:posOffset>
            </wp:positionV>
            <wp:extent cx="247650" cy="2311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7650" cy="231140"/>
                    </a:xfrm>
                    <a:prstGeom prst="rect">
                      <a:avLst/>
                    </a:prstGeom>
                    <a:noFill/>
                  </pic:spPr>
                </pic:pic>
              </a:graphicData>
            </a:graphic>
          </wp:anchor>
        </w:drawing>
      </w:r>
    </w:p>
    <w:p>
      <w:pPr>
        <w:ind w:left="1000"/>
        <w:spacing w:after="0"/>
        <w:rPr>
          <w:sz w:val="20"/>
          <w:szCs w:val="20"/>
          <w:color w:val="auto"/>
        </w:rPr>
      </w:pPr>
      <w:r>
        <w:rPr>
          <w:rFonts w:ascii="Calibri" w:cs="Calibri" w:eastAsia="Calibri" w:hAnsi="Calibri"/>
          <w:sz w:val="10"/>
          <w:szCs w:val="10"/>
          <w:color w:val="auto"/>
        </w:rPr>
        <w:t>leadership</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46036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28"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Chief Operatng Ofcer, Overture Services, a pioneer in paid search and search engine marketng</w:t>
      </w:r>
    </w:p>
    <w:p>
      <w:pPr>
        <w:ind w:left="620"/>
        <w:spacing w:after="0"/>
        <w:rPr>
          <w:sz w:val="20"/>
          <w:szCs w:val="20"/>
          <w:color w:val="auto"/>
        </w:rPr>
      </w:pPr>
      <w:r>
        <w:rPr>
          <w:rFonts w:ascii="Calibri" w:cs="Calibri" w:eastAsia="Calibri" w:hAnsi="Calibri"/>
          <w:sz w:val="16"/>
          <w:szCs w:val="16"/>
          <w:color w:val="auto"/>
        </w:rPr>
        <w:t>(2001 - 2004)</w:t>
      </w:r>
    </w:p>
    <w:p>
      <w:pPr>
        <w:spacing w:after="0" w:line="117"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President &amp; Chief Operatng Ofcer, PayMyBills, the leading consumer bill payment and presentment company (1999 - 2001)</w:t>
      </w:r>
    </w:p>
    <w:p>
      <w:pPr>
        <w:spacing w:after="0" w:line="116" w:lineRule="exact"/>
        <w:rPr>
          <w:sz w:val="20"/>
          <w:szCs w:val="20"/>
          <w:color w:val="auto"/>
        </w:rPr>
      </w:pPr>
    </w:p>
    <w:p>
      <w:pPr>
        <w:sectPr>
          <w:pgSz w:w="11900" w:h="16838" w:orient="portrait"/>
          <w:cols w:equalWidth="0" w:num="2">
            <w:col w:w="2080" w:space="260"/>
            <w:col w:w="8600"/>
          </w:cols>
          <w:pgMar w:left="320" w:top="471" w:right="639" w:bottom="1440" w:gutter="0" w:footer="0" w:header="0"/>
          <w:type w:val="continuous"/>
        </w:sectPr>
      </w:pPr>
    </w:p>
    <w:p>
      <w:pPr>
        <w:spacing w:after="0" w:line="279" w:lineRule="exact"/>
        <w:rPr>
          <w:sz w:val="20"/>
          <w:szCs w:val="20"/>
          <w:color w:val="auto"/>
        </w:rPr>
      </w:pPr>
    </w:p>
    <w:p>
      <w:pPr>
        <w:ind w:left="320"/>
        <w:spacing w:after="0"/>
        <w:rPr>
          <w:sz w:val="20"/>
          <w:szCs w:val="20"/>
          <w:color w:val="auto"/>
        </w:rPr>
      </w:pPr>
      <w:r>
        <w:rPr>
          <w:rFonts w:ascii="Calibri" w:cs="Calibri" w:eastAsia="Calibri" w:hAnsi="Calibri"/>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-132715</wp:posOffset>
            </wp:positionV>
            <wp:extent cx="132080" cy="2063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2080" cy="20637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196850</wp:posOffset>
            </wp:positionV>
            <wp:extent cx="255905" cy="165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5905" cy="1651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135890</wp:posOffset>
            </wp:positionV>
            <wp:extent cx="214630" cy="2146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320"/>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135890</wp:posOffset>
            </wp:positionV>
            <wp:extent cx="239395" cy="2146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39395" cy="21463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320"/>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135890</wp:posOffset>
            </wp:positionV>
            <wp:extent cx="239395" cy="2393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135890</wp:posOffset>
            </wp:positionV>
            <wp:extent cx="231140" cy="2311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135890</wp:posOffset>
            </wp:positionV>
            <wp:extent cx="231140" cy="2146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320"/>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135890</wp:posOffset>
            </wp:positionV>
            <wp:extent cx="231140" cy="1981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1140" cy="1981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20"/>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135890</wp:posOffset>
            </wp:positionV>
            <wp:extent cx="231140" cy="2063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Calibri" w:cs="Calibri" w:eastAsia="Calibri" w:hAnsi="Calibri"/>
          <w:sz w:val="10"/>
          <w:szCs w:val="10"/>
          <w:color w:val="auto"/>
        </w:rPr>
        <w:t>Public company</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governance</w:t>
      </w:r>
    </w:p>
    <w:p>
      <w:pPr>
        <w:spacing w:after="0" w:line="229" w:lineRule="exact"/>
        <w:rPr>
          <w:sz w:val="20"/>
          <w:szCs w:val="20"/>
          <w:color w:val="auto"/>
        </w:rPr>
      </w:pPr>
    </w:p>
    <w:p>
      <w:pPr>
        <w:spacing w:after="0"/>
        <w:rPr>
          <w:sz w:val="20"/>
          <w:szCs w:val="20"/>
          <w:color w:val="auto"/>
        </w:rPr>
      </w:pPr>
      <w:r>
        <w:rPr>
          <w:rFonts w:ascii="Calibri" w:cs="Calibri" w:eastAsia="Calibri" w:hAnsi="Calibri"/>
          <w:sz w:val="10"/>
          <w:szCs w:val="10"/>
          <w:color w:val="auto"/>
        </w:rPr>
        <w:t>Analytcs</w:t>
      </w:r>
    </w:p>
    <w:p>
      <w:pPr>
        <w:spacing w:after="0" w:line="320" w:lineRule="exact"/>
        <w:rPr>
          <w:sz w:val="20"/>
          <w:szCs w:val="20"/>
          <w:color w:val="auto"/>
        </w:rPr>
      </w:pPr>
    </w:p>
    <w:p>
      <w:pPr>
        <w:spacing w:after="0"/>
        <w:rPr>
          <w:sz w:val="20"/>
          <w:szCs w:val="20"/>
          <w:color w:val="auto"/>
        </w:rPr>
      </w:pPr>
      <w:r>
        <w:rPr>
          <w:rFonts w:ascii="Calibri" w:cs="Calibri" w:eastAsia="Calibri" w:hAnsi="Calibri"/>
          <w:sz w:val="10"/>
          <w:szCs w:val="10"/>
          <w:color w:val="auto"/>
        </w:rPr>
        <w:t>Human capital</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management</w:t>
      </w:r>
    </w:p>
    <w:p>
      <w:pPr>
        <w:spacing w:after="0" w:line="255" w:lineRule="exact"/>
        <w:rPr>
          <w:sz w:val="20"/>
          <w:szCs w:val="20"/>
          <w:color w:val="auto"/>
        </w:rPr>
      </w:pPr>
    </w:p>
    <w:p>
      <w:pPr>
        <w:spacing w:after="0"/>
        <w:rPr>
          <w:sz w:val="20"/>
          <w:szCs w:val="20"/>
          <w:color w:val="auto"/>
        </w:rPr>
      </w:pPr>
      <w:r>
        <w:rPr>
          <w:rFonts w:ascii="Calibri" w:cs="Calibri" w:eastAsia="Calibri" w:hAnsi="Calibri"/>
          <w:sz w:val="10"/>
          <w:szCs w:val="10"/>
          <w:color w:val="auto"/>
        </w:rPr>
        <w:t>Digital operatons</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and solutons</w:t>
      </w:r>
    </w:p>
    <w:p>
      <w:pPr>
        <w:spacing w:after="0" w:line="320" w:lineRule="exact"/>
        <w:rPr>
          <w:sz w:val="20"/>
          <w:szCs w:val="20"/>
          <w:color w:val="auto"/>
        </w:rPr>
      </w:pPr>
    </w:p>
    <w:p>
      <w:pPr>
        <w:spacing w:after="0"/>
        <w:rPr>
          <w:sz w:val="20"/>
          <w:szCs w:val="20"/>
          <w:color w:val="auto"/>
        </w:rPr>
      </w:pPr>
      <w:r>
        <w:rPr>
          <w:rFonts w:ascii="Calibri" w:cs="Calibri" w:eastAsia="Calibri" w:hAnsi="Calibri"/>
          <w:sz w:val="10"/>
          <w:szCs w:val="10"/>
          <w:color w:val="auto"/>
        </w:rPr>
        <w:t>Marketng</w:t>
      </w:r>
    </w:p>
    <w:p>
      <w:pPr>
        <w:spacing w:after="0" w:line="333" w:lineRule="exact"/>
        <w:rPr>
          <w:sz w:val="20"/>
          <w:szCs w:val="20"/>
          <w:color w:val="auto"/>
        </w:rPr>
      </w:pPr>
    </w:p>
    <w:p>
      <w:pPr>
        <w:spacing w:after="0"/>
        <w:rPr>
          <w:sz w:val="20"/>
          <w:szCs w:val="20"/>
          <w:color w:val="auto"/>
        </w:rPr>
      </w:pPr>
      <w:r>
        <w:rPr>
          <w:rFonts w:ascii="Calibri" w:cs="Calibri" w:eastAsia="Calibri" w:hAnsi="Calibri"/>
          <w:sz w:val="10"/>
          <w:szCs w:val="10"/>
          <w:color w:val="auto"/>
        </w:rPr>
        <w:t>Global</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experience</w:t>
      </w:r>
    </w:p>
    <w:p>
      <w:pPr>
        <w:spacing w:after="0" w:line="255" w:lineRule="exact"/>
        <w:rPr>
          <w:sz w:val="20"/>
          <w:szCs w:val="20"/>
          <w:color w:val="auto"/>
        </w:rPr>
      </w:pPr>
    </w:p>
    <w:p>
      <w:pPr>
        <w:spacing w:after="0" w:line="259" w:lineRule="auto"/>
        <w:rPr>
          <w:sz w:val="20"/>
          <w:szCs w:val="20"/>
          <w:color w:val="auto"/>
        </w:rPr>
      </w:pPr>
      <w:r>
        <w:rPr>
          <w:rFonts w:ascii="Calibri" w:cs="Calibri" w:eastAsia="Calibri" w:hAnsi="Calibri"/>
          <w:sz w:val="10"/>
          <w:szCs w:val="10"/>
          <w:color w:val="auto"/>
        </w:rPr>
        <w:t>Risk oversight and management</w:t>
      </w:r>
    </w:p>
    <w:p>
      <w:pPr>
        <w:spacing w:after="0" w:line="296" w:lineRule="exact"/>
        <w:rPr>
          <w:sz w:val="20"/>
          <w:szCs w:val="20"/>
          <w:color w:val="auto"/>
        </w:rPr>
      </w:pPr>
    </w:p>
    <w:p>
      <w:pPr>
        <w:spacing w:after="0"/>
        <w:rPr>
          <w:sz w:val="20"/>
          <w:szCs w:val="20"/>
          <w:color w:val="auto"/>
        </w:rPr>
      </w:pPr>
      <w:r>
        <w:rPr>
          <w:rFonts w:ascii="Calibri" w:cs="Calibri" w:eastAsia="Calibri" w:hAnsi="Calibri"/>
          <w:sz w:val="10"/>
          <w:szCs w:val="10"/>
          <w:color w:val="auto"/>
        </w:rPr>
        <w:t>ESG</w:t>
      </w:r>
    </w:p>
    <w:p>
      <w:pPr>
        <w:spacing w:after="0" w:line="281" w:lineRule="exact"/>
        <w:rPr>
          <w:sz w:val="20"/>
          <w:szCs w:val="20"/>
          <w:color w:val="auto"/>
        </w:rPr>
      </w:pPr>
    </w:p>
    <w:p>
      <w:pPr>
        <w:spacing w:after="0"/>
        <w:rPr>
          <w:sz w:val="20"/>
          <w:szCs w:val="20"/>
          <w:color w:val="auto"/>
        </w:rPr>
      </w:pPr>
      <w:r>
        <w:rPr>
          <w:rFonts w:ascii="Calibri" w:cs="Calibri" w:eastAsia="Calibri" w:hAnsi="Calibri"/>
          <w:sz w:val="10"/>
          <w:szCs w:val="10"/>
          <w:color w:val="auto"/>
        </w:rPr>
        <w:t>Mergers and</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acquisitons</w:t>
      </w:r>
    </w:p>
    <w:p>
      <w:pPr>
        <w:spacing w:after="0" w:line="20" w:lineRule="exact"/>
        <w:rPr>
          <w:sz w:val="20"/>
          <w:szCs w:val="20"/>
          <w:color w:val="auto"/>
        </w:rPr>
      </w:pPr>
      <w:r>
        <w:rPr>
          <w:sz w:val="20"/>
          <w:szCs w:val="20"/>
          <w:color w:val="auto"/>
        </w:rPr>
        <w:br w:type="column"/>
      </w: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Previously for over two decades served as Executve Vice President and Head of Consumer and Business Banking for three of</w:t>
      </w:r>
    </w:p>
    <w:p>
      <w:pPr>
        <w:ind w:left="620"/>
        <w:spacing w:after="0"/>
        <w:rPr>
          <w:sz w:val="20"/>
          <w:szCs w:val="20"/>
          <w:color w:val="auto"/>
        </w:rPr>
      </w:pPr>
      <w:r>
        <w:rPr>
          <w:rFonts w:ascii="Calibri" w:cs="Calibri" w:eastAsia="Calibri" w:hAnsi="Calibri"/>
          <w:sz w:val="16"/>
          <w:szCs w:val="16"/>
          <w:color w:val="auto"/>
        </w:rPr>
        <w:t>the naton’s largest banks at the tme and primarily for First Interstate of California. Today, these three banks form the</w:t>
      </w:r>
    </w:p>
    <w:p>
      <w:pPr>
        <w:ind w:left="620"/>
        <w:spacing w:after="0"/>
        <w:rPr>
          <w:sz w:val="20"/>
          <w:szCs w:val="20"/>
          <w:color w:val="auto"/>
        </w:rPr>
      </w:pPr>
      <w:r>
        <w:rPr>
          <w:rFonts w:ascii="Calibri" w:cs="Calibri" w:eastAsia="Calibri" w:hAnsi="Calibri"/>
          <w:sz w:val="16"/>
          <w:szCs w:val="16"/>
          <w:color w:val="auto"/>
        </w:rPr>
        <w:t>backbone of Chase’s and Wells Fargo’s consumer business in California following the era of bank consolidaton.</w:t>
      </w:r>
    </w:p>
    <w:p>
      <w:pPr>
        <w:spacing w:after="0" w:line="117"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 Management Consultant, Booz, Allen &amp; Hamilton</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4603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28"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and chair of the compensaton commitee and member of the risk management commitee, Pacifc Premier Bancorp</w:t>
      </w:r>
    </w:p>
    <w:p>
      <w:pPr>
        <w:ind w:left="620"/>
        <w:spacing w:after="0"/>
        <w:rPr>
          <w:sz w:val="20"/>
          <w:szCs w:val="20"/>
          <w:color w:val="auto"/>
        </w:rPr>
      </w:pPr>
      <w:r>
        <w:rPr>
          <w:rFonts w:ascii="Calibri" w:cs="Calibri" w:eastAsia="Calibri" w:hAnsi="Calibri"/>
          <w:sz w:val="16"/>
          <w:szCs w:val="16"/>
          <w:color w:val="auto"/>
        </w:rPr>
        <w:t>(Nasdaq: PPBI), a top performing regional bank (2019 -present)</w:t>
      </w:r>
    </w:p>
    <w:p>
      <w:pPr>
        <w:spacing w:after="0" w:line="117"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and member of the contracts commitee, audit commitee and nominaton and governance commitee, Western</w:t>
      </w:r>
    </w:p>
    <w:p>
      <w:pPr>
        <w:ind w:left="620"/>
        <w:spacing w:after="0"/>
        <w:rPr>
          <w:sz w:val="20"/>
          <w:szCs w:val="20"/>
          <w:color w:val="auto"/>
        </w:rPr>
      </w:pPr>
      <w:r>
        <w:rPr>
          <w:rFonts w:ascii="Calibri" w:cs="Calibri" w:eastAsia="Calibri" w:hAnsi="Calibri"/>
          <w:sz w:val="16"/>
          <w:szCs w:val="16"/>
          <w:color w:val="auto"/>
        </w:rPr>
        <w:t>Asset Management funds, a major global fxed income fund, and director of afliated funds for Western Asset Management</w:t>
      </w:r>
    </w:p>
    <w:p>
      <w:pPr>
        <w:ind w:left="620"/>
        <w:spacing w:after="0"/>
        <w:rPr>
          <w:sz w:val="20"/>
          <w:szCs w:val="20"/>
          <w:color w:val="auto"/>
        </w:rPr>
      </w:pPr>
      <w:r>
        <w:rPr>
          <w:rFonts w:ascii="Calibri" w:cs="Calibri" w:eastAsia="Calibri" w:hAnsi="Calibri"/>
          <w:sz w:val="16"/>
          <w:szCs w:val="16"/>
          <w:color w:val="auto"/>
        </w:rPr>
        <w:t>(2004 - present)</w:t>
      </w:r>
    </w:p>
    <w:p>
      <w:pPr>
        <w:spacing w:after="0" w:line="117"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and chair of the compensaton commitee and member of the nominatng and governance commitee, CoreLogic, Inc.</w:t>
      </w:r>
    </w:p>
    <w:p>
      <w:pPr>
        <w:ind w:left="620"/>
        <w:spacing w:after="0"/>
        <w:rPr>
          <w:sz w:val="20"/>
          <w:szCs w:val="20"/>
          <w:color w:val="auto"/>
        </w:rPr>
      </w:pPr>
      <w:r>
        <w:rPr>
          <w:rFonts w:ascii="Calibri" w:cs="Calibri" w:eastAsia="Calibri" w:hAnsi="Calibri"/>
          <w:sz w:val="16"/>
          <w:szCs w:val="16"/>
          <w:color w:val="auto"/>
        </w:rPr>
        <w:t>(NYSE: CLGX) untl its acquisiton in 2021 (2012 -2021)</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4603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28"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compensaton commitee chair and member of the compliance commitee, Pinnacle Entertainment (Nasdaq: PNK)</w:t>
      </w:r>
    </w:p>
    <w:p>
      <w:pPr>
        <w:ind w:left="620"/>
        <w:spacing w:after="0"/>
        <w:rPr>
          <w:sz w:val="20"/>
          <w:szCs w:val="20"/>
          <w:color w:val="auto"/>
        </w:rPr>
      </w:pPr>
      <w:r>
        <w:rPr>
          <w:rFonts w:ascii="Calibri" w:cs="Calibri" w:eastAsia="Calibri" w:hAnsi="Calibri"/>
          <w:sz w:val="16"/>
          <w:szCs w:val="16"/>
          <w:color w:val="auto"/>
        </w:rPr>
        <w:t>untl its acquisiton in 2018 (2012 - 2018)</w:t>
      </w:r>
    </w:p>
    <w:p>
      <w:pPr>
        <w:spacing w:after="0" w:line="117"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of the Natonal Associaton of Corporate Directors (“NACD”) Directorship 100, 2021, as one of the top public</w:t>
      </w:r>
    </w:p>
    <w:p>
      <w:pPr>
        <w:ind w:left="620"/>
        <w:spacing w:after="0"/>
        <w:rPr>
          <w:sz w:val="20"/>
          <w:szCs w:val="20"/>
          <w:color w:val="auto"/>
        </w:rPr>
      </w:pPr>
      <w:r>
        <w:rPr>
          <w:rFonts w:ascii="Calibri" w:cs="Calibri" w:eastAsia="Calibri" w:hAnsi="Calibri"/>
          <w:sz w:val="16"/>
          <w:szCs w:val="16"/>
          <w:color w:val="auto"/>
        </w:rPr>
        <w:t>company directors in the U.S.; Named to Women Inc.’s 2019 Most Infuental Corporate Directors listng</w:t>
      </w:r>
    </w:p>
    <w:p>
      <w:pPr>
        <w:spacing w:after="0" w:line="117"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Board chair emeritus and life trustee, Huntngton Health, an afliate of Cedars Sinai Health</w:t>
      </w:r>
    </w:p>
    <w:p>
      <w:pPr>
        <w:spacing w:after="0" w:line="117" w:lineRule="exact"/>
        <w:rPr>
          <w:sz w:val="20"/>
          <w:szCs w:val="20"/>
          <w:color w:val="auto"/>
        </w:rPr>
      </w:pPr>
    </w:p>
    <w:p>
      <w:pPr>
        <w:jc w:val="center"/>
        <w:ind w:right="600"/>
        <w:spacing w:after="0"/>
        <w:tabs>
          <w:tab w:leader="none" w:pos="10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Trustee and board member, and member of the fnance, audit and compensaton commitees, J. Paul Gety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-1284605</wp:posOffset>
            </wp:positionH>
            <wp:positionV relativeFrom="paragraph">
              <wp:posOffset>752475</wp:posOffset>
            </wp:positionV>
            <wp:extent cx="674052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60" w:space="640"/>
            <w:col w:w="760" w:space="580"/>
            <w:col w:w="8600"/>
          </w:cols>
          <w:pgMar w:left="320" w:top="471"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Audit commitee fnancial expert under applicable SEC rules and regulatons.</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23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40525" cy="5784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40525" cy="57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Calibri" w:cs="Calibri" w:eastAsia="Calibri" w:hAnsi="Calibri"/>
          <w:sz w:val="24"/>
          <w:szCs w:val="24"/>
          <w:b w:val="1"/>
          <w:bCs w:val="1"/>
          <w:color w:val="FB4E0B"/>
        </w:rPr>
        <w:t>  Sarah K. Williamson</w:t>
      </w:r>
    </w:p>
    <w:p>
      <w:pPr>
        <w:spacing w:after="0" w:line="9" w:lineRule="exact"/>
        <w:rPr>
          <w:sz w:val="20"/>
          <w:szCs w:val="20"/>
          <w:color w:val="auto"/>
        </w:rPr>
      </w:pPr>
    </w:p>
    <w:p>
      <w:pPr>
        <w:ind w:left="320"/>
        <w:spacing w:after="0"/>
        <w:tabs>
          <w:tab w:leader="none" w:pos="9660" w:val="left"/>
        </w:tabs>
        <w:rPr>
          <w:sz w:val="20"/>
          <w:szCs w:val="20"/>
          <w:color w:val="auto"/>
        </w:rPr>
      </w:pPr>
      <w:r>
        <w:rPr>
          <w:rFonts w:ascii="Calibri" w:cs="Calibri" w:eastAsia="Calibri" w:hAnsi="Calibri"/>
          <w:sz w:val="17"/>
          <w:szCs w:val="17"/>
          <w:b w:val="1"/>
          <w:bCs w:val="1"/>
          <w:color w:val="auto"/>
        </w:rPr>
        <w:t>   Director since June 2023 </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187960</wp:posOffset>
            </wp:positionV>
            <wp:extent cx="1073785" cy="1057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73785" cy="1057275"/>
                    </a:xfrm>
                    <a:prstGeom prst="rect">
                      <a:avLst/>
                    </a:prstGeom>
                    <a:noFill/>
                  </pic:spPr>
                </pic:pic>
              </a:graphicData>
            </a:graphic>
          </wp:anchor>
        </w:drawing>
      </w:r>
    </w:p>
    <w:p>
      <w:pPr>
        <w:sectPr>
          <w:pgSz w:w="11900" w:h="16838" w:orient="portrait"/>
          <w:cols w:equalWidth="0" w:num="1">
            <w:col w:w="10920"/>
          </w:cols>
          <w:pgMar w:left="320" w:top="47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0"/>
        <w:spacing w:after="0"/>
        <w:rPr>
          <w:sz w:val="20"/>
          <w:szCs w:val="20"/>
          <w:color w:val="auto"/>
        </w:rPr>
      </w:pPr>
      <w:r>
        <w:rPr>
          <w:rFonts w:ascii="Arial" w:cs="Arial" w:eastAsia="Arial" w:hAnsi="Arial"/>
          <w:sz w:val="2"/>
          <w:szCs w:val="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-179070</wp:posOffset>
            </wp:positionV>
            <wp:extent cx="231140" cy="2311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142240</wp:posOffset>
            </wp:positionV>
            <wp:extent cx="247650" cy="2311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7650" cy="23114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Arial" w:cs="Arial" w:eastAsia="Arial" w:hAnsi="Arial"/>
          <w:sz w:val="2"/>
          <w:szCs w:val="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150495</wp:posOffset>
            </wp:positionV>
            <wp:extent cx="132080" cy="2063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840" w:val="left"/>
          <w:tab w:leader="none" w:pos="980" w:val="left"/>
        </w:tabs>
        <w:rPr>
          <w:sz w:val="20"/>
          <w:szCs w:val="20"/>
          <w:color w:val="auto"/>
        </w:rPr>
      </w:pPr>
      <w:r>
        <w:rPr>
          <w:rFonts w:ascii="Calibri" w:cs="Calibri" w:eastAsia="Calibri" w:hAnsi="Calibri"/>
          <w:sz w:val="10"/>
          <w:szCs w:val="10"/>
          <w:b w:val="1"/>
          <w:bCs w:val="1"/>
          <w:color w:val="auto"/>
        </w:rPr>
        <w:t>SKILLS</w:t>
      </w:r>
      <w:r>
        <w:rPr>
          <w:sz w:val="20"/>
          <w:szCs w:val="20"/>
          <w:color w:val="auto"/>
        </w:rPr>
        <w:tab/>
      </w:r>
      <w:r>
        <w:rPr>
          <w:rFonts w:ascii="Calibri" w:cs="Calibri" w:eastAsia="Calibri" w:hAnsi="Calibri"/>
          <w:sz w:val="14"/>
          <w:szCs w:val="14"/>
          <w:b w:val="1"/>
          <w:bCs w:val="1"/>
          <w:color w:val="auto"/>
        </w:rPr>
        <w:t> </w:t>
      </w:r>
      <w:r>
        <w:rPr>
          <w:sz w:val="20"/>
          <w:szCs w:val="20"/>
          <w:color w:val="auto"/>
        </w:rPr>
        <w:tab/>
      </w:r>
      <w:r>
        <w:rPr>
          <w:rFonts w:ascii="Calibri" w:cs="Calibri" w:eastAsia="Calibri" w:hAnsi="Calibri"/>
          <w:sz w:val="2"/>
          <w:szCs w:val="2"/>
          <w:b w:val="1"/>
          <w:bCs w:val="1"/>
          <w:color w:val="auto"/>
        </w:rPr>
        <w:t> </w:t>
      </w:r>
    </w:p>
    <w:p>
      <w:pPr>
        <w:spacing w:after="0" w:line="128" w:lineRule="exact"/>
        <w:rPr>
          <w:sz w:val="20"/>
          <w:szCs w:val="20"/>
          <w:color w:val="auto"/>
        </w:rPr>
      </w:pPr>
    </w:p>
    <w:p>
      <w:pPr>
        <w:spacing w:after="0"/>
        <w:rPr>
          <w:sz w:val="20"/>
          <w:szCs w:val="20"/>
          <w:color w:val="auto"/>
        </w:rPr>
      </w:pPr>
      <w:r>
        <w:rPr>
          <w:rFonts w:ascii="Calibri" w:cs="Calibri" w:eastAsia="Calibri" w:hAnsi="Calibri"/>
          <w:sz w:val="10"/>
          <w:szCs w:val="10"/>
          <w:color w:val="auto"/>
        </w:rPr>
        <w:t>Finance</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and accountng</w:t>
      </w:r>
    </w:p>
    <w:p>
      <w:pPr>
        <w:spacing w:after="0" w:line="138" w:lineRule="exact"/>
        <w:rPr>
          <w:sz w:val="20"/>
          <w:szCs w:val="20"/>
          <w:color w:val="auto"/>
        </w:rPr>
      </w:pPr>
    </w:p>
    <w:p>
      <w:pPr>
        <w:spacing w:after="0"/>
        <w:rPr>
          <w:sz w:val="20"/>
          <w:szCs w:val="20"/>
          <w:color w:val="auto"/>
        </w:rPr>
      </w:pPr>
      <w:r>
        <w:rPr>
          <w:rFonts w:ascii="Calibri" w:cs="Calibri" w:eastAsia="Calibri" w:hAnsi="Calibri"/>
          <w:sz w:val="10"/>
          <w:szCs w:val="10"/>
          <w:color w:val="auto"/>
        </w:rPr>
        <w:t>Executve</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leadership</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(within the last 5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20"/>
        <w:spacing w:after="0"/>
        <w:rPr>
          <w:sz w:val="20"/>
          <w:szCs w:val="20"/>
          <w:color w:val="auto"/>
        </w:rPr>
      </w:pPr>
      <w:r>
        <w:rPr>
          <w:rFonts w:ascii="Calibri" w:cs="Calibri" w:eastAsia="Calibri" w:hAnsi="Calibri"/>
          <w:sz w:val="17"/>
          <w:szCs w:val="17"/>
          <w:color w:val="auto"/>
        </w:rPr>
        <w:t>Age: 60 — is a leader in the global fnancial services and investment industries. Ms. Williamson’s business experience, skills and directorships are detailed below. The Company has concluded, based in part on Ms. Williamson’s experience as the Chief Executve Ofcer of FCLTGlobal, as well as her prior experience at Wellington Management Company, LLP and her expertse in the global fnancial services and investment industries, that Ms. Williamson should serve as a director.</w:t>
      </w:r>
    </w:p>
    <w:p>
      <w:pPr>
        <w:spacing w:after="0" w:line="11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5511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5117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Audit*; Nominatng and Governance</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5511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5117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Chief Executve Ofcer, FCLTGlobal, a not-for-proft organizaton dedicated to encouraging long-term behaviors in business and</w:t>
      </w:r>
    </w:p>
    <w:p>
      <w:pPr>
        <w:ind w:left="640"/>
        <w:spacing w:after="0"/>
        <w:rPr>
          <w:sz w:val="20"/>
          <w:szCs w:val="20"/>
          <w:color w:val="auto"/>
        </w:rPr>
      </w:pPr>
      <w:r>
        <w:rPr>
          <w:rFonts w:ascii="Calibri" w:cs="Calibri" w:eastAsia="Calibri" w:hAnsi="Calibri"/>
          <w:sz w:val="16"/>
          <w:szCs w:val="16"/>
          <w:color w:val="auto"/>
        </w:rPr>
        <w:t>investment decision-making (2016 - present)</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Partner, Global Director of Alternatve Investments, among other senior positons, Wellington Management Company LLP, a</w:t>
      </w:r>
    </w:p>
    <w:p>
      <w:pPr>
        <w:ind w:left="640"/>
        <w:spacing w:after="0"/>
        <w:rPr>
          <w:sz w:val="20"/>
          <w:szCs w:val="20"/>
          <w:color w:val="auto"/>
        </w:rPr>
      </w:pPr>
      <w:r>
        <w:rPr>
          <w:rFonts w:ascii="Calibri" w:cs="Calibri" w:eastAsia="Calibri" w:hAnsi="Calibri"/>
          <w:sz w:val="16"/>
          <w:szCs w:val="16"/>
          <w:color w:val="auto"/>
        </w:rPr>
        <w:t>private independent investment management frm (1995 - 2016)</w:t>
      </w:r>
    </w:p>
    <w:p>
      <w:pPr>
        <w:spacing w:after="0" w:line="105"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Senior Consultant, McKinsey &amp; Company (1989-1994)</w:t>
      </w:r>
    </w:p>
    <w:p>
      <w:pPr>
        <w:spacing w:after="0" w:line="1" w:lineRule="exact"/>
        <w:rPr>
          <w:sz w:val="20"/>
          <w:szCs w:val="20"/>
          <w:color w:val="auto"/>
        </w:rPr>
      </w:pPr>
    </w:p>
    <w:p>
      <w:pPr>
        <w:sectPr>
          <w:pgSz w:w="11900" w:h="16838" w:orient="portrait"/>
          <w:cols w:equalWidth="0" w:num="3">
            <w:col w:w="340" w:space="600"/>
            <w:col w:w="1020" w:space="220"/>
            <w:col w:w="8740"/>
          </w:cols>
          <w:pgMar w:left="320" w:top="471" w:right="659" w:bottom="1440" w:gutter="0" w:footer="0" w:header="0"/>
          <w:type w:val="continuous"/>
        </w:sectPr>
      </w:pPr>
    </w:p>
    <w:p>
      <w:pPr>
        <w:spacing w:after="0" w:line="147" w:lineRule="exact"/>
        <w:rPr>
          <w:sz w:val="20"/>
          <w:szCs w:val="20"/>
          <w:color w:val="auto"/>
        </w:rPr>
      </w:pPr>
    </w:p>
    <w:p>
      <w:pPr>
        <w:ind w:left="320"/>
        <w:spacing w:after="0"/>
        <w:rPr>
          <w:sz w:val="20"/>
          <w:szCs w:val="20"/>
          <w:color w:val="auto"/>
        </w:rPr>
      </w:pPr>
      <w:r>
        <w:rPr>
          <w:rFonts w:ascii="Calibri" w:cs="Calibri" w:eastAsia="Calibri" w:hAnsi="Calibri"/>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196850</wp:posOffset>
            </wp:positionV>
            <wp:extent cx="231140" cy="2311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br w:type="column"/>
      </w:r>
    </w:p>
    <w:p>
      <w:pPr>
        <w:spacing w:after="0" w:line="204" w:lineRule="auto"/>
        <w:rPr>
          <w:sz w:val="20"/>
          <w:szCs w:val="20"/>
          <w:color w:val="auto"/>
        </w:rPr>
      </w:pPr>
      <w:r>
        <w:rPr>
          <w:rFonts w:ascii="Calibri" w:cs="Calibri" w:eastAsia="Calibri" w:hAnsi="Calibri"/>
          <w:sz w:val="10"/>
          <w:szCs w:val="10"/>
          <w:color w:val="auto"/>
        </w:rPr>
        <w:t>Public company</w:t>
      </w:r>
    </w:p>
    <w:p>
      <w:pPr>
        <w:spacing w:after="0" w:line="6" w:lineRule="exact"/>
        <w:rPr>
          <w:sz w:val="20"/>
          <w:szCs w:val="20"/>
          <w:color w:val="auto"/>
        </w:rPr>
      </w:pPr>
    </w:p>
    <w:p>
      <w:pPr>
        <w:spacing w:after="0"/>
        <w:rPr>
          <w:sz w:val="20"/>
          <w:szCs w:val="20"/>
          <w:color w:val="auto"/>
        </w:rPr>
      </w:pPr>
      <w:r>
        <w:rPr>
          <w:rFonts w:ascii="Calibri" w:cs="Calibri" w:eastAsia="Calibri" w:hAnsi="Calibri"/>
          <w:sz w:val="10"/>
          <w:szCs w:val="10"/>
          <w:color w:val="auto"/>
        </w:rPr>
        <w:t>governance</w:t>
      </w:r>
    </w:p>
    <w:p>
      <w:pPr>
        <w:spacing w:after="0" w:line="268" w:lineRule="exact"/>
        <w:rPr>
          <w:sz w:val="20"/>
          <w:szCs w:val="20"/>
          <w:color w:val="auto"/>
        </w:rPr>
      </w:pPr>
    </w:p>
    <w:p>
      <w:pPr>
        <w:spacing w:after="0"/>
        <w:rPr>
          <w:sz w:val="20"/>
          <w:szCs w:val="20"/>
          <w:color w:val="auto"/>
        </w:rPr>
      </w:pPr>
      <w:r>
        <w:rPr>
          <w:rFonts w:ascii="Calibri" w:cs="Calibri" w:eastAsia="Calibri" w:hAnsi="Calibri"/>
          <w:sz w:val="10"/>
          <w:szCs w:val="10"/>
          <w:color w:val="auto"/>
        </w:rPr>
        <w:t>Global</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experience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5511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51170" cy="8255"/>
                    </a:xfrm>
                    <a:prstGeom prst="rect">
                      <a:avLst/>
                    </a:prstGeom>
                    <a:noFill/>
                  </pic:spPr>
                </pic:pic>
              </a:graphicData>
            </a:graphic>
          </wp:anchor>
        </w:drawing>
      </w:r>
    </w:p>
    <w:p>
      <w:pPr>
        <w:spacing w:after="0" w:line="38" w:lineRule="exact"/>
        <w:rPr>
          <w:sz w:val="20"/>
          <w:szCs w:val="20"/>
          <w:color w:val="auto"/>
        </w:rPr>
      </w:pPr>
    </w:p>
    <w:p>
      <w:pPr>
        <w:ind w:left="560" w:hanging="311"/>
        <w:spacing w:after="0" w:line="233" w:lineRule="auto"/>
        <w:tabs>
          <w:tab w:leader="none" w:pos="540" w:val="left"/>
        </w:tabs>
        <w:rPr>
          <w:sz w:val="20"/>
          <w:szCs w:val="20"/>
          <w:color w:val="auto"/>
        </w:rPr>
      </w:pPr>
      <w:r>
        <w:rPr>
          <w:rFonts w:ascii="Calibri" w:cs="Calibri" w:eastAsia="Calibri" w:hAnsi="Calibri"/>
          <w:sz w:val="16"/>
          <w:szCs w:val="16"/>
          <w:color w:val="auto"/>
        </w:rPr>
        <w:t>• </w:t>
        <w:tab/>
        <w:t>   Director and member of the audit commitee and the compensaton commitee, Evercore (NYSE: EVR), a public investment bank (2018 - present)</w:t>
      </w:r>
    </w:p>
    <w:p>
      <w:pPr>
        <w:spacing w:after="0" w:line="122" w:lineRule="exact"/>
        <w:rPr>
          <w:sz w:val="20"/>
          <w:szCs w:val="20"/>
          <w:color w:val="auto"/>
        </w:rPr>
      </w:pPr>
    </w:p>
    <w:p>
      <w:pPr>
        <w:sectPr>
          <w:pgSz w:w="11900" w:h="16838" w:orient="portrait"/>
          <w:cols w:equalWidth="0" w:num="3">
            <w:col w:w="360" w:space="580"/>
            <w:col w:w="660" w:space="580"/>
            <w:col w:w="8740"/>
          </w:cols>
          <w:pgMar w:left="320" w:top="471" w:right="659" w:bottom="1440" w:gutter="0" w:footer="0" w:header="0"/>
          <w:type w:val="continuous"/>
        </w:sectPr>
      </w:pPr>
    </w:p>
    <w:p>
      <w:pPr>
        <w:spacing w:after="0" w:line="223" w:lineRule="exact"/>
        <w:rPr>
          <w:sz w:val="20"/>
          <w:szCs w:val="20"/>
          <w:color w:val="auto"/>
        </w:rPr>
      </w:pPr>
    </w:p>
    <w:p>
      <w:pPr>
        <w:ind w:left="940"/>
        <w:spacing w:after="0" w:line="249" w:lineRule="auto"/>
        <w:rPr>
          <w:sz w:val="20"/>
          <w:szCs w:val="20"/>
          <w:color w:val="auto"/>
        </w:rPr>
      </w:pPr>
      <w:r>
        <w:rPr>
          <w:rFonts w:ascii="Calibri" w:cs="Calibri" w:eastAsia="Calibri" w:hAnsi="Calibri"/>
          <w:sz w:val="10"/>
          <w:szCs w:val="10"/>
          <w:color w:val="auto"/>
        </w:rPr>
        <w:t>Risk oversight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-147320</wp:posOffset>
            </wp:positionV>
            <wp:extent cx="231140" cy="2146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92075</wp:posOffset>
            </wp:positionV>
            <wp:extent cx="231140" cy="1981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31140" cy="198120"/>
                    </a:xfrm>
                    <a:prstGeom prst="rect">
                      <a:avLst/>
                    </a:prstGeom>
                    <a:noFill/>
                  </pic:spPr>
                </pic:pic>
              </a:graphicData>
            </a:graphic>
          </wp:anchor>
        </w:drawing>
      </w:r>
    </w:p>
    <w:p>
      <w:pPr>
        <w:spacing w:after="0" w:line="170" w:lineRule="exact"/>
        <w:rPr>
          <w:sz w:val="20"/>
          <w:szCs w:val="20"/>
          <w:color w:val="auto"/>
        </w:rPr>
      </w:pPr>
    </w:p>
    <w:p>
      <w:pPr>
        <w:ind w:left="940"/>
        <w:spacing w:after="0"/>
        <w:rPr>
          <w:sz w:val="20"/>
          <w:szCs w:val="20"/>
          <w:color w:val="auto"/>
        </w:rPr>
      </w:pPr>
      <w:r>
        <w:rPr>
          <w:rFonts w:ascii="Calibri" w:cs="Calibri" w:eastAsia="Calibri" w:hAnsi="Calibri"/>
          <w:sz w:val="10"/>
          <w:szCs w:val="10"/>
          <w:color w:val="auto"/>
        </w:rPr>
        <w:t>ESG</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7"/>
          <w:szCs w:val="17"/>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5511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5117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Board chair, Whitehead Insttute for Biomedical Research, a non-proft research insttuton at the Massachusets Insttute of</w:t>
      </w:r>
    </w:p>
    <w:p>
      <w:pPr>
        <w:ind w:left="640"/>
        <w:spacing w:after="0"/>
        <w:rPr>
          <w:sz w:val="20"/>
          <w:szCs w:val="20"/>
          <w:color w:val="auto"/>
        </w:rPr>
      </w:pPr>
      <w:r>
        <w:rPr>
          <w:rFonts w:ascii="Calibri" w:cs="Calibri" w:eastAsia="Calibri" w:hAnsi="Calibri"/>
          <w:sz w:val="16"/>
          <w:szCs w:val="16"/>
          <w:color w:val="auto"/>
        </w:rPr>
        <w:t>Technology</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of the board, MITIMCo, the Massachusets Insttute of Technology Investment Management Company</w:t>
      </w:r>
    </w:p>
    <w:p>
      <w:pPr>
        <w:spacing w:after="0" w:line="116" w:lineRule="exact"/>
        <w:rPr>
          <w:sz w:val="20"/>
          <w:szCs w:val="20"/>
          <w:color w:val="auto"/>
        </w:rPr>
      </w:pPr>
    </w:p>
    <w:p>
      <w:pPr>
        <w:sectPr>
          <w:pgSz w:w="11900" w:h="16838" w:orient="portrait"/>
          <w:cols w:equalWidth="0" w:num="2">
            <w:col w:w="1700" w:space="480"/>
            <w:col w:w="8740"/>
          </w:cols>
          <w:pgMar w:left="320" w:top="471" w:right="659" w:bottom="1440" w:gutter="0" w:footer="0" w:header="0"/>
          <w:type w:val="continuous"/>
        </w:sectPr>
      </w:pPr>
    </w:p>
    <w:p>
      <w:pPr>
        <w:spacing w:after="0" w:line="111" w:lineRule="exact"/>
        <w:rPr>
          <w:sz w:val="20"/>
          <w:szCs w:val="20"/>
          <w:color w:val="auto"/>
        </w:rPr>
      </w:pPr>
    </w:p>
    <w:p>
      <w:pPr>
        <w:ind w:left="940"/>
        <w:spacing w:after="0"/>
        <w:rPr>
          <w:sz w:val="20"/>
          <w:szCs w:val="20"/>
          <w:color w:val="auto"/>
        </w:rPr>
      </w:pPr>
      <w:r>
        <w:rPr>
          <w:rFonts w:ascii="Calibri" w:cs="Calibri" w:eastAsia="Calibri" w:hAnsi="Calibri"/>
          <w:sz w:val="10"/>
          <w:szCs w:val="10"/>
          <w:color w:val="auto"/>
        </w:rPr>
        <w:t>Mergers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-64135</wp:posOffset>
            </wp:positionV>
            <wp:extent cx="231140" cy="2063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ind w:left="940"/>
        <w:spacing w:after="0"/>
        <w:rPr>
          <w:sz w:val="20"/>
          <w:szCs w:val="20"/>
          <w:color w:val="auto"/>
        </w:rPr>
      </w:pPr>
      <w:r>
        <w:rPr>
          <w:rFonts w:ascii="Calibri" w:cs="Calibri" w:eastAsia="Calibri" w:hAnsi="Calibri"/>
          <w:sz w:val="10"/>
          <w:szCs w:val="10"/>
          <w:color w:val="auto"/>
        </w:rPr>
        <w:t>acquisitons</w:t>
      </w:r>
    </w:p>
    <w:p>
      <w:pPr>
        <w:ind w:left="320"/>
        <w:spacing w:after="0"/>
        <w:rPr>
          <w:sz w:val="20"/>
          <w:szCs w:val="20"/>
          <w:color w:val="auto"/>
        </w:rPr>
      </w:pPr>
      <w:r>
        <w:rPr>
          <w:rFonts w:ascii="Arial" w:cs="Arial" w:eastAsia="Arial" w:hAnsi="Arial"/>
          <w:sz w:val="10"/>
          <w:szCs w:val="10"/>
          <w:color w:val="auto"/>
        </w:rPr>
        <w:t> </w:t>
      </w:r>
    </w:p>
    <w:p>
      <w:pPr>
        <w:ind w:left="940"/>
        <w:spacing w:after="0" w:line="235" w:lineRule="auto"/>
        <w:rPr>
          <w:sz w:val="20"/>
          <w:szCs w:val="20"/>
          <w:color w:val="auto"/>
        </w:rPr>
      </w:pPr>
      <w:r>
        <w:rPr>
          <w:rFonts w:ascii="Calibri" w:cs="Calibri" w:eastAsia="Calibri" w:hAnsi="Calibri"/>
          <w:sz w:val="17"/>
          <w:szCs w:val="17"/>
          <w:color w:val="auto"/>
        </w:rPr>
        <w:t> </w:t>
      </w:r>
    </w:p>
    <w:p>
      <w:pPr>
        <w:spacing w:after="0" w:line="1" w:lineRule="exact"/>
        <w:rPr>
          <w:sz w:val="20"/>
          <w:szCs w:val="20"/>
          <w:color w:val="auto"/>
        </w:rPr>
      </w:pPr>
    </w:p>
    <w:p>
      <w:pPr>
        <w:ind w:left="320"/>
        <w:spacing w:after="0"/>
        <w:tabs>
          <w:tab w:leader="none" w:pos="460" w:val="left"/>
          <w:tab w:leader="none" w:pos="920" w:val="left"/>
        </w:tabs>
        <w:rPr>
          <w:sz w:val="20"/>
          <w:szCs w:val="20"/>
          <w:color w:val="auto"/>
        </w:rPr>
      </w:pPr>
      <w:r>
        <w:rPr>
          <w:rFonts w:ascii="Calibri" w:cs="Calibri" w:eastAsia="Calibri" w:hAnsi="Calibri"/>
          <w:sz w:val="17"/>
          <w:szCs w:val="17"/>
          <w:color w:val="auto"/>
        </w:rPr>
        <w:t> </w:t>
        <w:tab/>
        <w:t> </w:t>
      </w:r>
      <w:r>
        <w:rPr>
          <w:sz w:val="20"/>
          <w:szCs w:val="20"/>
          <w:color w:val="auto"/>
        </w:rPr>
        <w:tab/>
      </w:r>
      <w:r>
        <w:rPr>
          <w:rFonts w:ascii="Calibri" w:cs="Calibri" w:eastAsia="Calibri" w:hAnsi="Calibri"/>
          <w:sz w:val="4"/>
          <w:szCs w:val="4"/>
          <w:color w:val="auto"/>
        </w:rPr>
        <w:t> </w:t>
      </w:r>
    </w:p>
    <w:p>
      <w:pPr>
        <w:spacing w:after="0" w:line="20" w:lineRule="exact"/>
        <w:rPr>
          <w:sz w:val="20"/>
          <w:szCs w:val="20"/>
          <w:color w:val="auto"/>
        </w:rPr>
      </w:pPr>
      <w:r>
        <w:rPr>
          <w:sz w:val="20"/>
          <w:szCs w:val="20"/>
          <w:color w:val="auto"/>
        </w:rPr>
        <w:br w:type="column"/>
      </w:r>
    </w:p>
    <w:p>
      <w:pPr>
        <w:spacing w:after="0"/>
        <w:tabs>
          <w:tab w:leader="none" w:pos="2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of the board, Women’s Foundaton of Boston</w:t>
      </w:r>
    </w:p>
    <w:p>
      <w:pPr>
        <w:spacing w:after="0" w:line="117" w:lineRule="exact"/>
        <w:rPr>
          <w:sz w:val="20"/>
          <w:szCs w:val="20"/>
          <w:color w:val="auto"/>
        </w:rPr>
      </w:pPr>
    </w:p>
    <w:p>
      <w:pPr>
        <w:spacing w:after="0"/>
        <w:tabs>
          <w:tab w:leader="none" w:pos="2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Council on Foreign Relatons, an independent American think tank focused on internatonal relatons and U.S. foreign</w:t>
      </w:r>
    </w:p>
    <w:p>
      <w:pPr>
        <w:ind w:left="320"/>
        <w:spacing w:after="0"/>
        <w:rPr>
          <w:sz w:val="20"/>
          <w:szCs w:val="20"/>
          <w:color w:val="auto"/>
        </w:rPr>
      </w:pPr>
      <w:r>
        <w:rPr>
          <w:rFonts w:ascii="Calibri" w:cs="Calibri" w:eastAsia="Calibri" w:hAnsi="Calibri"/>
          <w:sz w:val="16"/>
          <w:szCs w:val="16"/>
          <w:color w:val="auto"/>
        </w:rPr>
        <w:t>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-1386205</wp:posOffset>
            </wp:positionH>
            <wp:positionV relativeFrom="paragraph">
              <wp:posOffset>620395</wp:posOffset>
            </wp:positionV>
            <wp:extent cx="6740525"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385" w:lineRule="exact"/>
        <w:rPr>
          <w:sz w:val="20"/>
          <w:szCs w:val="20"/>
          <w:color w:val="auto"/>
        </w:rPr>
      </w:pPr>
    </w:p>
    <w:p>
      <w:pPr>
        <w:sectPr>
          <w:pgSz w:w="11900" w:h="16838" w:orient="portrait"/>
          <w:cols w:equalWidth="0" w:num="2">
            <w:col w:w="1780" w:space="720"/>
            <w:col w:w="8420"/>
          </w:cols>
          <w:pgMar w:left="320" w:top="471"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Audit commitee fnancial expert under applicable SEC rules and regulatons.</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24 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1" w:right="6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Corporate governance</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Director independence</w:t>
      </w:r>
    </w:p>
    <w:p>
      <w:pPr>
        <w:spacing w:after="0" w:line="218"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In determining director independence, the board of directors considered the transactons and relatonships set forth below under “Certain Relatonships and Related Person Transactons—Related Party Transactons” and routne service arrangements between the Company and Westcor Land Title Insurance Company (“Westcor”). During 2023, one of our directors, Mr. Pandit, served as a non-executve director and, through his ownership in The Orogen Group (see below for informaton on Mr. Pandit’s relatonship with The Orogen Group), owned an immaterial indirect equity interest, in Westcor. Mr. Pandit is not, and was not during 2023, a partner, controlling shareholder or executve ofcer of Westcor.</w:t>
      </w:r>
    </w:p>
    <w:p>
      <w:pPr>
        <w:spacing w:after="0" w:line="211" w:lineRule="exact"/>
        <w:rPr>
          <w:sz w:val="20"/>
          <w:szCs w:val="20"/>
          <w:color w:val="auto"/>
        </w:rPr>
      </w:pPr>
    </w:p>
    <w:p>
      <w:pPr>
        <w:ind w:left="320" w:right="340"/>
        <w:spacing w:after="0" w:line="239" w:lineRule="auto"/>
        <w:rPr>
          <w:sz w:val="20"/>
          <w:szCs w:val="20"/>
          <w:color w:val="auto"/>
        </w:rPr>
      </w:pPr>
      <w:r>
        <w:rPr>
          <w:rFonts w:ascii="Calibri" w:cs="Calibri" w:eastAsia="Calibri" w:hAnsi="Calibri"/>
          <w:sz w:val="17"/>
          <w:szCs w:val="17"/>
          <w:color w:val="auto"/>
        </w:rPr>
        <w:t>Based on its review of all applicable relatonships, our board of directors has determined that all of the members on our board of directors, other than Mr. Kapoor, meet the independence requirements of the Nasdaq Stock Market and federal securites laws.</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Meetng atendance</w:t>
      </w:r>
    </w:p>
    <w:p>
      <w:pPr>
        <w:spacing w:after="0" w:line="114" w:lineRule="exact"/>
        <w:rPr>
          <w:sz w:val="20"/>
          <w:szCs w:val="20"/>
          <w:color w:val="auto"/>
        </w:rPr>
      </w:pPr>
    </w:p>
    <w:p>
      <w:pPr>
        <w:jc w:val="both"/>
        <w:ind w:left="320" w:right="260"/>
        <w:spacing w:after="0" w:line="239" w:lineRule="auto"/>
        <w:rPr>
          <w:sz w:val="20"/>
          <w:szCs w:val="20"/>
          <w:color w:val="auto"/>
        </w:rPr>
      </w:pPr>
      <w:r>
        <w:rPr>
          <w:rFonts w:ascii="Calibri" w:cs="Calibri" w:eastAsia="Calibri" w:hAnsi="Calibri"/>
          <w:sz w:val="17"/>
          <w:szCs w:val="17"/>
          <w:color w:val="auto"/>
        </w:rPr>
        <w:t>We expect our directors to atend all board meetngs and meetngs of commitees on which they serve. We also expect our directors to spend sufcient tme and meet as frequently as necessary to discharge their responsibilites properly. It is our policy that all of our directors standing for electon should atend our Annual Meetngs of Stockholders absent exceptonal cause.</w:t>
      </w: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Incumbent director meetng atendance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325755</wp:posOffset>
            </wp:positionV>
            <wp:extent cx="4055745" cy="13963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055745" cy="139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and Commitee meetngs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325755</wp:posOffset>
            </wp:positionV>
            <wp:extent cx="5014595" cy="1172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14595" cy="117284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spacing w:after="0"/>
        <w:tabs>
          <w:tab w:leader="none" w:pos="460" w:val="left"/>
          <w:tab w:leader="none" w:pos="8600" w:val="left"/>
          <w:tab w:leader="none" w:pos="10220" w:val="left"/>
        </w:tabs>
        <w:rPr>
          <w:sz w:val="20"/>
          <w:szCs w:val="20"/>
          <w:color w:val="auto"/>
        </w:rPr>
      </w:pPr>
      <w:r>
        <w:rPr>
          <w:rFonts w:ascii="Calibri" w:cs="Calibri" w:eastAsia="Calibri" w:hAnsi="Calibri"/>
          <w:sz w:val="34"/>
          <w:szCs w:val="34"/>
          <w:color w:val="auto"/>
          <w:vertAlign w:val="superscript"/>
        </w:rPr>
        <w:t xml:space="preserve"> </w:t>
      </w:r>
      <w:r>
        <w:rPr>
          <w:sz w:val="20"/>
          <w:szCs w:val="20"/>
          <w:color w:val="auto"/>
        </w:rPr>
        <w:tab/>
      </w:r>
      <w:r>
        <w:rPr>
          <w:rFonts w:ascii="Calibri" w:cs="Calibri" w:eastAsia="Calibri" w:hAnsi="Calibri"/>
          <w:sz w:val="35"/>
          <w:szCs w:val="35"/>
          <w:color w:val="auto"/>
          <w:vertAlign w:val="superscript"/>
        </w:rPr>
        <w:t> </w:t>
      </w:r>
      <w:r>
        <w:rPr>
          <w:sz w:val="20"/>
          <w:szCs w:val="20"/>
          <w:color w:val="auto"/>
        </w:rPr>
        <w:tab/>
      </w:r>
      <w:r>
        <w:rPr>
          <w:rFonts w:ascii="Calibri" w:cs="Calibri" w:eastAsia="Calibri" w:hAnsi="Calibri"/>
          <w:sz w:val="13"/>
          <w:szCs w:val="13"/>
          <w:color w:val="auto"/>
        </w:rPr>
        <w:t>EXL 2024 Proxy Statement </w:t>
      </w:r>
      <w:r>
        <w:rPr>
          <w:sz w:val="20"/>
          <w:szCs w:val="20"/>
          <w:color w:val="auto"/>
        </w:rPr>
        <w:tab/>
      </w: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25</w:t>
      </w:r>
    </w:p>
    <w:p>
      <w:pPr>
        <w:sectPr>
          <w:pgSz w:w="11900" w:h="16838" w:orient="portrait"/>
          <w:cols w:equalWidth="0" w:num="1">
            <w:col w:w="10940"/>
          </w:cols>
          <w:pgMar w:left="320" w:top="471" w:right="6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Corporate governance framework</w:t>
      </w:r>
    </w:p>
    <w:p>
      <w:pPr>
        <w:spacing w:after="0" w:line="218" w:lineRule="exact"/>
        <w:rPr>
          <w:sz w:val="20"/>
          <w:szCs w:val="20"/>
          <w:color w:val="auto"/>
        </w:rPr>
      </w:pPr>
    </w:p>
    <w:p>
      <w:pPr>
        <w:ind w:left="320" w:right="520"/>
        <w:spacing w:after="0" w:line="239" w:lineRule="auto"/>
        <w:rPr>
          <w:sz w:val="20"/>
          <w:szCs w:val="20"/>
          <w:color w:val="auto"/>
        </w:rPr>
      </w:pPr>
      <w:r>
        <w:rPr>
          <w:rFonts w:ascii="Calibri" w:cs="Calibri" w:eastAsia="Calibri" w:hAnsi="Calibri"/>
          <w:sz w:val="17"/>
          <w:szCs w:val="17"/>
          <w:color w:val="auto"/>
        </w:rPr>
        <w:t>Our board is responsible for providing governance and oversight over the efectveness of policy and decision-making with respect to the strategy, operatons and management of EXL, in order to enhance our fnancial performance and stockholder value over the long term.</w:t>
      </w:r>
    </w:p>
    <w:p>
      <w:pPr>
        <w:spacing w:after="0" w:line="211"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Our board’s commitment to strong corporate governance is informed by the fve core values of our corporate culture: innovaton, respect, integrity, excellence and collaboraton. Our board seeks to maintain best practces in corporate governance by reviewing and updatng our governance policies, as appropriate, at least annually, and provides oversight over our risk management and strategic planning as relates to our growth, human capital management, and sustainability maters, each as discussed further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40525" cy="26435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40525" cy="2643505"/>
                    </a:xfrm>
                    <a:prstGeom prst="rect">
                      <a:avLst/>
                    </a:prstGeom>
                    <a:noFill/>
                  </pic:spPr>
                </pic:pic>
              </a:graphicData>
            </a:graphic>
          </wp:anchor>
        </w:drawing>
      </w:r>
    </w:p>
    <w:p>
      <w:pPr>
        <w:spacing w:after="0" w:line="364" w:lineRule="exact"/>
        <w:rPr>
          <w:sz w:val="20"/>
          <w:szCs w:val="20"/>
          <w:color w:val="auto"/>
        </w:rPr>
      </w:pPr>
    </w:p>
    <w:p>
      <w:pPr>
        <w:ind w:left="580"/>
        <w:spacing w:after="0"/>
        <w:rPr>
          <w:sz w:val="20"/>
          <w:szCs w:val="20"/>
          <w:color w:val="auto"/>
        </w:rPr>
      </w:pPr>
      <w:r>
        <w:rPr>
          <w:rFonts w:ascii="Calibri" w:cs="Calibri" w:eastAsia="Calibri" w:hAnsi="Calibri"/>
          <w:sz w:val="19"/>
          <w:szCs w:val="19"/>
          <w:b w:val="1"/>
          <w:bCs w:val="1"/>
          <w:color w:val="FB4E0B"/>
        </w:rPr>
        <w:t>Governance policies</w:t>
      </w:r>
    </w:p>
    <w:p>
      <w:pPr>
        <w:spacing w:after="0" w:line="89" w:lineRule="exact"/>
        <w:rPr>
          <w:sz w:val="20"/>
          <w:szCs w:val="20"/>
          <w:color w:val="auto"/>
        </w:rPr>
      </w:pPr>
    </w:p>
    <w:p>
      <w:pPr>
        <w:ind w:left="580" w:right="420"/>
        <w:spacing w:after="0" w:line="239" w:lineRule="auto"/>
        <w:rPr>
          <w:sz w:val="20"/>
          <w:szCs w:val="20"/>
          <w:color w:val="auto"/>
        </w:rPr>
      </w:pPr>
      <w:r>
        <w:rPr>
          <w:rFonts w:ascii="Calibri" w:cs="Calibri" w:eastAsia="Calibri" w:hAnsi="Calibri"/>
          <w:sz w:val="17"/>
          <w:szCs w:val="17"/>
          <w:color w:val="auto"/>
        </w:rPr>
        <w:t>Our Corporate Governance Guidelines and other governance policies, including our commitee charters and Code of Conduct and Ethics, codify our corporate governance framework.</w:t>
      </w:r>
    </w:p>
    <w:p>
      <w:pPr>
        <w:sectPr>
          <w:pgSz w:w="11900" w:h="16838" w:orient="portrait"/>
          <w:cols w:equalWidth="0" w:num="1">
            <w:col w:w="10800"/>
          </w:cols>
          <w:pgMar w:left="320" w:top="471" w:right="77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720"/>
        <w:spacing w:after="0" w:line="237" w:lineRule="auto"/>
        <w:rPr>
          <w:sz w:val="20"/>
          <w:szCs w:val="20"/>
          <w:color w:val="auto"/>
        </w:rPr>
      </w:pPr>
      <w:r>
        <w:rPr>
          <w:rFonts w:ascii="Calibri" w:cs="Calibri" w:eastAsia="Calibri" w:hAnsi="Calibri"/>
          <w:sz w:val="16"/>
          <w:szCs w:val="16"/>
          <w:color w:val="auto"/>
        </w:rPr>
        <w:t>The Corporate Governance Guidelines address board responsibilites and conduct, director qualifcatons and membership maters, director orientaton and contnuing educaton, board and commitee meetngs, and stock ownership by non-management directors, among other topics.</w:t>
      </w:r>
    </w:p>
    <w:p>
      <w:pPr>
        <w:spacing w:after="0" w:line="200" w:lineRule="exact"/>
        <w:rPr>
          <w:sz w:val="20"/>
          <w:szCs w:val="20"/>
          <w:color w:val="auto"/>
        </w:rPr>
      </w:pPr>
    </w:p>
    <w:p>
      <w:pPr>
        <w:spacing w:after="0" w:line="266" w:lineRule="exact"/>
        <w:rPr>
          <w:sz w:val="20"/>
          <w:szCs w:val="20"/>
          <w:color w:val="auto"/>
        </w:rPr>
      </w:pPr>
    </w:p>
    <w:p>
      <w:pPr>
        <w:ind w:left="580"/>
        <w:spacing w:after="0"/>
        <w:rPr>
          <w:sz w:val="20"/>
          <w:szCs w:val="20"/>
          <w:color w:val="auto"/>
        </w:rPr>
      </w:pPr>
      <w:r>
        <w:rPr>
          <w:rFonts w:ascii="Calibri" w:cs="Calibri" w:eastAsia="Calibri" w:hAnsi="Calibri"/>
          <w:sz w:val="14"/>
          <w:szCs w:val="14"/>
          <w:color w:val="auto"/>
        </w:rPr>
        <w:t> </w:t>
      </w:r>
    </w:p>
    <w:p>
      <w:pPr>
        <w:spacing w:after="0" w:line="131" w:lineRule="exact"/>
        <w:rPr>
          <w:sz w:val="20"/>
          <w:szCs w:val="20"/>
          <w:color w:val="auto"/>
        </w:rPr>
      </w:pPr>
    </w:p>
    <w:p>
      <w:pPr>
        <w:ind w:left="720" w:right="20"/>
        <w:spacing w:after="0" w:line="293" w:lineRule="auto"/>
        <w:rPr>
          <w:sz w:val="20"/>
          <w:szCs w:val="20"/>
          <w:color w:val="auto"/>
        </w:rPr>
      </w:pPr>
      <w:r>
        <w:rPr>
          <w:rFonts w:ascii="Calibri" w:cs="Calibri" w:eastAsia="Calibri" w:hAnsi="Calibri"/>
          <w:sz w:val="14"/>
          <w:szCs w:val="14"/>
          <w:color w:val="auto"/>
        </w:rPr>
        <w:t>Our commitee charters specifcally set out the authority and responsibilites of the commitees of the board.</w:t>
      </w:r>
    </w:p>
    <w:p>
      <w:pPr>
        <w:spacing w:after="0" w:line="319" w:lineRule="exact"/>
        <w:rPr>
          <w:sz w:val="20"/>
          <w:szCs w:val="20"/>
          <w:color w:val="auto"/>
        </w:rPr>
      </w:pPr>
    </w:p>
    <w:p>
      <w:pPr>
        <w:ind w:left="580"/>
        <w:spacing w:after="0"/>
        <w:rPr>
          <w:sz w:val="20"/>
          <w:szCs w:val="20"/>
          <w:color w:val="auto"/>
        </w:rPr>
      </w:pPr>
      <w:r>
        <w:rPr>
          <w:rFonts w:ascii="Calibri" w:cs="Calibri" w:eastAsia="Calibri" w:hAnsi="Calibri"/>
          <w:sz w:val="17"/>
          <w:szCs w:val="17"/>
          <w:color w:val="auto"/>
        </w:rPr>
        <w:t> </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200" w:hanging="199"/>
        <w:spacing w:after="0" w:line="239" w:lineRule="auto"/>
        <w:rPr>
          <w:sz w:val="20"/>
          <w:szCs w:val="20"/>
          <w:color w:val="auto"/>
        </w:rPr>
      </w:pPr>
      <w:r>
        <w:rPr>
          <w:rFonts w:ascii="Calibri" w:cs="Calibri" w:eastAsia="Calibri" w:hAnsi="Calibri"/>
          <w:sz w:val="27"/>
          <w:szCs w:val="27"/>
          <w:color w:val="auto"/>
          <w:vertAlign w:val="superscript"/>
        </w:rPr>
        <w:t>   </w:t>
      </w:r>
      <w:r>
        <w:rPr>
          <w:sz w:val="20"/>
          <w:szCs w:val="20"/>
          <w:color w:val="auto"/>
        </w:rPr>
        <w:t xml:space="preserve"> </w:t>
      </w:r>
      <w:r>
        <w:rPr>
          <w:rFonts w:ascii="Calibri" w:cs="Calibri" w:eastAsia="Calibri" w:hAnsi="Calibri"/>
          <w:sz w:val="15"/>
          <w:szCs w:val="15"/>
          <w:color w:val="auto"/>
        </w:rPr>
        <w:t>Our Code of Conduct and Ethics is applicable to our directors, ofcers and full and part-tme employees, and anyone who works on EXL’s behalf, including suppliers, subcontractors and partners, and details how they should conduct themselves when dealing with fellow employees, clients, suppliers, partners, compettors and the general public. Our Code of Conduct and Ethics is reviewed at least annually by the Audit Commitee and audited periodically as part of our compliance and legal audits. Our personnel receive periodic training on the Code and we conduct voluntary anonymous surveys to gauge our employees’ knowledge, understanding and sentment with respect to our ethical culture. We encourage a “speak up” culture and provide many avenues for our employees to raise concerns and ask questons. We are commited to identfying potental compliance issues as early as possible and investgatng and remediatng them promptly. Our Corporate Governance Guidelines, commitee charters, and other corporate governance policies are all available on our website at htps://ir.exlservice.com/corporate-governance.</w:t>
      </w:r>
    </w:p>
    <w:p>
      <w:pPr>
        <w:spacing w:after="0" w:line="542" w:lineRule="exact"/>
        <w:rPr>
          <w:sz w:val="20"/>
          <w:szCs w:val="20"/>
          <w:color w:val="auto"/>
        </w:rPr>
      </w:pPr>
    </w:p>
    <w:p>
      <w:pPr>
        <w:sectPr>
          <w:pgSz w:w="11900" w:h="16838" w:orient="portrait"/>
          <w:cols w:equalWidth="0" w:num="2">
            <w:col w:w="4320" w:space="480"/>
            <w:col w:w="6000"/>
          </w:cols>
          <w:pgMar w:left="320" w:top="471" w:right="779" w:bottom="1440" w:gutter="0" w:footer="0" w:header="0"/>
          <w:type w:val="continuous"/>
        </w:sect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26 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1" w:right="77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0" w:type="dxa"/>
            <w:vAlign w:val="bottom"/>
            <w:gridSpan w:val="3"/>
          </w:tcPr>
          <w:p>
            <w:pPr>
              <w:ind w:left="4320"/>
              <w:spacing w:after="0"/>
              <w:rPr>
                <w:sz w:val="20"/>
                <w:szCs w:val="20"/>
                <w:color w:val="auto"/>
              </w:rPr>
            </w:pPr>
            <w:r>
              <w:rPr>
                <w:rFonts w:ascii="Calibri" w:cs="Calibri" w:eastAsia="Calibri" w:hAnsi="Calibri"/>
                <w:sz w:val="14"/>
                <w:szCs w:val="14"/>
                <w:b w:val="1"/>
                <w:bCs w:val="1"/>
                <w:color w:val="005071"/>
                <w:w w:val="97"/>
              </w:rPr>
              <w:t>Corporate governance</w:t>
            </w:r>
          </w:p>
        </w:tc>
        <w:tc>
          <w:tcPr>
            <w:tcW w:w="0" w:type="dxa"/>
            <w:vAlign w:val="bottom"/>
          </w:tcPr>
          <w:p>
            <w:pPr>
              <w:spacing w:after="0"/>
              <w:rPr>
                <w:sz w:val="1"/>
                <w:szCs w:val="1"/>
                <w:color w:val="auto"/>
              </w:rPr>
            </w:pPr>
          </w:p>
        </w:tc>
      </w:tr>
      <w:tr>
        <w:trPr>
          <w:trHeight w:val="637"/>
        </w:trPr>
        <w:tc>
          <w:tcPr>
            <w:tcW w:w="4620" w:type="dxa"/>
            <w:vAlign w:val="bottom"/>
            <w:gridSpan w:val="5"/>
          </w:tcPr>
          <w:p>
            <w:pPr>
              <w:spacing w:after="0"/>
              <w:rPr>
                <w:sz w:val="20"/>
                <w:szCs w:val="20"/>
                <w:color w:val="auto"/>
              </w:rPr>
            </w:pPr>
            <w:r>
              <w:rPr>
                <w:rFonts w:ascii="Calibri" w:cs="Calibri" w:eastAsia="Calibri" w:hAnsi="Calibri"/>
                <w:sz w:val="24"/>
                <w:szCs w:val="24"/>
                <w:color w:val="005071"/>
              </w:rPr>
              <w:t>Beyond the board room</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2"/>
            <w:vMerge w:val="restart"/>
          </w:tcPr>
          <w:p>
            <w:pPr>
              <w:ind w:left="1100"/>
              <w:spacing w:after="0"/>
              <w:rPr>
                <w:sz w:val="20"/>
                <w:szCs w:val="20"/>
                <w:color w:val="auto"/>
              </w:rPr>
            </w:pPr>
            <w:r>
              <w:rPr>
                <w:rFonts w:ascii="Calibri" w:cs="Calibri" w:eastAsia="Calibri" w:hAnsi="Calibri"/>
                <w:sz w:val="17"/>
                <w:szCs w:val="17"/>
                <w:b w:val="1"/>
                <w:bCs w:val="1"/>
                <w:color w:val="auto"/>
              </w:rPr>
              <w:t>Director onboarding</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00" w:type="dxa"/>
            <w:vAlign w:val="bottom"/>
            <w:gridSpan w:val="2"/>
            <w:vMerge w:val="restart"/>
          </w:tcPr>
          <w:p>
            <w:pPr>
              <w:ind w:left="1500"/>
              <w:spacing w:after="0"/>
              <w:rPr>
                <w:sz w:val="20"/>
                <w:szCs w:val="20"/>
                <w:color w:val="auto"/>
              </w:rPr>
            </w:pPr>
            <w:r>
              <w:rPr>
                <w:rFonts w:ascii="Calibri" w:cs="Calibri" w:eastAsia="Calibri" w:hAnsi="Calibri"/>
                <w:sz w:val="17"/>
                <w:szCs w:val="17"/>
                <w:b w:val="1"/>
                <w:bCs w:val="1"/>
                <w:color w:val="auto"/>
              </w:rPr>
              <w:t>Director contnuing educaton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560" w:type="dxa"/>
            <w:vAlign w:val="bottom"/>
            <w:tcBorders>
              <w:right w:val="single" w:sz="8" w:color="DCF3FA"/>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2"/>
            <w:vMerge w:val="continue"/>
          </w:tcPr>
          <w:p>
            <w:pPr>
              <w:spacing w:after="0"/>
              <w:rPr>
                <w:sz w:val="24"/>
                <w:szCs w:val="24"/>
                <w:color w:val="auto"/>
              </w:rPr>
            </w:pPr>
          </w:p>
        </w:tc>
        <w:tc>
          <w:tcPr>
            <w:tcW w:w="300" w:type="dxa"/>
            <w:vAlign w:val="bottom"/>
            <w:shd w:val="clear" w:color="auto" w:fill="DCF3FA"/>
          </w:tcPr>
          <w:p>
            <w:pPr>
              <w:ind w:left="80"/>
              <w:spacing w:after="0"/>
              <w:rPr>
                <w:sz w:val="20"/>
                <w:szCs w:val="20"/>
                <w:color w:val="auto"/>
              </w:rPr>
            </w:pPr>
            <w:r>
              <w:rPr>
                <w:rFonts w:ascii="Calibri" w:cs="Calibri" w:eastAsia="Calibri" w:hAnsi="Calibri"/>
                <w:sz w:val="17"/>
                <w:szCs w:val="17"/>
                <w:b w:val="1"/>
                <w:bCs w:val="1"/>
                <w:color w:val="auto"/>
              </w:rPr>
              <w:t>  </w:t>
            </w:r>
          </w:p>
        </w:tc>
        <w:tc>
          <w:tcPr>
            <w:tcW w:w="100" w:type="dxa"/>
            <w:vAlign w:val="bottom"/>
          </w:tcPr>
          <w:p>
            <w:pPr>
              <w:spacing w:after="0"/>
              <w:rPr>
                <w:sz w:val="24"/>
                <w:szCs w:val="24"/>
                <w:color w:val="auto"/>
              </w:rPr>
            </w:pPr>
          </w:p>
        </w:tc>
        <w:tc>
          <w:tcPr>
            <w:tcW w:w="5300" w:type="dxa"/>
            <w:vAlign w:val="bottom"/>
            <w:gridSpan w:val="2"/>
            <w:vMerge w:val="continue"/>
          </w:tcPr>
          <w:p>
            <w:pPr>
              <w:spacing w:after="0"/>
              <w:rPr>
                <w:sz w:val="24"/>
                <w:szCs w:val="24"/>
                <w:color w:val="auto"/>
              </w:rPr>
            </w:pPr>
          </w:p>
        </w:tc>
        <w:tc>
          <w:tcPr>
            <w:tcW w:w="300" w:type="dxa"/>
            <w:vAlign w:val="bottom"/>
            <w:shd w:val="clear" w:color="auto" w:fill="DCF3FA"/>
          </w:tcPr>
          <w:p>
            <w:pPr>
              <w:ind w:left="160"/>
              <w:spacing w:after="0"/>
              <w:rPr>
                <w:sz w:val="20"/>
                <w:szCs w:val="20"/>
                <w:color w:val="auto"/>
              </w:rPr>
            </w:pPr>
            <w:r>
              <w:rPr>
                <w:rFonts w:ascii="Calibri" w:cs="Calibri" w:eastAsia="Calibri" w:hAnsi="Calibri"/>
                <w:sz w:val="17"/>
                <w:szCs w:val="17"/>
                <w:b w:val="1"/>
                <w:bCs w:val="1"/>
                <w:color w:val="auto"/>
              </w:rPr>
              <w:t> </w:t>
            </w:r>
          </w:p>
        </w:tc>
        <w:tc>
          <w:tcPr>
            <w:tcW w:w="0" w:type="dxa"/>
            <w:vAlign w:val="bottom"/>
          </w:tcPr>
          <w:p>
            <w:pPr>
              <w:spacing w:after="0"/>
              <w:rPr>
                <w:sz w:val="1"/>
                <w:szCs w:val="1"/>
                <w:color w:val="auto"/>
              </w:rPr>
            </w:pPr>
          </w:p>
        </w:tc>
      </w:tr>
      <w:tr>
        <w:trPr>
          <w:trHeight w:val="23"/>
        </w:trPr>
        <w:tc>
          <w:tcPr>
            <w:tcW w:w="560" w:type="dxa"/>
            <w:vAlign w:val="bottom"/>
            <w:tcBorders>
              <w:right w:val="single" w:sz="8" w:color="DCF3FA"/>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tcBorders>
              <w:bottom w:val="single" w:sz="8" w:color="DCF3FA"/>
            </w:tcBorders>
            <w:shd w:val="clear" w:color="auto" w:fill="DCF3FA"/>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300" w:type="dxa"/>
            <w:vAlign w:val="bottom"/>
            <w:tcBorders>
              <w:bottom w:val="single" w:sz="8" w:color="DCF3FA"/>
            </w:tcBorders>
            <w:shd w:val="clear" w:color="auto" w:fill="DCF3FA"/>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560" w:type="dxa"/>
            <w:vAlign w:val="bottom"/>
            <w:tcBorders>
              <w:right w:val="single" w:sz="8" w:color="DCF3FA"/>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0" w:type="dxa"/>
            <w:vAlign w:val="bottom"/>
          </w:tcPr>
          <w:p>
            <w:pPr>
              <w:ind w:left="1180"/>
              <w:spacing w:after="0" w:line="132" w:lineRule="exact"/>
              <w:rPr>
                <w:sz w:val="20"/>
                <w:szCs w:val="20"/>
                <w:color w:val="auto"/>
              </w:rPr>
            </w:pPr>
            <w:r>
              <w:rPr>
                <w:rFonts w:ascii="Calibri" w:cs="Calibri" w:eastAsia="Calibri" w:hAnsi="Calibri"/>
                <w:sz w:val="14"/>
                <w:szCs w:val="14"/>
                <w:color w:val="auto"/>
              </w:rPr>
              <w:t>All new directors partcipate in an</w:t>
            </w:r>
          </w:p>
        </w:tc>
        <w:tc>
          <w:tcPr>
            <w:tcW w:w="100" w:type="dxa"/>
            <w:vAlign w:val="bottom"/>
            <w:vMerge w:val="continue"/>
          </w:tcPr>
          <w:p>
            <w:pPr>
              <w:spacing w:after="0"/>
              <w:rPr>
                <w:sz w:val="11"/>
                <w:szCs w:val="11"/>
                <w:color w:val="auto"/>
              </w:rPr>
            </w:pPr>
          </w:p>
        </w:tc>
        <w:tc>
          <w:tcPr>
            <w:tcW w:w="300" w:type="dxa"/>
            <w:vAlign w:val="bottom"/>
            <w:shd w:val="clear" w:color="auto" w:fill="DCF3FA"/>
          </w:tcPr>
          <w:p>
            <w:pPr>
              <w:spacing w:after="0"/>
              <w:rPr>
                <w:sz w:val="11"/>
                <w:szCs w:val="11"/>
                <w:color w:val="auto"/>
              </w:rPr>
            </w:pPr>
          </w:p>
        </w:tc>
        <w:tc>
          <w:tcPr>
            <w:tcW w:w="100" w:type="dxa"/>
            <w:vAlign w:val="bottom"/>
          </w:tcPr>
          <w:p>
            <w:pPr>
              <w:spacing w:after="0"/>
              <w:rPr>
                <w:sz w:val="11"/>
                <w:szCs w:val="11"/>
                <w:color w:val="auto"/>
              </w:rPr>
            </w:pPr>
          </w:p>
        </w:tc>
        <w:tc>
          <w:tcPr>
            <w:tcW w:w="5020" w:type="dxa"/>
            <w:vAlign w:val="bottom"/>
          </w:tcPr>
          <w:p>
            <w:pPr>
              <w:ind w:left="980"/>
              <w:spacing w:after="0" w:line="132" w:lineRule="exact"/>
              <w:rPr>
                <w:sz w:val="20"/>
                <w:szCs w:val="20"/>
                <w:color w:val="auto"/>
              </w:rPr>
            </w:pPr>
            <w:r>
              <w:rPr>
                <w:rFonts w:ascii="Calibri" w:cs="Calibri" w:eastAsia="Calibri" w:hAnsi="Calibri"/>
                <w:sz w:val="14"/>
                <w:szCs w:val="14"/>
                <w:color w:val="auto"/>
              </w:rPr>
              <w:t>We encourage our directors to partcipate in director</w:t>
            </w:r>
          </w:p>
        </w:tc>
        <w:tc>
          <w:tcPr>
            <w:tcW w:w="280" w:type="dxa"/>
            <w:vAlign w:val="bottom"/>
            <w:vMerge w:val="continue"/>
          </w:tcPr>
          <w:p>
            <w:pPr>
              <w:spacing w:after="0"/>
              <w:rPr>
                <w:sz w:val="11"/>
                <w:szCs w:val="11"/>
                <w:color w:val="auto"/>
              </w:rPr>
            </w:pPr>
          </w:p>
        </w:tc>
        <w:tc>
          <w:tcPr>
            <w:tcW w:w="300" w:type="dxa"/>
            <w:vAlign w:val="bottom"/>
            <w:shd w:val="clear" w:color="auto" w:fill="DCF3FA"/>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60" w:type="dxa"/>
            <w:vAlign w:val="bottom"/>
            <w:tcBorders>
              <w:right w:val="single" w:sz="8" w:color="DCF3FA"/>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00" w:type="dxa"/>
            <w:vAlign w:val="bottom"/>
            <w:gridSpan w:val="2"/>
          </w:tcPr>
          <w:p>
            <w:pPr>
              <w:ind w:left="1180"/>
              <w:spacing w:after="0" w:line="185" w:lineRule="exact"/>
              <w:rPr>
                <w:sz w:val="20"/>
                <w:szCs w:val="20"/>
                <w:color w:val="auto"/>
              </w:rPr>
            </w:pPr>
            <w:r>
              <w:rPr>
                <w:rFonts w:ascii="Calibri" w:cs="Calibri" w:eastAsia="Calibri" w:hAnsi="Calibri"/>
                <w:sz w:val="16"/>
                <w:szCs w:val="16"/>
                <w:color w:val="auto"/>
              </w:rPr>
              <w:t>orientaton program shortly afer</w:t>
            </w:r>
          </w:p>
        </w:tc>
        <w:tc>
          <w:tcPr>
            <w:tcW w:w="300" w:type="dxa"/>
            <w:vAlign w:val="bottom"/>
            <w:shd w:val="clear" w:color="auto" w:fill="DCF3FA"/>
          </w:tcPr>
          <w:p>
            <w:pPr>
              <w:spacing w:after="0"/>
              <w:rPr>
                <w:sz w:val="16"/>
                <w:szCs w:val="16"/>
                <w:color w:val="auto"/>
              </w:rPr>
            </w:pPr>
          </w:p>
        </w:tc>
        <w:tc>
          <w:tcPr>
            <w:tcW w:w="100" w:type="dxa"/>
            <w:vAlign w:val="bottom"/>
          </w:tcPr>
          <w:p>
            <w:pPr>
              <w:spacing w:after="0"/>
              <w:rPr>
                <w:sz w:val="16"/>
                <w:szCs w:val="16"/>
                <w:color w:val="auto"/>
              </w:rPr>
            </w:pPr>
          </w:p>
        </w:tc>
        <w:tc>
          <w:tcPr>
            <w:tcW w:w="5300" w:type="dxa"/>
            <w:vAlign w:val="bottom"/>
            <w:gridSpan w:val="2"/>
          </w:tcPr>
          <w:p>
            <w:pPr>
              <w:ind w:left="980"/>
              <w:spacing w:after="0" w:line="186" w:lineRule="exact"/>
              <w:rPr>
                <w:sz w:val="20"/>
                <w:szCs w:val="20"/>
                <w:color w:val="auto"/>
              </w:rPr>
            </w:pPr>
            <w:r>
              <w:rPr>
                <w:rFonts w:ascii="Calibri" w:cs="Calibri" w:eastAsia="Calibri" w:hAnsi="Calibri"/>
                <w:sz w:val="16"/>
                <w:szCs w:val="16"/>
                <w:color w:val="auto"/>
              </w:rPr>
              <w:t>contnuing educaton (“DCE”):</w:t>
            </w:r>
          </w:p>
        </w:tc>
        <w:tc>
          <w:tcPr>
            <w:tcW w:w="3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560" w:type="dxa"/>
            <w:vAlign w:val="bottom"/>
            <w:tcBorders>
              <w:right w:val="single" w:sz="8" w:color="DCF3FA"/>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gridSpan w:val="2"/>
          </w:tcPr>
          <w:p>
            <w:pPr>
              <w:ind w:left="1180"/>
              <w:spacing w:after="0" w:line="165" w:lineRule="exact"/>
              <w:rPr>
                <w:sz w:val="20"/>
                <w:szCs w:val="20"/>
                <w:color w:val="auto"/>
              </w:rPr>
            </w:pPr>
            <w:r>
              <w:rPr>
                <w:rFonts w:ascii="Calibri" w:cs="Calibri" w:eastAsia="Calibri" w:hAnsi="Calibri"/>
                <w:sz w:val="16"/>
                <w:szCs w:val="16"/>
                <w:color w:val="auto"/>
              </w:rPr>
              <w:t>their electon or appointment, which</w:t>
            </w:r>
          </w:p>
        </w:tc>
        <w:tc>
          <w:tcPr>
            <w:tcW w:w="300" w:type="dxa"/>
            <w:vAlign w:val="bottom"/>
            <w:shd w:val="clear" w:color="auto" w:fill="DCF3FA"/>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gridSpan w:val="2"/>
            <w:vMerge w:val="restart"/>
          </w:tcPr>
          <w:p>
            <w:pPr>
              <w:ind w:left="1220"/>
              <w:spacing w:after="0"/>
              <w:rPr>
                <w:sz w:val="20"/>
                <w:szCs w:val="20"/>
                <w:color w:val="auto"/>
              </w:rPr>
            </w:pPr>
            <w:r>
              <w:rPr>
                <w:rFonts w:ascii="Calibri" w:cs="Calibri" w:eastAsia="Calibri" w:hAnsi="Calibri"/>
                <w:sz w:val="16"/>
                <w:szCs w:val="16"/>
                <w:color w:val="FB4E0B"/>
              </w:rPr>
              <w:t>•</w:t>
            </w:r>
            <w:r>
              <w:rPr>
                <w:rFonts w:ascii="Calibri" w:cs="Calibri" w:eastAsia="Calibri" w:hAnsi="Calibri"/>
                <w:sz w:val="16"/>
                <w:szCs w:val="16"/>
                <w:color w:val="000000"/>
              </w:rPr>
              <w:t xml:space="preserve">    We provide reimbursements for partcipaton in DCE</w:t>
            </w:r>
          </w:p>
        </w:tc>
        <w:tc>
          <w:tcPr>
            <w:tcW w:w="300" w:type="dxa"/>
            <w:vAlign w:val="bottom"/>
            <w:shd w:val="clear" w:color="auto" w:fill="DCF3FA"/>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0" w:type="dxa"/>
            <w:vAlign w:val="bottom"/>
            <w:tcBorders>
              <w:right w:val="single" w:sz="8" w:color="DCF3FA"/>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gridSpan w:val="2"/>
          </w:tcPr>
          <w:p>
            <w:pPr>
              <w:ind w:left="1180"/>
              <w:spacing w:after="0" w:line="169" w:lineRule="exact"/>
              <w:rPr>
                <w:sz w:val="20"/>
                <w:szCs w:val="20"/>
                <w:color w:val="auto"/>
              </w:rPr>
            </w:pPr>
            <w:r>
              <w:rPr>
                <w:rFonts w:ascii="Calibri" w:cs="Calibri" w:eastAsia="Calibri" w:hAnsi="Calibri"/>
                <w:sz w:val="16"/>
                <w:szCs w:val="16"/>
                <w:color w:val="auto"/>
              </w:rPr>
              <w:t>is overseen by the Nominatng and</w:t>
            </w:r>
          </w:p>
        </w:tc>
        <w:tc>
          <w:tcPr>
            <w:tcW w:w="300" w:type="dxa"/>
            <w:vAlign w:val="bottom"/>
            <w:shd w:val="clear" w:color="auto" w:fill="DCF3FA"/>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gridSpan w:val="2"/>
            <w:vMerge w:val="continue"/>
          </w:tcPr>
          <w:p>
            <w:pPr>
              <w:spacing w:after="0"/>
              <w:rPr>
                <w:sz w:val="14"/>
                <w:szCs w:val="14"/>
                <w:color w:val="auto"/>
              </w:rPr>
            </w:pPr>
          </w:p>
        </w:tc>
        <w:tc>
          <w:tcPr>
            <w:tcW w:w="300" w:type="dxa"/>
            <w:vAlign w:val="bottom"/>
            <w:shd w:val="clear" w:color="auto" w:fill="DCF3FA"/>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0" w:type="dxa"/>
            <w:vAlign w:val="bottom"/>
            <w:tcBorders>
              <w:right w:val="single" w:sz="8" w:color="DCF3FA"/>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00" w:type="dxa"/>
            <w:vAlign w:val="bottom"/>
            <w:gridSpan w:val="2"/>
          </w:tcPr>
          <w:p>
            <w:pPr>
              <w:ind w:left="1180"/>
              <w:spacing w:after="0" w:line="182" w:lineRule="exact"/>
              <w:rPr>
                <w:sz w:val="20"/>
                <w:szCs w:val="20"/>
                <w:color w:val="auto"/>
              </w:rPr>
            </w:pPr>
            <w:r>
              <w:rPr>
                <w:rFonts w:ascii="Calibri" w:cs="Calibri" w:eastAsia="Calibri" w:hAnsi="Calibri"/>
                <w:sz w:val="16"/>
                <w:szCs w:val="16"/>
                <w:color w:val="auto"/>
              </w:rPr>
              <w:t>Governance Commitee. New</w:t>
            </w:r>
          </w:p>
        </w:tc>
        <w:tc>
          <w:tcPr>
            <w:tcW w:w="300" w:type="dxa"/>
            <w:vAlign w:val="bottom"/>
            <w:shd w:val="clear" w:color="auto" w:fill="DCF3FA"/>
          </w:tcPr>
          <w:p>
            <w:pPr>
              <w:spacing w:after="0"/>
              <w:rPr>
                <w:sz w:val="15"/>
                <w:szCs w:val="15"/>
                <w:color w:val="auto"/>
              </w:rPr>
            </w:pPr>
          </w:p>
        </w:tc>
        <w:tc>
          <w:tcPr>
            <w:tcW w:w="100" w:type="dxa"/>
            <w:vAlign w:val="bottom"/>
          </w:tcPr>
          <w:p>
            <w:pPr>
              <w:spacing w:after="0"/>
              <w:rPr>
                <w:sz w:val="15"/>
                <w:szCs w:val="15"/>
                <w:color w:val="auto"/>
              </w:rPr>
            </w:pPr>
          </w:p>
        </w:tc>
        <w:tc>
          <w:tcPr>
            <w:tcW w:w="5300" w:type="dxa"/>
            <w:vAlign w:val="bottom"/>
            <w:gridSpan w:val="2"/>
          </w:tcPr>
          <w:p>
            <w:pPr>
              <w:ind w:left="1460"/>
              <w:spacing w:after="0" w:line="182" w:lineRule="exact"/>
              <w:rPr>
                <w:sz w:val="20"/>
                <w:szCs w:val="20"/>
                <w:color w:val="auto"/>
              </w:rPr>
            </w:pPr>
            <w:r>
              <w:rPr>
                <w:rFonts w:ascii="Calibri" w:cs="Calibri" w:eastAsia="Calibri" w:hAnsi="Calibri"/>
                <w:sz w:val="16"/>
                <w:szCs w:val="16"/>
                <w:color w:val="auto"/>
              </w:rPr>
              <w:t>courses</w:t>
            </w:r>
          </w:p>
        </w:tc>
        <w:tc>
          <w:tcPr>
            <w:tcW w:w="300" w:type="dxa"/>
            <w:vAlign w:val="bottom"/>
            <w:shd w:val="clear" w:color="auto" w:fill="DCF3FA"/>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60" w:type="dxa"/>
            <w:vAlign w:val="bottom"/>
            <w:tcBorders>
              <w:right w:val="single" w:sz="8" w:color="DCF3FA"/>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00" w:type="dxa"/>
            <w:vAlign w:val="bottom"/>
            <w:gridSpan w:val="2"/>
          </w:tcPr>
          <w:p>
            <w:pPr>
              <w:ind w:left="1180"/>
              <w:spacing w:after="0" w:line="185" w:lineRule="exact"/>
              <w:rPr>
                <w:sz w:val="20"/>
                <w:szCs w:val="20"/>
                <w:color w:val="auto"/>
              </w:rPr>
            </w:pPr>
            <w:r>
              <w:rPr>
                <w:rFonts w:ascii="Calibri" w:cs="Calibri" w:eastAsia="Calibri" w:hAnsi="Calibri"/>
                <w:sz w:val="16"/>
                <w:szCs w:val="16"/>
                <w:color w:val="auto"/>
              </w:rPr>
              <w:t>directors</w:t>
            </w:r>
          </w:p>
        </w:tc>
        <w:tc>
          <w:tcPr>
            <w:tcW w:w="300" w:type="dxa"/>
            <w:vAlign w:val="bottom"/>
            <w:shd w:val="clear" w:color="auto" w:fill="DCF3FA"/>
          </w:tcPr>
          <w:p>
            <w:pPr>
              <w:spacing w:after="0"/>
              <w:rPr>
                <w:sz w:val="16"/>
                <w:szCs w:val="16"/>
                <w:color w:val="auto"/>
              </w:rPr>
            </w:pPr>
          </w:p>
        </w:tc>
        <w:tc>
          <w:tcPr>
            <w:tcW w:w="100" w:type="dxa"/>
            <w:vAlign w:val="bottom"/>
          </w:tcPr>
          <w:p>
            <w:pPr>
              <w:spacing w:after="0"/>
              <w:rPr>
                <w:sz w:val="16"/>
                <w:szCs w:val="16"/>
                <w:color w:val="auto"/>
              </w:rPr>
            </w:pPr>
          </w:p>
        </w:tc>
        <w:tc>
          <w:tcPr>
            <w:tcW w:w="5300" w:type="dxa"/>
            <w:vAlign w:val="bottom"/>
            <w:gridSpan w:val="2"/>
            <w:vMerge w:val="restart"/>
          </w:tcPr>
          <w:p>
            <w:pPr>
              <w:ind w:left="320"/>
              <w:spacing w:after="0"/>
              <w:rPr>
                <w:sz w:val="20"/>
                <w:szCs w:val="20"/>
                <w:color w:val="auto"/>
              </w:rPr>
            </w:pPr>
            <w:r>
              <w:rPr>
                <w:rFonts w:ascii="Calibri" w:cs="Calibri" w:eastAsia="Calibri" w:hAnsi="Calibri"/>
                <w:sz w:val="16"/>
                <w:szCs w:val="16"/>
                <w:color w:val="FB4E0B"/>
              </w:rPr>
              <w:t>•</w:t>
            </w:r>
            <w:r>
              <w:rPr>
                <w:rFonts w:ascii="Calibri" w:cs="Calibri" w:eastAsia="Calibri" w:hAnsi="Calibri"/>
                <w:sz w:val="16"/>
                <w:szCs w:val="16"/>
                <w:color w:val="000000"/>
              </w:rPr>
              <w:t xml:space="preserve">    We provide reimbursement for partcipaton in DCE courses.</w:t>
            </w:r>
          </w:p>
        </w:tc>
        <w:tc>
          <w:tcPr>
            <w:tcW w:w="3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60" w:type="dxa"/>
            <w:vAlign w:val="bottom"/>
            <w:tcBorders>
              <w:right w:val="single" w:sz="8" w:color="DCF3FA"/>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Calibri" w:cs="Calibri" w:eastAsia="Calibri" w:hAnsi="Calibri"/>
                <w:sz w:val="16"/>
                <w:szCs w:val="16"/>
                <w:color w:val="auto"/>
              </w:rPr>
              <w:t>partcipate in site visits and presentatons by</w:t>
            </w:r>
          </w:p>
        </w:tc>
        <w:tc>
          <w:tcPr>
            <w:tcW w:w="300" w:type="dxa"/>
            <w:vAlign w:val="bottom"/>
            <w:shd w:val="clear" w:color="auto" w:fill="DCF3FA"/>
          </w:tcPr>
          <w:p>
            <w:pPr>
              <w:spacing w:after="0"/>
              <w:rPr>
                <w:sz w:val="18"/>
                <w:szCs w:val="18"/>
                <w:color w:val="auto"/>
              </w:rPr>
            </w:pPr>
          </w:p>
        </w:tc>
        <w:tc>
          <w:tcPr>
            <w:tcW w:w="100" w:type="dxa"/>
            <w:vAlign w:val="bottom"/>
          </w:tcPr>
          <w:p>
            <w:pPr>
              <w:spacing w:after="0"/>
              <w:rPr>
                <w:sz w:val="18"/>
                <w:szCs w:val="18"/>
                <w:color w:val="auto"/>
              </w:rPr>
            </w:pPr>
          </w:p>
        </w:tc>
        <w:tc>
          <w:tcPr>
            <w:tcW w:w="5300" w:type="dxa"/>
            <w:vAlign w:val="bottom"/>
            <w:gridSpan w:val="2"/>
            <w:vMerge w:val="continue"/>
          </w:tcPr>
          <w:p>
            <w:pPr>
              <w:spacing w:after="0"/>
              <w:rPr>
                <w:sz w:val="18"/>
                <w:szCs w:val="18"/>
                <w:color w:val="auto"/>
              </w:rPr>
            </w:pPr>
          </w:p>
        </w:tc>
        <w:tc>
          <w:tcPr>
            <w:tcW w:w="300" w:type="dxa"/>
            <w:vAlign w:val="bottom"/>
            <w:shd w:val="clear" w:color="auto" w:fill="DCF3FA"/>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60" w:type="dxa"/>
            <w:vAlign w:val="bottom"/>
            <w:tcBorders>
              <w:right w:val="single" w:sz="8" w:color="DCF3FA"/>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00" w:type="dxa"/>
            <w:vAlign w:val="bottom"/>
            <w:gridSpan w:val="2"/>
          </w:tcPr>
          <w:p>
            <w:pPr>
              <w:ind w:left="20"/>
              <w:spacing w:after="0" w:line="182" w:lineRule="exact"/>
              <w:rPr>
                <w:sz w:val="20"/>
                <w:szCs w:val="20"/>
                <w:color w:val="auto"/>
              </w:rPr>
            </w:pPr>
            <w:r>
              <w:rPr>
                <w:rFonts w:ascii="Calibri" w:cs="Calibri" w:eastAsia="Calibri" w:hAnsi="Calibri"/>
                <w:sz w:val="16"/>
                <w:szCs w:val="16"/>
                <w:color w:val="auto"/>
              </w:rPr>
              <w:t>senior management. By the end of orientaton,</w:t>
            </w:r>
          </w:p>
        </w:tc>
        <w:tc>
          <w:tcPr>
            <w:tcW w:w="300" w:type="dxa"/>
            <w:vAlign w:val="bottom"/>
            <w:shd w:val="clear" w:color="auto" w:fill="DCF3FA"/>
          </w:tcPr>
          <w:p>
            <w:pPr>
              <w:spacing w:after="0"/>
              <w:rPr>
                <w:sz w:val="15"/>
                <w:szCs w:val="15"/>
                <w:color w:val="auto"/>
              </w:rPr>
            </w:pPr>
          </w:p>
        </w:tc>
        <w:tc>
          <w:tcPr>
            <w:tcW w:w="100" w:type="dxa"/>
            <w:vAlign w:val="bottom"/>
          </w:tcPr>
          <w:p>
            <w:pPr>
              <w:spacing w:after="0"/>
              <w:rPr>
                <w:sz w:val="15"/>
                <w:szCs w:val="15"/>
                <w:color w:val="auto"/>
              </w:rPr>
            </w:pPr>
          </w:p>
        </w:tc>
        <w:tc>
          <w:tcPr>
            <w:tcW w:w="5300" w:type="dxa"/>
            <w:vAlign w:val="bottom"/>
            <w:gridSpan w:val="2"/>
            <w:vMerge w:val="restart"/>
          </w:tcPr>
          <w:p>
            <w:pPr>
              <w:ind w:left="320"/>
              <w:spacing w:after="0"/>
              <w:rPr>
                <w:sz w:val="20"/>
                <w:szCs w:val="20"/>
                <w:color w:val="auto"/>
              </w:rPr>
            </w:pPr>
            <w:r>
              <w:rPr>
                <w:rFonts w:ascii="Calibri" w:cs="Calibri" w:eastAsia="Calibri" w:hAnsi="Calibri"/>
                <w:sz w:val="16"/>
                <w:szCs w:val="16"/>
                <w:color w:val="FB4E0B"/>
              </w:rPr>
              <w:t>•</w:t>
            </w:r>
            <w:r>
              <w:rPr>
                <w:rFonts w:ascii="Calibri" w:cs="Calibri" w:eastAsia="Calibri" w:hAnsi="Calibri"/>
                <w:sz w:val="16"/>
                <w:szCs w:val="16"/>
                <w:color w:val="000000"/>
              </w:rPr>
              <w:t xml:space="preserve">    We maintain a subscripton for our directors with the NACD and our</w:t>
            </w:r>
          </w:p>
        </w:tc>
        <w:tc>
          <w:tcPr>
            <w:tcW w:w="300" w:type="dxa"/>
            <w:vAlign w:val="bottom"/>
            <w:shd w:val="clear" w:color="auto" w:fill="DCF3FA"/>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560" w:type="dxa"/>
            <w:vAlign w:val="bottom"/>
            <w:tcBorders>
              <w:right w:val="single" w:sz="8" w:color="DCF3FA"/>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700" w:type="dxa"/>
            <w:vAlign w:val="bottom"/>
            <w:gridSpan w:val="2"/>
            <w:vMerge w:val="restart"/>
          </w:tcPr>
          <w:p>
            <w:pPr>
              <w:ind w:left="20"/>
              <w:spacing w:after="0" w:line="185" w:lineRule="exact"/>
              <w:rPr>
                <w:sz w:val="20"/>
                <w:szCs w:val="20"/>
                <w:color w:val="auto"/>
              </w:rPr>
            </w:pPr>
            <w:r>
              <w:rPr>
                <w:rFonts w:ascii="Calibri" w:cs="Calibri" w:eastAsia="Calibri" w:hAnsi="Calibri"/>
                <w:sz w:val="16"/>
                <w:szCs w:val="16"/>
                <w:color w:val="auto"/>
              </w:rPr>
              <w:t>our new directors are familiar with our:</w:t>
            </w:r>
          </w:p>
        </w:tc>
        <w:tc>
          <w:tcPr>
            <w:tcW w:w="300" w:type="dxa"/>
            <w:vAlign w:val="bottom"/>
            <w:shd w:val="clear" w:color="auto" w:fill="DCF3FA"/>
          </w:tcPr>
          <w:p>
            <w:pPr>
              <w:spacing w:after="0"/>
              <w:rPr>
                <w:sz w:val="5"/>
                <w:szCs w:val="5"/>
                <w:color w:val="auto"/>
              </w:rPr>
            </w:pPr>
          </w:p>
        </w:tc>
        <w:tc>
          <w:tcPr>
            <w:tcW w:w="100" w:type="dxa"/>
            <w:vAlign w:val="bottom"/>
          </w:tcPr>
          <w:p>
            <w:pPr>
              <w:spacing w:after="0"/>
              <w:rPr>
                <w:sz w:val="5"/>
                <w:szCs w:val="5"/>
                <w:color w:val="auto"/>
              </w:rPr>
            </w:pPr>
          </w:p>
        </w:tc>
        <w:tc>
          <w:tcPr>
            <w:tcW w:w="5300" w:type="dxa"/>
            <w:vAlign w:val="bottom"/>
            <w:gridSpan w:val="2"/>
            <w:vMerge w:val="continue"/>
          </w:tcPr>
          <w:p>
            <w:pPr>
              <w:spacing w:after="0"/>
              <w:rPr>
                <w:sz w:val="5"/>
                <w:szCs w:val="5"/>
                <w:color w:val="auto"/>
              </w:rPr>
            </w:pPr>
          </w:p>
        </w:tc>
        <w:tc>
          <w:tcPr>
            <w:tcW w:w="300" w:type="dxa"/>
            <w:vAlign w:val="bottom"/>
            <w:shd w:val="clear" w:color="auto" w:fill="DCF3FA"/>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560" w:type="dxa"/>
            <w:vAlign w:val="bottom"/>
            <w:tcBorders>
              <w:right w:val="single" w:sz="8" w:color="DCF3FA"/>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vMerge w:val="restart"/>
          </w:tcPr>
          <w:p>
            <w:pPr>
              <w:ind w:left="100"/>
              <w:spacing w:after="0"/>
              <w:rPr>
                <w:sz w:val="20"/>
                <w:szCs w:val="20"/>
                <w:color w:val="auto"/>
              </w:rPr>
            </w:pPr>
            <w:r>
              <w:rPr>
                <w:rFonts w:ascii="Calibri" w:cs="Calibri" w:eastAsia="Calibri" w:hAnsi="Calibri"/>
                <w:sz w:val="16"/>
                <w:szCs w:val="16"/>
                <w:color w:val="auto"/>
                <w:w w:val="77"/>
              </w:rPr>
              <w:t>    </w:t>
            </w:r>
          </w:p>
        </w:tc>
        <w:tc>
          <w:tcPr>
            <w:tcW w:w="3700" w:type="dxa"/>
            <w:vAlign w:val="bottom"/>
            <w:gridSpan w:val="2"/>
            <w:vMerge w:val="continue"/>
          </w:tcPr>
          <w:p>
            <w:pPr>
              <w:spacing w:after="0"/>
              <w:rPr>
                <w:sz w:val="10"/>
                <w:szCs w:val="10"/>
                <w:color w:val="auto"/>
              </w:rPr>
            </w:pPr>
          </w:p>
        </w:tc>
        <w:tc>
          <w:tcPr>
            <w:tcW w:w="300" w:type="dxa"/>
            <w:vAlign w:val="bottom"/>
            <w:shd w:val="clear" w:color="auto" w:fill="DCF3FA"/>
          </w:tcPr>
          <w:p>
            <w:pPr>
              <w:spacing w:after="0"/>
              <w:rPr>
                <w:sz w:val="10"/>
                <w:szCs w:val="10"/>
                <w:color w:val="auto"/>
              </w:rPr>
            </w:pPr>
          </w:p>
        </w:tc>
        <w:tc>
          <w:tcPr>
            <w:tcW w:w="100" w:type="dxa"/>
            <w:vAlign w:val="bottom"/>
          </w:tcPr>
          <w:p>
            <w:pPr>
              <w:spacing w:after="0"/>
              <w:rPr>
                <w:sz w:val="10"/>
                <w:szCs w:val="10"/>
                <w:color w:val="auto"/>
              </w:rPr>
            </w:pPr>
          </w:p>
        </w:tc>
        <w:tc>
          <w:tcPr>
            <w:tcW w:w="5300" w:type="dxa"/>
            <w:vAlign w:val="bottom"/>
            <w:gridSpan w:val="2"/>
            <w:vMerge w:val="restart"/>
          </w:tcPr>
          <w:p>
            <w:pPr>
              <w:ind w:left="560"/>
              <w:spacing w:after="0" w:line="185" w:lineRule="exact"/>
              <w:rPr>
                <w:sz w:val="20"/>
                <w:szCs w:val="20"/>
                <w:color w:val="auto"/>
              </w:rPr>
            </w:pPr>
            <w:r>
              <w:rPr>
                <w:rFonts w:ascii="Calibri" w:cs="Calibri" w:eastAsia="Calibri" w:hAnsi="Calibri"/>
                <w:sz w:val="16"/>
                <w:szCs w:val="16"/>
                <w:color w:val="auto"/>
              </w:rPr>
              <w:t xml:space="preserve">directors actvely take part in NACD oferings. For example, </w:t>
            </w:r>
            <w:r>
              <w:rPr>
                <w:rFonts w:ascii="Calibri" w:cs="Calibri" w:eastAsia="Calibri" w:hAnsi="Calibri"/>
                <w:sz w:val="16"/>
                <w:szCs w:val="16"/>
                <w:b w:val="1"/>
                <w:bCs w:val="1"/>
                <w:color w:val="auto"/>
              </w:rPr>
              <w:t>Ms.</w:t>
            </w:r>
          </w:p>
        </w:tc>
        <w:tc>
          <w:tcPr>
            <w:tcW w:w="300" w:type="dxa"/>
            <w:vAlign w:val="bottom"/>
            <w:shd w:val="clear" w:color="auto" w:fill="DCF3FA"/>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560" w:type="dxa"/>
            <w:vAlign w:val="bottom"/>
            <w:tcBorders>
              <w:right w:val="single" w:sz="8" w:color="DCF3FA"/>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DCF3FA"/>
          </w:tcPr>
          <w:p>
            <w:pPr>
              <w:spacing w:after="0"/>
              <w:rPr>
                <w:sz w:val="5"/>
                <w:szCs w:val="5"/>
                <w:color w:val="auto"/>
              </w:rPr>
            </w:pPr>
          </w:p>
        </w:tc>
        <w:tc>
          <w:tcPr>
            <w:tcW w:w="100" w:type="dxa"/>
            <w:vAlign w:val="bottom"/>
          </w:tcPr>
          <w:p>
            <w:pPr>
              <w:spacing w:after="0"/>
              <w:rPr>
                <w:sz w:val="5"/>
                <w:szCs w:val="5"/>
                <w:color w:val="auto"/>
              </w:rPr>
            </w:pPr>
          </w:p>
        </w:tc>
        <w:tc>
          <w:tcPr>
            <w:tcW w:w="5300" w:type="dxa"/>
            <w:vAlign w:val="bottom"/>
            <w:gridSpan w:val="2"/>
            <w:vMerge w:val="continue"/>
          </w:tcPr>
          <w:p>
            <w:pPr>
              <w:spacing w:after="0"/>
              <w:rPr>
                <w:sz w:val="5"/>
                <w:szCs w:val="5"/>
                <w:color w:val="auto"/>
              </w:rPr>
            </w:pPr>
          </w:p>
        </w:tc>
        <w:tc>
          <w:tcPr>
            <w:tcW w:w="300" w:type="dxa"/>
            <w:vAlign w:val="bottom"/>
            <w:shd w:val="clear" w:color="auto" w:fill="DCF3FA"/>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560" w:type="dxa"/>
            <w:vAlign w:val="bottom"/>
            <w:tcBorders>
              <w:right w:val="single" w:sz="8" w:color="DCF3FA"/>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3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shd w:val="clear" w:color="auto" w:fill="DCF3FA"/>
          </w:tcPr>
          <w:p>
            <w:pPr>
              <w:spacing w:after="0"/>
              <w:rPr>
                <w:sz w:val="3"/>
                <w:szCs w:val="3"/>
                <w:color w:val="auto"/>
              </w:rPr>
            </w:pPr>
          </w:p>
        </w:tc>
        <w:tc>
          <w:tcPr>
            <w:tcW w:w="100" w:type="dxa"/>
            <w:vAlign w:val="bottom"/>
          </w:tcPr>
          <w:p>
            <w:pPr>
              <w:spacing w:after="0"/>
              <w:rPr>
                <w:sz w:val="3"/>
                <w:szCs w:val="3"/>
                <w:color w:val="auto"/>
              </w:rPr>
            </w:pPr>
          </w:p>
        </w:tc>
        <w:tc>
          <w:tcPr>
            <w:tcW w:w="5300" w:type="dxa"/>
            <w:vAlign w:val="bottom"/>
            <w:gridSpan w:val="2"/>
            <w:vMerge w:val="restart"/>
          </w:tcPr>
          <w:p>
            <w:pPr>
              <w:ind w:left="560"/>
              <w:spacing w:after="0" w:line="167" w:lineRule="exact"/>
              <w:rPr>
                <w:sz w:val="20"/>
                <w:szCs w:val="20"/>
                <w:color w:val="auto"/>
              </w:rPr>
            </w:pPr>
            <w:r>
              <w:rPr>
                <w:rFonts w:ascii="Calibri" w:cs="Calibri" w:eastAsia="Calibri" w:hAnsi="Calibri"/>
                <w:sz w:val="16"/>
                <w:szCs w:val="16"/>
                <w:b w:val="1"/>
                <w:bCs w:val="1"/>
                <w:color w:val="auto"/>
              </w:rPr>
              <w:t xml:space="preserve">Studenmund </w:t>
            </w:r>
            <w:r>
              <w:rPr>
                <w:rFonts w:ascii="Calibri" w:cs="Calibri" w:eastAsia="Calibri" w:hAnsi="Calibri"/>
                <w:sz w:val="16"/>
                <w:szCs w:val="16"/>
                <w:color w:val="auto"/>
              </w:rPr>
              <w:t>is on an NACD Southern California special commitee</w:t>
            </w:r>
          </w:p>
        </w:tc>
        <w:tc>
          <w:tcPr>
            <w:tcW w:w="300" w:type="dxa"/>
            <w:vAlign w:val="bottom"/>
            <w:shd w:val="clear" w:color="auto" w:fill="DCF3FA"/>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560" w:type="dxa"/>
            <w:vAlign w:val="bottom"/>
            <w:tcBorders>
              <w:right w:val="single" w:sz="8" w:color="DCF3FA"/>
            </w:tcBorders>
          </w:tcPr>
          <w:p>
            <w:pPr>
              <w:spacing w:after="0"/>
              <w:rPr>
                <w:sz w:val="11"/>
                <w:szCs w:val="11"/>
                <w:color w:val="auto"/>
              </w:rPr>
            </w:pPr>
          </w:p>
        </w:tc>
        <w:tc>
          <w:tcPr>
            <w:tcW w:w="100" w:type="dxa"/>
            <w:vAlign w:val="bottom"/>
          </w:tcPr>
          <w:p>
            <w:pPr>
              <w:spacing w:after="0"/>
              <w:rPr>
                <w:sz w:val="11"/>
                <w:szCs w:val="11"/>
                <w:color w:val="auto"/>
              </w:rPr>
            </w:pPr>
          </w:p>
        </w:tc>
        <w:tc>
          <w:tcPr>
            <w:tcW w:w="3960" w:type="dxa"/>
            <w:vAlign w:val="bottom"/>
            <w:gridSpan w:val="3"/>
            <w:vMerge w:val="restart"/>
          </w:tcPr>
          <w:p>
            <w:pPr>
              <w:ind w:left="100"/>
              <w:spacing w:after="0" w:line="234" w:lineRule="exact"/>
              <w:rPr>
                <w:sz w:val="20"/>
                <w:szCs w:val="20"/>
                <w:color w:val="auto"/>
              </w:rPr>
            </w:pPr>
            <w:r>
              <w:rPr>
                <w:rFonts w:ascii="Calibri" w:cs="Calibri" w:eastAsia="Calibri" w:hAnsi="Calibri"/>
                <w:sz w:val="25"/>
                <w:szCs w:val="25"/>
                <w:color w:val="000000"/>
                <w:vertAlign w:val="subscript"/>
              </w:rPr>
              <w:t xml:space="preserve">    </w:t>
            </w:r>
            <w:r>
              <w:rPr>
                <w:rFonts w:ascii="Calibri" w:cs="Calibri" w:eastAsia="Calibri" w:hAnsi="Calibri"/>
                <w:sz w:val="13"/>
                <w:szCs w:val="13"/>
                <w:color w:val="FB4E0B"/>
              </w:rPr>
              <w:t xml:space="preserve"> •</w:t>
            </w:r>
            <w:r>
              <w:rPr>
                <w:rFonts w:ascii="Calibri" w:cs="Calibri" w:eastAsia="Calibri" w:hAnsi="Calibri"/>
                <w:sz w:val="13"/>
                <w:szCs w:val="13"/>
                <w:color w:val="000000"/>
              </w:rPr>
              <w:t xml:space="preserve">    strategic and business plans</w:t>
            </w:r>
          </w:p>
        </w:tc>
        <w:tc>
          <w:tcPr>
            <w:tcW w:w="300" w:type="dxa"/>
            <w:vAlign w:val="bottom"/>
            <w:shd w:val="clear" w:color="auto" w:fill="DCF3FA"/>
          </w:tcPr>
          <w:p>
            <w:pPr>
              <w:spacing w:after="0"/>
              <w:rPr>
                <w:sz w:val="11"/>
                <w:szCs w:val="11"/>
                <w:color w:val="auto"/>
              </w:rPr>
            </w:pPr>
          </w:p>
        </w:tc>
        <w:tc>
          <w:tcPr>
            <w:tcW w:w="10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300" w:type="dxa"/>
            <w:vAlign w:val="bottom"/>
            <w:shd w:val="clear" w:color="auto" w:fill="DCF3FA"/>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560" w:type="dxa"/>
            <w:vAlign w:val="bottom"/>
            <w:tcBorders>
              <w:right w:val="single" w:sz="8" w:color="DCF3FA"/>
            </w:tcBorders>
          </w:tcPr>
          <w:p>
            <w:pPr>
              <w:spacing w:after="0"/>
              <w:rPr>
                <w:sz w:val="9"/>
                <w:szCs w:val="9"/>
                <w:color w:val="auto"/>
              </w:rPr>
            </w:pPr>
          </w:p>
        </w:tc>
        <w:tc>
          <w:tcPr>
            <w:tcW w:w="100" w:type="dxa"/>
            <w:vAlign w:val="bottom"/>
          </w:tcPr>
          <w:p>
            <w:pPr>
              <w:spacing w:after="0"/>
              <w:rPr>
                <w:sz w:val="9"/>
                <w:szCs w:val="9"/>
                <w:color w:val="auto"/>
              </w:rPr>
            </w:pPr>
          </w:p>
        </w:tc>
        <w:tc>
          <w:tcPr>
            <w:tcW w:w="3960" w:type="dxa"/>
            <w:vAlign w:val="bottom"/>
            <w:gridSpan w:val="3"/>
            <w:vMerge w:val="continue"/>
          </w:tcPr>
          <w:p>
            <w:pPr>
              <w:spacing w:after="0"/>
              <w:rPr>
                <w:sz w:val="9"/>
                <w:szCs w:val="9"/>
                <w:color w:val="auto"/>
              </w:rPr>
            </w:pPr>
          </w:p>
        </w:tc>
        <w:tc>
          <w:tcPr>
            <w:tcW w:w="300" w:type="dxa"/>
            <w:vAlign w:val="bottom"/>
            <w:shd w:val="clear" w:color="auto" w:fill="DCF3FA"/>
          </w:tcPr>
          <w:p>
            <w:pPr>
              <w:spacing w:after="0"/>
              <w:rPr>
                <w:sz w:val="9"/>
                <w:szCs w:val="9"/>
                <w:color w:val="auto"/>
              </w:rPr>
            </w:pPr>
          </w:p>
        </w:tc>
        <w:tc>
          <w:tcPr>
            <w:tcW w:w="100" w:type="dxa"/>
            <w:vAlign w:val="bottom"/>
          </w:tcPr>
          <w:p>
            <w:pPr>
              <w:spacing w:after="0"/>
              <w:rPr>
                <w:sz w:val="9"/>
                <w:szCs w:val="9"/>
                <w:color w:val="auto"/>
              </w:rPr>
            </w:pPr>
          </w:p>
        </w:tc>
        <w:tc>
          <w:tcPr>
            <w:tcW w:w="5300" w:type="dxa"/>
            <w:vAlign w:val="bottom"/>
            <w:gridSpan w:val="2"/>
            <w:vMerge w:val="restart"/>
          </w:tcPr>
          <w:p>
            <w:pPr>
              <w:ind w:left="560"/>
              <w:spacing w:after="0" w:line="185" w:lineRule="exact"/>
              <w:rPr>
                <w:sz w:val="20"/>
                <w:szCs w:val="20"/>
                <w:color w:val="auto"/>
              </w:rPr>
            </w:pPr>
            <w:r>
              <w:rPr>
                <w:rFonts w:ascii="Calibri" w:cs="Calibri" w:eastAsia="Calibri" w:hAnsi="Calibri"/>
                <w:sz w:val="16"/>
                <w:szCs w:val="16"/>
                <w:color w:val="auto"/>
              </w:rPr>
              <w:t>that meets regularly to discuss compensaton commitee maters.</w:t>
            </w:r>
          </w:p>
        </w:tc>
        <w:tc>
          <w:tcPr>
            <w:tcW w:w="300" w:type="dxa"/>
            <w:vAlign w:val="bottom"/>
            <w:shd w:val="clear" w:color="auto" w:fill="DCF3FA"/>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60" w:type="dxa"/>
            <w:vAlign w:val="bottom"/>
            <w:tcBorders>
              <w:right w:val="single" w:sz="8" w:color="DCF3FA"/>
            </w:tcBorders>
          </w:tcPr>
          <w:p>
            <w:pPr>
              <w:spacing w:after="0"/>
              <w:rPr>
                <w:sz w:val="7"/>
                <w:szCs w:val="7"/>
                <w:color w:val="auto"/>
              </w:rPr>
            </w:pPr>
          </w:p>
        </w:tc>
        <w:tc>
          <w:tcPr>
            <w:tcW w:w="100" w:type="dxa"/>
            <w:vAlign w:val="bottom"/>
          </w:tcPr>
          <w:p>
            <w:pPr>
              <w:spacing w:after="0"/>
              <w:rPr>
                <w:sz w:val="7"/>
                <w:szCs w:val="7"/>
                <w:color w:val="auto"/>
              </w:rPr>
            </w:pPr>
          </w:p>
        </w:tc>
        <w:tc>
          <w:tcPr>
            <w:tcW w:w="3960" w:type="dxa"/>
            <w:vAlign w:val="bottom"/>
            <w:gridSpan w:val="3"/>
            <w:vMerge w:val="restart"/>
          </w:tcPr>
          <w:p>
            <w:pPr>
              <w:ind w:left="100"/>
              <w:spacing w:after="0" w:line="212" w:lineRule="exact"/>
              <w:rPr>
                <w:sz w:val="20"/>
                <w:szCs w:val="20"/>
                <w:color w:val="auto"/>
              </w:rPr>
            </w:pPr>
            <w:r>
              <w:rPr>
                <w:rFonts w:ascii="Calibri" w:cs="Calibri" w:eastAsia="Calibri" w:hAnsi="Calibri"/>
                <w:sz w:val="23"/>
                <w:szCs w:val="23"/>
                <w:color w:val="000000"/>
                <w:vertAlign w:val="subscript"/>
              </w:rPr>
              <w:t xml:space="preserve">    </w:t>
            </w:r>
            <w:r>
              <w:rPr>
                <w:rFonts w:ascii="Calibri" w:cs="Calibri" w:eastAsia="Calibri" w:hAnsi="Calibri"/>
                <w:sz w:val="13"/>
                <w:szCs w:val="13"/>
                <w:color w:val="FB4E0B"/>
              </w:rPr>
              <w:t xml:space="preserve"> •</w:t>
            </w:r>
            <w:r>
              <w:rPr>
                <w:rFonts w:ascii="Calibri" w:cs="Calibri" w:eastAsia="Calibri" w:hAnsi="Calibri"/>
                <w:sz w:val="13"/>
                <w:szCs w:val="13"/>
                <w:color w:val="000000"/>
              </w:rPr>
              <w:t xml:space="preserve">    signifcant fnancial, accountng and risk</w:t>
            </w:r>
          </w:p>
        </w:tc>
        <w:tc>
          <w:tcPr>
            <w:tcW w:w="300" w:type="dxa"/>
            <w:vAlign w:val="bottom"/>
            <w:shd w:val="clear" w:color="auto" w:fill="DCF3FA"/>
          </w:tcPr>
          <w:p>
            <w:pPr>
              <w:spacing w:after="0"/>
              <w:rPr>
                <w:sz w:val="7"/>
                <w:szCs w:val="7"/>
                <w:color w:val="auto"/>
              </w:rPr>
            </w:pPr>
          </w:p>
        </w:tc>
        <w:tc>
          <w:tcPr>
            <w:tcW w:w="10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300" w:type="dxa"/>
            <w:vAlign w:val="bottom"/>
            <w:shd w:val="clear" w:color="auto" w:fill="DCF3FA"/>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560" w:type="dxa"/>
            <w:vAlign w:val="bottom"/>
            <w:tcBorders>
              <w:right w:val="single" w:sz="8" w:color="DCF3FA"/>
            </w:tcBorders>
          </w:tcPr>
          <w:p>
            <w:pPr>
              <w:spacing w:after="0"/>
              <w:rPr>
                <w:sz w:val="11"/>
                <w:szCs w:val="11"/>
                <w:color w:val="auto"/>
              </w:rPr>
            </w:pPr>
          </w:p>
        </w:tc>
        <w:tc>
          <w:tcPr>
            <w:tcW w:w="100" w:type="dxa"/>
            <w:vAlign w:val="bottom"/>
          </w:tcPr>
          <w:p>
            <w:pPr>
              <w:spacing w:after="0"/>
              <w:rPr>
                <w:sz w:val="11"/>
                <w:szCs w:val="11"/>
                <w:color w:val="auto"/>
              </w:rPr>
            </w:pPr>
          </w:p>
        </w:tc>
        <w:tc>
          <w:tcPr>
            <w:tcW w:w="3960" w:type="dxa"/>
            <w:vAlign w:val="bottom"/>
            <w:gridSpan w:val="3"/>
            <w:vMerge w:val="continue"/>
          </w:tcPr>
          <w:p>
            <w:pPr>
              <w:spacing w:after="0"/>
              <w:rPr>
                <w:sz w:val="11"/>
                <w:szCs w:val="11"/>
                <w:color w:val="auto"/>
              </w:rPr>
            </w:pPr>
          </w:p>
        </w:tc>
        <w:tc>
          <w:tcPr>
            <w:tcW w:w="300" w:type="dxa"/>
            <w:vAlign w:val="bottom"/>
            <w:shd w:val="clear" w:color="auto" w:fill="DCF3FA"/>
          </w:tcPr>
          <w:p>
            <w:pPr>
              <w:spacing w:after="0"/>
              <w:rPr>
                <w:sz w:val="11"/>
                <w:szCs w:val="11"/>
                <w:color w:val="auto"/>
              </w:rPr>
            </w:pPr>
          </w:p>
        </w:tc>
        <w:tc>
          <w:tcPr>
            <w:tcW w:w="100" w:type="dxa"/>
            <w:vAlign w:val="bottom"/>
          </w:tcPr>
          <w:p>
            <w:pPr>
              <w:spacing w:after="0"/>
              <w:rPr>
                <w:sz w:val="11"/>
                <w:szCs w:val="11"/>
                <w:color w:val="auto"/>
              </w:rPr>
            </w:pPr>
          </w:p>
        </w:tc>
        <w:tc>
          <w:tcPr>
            <w:tcW w:w="5300" w:type="dxa"/>
            <w:vAlign w:val="bottom"/>
            <w:gridSpan w:val="2"/>
            <w:vMerge w:val="restart"/>
          </w:tcPr>
          <w:p>
            <w:pPr>
              <w:ind w:left="320"/>
              <w:spacing w:after="0"/>
              <w:rPr>
                <w:sz w:val="20"/>
                <w:szCs w:val="20"/>
                <w:color w:val="auto"/>
              </w:rPr>
            </w:pPr>
            <w:r>
              <w:rPr>
                <w:rFonts w:ascii="Calibri" w:cs="Calibri" w:eastAsia="Calibri" w:hAnsi="Calibri"/>
                <w:sz w:val="16"/>
                <w:szCs w:val="16"/>
                <w:color w:val="FB4E0B"/>
              </w:rPr>
              <w:t>•</w:t>
            </w:r>
            <w:r>
              <w:rPr>
                <w:rFonts w:ascii="Calibri" w:cs="Calibri" w:eastAsia="Calibri" w:hAnsi="Calibri"/>
                <w:sz w:val="16"/>
                <w:szCs w:val="16"/>
                <w:color w:val="000000"/>
              </w:rPr>
              <w:t xml:space="preserve">    We provide regular updates to our directors on corporate governance</w:t>
            </w:r>
          </w:p>
        </w:tc>
        <w:tc>
          <w:tcPr>
            <w:tcW w:w="300" w:type="dxa"/>
            <w:vAlign w:val="bottom"/>
            <w:shd w:val="clear" w:color="auto" w:fill="DCF3FA"/>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60" w:type="dxa"/>
            <w:vAlign w:val="bottom"/>
            <w:tcBorders>
              <w:right w:val="single" w:sz="8" w:color="DCF3FA"/>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vMerge w:val="restart"/>
          </w:tcPr>
          <w:p>
            <w:pPr>
              <w:ind w:left="100"/>
              <w:spacing w:after="0"/>
              <w:rPr>
                <w:sz w:val="20"/>
                <w:szCs w:val="20"/>
                <w:color w:val="auto"/>
              </w:rPr>
            </w:pPr>
            <w:r>
              <w:rPr>
                <w:rFonts w:ascii="Calibri" w:cs="Calibri" w:eastAsia="Calibri" w:hAnsi="Calibri"/>
                <w:sz w:val="16"/>
                <w:szCs w:val="16"/>
                <w:color w:val="auto"/>
                <w:w w:val="77"/>
              </w:rPr>
              <w:t>    </w:t>
            </w:r>
          </w:p>
        </w:tc>
        <w:tc>
          <w:tcPr>
            <w:tcW w:w="3700" w:type="dxa"/>
            <w:vAlign w:val="bottom"/>
            <w:gridSpan w:val="2"/>
          </w:tcPr>
          <w:p>
            <w:pPr>
              <w:ind w:left="160"/>
              <w:spacing w:after="0" w:line="152" w:lineRule="exact"/>
              <w:rPr>
                <w:sz w:val="20"/>
                <w:szCs w:val="20"/>
                <w:color w:val="auto"/>
              </w:rPr>
            </w:pPr>
            <w:r>
              <w:rPr>
                <w:rFonts w:ascii="Calibri" w:cs="Calibri" w:eastAsia="Calibri" w:hAnsi="Calibri"/>
                <w:sz w:val="16"/>
                <w:szCs w:val="16"/>
                <w:color w:val="auto"/>
              </w:rPr>
              <w:t>  management maters</w:t>
            </w:r>
          </w:p>
        </w:tc>
        <w:tc>
          <w:tcPr>
            <w:tcW w:w="300" w:type="dxa"/>
            <w:vAlign w:val="bottom"/>
            <w:shd w:val="clear" w:color="auto" w:fill="DCF3FA"/>
          </w:tcPr>
          <w:p>
            <w:pPr>
              <w:spacing w:after="0"/>
              <w:rPr>
                <w:sz w:val="13"/>
                <w:szCs w:val="13"/>
                <w:color w:val="auto"/>
              </w:rPr>
            </w:pPr>
          </w:p>
        </w:tc>
        <w:tc>
          <w:tcPr>
            <w:tcW w:w="100" w:type="dxa"/>
            <w:vAlign w:val="bottom"/>
          </w:tcPr>
          <w:p>
            <w:pPr>
              <w:spacing w:after="0"/>
              <w:rPr>
                <w:sz w:val="13"/>
                <w:szCs w:val="13"/>
                <w:color w:val="auto"/>
              </w:rPr>
            </w:pPr>
          </w:p>
        </w:tc>
        <w:tc>
          <w:tcPr>
            <w:tcW w:w="5300" w:type="dxa"/>
            <w:vAlign w:val="bottom"/>
            <w:gridSpan w:val="2"/>
            <w:vMerge w:val="continue"/>
          </w:tcPr>
          <w:p>
            <w:pPr>
              <w:spacing w:after="0"/>
              <w:rPr>
                <w:sz w:val="13"/>
                <w:szCs w:val="13"/>
                <w:color w:val="auto"/>
              </w:rPr>
            </w:pPr>
          </w:p>
        </w:tc>
        <w:tc>
          <w:tcPr>
            <w:tcW w:w="300" w:type="dxa"/>
            <w:vAlign w:val="bottom"/>
            <w:shd w:val="clear" w:color="auto" w:fill="DCF3FA"/>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60" w:type="dxa"/>
            <w:vAlign w:val="bottom"/>
            <w:tcBorders>
              <w:right w:val="single" w:sz="8" w:color="DCF3FA"/>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3700" w:type="dxa"/>
            <w:vAlign w:val="bottom"/>
            <w:gridSpan w:val="2"/>
            <w:vMerge w:val="restart"/>
          </w:tcPr>
          <w:p>
            <w:pPr>
              <w:ind w:left="20"/>
              <w:spacing w:after="0"/>
              <w:rPr>
                <w:sz w:val="20"/>
                <w:szCs w:val="20"/>
                <w:color w:val="auto"/>
              </w:rPr>
            </w:pPr>
            <w:r>
              <w:rPr>
                <w:rFonts w:ascii="Calibri" w:cs="Calibri" w:eastAsia="Calibri" w:hAnsi="Calibri"/>
                <w:sz w:val="16"/>
                <w:szCs w:val="16"/>
                <w:color w:val="FB4E0B"/>
              </w:rPr>
              <w:t>•</w:t>
            </w:r>
            <w:r>
              <w:rPr>
                <w:rFonts w:ascii="Calibri" w:cs="Calibri" w:eastAsia="Calibri" w:hAnsi="Calibri"/>
                <w:sz w:val="16"/>
                <w:szCs w:val="16"/>
                <w:color w:val="000000"/>
              </w:rPr>
              <w:t xml:space="preserve">    compliance programs, and</w:t>
            </w:r>
          </w:p>
        </w:tc>
        <w:tc>
          <w:tcPr>
            <w:tcW w:w="300" w:type="dxa"/>
            <w:vAlign w:val="bottom"/>
            <w:shd w:val="clear" w:color="auto" w:fill="DCF3FA"/>
          </w:tcPr>
          <w:p>
            <w:pPr>
              <w:spacing w:after="0"/>
              <w:rPr>
                <w:sz w:val="11"/>
                <w:szCs w:val="11"/>
                <w:color w:val="auto"/>
              </w:rPr>
            </w:pPr>
          </w:p>
        </w:tc>
        <w:tc>
          <w:tcPr>
            <w:tcW w:w="100" w:type="dxa"/>
            <w:vAlign w:val="bottom"/>
          </w:tcPr>
          <w:p>
            <w:pPr>
              <w:spacing w:after="0"/>
              <w:rPr>
                <w:sz w:val="11"/>
                <w:szCs w:val="11"/>
                <w:color w:val="auto"/>
              </w:rPr>
            </w:pPr>
          </w:p>
        </w:tc>
        <w:tc>
          <w:tcPr>
            <w:tcW w:w="5300" w:type="dxa"/>
            <w:vAlign w:val="bottom"/>
            <w:gridSpan w:val="2"/>
            <w:vMerge w:val="restart"/>
          </w:tcPr>
          <w:p>
            <w:pPr>
              <w:ind w:left="560"/>
              <w:spacing w:after="0" w:line="169" w:lineRule="exact"/>
              <w:rPr>
                <w:sz w:val="20"/>
                <w:szCs w:val="20"/>
                <w:color w:val="auto"/>
              </w:rPr>
            </w:pPr>
            <w:r>
              <w:rPr>
                <w:rFonts w:ascii="Calibri" w:cs="Calibri" w:eastAsia="Calibri" w:hAnsi="Calibri"/>
                <w:sz w:val="16"/>
                <w:szCs w:val="16"/>
                <w:color w:val="auto"/>
              </w:rPr>
              <w:t>and ESG maters, executve compensaton developments and trends,</w:t>
            </w:r>
          </w:p>
        </w:tc>
        <w:tc>
          <w:tcPr>
            <w:tcW w:w="300" w:type="dxa"/>
            <w:vAlign w:val="bottom"/>
            <w:shd w:val="clear" w:color="auto" w:fill="DCF3FA"/>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560" w:type="dxa"/>
            <w:vAlign w:val="bottom"/>
            <w:tcBorders>
              <w:right w:val="single" w:sz="8" w:color="DCF3FA"/>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700" w:type="dxa"/>
            <w:vAlign w:val="bottom"/>
            <w:gridSpan w:val="2"/>
            <w:vMerge w:val="continue"/>
          </w:tcPr>
          <w:p>
            <w:pPr>
              <w:spacing w:after="0"/>
              <w:rPr>
                <w:sz w:val="3"/>
                <w:szCs w:val="3"/>
                <w:color w:val="auto"/>
              </w:rPr>
            </w:pPr>
          </w:p>
        </w:tc>
        <w:tc>
          <w:tcPr>
            <w:tcW w:w="300" w:type="dxa"/>
            <w:vAlign w:val="bottom"/>
            <w:shd w:val="clear" w:color="auto" w:fill="DCF3FA"/>
          </w:tcPr>
          <w:p>
            <w:pPr>
              <w:spacing w:after="0"/>
              <w:rPr>
                <w:sz w:val="3"/>
                <w:szCs w:val="3"/>
                <w:color w:val="auto"/>
              </w:rPr>
            </w:pPr>
          </w:p>
        </w:tc>
        <w:tc>
          <w:tcPr>
            <w:tcW w:w="100" w:type="dxa"/>
            <w:vAlign w:val="bottom"/>
          </w:tcPr>
          <w:p>
            <w:pPr>
              <w:spacing w:after="0"/>
              <w:rPr>
                <w:sz w:val="3"/>
                <w:szCs w:val="3"/>
                <w:color w:val="auto"/>
              </w:rPr>
            </w:pPr>
          </w:p>
        </w:tc>
        <w:tc>
          <w:tcPr>
            <w:tcW w:w="5300" w:type="dxa"/>
            <w:vAlign w:val="bottom"/>
            <w:gridSpan w:val="2"/>
            <w:vMerge w:val="continue"/>
          </w:tcPr>
          <w:p>
            <w:pPr>
              <w:spacing w:after="0"/>
              <w:rPr>
                <w:sz w:val="3"/>
                <w:szCs w:val="3"/>
                <w:color w:val="auto"/>
              </w:rPr>
            </w:pPr>
          </w:p>
        </w:tc>
        <w:tc>
          <w:tcPr>
            <w:tcW w:w="300" w:type="dxa"/>
            <w:vAlign w:val="bottom"/>
            <w:shd w:val="clear" w:color="auto" w:fill="DCF3FA"/>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560" w:type="dxa"/>
            <w:vAlign w:val="bottom"/>
            <w:tcBorders>
              <w:right w:val="single" w:sz="8" w:color="DCF3FA"/>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700" w:type="dxa"/>
            <w:vAlign w:val="bottom"/>
            <w:gridSpan w:val="2"/>
            <w:vMerge w:val="continue"/>
          </w:tcPr>
          <w:p>
            <w:pPr>
              <w:spacing w:after="0"/>
              <w:rPr>
                <w:sz w:val="5"/>
                <w:szCs w:val="5"/>
                <w:color w:val="auto"/>
              </w:rPr>
            </w:pPr>
          </w:p>
        </w:tc>
        <w:tc>
          <w:tcPr>
            <w:tcW w:w="300" w:type="dxa"/>
            <w:vAlign w:val="bottom"/>
            <w:shd w:val="clear" w:color="auto" w:fill="DCF3FA"/>
          </w:tcPr>
          <w:p>
            <w:pPr>
              <w:spacing w:after="0"/>
              <w:rPr>
                <w:sz w:val="5"/>
                <w:szCs w:val="5"/>
                <w:color w:val="auto"/>
              </w:rPr>
            </w:pPr>
          </w:p>
        </w:tc>
        <w:tc>
          <w:tcPr>
            <w:tcW w:w="100" w:type="dxa"/>
            <w:vAlign w:val="bottom"/>
          </w:tcPr>
          <w:p>
            <w:pPr>
              <w:spacing w:after="0"/>
              <w:rPr>
                <w:sz w:val="5"/>
                <w:szCs w:val="5"/>
                <w:color w:val="auto"/>
              </w:rPr>
            </w:pPr>
          </w:p>
        </w:tc>
        <w:tc>
          <w:tcPr>
            <w:tcW w:w="5300" w:type="dxa"/>
            <w:vAlign w:val="bottom"/>
            <w:gridSpan w:val="2"/>
            <w:vMerge w:val="restart"/>
          </w:tcPr>
          <w:p>
            <w:pPr>
              <w:ind w:left="560"/>
              <w:spacing w:after="0" w:line="169" w:lineRule="exact"/>
              <w:rPr>
                <w:sz w:val="20"/>
                <w:szCs w:val="20"/>
                <w:color w:val="auto"/>
              </w:rPr>
            </w:pPr>
            <w:r>
              <w:rPr>
                <w:rFonts w:ascii="Calibri" w:cs="Calibri" w:eastAsia="Calibri" w:hAnsi="Calibri"/>
                <w:sz w:val="16"/>
                <w:szCs w:val="16"/>
                <w:color w:val="auto"/>
              </w:rPr>
              <w:t>accountng standards changes, risk management maters and other</w:t>
            </w:r>
          </w:p>
        </w:tc>
        <w:tc>
          <w:tcPr>
            <w:tcW w:w="300" w:type="dxa"/>
            <w:vAlign w:val="bottom"/>
            <w:shd w:val="clear" w:color="auto" w:fill="DCF3FA"/>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560" w:type="dxa"/>
            <w:vAlign w:val="bottom"/>
            <w:tcBorders>
              <w:right w:val="single" w:sz="8" w:color="DCF3FA"/>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700" w:type="dxa"/>
            <w:vAlign w:val="bottom"/>
            <w:gridSpan w:val="2"/>
            <w:vMerge w:val="restart"/>
          </w:tcPr>
          <w:p>
            <w:pPr>
              <w:ind w:left="20"/>
              <w:spacing w:after="0"/>
              <w:rPr>
                <w:sz w:val="20"/>
                <w:szCs w:val="20"/>
                <w:color w:val="auto"/>
              </w:rPr>
            </w:pPr>
            <w:r>
              <w:rPr>
                <w:rFonts w:ascii="Calibri" w:cs="Calibri" w:eastAsia="Calibri" w:hAnsi="Calibri"/>
                <w:sz w:val="16"/>
                <w:szCs w:val="16"/>
                <w:color w:val="FB4E0B"/>
              </w:rPr>
              <w:t>•</w:t>
            </w:r>
            <w:r>
              <w:rPr>
                <w:rFonts w:ascii="Calibri" w:cs="Calibri" w:eastAsia="Calibri" w:hAnsi="Calibri"/>
                <w:sz w:val="16"/>
                <w:szCs w:val="16"/>
                <w:color w:val="000000"/>
              </w:rPr>
              <w:t xml:space="preserve">    corporate governance framework.</w:t>
            </w:r>
          </w:p>
        </w:tc>
        <w:tc>
          <w:tcPr>
            <w:tcW w:w="300" w:type="dxa"/>
            <w:vAlign w:val="bottom"/>
            <w:shd w:val="clear" w:color="auto" w:fill="DCF3FA"/>
          </w:tcPr>
          <w:p>
            <w:pPr>
              <w:spacing w:after="0"/>
              <w:rPr>
                <w:sz w:val="8"/>
                <w:szCs w:val="8"/>
                <w:color w:val="auto"/>
              </w:rPr>
            </w:pPr>
          </w:p>
        </w:tc>
        <w:tc>
          <w:tcPr>
            <w:tcW w:w="100" w:type="dxa"/>
            <w:vAlign w:val="bottom"/>
          </w:tcPr>
          <w:p>
            <w:pPr>
              <w:spacing w:after="0"/>
              <w:rPr>
                <w:sz w:val="8"/>
                <w:szCs w:val="8"/>
                <w:color w:val="auto"/>
              </w:rPr>
            </w:pPr>
          </w:p>
        </w:tc>
        <w:tc>
          <w:tcPr>
            <w:tcW w:w="5300" w:type="dxa"/>
            <w:vAlign w:val="bottom"/>
            <w:gridSpan w:val="2"/>
            <w:vMerge w:val="continue"/>
          </w:tcPr>
          <w:p>
            <w:pPr>
              <w:spacing w:after="0"/>
              <w:rPr>
                <w:sz w:val="8"/>
                <w:szCs w:val="8"/>
                <w:color w:val="auto"/>
              </w:rPr>
            </w:pPr>
          </w:p>
        </w:tc>
        <w:tc>
          <w:tcPr>
            <w:tcW w:w="300" w:type="dxa"/>
            <w:vAlign w:val="bottom"/>
            <w:shd w:val="clear" w:color="auto" w:fill="DCF3FA"/>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60" w:type="dxa"/>
            <w:vAlign w:val="bottom"/>
            <w:tcBorders>
              <w:right w:val="single" w:sz="8" w:color="DCF3FA"/>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700" w:type="dxa"/>
            <w:vAlign w:val="bottom"/>
            <w:gridSpan w:val="2"/>
            <w:vMerge w:val="continue"/>
          </w:tcPr>
          <w:p>
            <w:pPr>
              <w:spacing w:after="0"/>
              <w:rPr>
                <w:sz w:val="11"/>
                <w:szCs w:val="11"/>
                <w:color w:val="auto"/>
              </w:rPr>
            </w:pPr>
          </w:p>
        </w:tc>
        <w:tc>
          <w:tcPr>
            <w:tcW w:w="300" w:type="dxa"/>
            <w:vAlign w:val="bottom"/>
            <w:shd w:val="clear" w:color="auto" w:fill="DCF3FA"/>
          </w:tcPr>
          <w:p>
            <w:pPr>
              <w:spacing w:after="0"/>
              <w:rPr>
                <w:sz w:val="11"/>
                <w:szCs w:val="11"/>
                <w:color w:val="auto"/>
              </w:rPr>
            </w:pPr>
          </w:p>
        </w:tc>
        <w:tc>
          <w:tcPr>
            <w:tcW w:w="100" w:type="dxa"/>
            <w:vAlign w:val="bottom"/>
          </w:tcPr>
          <w:p>
            <w:pPr>
              <w:spacing w:after="0"/>
              <w:rPr>
                <w:sz w:val="11"/>
                <w:szCs w:val="11"/>
                <w:color w:val="auto"/>
              </w:rPr>
            </w:pPr>
          </w:p>
        </w:tc>
        <w:tc>
          <w:tcPr>
            <w:tcW w:w="5300" w:type="dxa"/>
            <w:vAlign w:val="bottom"/>
            <w:gridSpan w:val="2"/>
            <w:vMerge w:val="restart"/>
          </w:tcPr>
          <w:p>
            <w:pPr>
              <w:ind w:left="560"/>
              <w:spacing w:after="0" w:line="182" w:lineRule="exact"/>
              <w:rPr>
                <w:sz w:val="20"/>
                <w:szCs w:val="20"/>
                <w:color w:val="auto"/>
              </w:rPr>
            </w:pPr>
            <w:r>
              <w:rPr>
                <w:rFonts w:ascii="Calibri" w:cs="Calibri" w:eastAsia="Calibri" w:hAnsi="Calibri"/>
                <w:sz w:val="16"/>
                <w:szCs w:val="16"/>
                <w:color w:val="auto"/>
              </w:rPr>
              <w:t>legal and other topics of interest from a variety of internal and</w:t>
            </w:r>
          </w:p>
        </w:tc>
        <w:tc>
          <w:tcPr>
            <w:tcW w:w="300" w:type="dxa"/>
            <w:vAlign w:val="bottom"/>
            <w:shd w:val="clear" w:color="auto" w:fill="DCF3FA"/>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560" w:type="dxa"/>
            <w:vAlign w:val="bottom"/>
            <w:tcBorders>
              <w:right w:val="single" w:sz="8" w:color="DCF3FA"/>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shd w:val="clear" w:color="auto" w:fill="DCF3FA"/>
          </w:tcPr>
          <w:p>
            <w:pPr>
              <w:spacing w:after="0"/>
              <w:rPr>
                <w:sz w:val="4"/>
                <w:szCs w:val="4"/>
                <w:color w:val="auto"/>
              </w:rPr>
            </w:pPr>
          </w:p>
        </w:tc>
        <w:tc>
          <w:tcPr>
            <w:tcW w:w="100" w:type="dxa"/>
            <w:vAlign w:val="bottom"/>
          </w:tcPr>
          <w:p>
            <w:pPr>
              <w:spacing w:after="0"/>
              <w:rPr>
                <w:sz w:val="4"/>
                <w:szCs w:val="4"/>
                <w:color w:val="auto"/>
              </w:rPr>
            </w:pPr>
          </w:p>
        </w:tc>
        <w:tc>
          <w:tcPr>
            <w:tcW w:w="5300" w:type="dxa"/>
            <w:vAlign w:val="bottom"/>
            <w:gridSpan w:val="2"/>
            <w:vMerge w:val="continue"/>
          </w:tcPr>
          <w:p>
            <w:pPr>
              <w:spacing w:after="0"/>
              <w:rPr>
                <w:sz w:val="4"/>
                <w:szCs w:val="4"/>
                <w:color w:val="auto"/>
              </w:rPr>
            </w:pPr>
          </w:p>
        </w:tc>
        <w:tc>
          <w:tcPr>
            <w:tcW w:w="300" w:type="dxa"/>
            <w:vAlign w:val="bottom"/>
            <w:shd w:val="clear" w:color="auto" w:fill="DCF3FA"/>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60" w:type="dxa"/>
            <w:vAlign w:val="bottom"/>
            <w:tcBorders>
              <w:right w:val="single" w:sz="8" w:color="DCF3FA"/>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shd w:val="clear" w:color="auto" w:fill="DCF3FA"/>
          </w:tcPr>
          <w:p>
            <w:pPr>
              <w:spacing w:after="0"/>
              <w:rPr>
                <w:sz w:val="16"/>
                <w:szCs w:val="16"/>
                <w:color w:val="auto"/>
              </w:rPr>
            </w:pPr>
          </w:p>
        </w:tc>
        <w:tc>
          <w:tcPr>
            <w:tcW w:w="100" w:type="dxa"/>
            <w:vAlign w:val="bottom"/>
          </w:tcPr>
          <w:p>
            <w:pPr>
              <w:spacing w:after="0"/>
              <w:rPr>
                <w:sz w:val="16"/>
                <w:szCs w:val="16"/>
                <w:color w:val="auto"/>
              </w:rPr>
            </w:pPr>
          </w:p>
        </w:tc>
        <w:tc>
          <w:tcPr>
            <w:tcW w:w="5300" w:type="dxa"/>
            <w:vAlign w:val="bottom"/>
            <w:gridSpan w:val="2"/>
          </w:tcPr>
          <w:p>
            <w:pPr>
              <w:ind w:left="560"/>
              <w:spacing w:after="0" w:line="185" w:lineRule="exact"/>
              <w:rPr>
                <w:sz w:val="20"/>
                <w:szCs w:val="20"/>
                <w:color w:val="auto"/>
              </w:rPr>
            </w:pPr>
            <w:r>
              <w:rPr>
                <w:rFonts w:ascii="Calibri" w:cs="Calibri" w:eastAsia="Calibri" w:hAnsi="Calibri"/>
                <w:sz w:val="16"/>
                <w:szCs w:val="16"/>
                <w:color w:val="auto"/>
              </w:rPr>
              <w:t>external sources.</w:t>
            </w:r>
          </w:p>
        </w:tc>
        <w:tc>
          <w:tcPr>
            <w:tcW w:w="3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60" w:type="dxa"/>
            <w:vAlign w:val="bottom"/>
            <w:tcBorders>
              <w:right w:val="single" w:sz="8" w:color="DCF3FA"/>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700" w:type="dxa"/>
            <w:vAlign w:val="bottom"/>
            <w:gridSpan w:val="2"/>
          </w:tcPr>
          <w:p>
            <w:pPr>
              <w:ind w:left="920"/>
              <w:spacing w:after="0"/>
              <w:rPr>
                <w:sz w:val="20"/>
                <w:szCs w:val="20"/>
                <w:color w:val="auto"/>
              </w:rPr>
            </w:pPr>
            <w:r>
              <w:rPr>
                <w:rFonts w:ascii="Calibri" w:cs="Calibri" w:eastAsia="Calibri" w:hAnsi="Calibri"/>
                <w:sz w:val="10"/>
                <w:szCs w:val="10"/>
                <w:color w:val="auto"/>
              </w:rPr>
              <w:t> </w:t>
            </w:r>
          </w:p>
        </w:tc>
        <w:tc>
          <w:tcPr>
            <w:tcW w:w="300" w:type="dxa"/>
            <w:vAlign w:val="bottom"/>
            <w:shd w:val="clear" w:color="auto" w:fill="DCF3FA"/>
          </w:tcPr>
          <w:p>
            <w:pPr>
              <w:spacing w:after="0"/>
              <w:rPr>
                <w:sz w:val="11"/>
                <w:szCs w:val="11"/>
                <w:color w:val="auto"/>
              </w:rPr>
            </w:pPr>
          </w:p>
        </w:tc>
        <w:tc>
          <w:tcPr>
            <w:tcW w:w="10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shd w:val="clear" w:color="auto" w:fill="DCF3FA"/>
          </w:tcPr>
          <w:p>
            <w:pPr>
              <w:spacing w:after="0"/>
              <w:rPr>
                <w:sz w:val="11"/>
                <w:szCs w:val="11"/>
                <w:color w:val="auto"/>
              </w:rPr>
            </w:pPr>
          </w:p>
        </w:tc>
        <w:tc>
          <w:tcPr>
            <w:tcW w:w="0" w:type="dxa"/>
            <w:vAlign w:val="bottom"/>
          </w:tcPr>
          <w:p>
            <w:pPr>
              <w:spacing w:after="0"/>
              <w:rPr>
                <w:sz w:val="1"/>
                <w:szCs w:val="1"/>
                <w:color w:val="auto"/>
              </w:rPr>
            </w:pPr>
          </w:p>
        </w:tc>
      </w:tr>
      <w:tr>
        <w:trPr>
          <w:trHeight w:val="259"/>
        </w:trPr>
        <w:tc>
          <w:tcPr>
            <w:tcW w:w="560" w:type="dxa"/>
            <w:vAlign w:val="bottom"/>
            <w:tcBorders>
              <w:right w:val="single" w:sz="8" w:color="DCF3FA"/>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700" w:type="dxa"/>
            <w:vAlign w:val="bottom"/>
            <w:gridSpan w:val="2"/>
            <w:vMerge w:val="restart"/>
          </w:tcPr>
          <w:p>
            <w:pPr>
              <w:ind w:left="1000"/>
              <w:spacing w:after="0"/>
              <w:rPr>
                <w:sz w:val="20"/>
                <w:szCs w:val="20"/>
                <w:color w:val="auto"/>
              </w:rPr>
            </w:pPr>
            <w:r>
              <w:rPr>
                <w:rFonts w:ascii="Calibri" w:cs="Calibri" w:eastAsia="Calibri" w:hAnsi="Calibri"/>
                <w:sz w:val="17"/>
                <w:szCs w:val="17"/>
                <w:b w:val="1"/>
                <w:bCs w:val="1"/>
                <w:color w:val="auto"/>
              </w:rPr>
              <w:t>Employee engagement</w:t>
            </w:r>
          </w:p>
        </w:tc>
        <w:tc>
          <w:tcPr>
            <w:tcW w:w="300" w:type="dxa"/>
            <w:vAlign w:val="bottom"/>
            <w:shd w:val="clear" w:color="auto" w:fill="DCF3FA"/>
          </w:tcPr>
          <w:p>
            <w:pPr>
              <w:spacing w:after="0"/>
              <w:rPr>
                <w:sz w:val="22"/>
                <w:szCs w:val="22"/>
                <w:color w:val="auto"/>
              </w:rPr>
            </w:pPr>
          </w:p>
        </w:tc>
        <w:tc>
          <w:tcPr>
            <w:tcW w:w="100" w:type="dxa"/>
            <w:vAlign w:val="bottom"/>
          </w:tcPr>
          <w:p>
            <w:pPr>
              <w:spacing w:after="0"/>
              <w:rPr>
                <w:sz w:val="22"/>
                <w:szCs w:val="22"/>
                <w:color w:val="auto"/>
              </w:rPr>
            </w:pPr>
          </w:p>
        </w:tc>
        <w:tc>
          <w:tcPr>
            <w:tcW w:w="5300" w:type="dxa"/>
            <w:vAlign w:val="bottom"/>
            <w:gridSpan w:val="2"/>
          </w:tcPr>
          <w:p>
            <w:pPr>
              <w:ind w:left="80"/>
              <w:spacing w:after="0"/>
              <w:rPr>
                <w:sz w:val="20"/>
                <w:szCs w:val="20"/>
                <w:color w:val="auto"/>
              </w:rPr>
            </w:pPr>
            <w:r>
              <w:rPr>
                <w:rFonts w:ascii="Calibri" w:cs="Calibri" w:eastAsia="Calibri" w:hAnsi="Calibri"/>
                <w:sz w:val="16"/>
                <w:szCs w:val="16"/>
                <w:color w:val="auto"/>
              </w:rPr>
              <w:t xml:space="preserve">Our directors are actve DCE partcipants: For example, in 2023, </w:t>
            </w:r>
            <w:r>
              <w:rPr>
                <w:rFonts w:ascii="Calibri" w:cs="Calibri" w:eastAsia="Calibri" w:hAnsi="Calibri"/>
                <w:sz w:val="16"/>
                <w:szCs w:val="16"/>
                <w:b w:val="1"/>
                <w:bCs w:val="1"/>
                <w:color w:val="auto"/>
              </w:rPr>
              <w:t>Ms. Pipes</w:t>
            </w:r>
            <w:r>
              <w:rPr>
                <w:rFonts w:ascii="Calibri" w:cs="Calibri" w:eastAsia="Calibri" w:hAnsi="Calibri"/>
                <w:sz w:val="16"/>
                <w:szCs w:val="16"/>
                <w:color w:val="auto"/>
              </w:rPr>
              <w:t>:</w:t>
            </w:r>
          </w:p>
        </w:tc>
        <w:tc>
          <w:tcPr>
            <w:tcW w:w="300" w:type="dxa"/>
            <w:vAlign w:val="bottom"/>
            <w:shd w:val="clear" w:color="auto" w:fill="DCF3FA"/>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560" w:type="dxa"/>
            <w:vAlign w:val="bottom"/>
            <w:tcBorders>
              <w:right w:val="single" w:sz="8" w:color="DCF3FA"/>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700" w:type="dxa"/>
            <w:vAlign w:val="bottom"/>
            <w:gridSpan w:val="2"/>
            <w:vMerge w:val="continue"/>
          </w:tcPr>
          <w:p>
            <w:pPr>
              <w:spacing w:after="0"/>
              <w:rPr>
                <w:sz w:val="11"/>
                <w:szCs w:val="11"/>
                <w:color w:val="auto"/>
              </w:rPr>
            </w:pPr>
          </w:p>
        </w:tc>
        <w:tc>
          <w:tcPr>
            <w:tcW w:w="300" w:type="dxa"/>
            <w:vAlign w:val="bottom"/>
            <w:shd w:val="clear" w:color="auto" w:fill="DCF3FA"/>
          </w:tcPr>
          <w:p>
            <w:pPr>
              <w:spacing w:after="0"/>
              <w:rPr>
                <w:sz w:val="11"/>
                <w:szCs w:val="11"/>
                <w:color w:val="auto"/>
              </w:rPr>
            </w:pPr>
          </w:p>
        </w:tc>
        <w:tc>
          <w:tcPr>
            <w:tcW w:w="100" w:type="dxa"/>
            <w:vAlign w:val="bottom"/>
          </w:tcPr>
          <w:p>
            <w:pPr>
              <w:spacing w:after="0"/>
              <w:rPr>
                <w:sz w:val="11"/>
                <w:szCs w:val="11"/>
                <w:color w:val="auto"/>
              </w:rPr>
            </w:pPr>
          </w:p>
        </w:tc>
        <w:tc>
          <w:tcPr>
            <w:tcW w:w="5300" w:type="dxa"/>
            <w:vAlign w:val="bottom"/>
            <w:gridSpan w:val="2"/>
            <w:vMerge w:val="restart"/>
          </w:tcPr>
          <w:p>
            <w:pPr>
              <w:ind w:left="320"/>
              <w:spacing w:after="0"/>
              <w:rPr>
                <w:sz w:val="20"/>
                <w:szCs w:val="20"/>
                <w:color w:val="auto"/>
              </w:rPr>
            </w:pPr>
            <w:r>
              <w:rPr>
                <w:rFonts w:ascii="Calibri" w:cs="Calibri" w:eastAsia="Calibri" w:hAnsi="Calibri"/>
                <w:sz w:val="16"/>
                <w:szCs w:val="16"/>
                <w:color w:val="FB4E0B"/>
              </w:rPr>
              <w:t>•</w:t>
            </w:r>
            <w:r>
              <w:rPr>
                <w:rFonts w:ascii="Calibri" w:cs="Calibri" w:eastAsia="Calibri" w:hAnsi="Calibri"/>
                <w:sz w:val="16"/>
                <w:szCs w:val="16"/>
                <w:color w:val="000000"/>
              </w:rPr>
              <w:t xml:space="preserve">    atended an NACD forum on resiliency and risk,</w:t>
            </w:r>
          </w:p>
        </w:tc>
        <w:tc>
          <w:tcPr>
            <w:tcW w:w="300" w:type="dxa"/>
            <w:vAlign w:val="bottom"/>
            <w:shd w:val="clear" w:color="auto" w:fill="DCF3FA"/>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560" w:type="dxa"/>
            <w:vAlign w:val="bottom"/>
            <w:tcBorders>
              <w:right w:val="single" w:sz="8" w:color="DCF3FA"/>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00" w:type="dxa"/>
            <w:vAlign w:val="bottom"/>
            <w:tcBorders>
              <w:bottom w:val="single" w:sz="8" w:color="DCF3FA"/>
            </w:tcBorders>
            <w:shd w:val="clear" w:color="auto" w:fill="DCF3FA"/>
          </w:tcPr>
          <w:p>
            <w:pPr>
              <w:spacing w:after="0"/>
              <w:rPr>
                <w:sz w:val="3"/>
                <w:szCs w:val="3"/>
                <w:color w:val="auto"/>
              </w:rPr>
            </w:pPr>
          </w:p>
        </w:tc>
        <w:tc>
          <w:tcPr>
            <w:tcW w:w="100" w:type="dxa"/>
            <w:vAlign w:val="bottom"/>
            <w:vMerge w:val="restart"/>
          </w:tcPr>
          <w:p>
            <w:pPr>
              <w:spacing w:after="0"/>
              <w:rPr>
                <w:sz w:val="3"/>
                <w:szCs w:val="3"/>
                <w:color w:val="auto"/>
              </w:rPr>
            </w:pPr>
          </w:p>
        </w:tc>
        <w:tc>
          <w:tcPr>
            <w:tcW w:w="5300" w:type="dxa"/>
            <w:vAlign w:val="bottom"/>
            <w:gridSpan w:val="2"/>
            <w:vMerge w:val="continue"/>
          </w:tcPr>
          <w:p>
            <w:pPr>
              <w:spacing w:after="0"/>
              <w:rPr>
                <w:sz w:val="3"/>
                <w:szCs w:val="3"/>
                <w:color w:val="auto"/>
              </w:rPr>
            </w:pPr>
          </w:p>
        </w:tc>
        <w:tc>
          <w:tcPr>
            <w:tcW w:w="300" w:type="dxa"/>
            <w:vAlign w:val="bottom"/>
            <w:tcBorders>
              <w:bottom w:val="single" w:sz="8" w:color="DCF3FA"/>
            </w:tcBorders>
            <w:shd w:val="clear" w:color="auto" w:fill="DCF3FA"/>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560" w:type="dxa"/>
            <w:vAlign w:val="bottom"/>
            <w:tcBorders>
              <w:right w:val="single" w:sz="8" w:color="DCF3FA"/>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0" w:type="dxa"/>
            <w:vAlign w:val="bottom"/>
          </w:tcPr>
          <w:p>
            <w:pPr>
              <w:ind w:left="1180"/>
              <w:spacing w:after="0" w:line="132" w:lineRule="exact"/>
              <w:rPr>
                <w:sz w:val="20"/>
                <w:szCs w:val="20"/>
                <w:color w:val="auto"/>
              </w:rPr>
            </w:pPr>
            <w:r>
              <w:rPr>
                <w:rFonts w:ascii="Calibri" w:cs="Calibri" w:eastAsia="Calibri" w:hAnsi="Calibri"/>
                <w:sz w:val="14"/>
                <w:szCs w:val="14"/>
                <w:color w:val="auto"/>
              </w:rPr>
              <w:t>Our directors are generally invited to</w:t>
            </w:r>
          </w:p>
        </w:tc>
        <w:tc>
          <w:tcPr>
            <w:tcW w:w="100" w:type="dxa"/>
            <w:vAlign w:val="bottom"/>
            <w:vMerge w:val="continue"/>
          </w:tcPr>
          <w:p>
            <w:pPr>
              <w:spacing w:after="0"/>
              <w:rPr>
                <w:sz w:val="11"/>
                <w:szCs w:val="11"/>
                <w:color w:val="auto"/>
              </w:rPr>
            </w:pPr>
          </w:p>
        </w:tc>
        <w:tc>
          <w:tcPr>
            <w:tcW w:w="300" w:type="dxa"/>
            <w:vAlign w:val="bottom"/>
            <w:shd w:val="clear" w:color="auto" w:fill="DCF3FA"/>
          </w:tcPr>
          <w:p>
            <w:pPr>
              <w:spacing w:after="0"/>
              <w:rPr>
                <w:sz w:val="11"/>
                <w:szCs w:val="11"/>
                <w:color w:val="auto"/>
              </w:rPr>
            </w:pPr>
          </w:p>
        </w:tc>
        <w:tc>
          <w:tcPr>
            <w:tcW w:w="100" w:type="dxa"/>
            <w:vAlign w:val="bottom"/>
            <w:vMerge w:val="continue"/>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300" w:type="dxa"/>
            <w:vAlign w:val="bottom"/>
            <w:shd w:val="clear" w:color="auto" w:fill="DCF3FA"/>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60" w:type="dxa"/>
            <w:vAlign w:val="bottom"/>
            <w:tcBorders>
              <w:right w:val="single" w:sz="8" w:color="DCF3FA"/>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00" w:type="dxa"/>
            <w:vAlign w:val="bottom"/>
            <w:gridSpan w:val="2"/>
          </w:tcPr>
          <w:p>
            <w:pPr>
              <w:ind w:left="1180"/>
              <w:spacing w:after="0" w:line="182" w:lineRule="exact"/>
              <w:rPr>
                <w:sz w:val="20"/>
                <w:szCs w:val="20"/>
                <w:color w:val="auto"/>
              </w:rPr>
            </w:pPr>
            <w:r>
              <w:rPr>
                <w:rFonts w:ascii="Calibri" w:cs="Calibri" w:eastAsia="Calibri" w:hAnsi="Calibri"/>
                <w:sz w:val="16"/>
                <w:szCs w:val="16"/>
                <w:color w:val="auto"/>
              </w:rPr>
              <w:t>visit any EXL ofce and have complete</w:t>
            </w:r>
          </w:p>
        </w:tc>
        <w:tc>
          <w:tcPr>
            <w:tcW w:w="300" w:type="dxa"/>
            <w:vAlign w:val="bottom"/>
            <w:shd w:val="clear" w:color="auto" w:fill="DCF3FA"/>
          </w:tcPr>
          <w:p>
            <w:pPr>
              <w:spacing w:after="0"/>
              <w:rPr>
                <w:sz w:val="15"/>
                <w:szCs w:val="15"/>
                <w:color w:val="auto"/>
              </w:rPr>
            </w:pPr>
          </w:p>
        </w:tc>
        <w:tc>
          <w:tcPr>
            <w:tcW w:w="100" w:type="dxa"/>
            <w:vAlign w:val="bottom"/>
          </w:tcPr>
          <w:p>
            <w:pPr>
              <w:spacing w:after="0"/>
              <w:rPr>
                <w:sz w:val="15"/>
                <w:szCs w:val="15"/>
                <w:color w:val="auto"/>
              </w:rPr>
            </w:pPr>
          </w:p>
        </w:tc>
        <w:tc>
          <w:tcPr>
            <w:tcW w:w="5300" w:type="dxa"/>
            <w:vAlign w:val="bottom"/>
            <w:gridSpan w:val="2"/>
            <w:vMerge w:val="restart"/>
          </w:tcPr>
          <w:p>
            <w:pPr>
              <w:ind w:left="320"/>
              <w:spacing w:after="0"/>
              <w:rPr>
                <w:sz w:val="20"/>
                <w:szCs w:val="20"/>
                <w:color w:val="auto"/>
              </w:rPr>
            </w:pPr>
            <w:r>
              <w:rPr>
                <w:rFonts w:ascii="Calibri" w:cs="Calibri" w:eastAsia="Calibri" w:hAnsi="Calibri"/>
                <w:sz w:val="16"/>
                <w:szCs w:val="16"/>
                <w:color w:val="FB4E0B"/>
              </w:rPr>
              <w:t>•</w:t>
            </w:r>
            <w:r>
              <w:rPr>
                <w:rFonts w:ascii="Calibri" w:cs="Calibri" w:eastAsia="Calibri" w:hAnsi="Calibri"/>
                <w:sz w:val="16"/>
                <w:szCs w:val="16"/>
                <w:color w:val="000000"/>
              </w:rPr>
              <w:t xml:space="preserve">    partcipated in over 90 hours of courses and trainings on AI, audit</w:t>
            </w:r>
          </w:p>
        </w:tc>
        <w:tc>
          <w:tcPr>
            <w:tcW w:w="300" w:type="dxa"/>
            <w:vAlign w:val="bottom"/>
            <w:shd w:val="clear" w:color="auto" w:fill="DCF3FA"/>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560" w:type="dxa"/>
            <w:vAlign w:val="bottom"/>
            <w:tcBorders>
              <w:right w:val="single" w:sz="8" w:color="DCF3FA"/>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700" w:type="dxa"/>
            <w:vAlign w:val="bottom"/>
            <w:gridSpan w:val="2"/>
            <w:vMerge w:val="restart"/>
          </w:tcPr>
          <w:p>
            <w:pPr>
              <w:ind w:left="1180"/>
              <w:spacing w:after="0" w:line="169" w:lineRule="exact"/>
              <w:rPr>
                <w:sz w:val="20"/>
                <w:szCs w:val="20"/>
                <w:color w:val="auto"/>
              </w:rPr>
            </w:pPr>
            <w:r>
              <w:rPr>
                <w:rFonts w:ascii="Calibri" w:cs="Calibri" w:eastAsia="Calibri" w:hAnsi="Calibri"/>
                <w:sz w:val="16"/>
                <w:szCs w:val="16"/>
                <w:color w:val="auto"/>
              </w:rPr>
              <w:t>and open access to our management</w:t>
            </w:r>
          </w:p>
        </w:tc>
        <w:tc>
          <w:tcPr>
            <w:tcW w:w="300" w:type="dxa"/>
            <w:vAlign w:val="bottom"/>
            <w:shd w:val="clear" w:color="auto" w:fill="DCF3FA"/>
          </w:tcPr>
          <w:p>
            <w:pPr>
              <w:spacing w:after="0"/>
              <w:rPr>
                <w:sz w:val="5"/>
                <w:szCs w:val="5"/>
                <w:color w:val="auto"/>
              </w:rPr>
            </w:pPr>
          </w:p>
        </w:tc>
        <w:tc>
          <w:tcPr>
            <w:tcW w:w="100" w:type="dxa"/>
            <w:vAlign w:val="bottom"/>
          </w:tcPr>
          <w:p>
            <w:pPr>
              <w:spacing w:after="0"/>
              <w:rPr>
                <w:sz w:val="5"/>
                <w:szCs w:val="5"/>
                <w:color w:val="auto"/>
              </w:rPr>
            </w:pPr>
          </w:p>
        </w:tc>
        <w:tc>
          <w:tcPr>
            <w:tcW w:w="5300" w:type="dxa"/>
            <w:vAlign w:val="bottom"/>
            <w:gridSpan w:val="2"/>
            <w:vMerge w:val="continue"/>
          </w:tcPr>
          <w:p>
            <w:pPr>
              <w:spacing w:after="0"/>
              <w:rPr>
                <w:sz w:val="5"/>
                <w:szCs w:val="5"/>
                <w:color w:val="auto"/>
              </w:rPr>
            </w:pPr>
          </w:p>
        </w:tc>
        <w:tc>
          <w:tcPr>
            <w:tcW w:w="300" w:type="dxa"/>
            <w:vAlign w:val="bottom"/>
            <w:shd w:val="clear" w:color="auto" w:fill="DCF3FA"/>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560" w:type="dxa"/>
            <w:vAlign w:val="bottom"/>
            <w:tcBorders>
              <w:right w:val="single" w:sz="8" w:color="DCF3FA"/>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700" w:type="dxa"/>
            <w:vAlign w:val="bottom"/>
            <w:gridSpan w:val="2"/>
            <w:vMerge w:val="continue"/>
          </w:tcPr>
          <w:p>
            <w:pPr>
              <w:spacing w:after="0"/>
              <w:rPr>
                <w:sz w:val="9"/>
                <w:szCs w:val="9"/>
                <w:color w:val="auto"/>
              </w:rPr>
            </w:pPr>
          </w:p>
        </w:tc>
        <w:tc>
          <w:tcPr>
            <w:tcW w:w="300" w:type="dxa"/>
            <w:vAlign w:val="bottom"/>
            <w:shd w:val="clear" w:color="auto" w:fill="DCF3FA"/>
          </w:tcPr>
          <w:p>
            <w:pPr>
              <w:spacing w:after="0"/>
              <w:rPr>
                <w:sz w:val="9"/>
                <w:szCs w:val="9"/>
                <w:color w:val="auto"/>
              </w:rPr>
            </w:pPr>
          </w:p>
        </w:tc>
        <w:tc>
          <w:tcPr>
            <w:tcW w:w="100" w:type="dxa"/>
            <w:vAlign w:val="bottom"/>
          </w:tcPr>
          <w:p>
            <w:pPr>
              <w:spacing w:after="0"/>
              <w:rPr>
                <w:sz w:val="9"/>
                <w:szCs w:val="9"/>
                <w:color w:val="auto"/>
              </w:rPr>
            </w:pPr>
          </w:p>
        </w:tc>
        <w:tc>
          <w:tcPr>
            <w:tcW w:w="5300" w:type="dxa"/>
            <w:vAlign w:val="bottom"/>
            <w:gridSpan w:val="2"/>
            <w:vMerge w:val="restart"/>
          </w:tcPr>
          <w:p>
            <w:pPr>
              <w:ind w:left="560"/>
              <w:spacing w:after="0" w:line="169" w:lineRule="exact"/>
              <w:rPr>
                <w:sz w:val="20"/>
                <w:szCs w:val="20"/>
                <w:color w:val="auto"/>
              </w:rPr>
            </w:pPr>
            <w:r>
              <w:rPr>
                <w:rFonts w:ascii="Calibri" w:cs="Calibri" w:eastAsia="Calibri" w:hAnsi="Calibri"/>
                <w:sz w:val="16"/>
                <w:szCs w:val="16"/>
                <w:color w:val="auto"/>
              </w:rPr>
              <w:t>commitee efectveness, cybersecurity and ESG, among other topics,</w:t>
            </w:r>
          </w:p>
        </w:tc>
        <w:tc>
          <w:tcPr>
            <w:tcW w:w="300" w:type="dxa"/>
            <w:vAlign w:val="bottom"/>
            <w:shd w:val="clear" w:color="auto" w:fill="DCF3FA"/>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560" w:type="dxa"/>
            <w:vAlign w:val="bottom"/>
            <w:tcBorders>
              <w:right w:val="single" w:sz="8" w:color="DCF3FA"/>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700" w:type="dxa"/>
            <w:vAlign w:val="bottom"/>
            <w:gridSpan w:val="2"/>
            <w:vMerge w:val="restart"/>
          </w:tcPr>
          <w:p>
            <w:pPr>
              <w:ind w:left="1180"/>
              <w:spacing w:after="0" w:line="185" w:lineRule="exact"/>
              <w:rPr>
                <w:sz w:val="20"/>
                <w:szCs w:val="20"/>
                <w:color w:val="auto"/>
              </w:rPr>
            </w:pPr>
            <w:r>
              <w:rPr>
                <w:rFonts w:ascii="Calibri" w:cs="Calibri" w:eastAsia="Calibri" w:hAnsi="Calibri"/>
                <w:sz w:val="16"/>
                <w:szCs w:val="16"/>
                <w:color w:val="auto"/>
              </w:rPr>
              <w:t>and employees.</w:t>
            </w:r>
          </w:p>
        </w:tc>
        <w:tc>
          <w:tcPr>
            <w:tcW w:w="300" w:type="dxa"/>
            <w:vAlign w:val="bottom"/>
            <w:shd w:val="clear" w:color="auto" w:fill="DCF3FA"/>
          </w:tcPr>
          <w:p>
            <w:pPr>
              <w:spacing w:after="0"/>
              <w:rPr>
                <w:sz w:val="5"/>
                <w:szCs w:val="5"/>
                <w:color w:val="auto"/>
              </w:rPr>
            </w:pPr>
          </w:p>
        </w:tc>
        <w:tc>
          <w:tcPr>
            <w:tcW w:w="100" w:type="dxa"/>
            <w:vAlign w:val="bottom"/>
          </w:tcPr>
          <w:p>
            <w:pPr>
              <w:spacing w:after="0"/>
              <w:rPr>
                <w:sz w:val="5"/>
                <w:szCs w:val="5"/>
                <w:color w:val="auto"/>
              </w:rPr>
            </w:pPr>
          </w:p>
        </w:tc>
        <w:tc>
          <w:tcPr>
            <w:tcW w:w="5300" w:type="dxa"/>
            <w:vAlign w:val="bottom"/>
            <w:gridSpan w:val="2"/>
            <w:vMerge w:val="continue"/>
          </w:tcPr>
          <w:p>
            <w:pPr>
              <w:spacing w:after="0"/>
              <w:rPr>
                <w:sz w:val="5"/>
                <w:szCs w:val="5"/>
                <w:color w:val="auto"/>
              </w:rPr>
            </w:pPr>
          </w:p>
        </w:tc>
        <w:tc>
          <w:tcPr>
            <w:tcW w:w="300" w:type="dxa"/>
            <w:vAlign w:val="bottom"/>
            <w:shd w:val="clear" w:color="auto" w:fill="DCF3FA"/>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560" w:type="dxa"/>
            <w:vAlign w:val="bottom"/>
            <w:tcBorders>
              <w:right w:val="single" w:sz="8" w:color="DCF3FA"/>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700" w:type="dxa"/>
            <w:vAlign w:val="bottom"/>
            <w:gridSpan w:val="2"/>
            <w:vMerge w:val="continue"/>
          </w:tcPr>
          <w:p>
            <w:pPr>
              <w:spacing w:after="0"/>
              <w:rPr>
                <w:sz w:val="10"/>
                <w:szCs w:val="10"/>
                <w:color w:val="auto"/>
              </w:rPr>
            </w:pPr>
          </w:p>
        </w:tc>
        <w:tc>
          <w:tcPr>
            <w:tcW w:w="300" w:type="dxa"/>
            <w:vAlign w:val="bottom"/>
            <w:shd w:val="clear" w:color="auto" w:fill="DCF3FA"/>
          </w:tcPr>
          <w:p>
            <w:pPr>
              <w:spacing w:after="0"/>
              <w:rPr>
                <w:sz w:val="10"/>
                <w:szCs w:val="10"/>
                <w:color w:val="auto"/>
              </w:rPr>
            </w:pPr>
          </w:p>
        </w:tc>
        <w:tc>
          <w:tcPr>
            <w:tcW w:w="100" w:type="dxa"/>
            <w:vAlign w:val="bottom"/>
          </w:tcPr>
          <w:p>
            <w:pPr>
              <w:spacing w:after="0"/>
              <w:rPr>
                <w:sz w:val="10"/>
                <w:szCs w:val="10"/>
                <w:color w:val="auto"/>
              </w:rPr>
            </w:pPr>
          </w:p>
        </w:tc>
        <w:tc>
          <w:tcPr>
            <w:tcW w:w="5300" w:type="dxa"/>
            <w:vAlign w:val="bottom"/>
            <w:gridSpan w:val="2"/>
            <w:vMerge w:val="restart"/>
          </w:tcPr>
          <w:p>
            <w:pPr>
              <w:ind w:left="560"/>
              <w:spacing w:after="0" w:line="185" w:lineRule="exact"/>
              <w:rPr>
                <w:sz w:val="20"/>
                <w:szCs w:val="20"/>
                <w:color w:val="auto"/>
              </w:rPr>
            </w:pPr>
            <w:r>
              <w:rPr>
                <w:rFonts w:ascii="Calibri" w:cs="Calibri" w:eastAsia="Calibri" w:hAnsi="Calibri"/>
                <w:sz w:val="16"/>
                <w:szCs w:val="16"/>
                <w:color w:val="auto"/>
              </w:rPr>
              <w:t>and</w:t>
            </w:r>
          </w:p>
        </w:tc>
        <w:tc>
          <w:tcPr>
            <w:tcW w:w="300" w:type="dxa"/>
            <w:vAlign w:val="bottom"/>
            <w:shd w:val="clear" w:color="auto" w:fill="DCF3FA"/>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560" w:type="dxa"/>
            <w:vAlign w:val="bottom"/>
            <w:tcBorders>
              <w:right w:val="single" w:sz="8" w:color="DCF3FA"/>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DCF3FA"/>
          </w:tcPr>
          <w:p>
            <w:pPr>
              <w:spacing w:after="0"/>
              <w:rPr>
                <w:sz w:val="5"/>
                <w:szCs w:val="5"/>
                <w:color w:val="auto"/>
              </w:rPr>
            </w:pPr>
          </w:p>
        </w:tc>
        <w:tc>
          <w:tcPr>
            <w:tcW w:w="100" w:type="dxa"/>
            <w:vAlign w:val="bottom"/>
          </w:tcPr>
          <w:p>
            <w:pPr>
              <w:spacing w:after="0"/>
              <w:rPr>
                <w:sz w:val="5"/>
                <w:szCs w:val="5"/>
                <w:color w:val="auto"/>
              </w:rPr>
            </w:pPr>
          </w:p>
        </w:tc>
        <w:tc>
          <w:tcPr>
            <w:tcW w:w="5300" w:type="dxa"/>
            <w:vAlign w:val="bottom"/>
            <w:gridSpan w:val="2"/>
            <w:vMerge w:val="continue"/>
          </w:tcPr>
          <w:p>
            <w:pPr>
              <w:spacing w:after="0"/>
              <w:rPr>
                <w:sz w:val="5"/>
                <w:szCs w:val="5"/>
                <w:color w:val="auto"/>
              </w:rPr>
            </w:pPr>
          </w:p>
        </w:tc>
        <w:tc>
          <w:tcPr>
            <w:tcW w:w="300" w:type="dxa"/>
            <w:vAlign w:val="bottom"/>
            <w:shd w:val="clear" w:color="auto" w:fill="DCF3FA"/>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560" w:type="dxa"/>
            <w:vAlign w:val="bottom"/>
            <w:tcBorders>
              <w:right w:val="single" w:sz="8" w:color="DCF3FA"/>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2"/>
            <w:vMerge w:val="restart"/>
          </w:tcPr>
          <w:p>
            <w:pPr>
              <w:ind w:left="20"/>
              <w:spacing w:after="0"/>
              <w:rPr>
                <w:sz w:val="20"/>
                <w:szCs w:val="20"/>
                <w:color w:val="auto"/>
              </w:rPr>
            </w:pPr>
            <w:r>
              <w:rPr>
                <w:rFonts w:ascii="Calibri" w:cs="Calibri" w:eastAsia="Calibri" w:hAnsi="Calibri"/>
                <w:sz w:val="16"/>
                <w:szCs w:val="16"/>
                <w:color w:val="auto"/>
              </w:rPr>
              <w:t>They also take part in EXL company initatves in</w:t>
            </w:r>
          </w:p>
        </w:tc>
        <w:tc>
          <w:tcPr>
            <w:tcW w:w="300" w:type="dxa"/>
            <w:vAlign w:val="bottom"/>
            <w:shd w:val="clear" w:color="auto" w:fill="DCF3FA"/>
          </w:tcPr>
          <w:p>
            <w:pPr>
              <w:spacing w:after="0"/>
              <w:rPr>
                <w:sz w:val="24"/>
                <w:szCs w:val="24"/>
                <w:color w:val="auto"/>
              </w:rPr>
            </w:pPr>
          </w:p>
        </w:tc>
        <w:tc>
          <w:tcPr>
            <w:tcW w:w="100" w:type="dxa"/>
            <w:vAlign w:val="bottom"/>
          </w:tcPr>
          <w:p>
            <w:pPr>
              <w:spacing w:after="0"/>
              <w:rPr>
                <w:sz w:val="24"/>
                <w:szCs w:val="24"/>
                <w:color w:val="auto"/>
              </w:rPr>
            </w:pPr>
          </w:p>
        </w:tc>
        <w:tc>
          <w:tcPr>
            <w:tcW w:w="5300" w:type="dxa"/>
            <w:vAlign w:val="bottom"/>
            <w:gridSpan w:val="2"/>
          </w:tcPr>
          <w:p>
            <w:pPr>
              <w:ind w:left="320"/>
              <w:spacing w:after="0"/>
              <w:rPr>
                <w:sz w:val="20"/>
                <w:szCs w:val="20"/>
                <w:color w:val="auto"/>
              </w:rPr>
            </w:pPr>
            <w:r>
              <w:rPr>
                <w:rFonts w:ascii="Calibri" w:cs="Calibri" w:eastAsia="Calibri" w:hAnsi="Calibri"/>
                <w:sz w:val="16"/>
                <w:szCs w:val="16"/>
                <w:color w:val="FB4E0B"/>
              </w:rPr>
              <w:t>•</w:t>
            </w:r>
            <w:r>
              <w:rPr>
                <w:rFonts w:ascii="Calibri" w:cs="Calibri" w:eastAsia="Calibri" w:hAnsi="Calibri"/>
                <w:sz w:val="16"/>
                <w:szCs w:val="16"/>
                <w:color w:val="000000"/>
              </w:rPr>
              <w:t xml:space="preserve">    received an NACD Cybersecurity certfcaton following her</w:t>
            </w:r>
          </w:p>
        </w:tc>
        <w:tc>
          <w:tcPr>
            <w:tcW w:w="300" w:type="dxa"/>
            <w:vAlign w:val="bottom"/>
            <w:shd w:val="clear" w:color="auto" w:fill="DCF3FA"/>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560" w:type="dxa"/>
            <w:vAlign w:val="bottom"/>
            <w:tcBorders>
              <w:right w:val="single" w:sz="8" w:color="DCF3FA"/>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700" w:type="dxa"/>
            <w:vAlign w:val="bottom"/>
            <w:gridSpan w:val="2"/>
            <w:vMerge w:val="continue"/>
          </w:tcPr>
          <w:p>
            <w:pPr>
              <w:spacing w:after="0"/>
              <w:rPr>
                <w:sz w:val="6"/>
                <w:szCs w:val="6"/>
                <w:color w:val="auto"/>
              </w:rPr>
            </w:pPr>
          </w:p>
        </w:tc>
        <w:tc>
          <w:tcPr>
            <w:tcW w:w="300" w:type="dxa"/>
            <w:vAlign w:val="bottom"/>
            <w:shd w:val="clear" w:color="auto" w:fill="DCF3FA"/>
          </w:tcPr>
          <w:p>
            <w:pPr>
              <w:spacing w:after="0"/>
              <w:rPr>
                <w:sz w:val="6"/>
                <w:szCs w:val="6"/>
                <w:color w:val="auto"/>
              </w:rPr>
            </w:pPr>
          </w:p>
        </w:tc>
        <w:tc>
          <w:tcPr>
            <w:tcW w:w="100" w:type="dxa"/>
            <w:vAlign w:val="bottom"/>
          </w:tcPr>
          <w:p>
            <w:pPr>
              <w:spacing w:after="0"/>
              <w:rPr>
                <w:sz w:val="6"/>
                <w:szCs w:val="6"/>
                <w:color w:val="auto"/>
              </w:rPr>
            </w:pPr>
          </w:p>
        </w:tc>
        <w:tc>
          <w:tcPr>
            <w:tcW w:w="5300" w:type="dxa"/>
            <w:vAlign w:val="bottom"/>
            <w:gridSpan w:val="2"/>
            <w:vMerge w:val="restart"/>
          </w:tcPr>
          <w:p>
            <w:pPr>
              <w:ind w:left="560"/>
              <w:spacing w:after="0" w:line="169" w:lineRule="exact"/>
              <w:rPr>
                <w:sz w:val="20"/>
                <w:szCs w:val="20"/>
                <w:color w:val="auto"/>
              </w:rPr>
            </w:pPr>
            <w:r>
              <w:rPr>
                <w:rFonts w:ascii="Calibri" w:cs="Calibri" w:eastAsia="Calibri" w:hAnsi="Calibri"/>
                <w:sz w:val="16"/>
                <w:szCs w:val="16"/>
                <w:color w:val="auto"/>
              </w:rPr>
              <w:t>partcipaton in the NACD’s course on Cybersecurity led by Carnegie</w:t>
            </w:r>
          </w:p>
        </w:tc>
        <w:tc>
          <w:tcPr>
            <w:tcW w:w="300" w:type="dxa"/>
            <w:vAlign w:val="bottom"/>
            <w:shd w:val="clear" w:color="auto" w:fill="DCF3FA"/>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560" w:type="dxa"/>
            <w:vAlign w:val="bottom"/>
            <w:tcBorders>
              <w:right w:val="single" w:sz="8" w:color="DCF3FA"/>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700" w:type="dxa"/>
            <w:vAlign w:val="bottom"/>
            <w:gridSpan w:val="2"/>
            <w:vMerge w:val="restart"/>
          </w:tcPr>
          <w:p>
            <w:pPr>
              <w:ind w:left="20"/>
              <w:spacing w:after="0" w:line="182" w:lineRule="exact"/>
              <w:rPr>
                <w:sz w:val="20"/>
                <w:szCs w:val="20"/>
                <w:color w:val="auto"/>
              </w:rPr>
            </w:pPr>
            <w:r>
              <w:rPr>
                <w:rFonts w:ascii="Calibri" w:cs="Calibri" w:eastAsia="Calibri" w:hAnsi="Calibri"/>
                <w:sz w:val="16"/>
                <w:szCs w:val="16"/>
                <w:color w:val="auto"/>
              </w:rPr>
              <w:t>which they can engage with our employees,</w:t>
            </w:r>
          </w:p>
        </w:tc>
        <w:tc>
          <w:tcPr>
            <w:tcW w:w="300" w:type="dxa"/>
            <w:vAlign w:val="bottom"/>
            <w:shd w:val="clear" w:color="auto" w:fill="DCF3FA"/>
          </w:tcPr>
          <w:p>
            <w:pPr>
              <w:spacing w:after="0"/>
              <w:rPr>
                <w:sz w:val="7"/>
                <w:szCs w:val="7"/>
                <w:color w:val="auto"/>
              </w:rPr>
            </w:pPr>
          </w:p>
        </w:tc>
        <w:tc>
          <w:tcPr>
            <w:tcW w:w="10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300" w:type="dxa"/>
            <w:vAlign w:val="bottom"/>
            <w:shd w:val="clear" w:color="auto" w:fill="DCF3FA"/>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60" w:type="dxa"/>
            <w:vAlign w:val="bottom"/>
            <w:tcBorders>
              <w:right w:val="single" w:sz="8" w:color="DCF3FA"/>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700" w:type="dxa"/>
            <w:vAlign w:val="bottom"/>
            <w:gridSpan w:val="2"/>
            <w:vMerge w:val="continue"/>
          </w:tcPr>
          <w:p>
            <w:pPr>
              <w:spacing w:after="0"/>
              <w:rPr>
                <w:sz w:val="7"/>
                <w:szCs w:val="7"/>
                <w:color w:val="auto"/>
              </w:rPr>
            </w:pPr>
          </w:p>
        </w:tc>
        <w:tc>
          <w:tcPr>
            <w:tcW w:w="300" w:type="dxa"/>
            <w:vAlign w:val="bottom"/>
            <w:shd w:val="clear" w:color="auto" w:fill="DCF3FA"/>
          </w:tcPr>
          <w:p>
            <w:pPr>
              <w:spacing w:after="0"/>
              <w:rPr>
                <w:sz w:val="7"/>
                <w:szCs w:val="7"/>
                <w:color w:val="auto"/>
              </w:rPr>
            </w:pPr>
          </w:p>
        </w:tc>
        <w:tc>
          <w:tcPr>
            <w:tcW w:w="100" w:type="dxa"/>
            <w:vAlign w:val="bottom"/>
          </w:tcPr>
          <w:p>
            <w:pPr>
              <w:spacing w:after="0"/>
              <w:rPr>
                <w:sz w:val="7"/>
                <w:szCs w:val="7"/>
                <w:color w:val="auto"/>
              </w:rPr>
            </w:pPr>
          </w:p>
        </w:tc>
        <w:tc>
          <w:tcPr>
            <w:tcW w:w="5300" w:type="dxa"/>
            <w:vAlign w:val="bottom"/>
            <w:gridSpan w:val="2"/>
            <w:vMerge w:val="restart"/>
          </w:tcPr>
          <w:p>
            <w:pPr>
              <w:ind w:left="560"/>
              <w:spacing w:after="0" w:line="185" w:lineRule="exact"/>
              <w:rPr>
                <w:sz w:val="20"/>
                <w:szCs w:val="20"/>
                <w:color w:val="auto"/>
              </w:rPr>
            </w:pPr>
            <w:r>
              <w:rPr>
                <w:rFonts w:ascii="Calibri" w:cs="Calibri" w:eastAsia="Calibri" w:hAnsi="Calibri"/>
                <w:sz w:val="16"/>
                <w:szCs w:val="16"/>
                <w:color w:val="auto"/>
              </w:rPr>
              <w:t>Mellon University.</w:t>
            </w:r>
          </w:p>
        </w:tc>
        <w:tc>
          <w:tcPr>
            <w:tcW w:w="300" w:type="dxa"/>
            <w:vAlign w:val="bottom"/>
            <w:shd w:val="clear" w:color="auto" w:fill="DCF3FA"/>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560" w:type="dxa"/>
            <w:vAlign w:val="bottom"/>
            <w:tcBorders>
              <w:right w:val="single" w:sz="8" w:color="DCF3FA"/>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700" w:type="dxa"/>
            <w:vAlign w:val="bottom"/>
            <w:gridSpan w:val="2"/>
            <w:vMerge w:val="restart"/>
          </w:tcPr>
          <w:p>
            <w:pPr>
              <w:ind w:left="20"/>
              <w:spacing w:after="0" w:line="169" w:lineRule="exact"/>
              <w:rPr>
                <w:sz w:val="20"/>
                <w:szCs w:val="20"/>
                <w:color w:val="auto"/>
              </w:rPr>
            </w:pPr>
            <w:r>
              <w:rPr>
                <w:rFonts w:ascii="Calibri" w:cs="Calibri" w:eastAsia="Calibri" w:hAnsi="Calibri"/>
                <w:sz w:val="16"/>
                <w:szCs w:val="16"/>
                <w:color w:val="auto"/>
              </w:rPr>
              <w:t>stakeholders and community members directly.</w:t>
            </w:r>
          </w:p>
        </w:tc>
        <w:tc>
          <w:tcPr>
            <w:tcW w:w="300" w:type="dxa"/>
            <w:vAlign w:val="bottom"/>
            <w:shd w:val="clear" w:color="auto" w:fill="DCF3FA"/>
          </w:tcPr>
          <w:p>
            <w:pPr>
              <w:spacing w:after="0"/>
              <w:rPr>
                <w:sz w:val="8"/>
                <w:szCs w:val="8"/>
                <w:color w:val="auto"/>
              </w:rPr>
            </w:pPr>
          </w:p>
        </w:tc>
        <w:tc>
          <w:tcPr>
            <w:tcW w:w="100" w:type="dxa"/>
            <w:vAlign w:val="bottom"/>
          </w:tcPr>
          <w:p>
            <w:pPr>
              <w:spacing w:after="0"/>
              <w:rPr>
                <w:sz w:val="8"/>
                <w:szCs w:val="8"/>
                <w:color w:val="auto"/>
              </w:rPr>
            </w:pPr>
          </w:p>
        </w:tc>
        <w:tc>
          <w:tcPr>
            <w:tcW w:w="5300" w:type="dxa"/>
            <w:vAlign w:val="bottom"/>
            <w:gridSpan w:val="2"/>
            <w:vMerge w:val="continue"/>
          </w:tcPr>
          <w:p>
            <w:pPr>
              <w:spacing w:after="0"/>
              <w:rPr>
                <w:sz w:val="8"/>
                <w:szCs w:val="8"/>
                <w:color w:val="auto"/>
              </w:rPr>
            </w:pPr>
          </w:p>
        </w:tc>
        <w:tc>
          <w:tcPr>
            <w:tcW w:w="300" w:type="dxa"/>
            <w:vAlign w:val="bottom"/>
            <w:shd w:val="clear" w:color="auto" w:fill="DCF3FA"/>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560" w:type="dxa"/>
            <w:vAlign w:val="bottom"/>
            <w:tcBorders>
              <w:right w:val="single" w:sz="8" w:color="DCF3FA"/>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700" w:type="dxa"/>
            <w:vAlign w:val="bottom"/>
            <w:gridSpan w:val="2"/>
            <w:vMerge w:val="continue"/>
          </w:tcPr>
          <w:p>
            <w:pPr>
              <w:spacing w:after="0"/>
              <w:rPr>
                <w:sz w:val="6"/>
                <w:szCs w:val="6"/>
                <w:color w:val="auto"/>
              </w:rPr>
            </w:pPr>
          </w:p>
        </w:tc>
        <w:tc>
          <w:tcPr>
            <w:tcW w:w="300" w:type="dxa"/>
            <w:vAlign w:val="bottom"/>
            <w:shd w:val="clear" w:color="auto" w:fill="DCF3FA"/>
          </w:tcPr>
          <w:p>
            <w:pPr>
              <w:spacing w:after="0"/>
              <w:rPr>
                <w:sz w:val="6"/>
                <w:szCs w:val="6"/>
                <w:color w:val="auto"/>
              </w:rPr>
            </w:pPr>
          </w:p>
        </w:tc>
        <w:tc>
          <w:tcPr>
            <w:tcW w:w="100" w:type="dxa"/>
            <w:vAlign w:val="bottom"/>
          </w:tcPr>
          <w:p>
            <w:pPr>
              <w:spacing w:after="0"/>
              <w:rPr>
                <w:sz w:val="6"/>
                <w:szCs w:val="6"/>
                <w:color w:val="auto"/>
              </w:rPr>
            </w:pPr>
          </w:p>
        </w:tc>
        <w:tc>
          <w:tcPr>
            <w:tcW w:w="5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shd w:val="clear" w:color="auto" w:fill="DCF3FA"/>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560" w:type="dxa"/>
            <w:vAlign w:val="bottom"/>
            <w:tcBorders>
              <w:right w:val="single" w:sz="8" w:color="DCF3FA"/>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restart"/>
          </w:tcPr>
          <w:p>
            <w:pPr>
              <w:ind w:left="100"/>
              <w:spacing w:after="0"/>
              <w:rPr>
                <w:sz w:val="20"/>
                <w:szCs w:val="20"/>
                <w:color w:val="auto"/>
              </w:rPr>
            </w:pPr>
            <w:r>
              <w:rPr>
                <w:rFonts w:ascii="Calibri" w:cs="Calibri" w:eastAsia="Calibri" w:hAnsi="Calibri"/>
                <w:sz w:val="16"/>
                <w:szCs w:val="16"/>
                <w:color w:val="auto"/>
              </w:rPr>
              <w:t xml:space="preserve">   </w:t>
            </w:r>
          </w:p>
        </w:tc>
        <w:tc>
          <w:tcPr>
            <w:tcW w:w="3700" w:type="dxa"/>
            <w:vAlign w:val="bottom"/>
            <w:gridSpan w:val="2"/>
          </w:tcPr>
          <w:p>
            <w:pPr>
              <w:ind w:left="20"/>
              <w:spacing w:after="0" w:line="185" w:lineRule="exact"/>
              <w:rPr>
                <w:sz w:val="20"/>
                <w:szCs w:val="20"/>
                <w:color w:val="auto"/>
              </w:rPr>
            </w:pPr>
            <w:r>
              <w:rPr>
                <w:rFonts w:ascii="Calibri" w:cs="Calibri" w:eastAsia="Calibri" w:hAnsi="Calibri"/>
                <w:sz w:val="16"/>
                <w:szCs w:val="16"/>
                <w:color w:val="auto"/>
              </w:rPr>
              <w:t>For example:</w:t>
            </w:r>
          </w:p>
        </w:tc>
        <w:tc>
          <w:tcPr>
            <w:tcW w:w="300" w:type="dxa"/>
            <w:vAlign w:val="bottom"/>
            <w:shd w:val="clear" w:color="auto" w:fill="DCF3FA"/>
          </w:tcPr>
          <w:p>
            <w:pPr>
              <w:spacing w:after="0"/>
              <w:rPr>
                <w:sz w:val="16"/>
                <w:szCs w:val="16"/>
                <w:color w:val="auto"/>
              </w:rPr>
            </w:pPr>
          </w:p>
        </w:tc>
        <w:tc>
          <w:tcPr>
            <w:tcW w:w="100" w:type="dxa"/>
            <w:vAlign w:val="bottom"/>
          </w:tcPr>
          <w:p>
            <w:pPr>
              <w:spacing w:after="0"/>
              <w:rPr>
                <w:sz w:val="16"/>
                <w:szCs w:val="16"/>
                <w:color w:val="auto"/>
              </w:rPr>
            </w:pPr>
          </w:p>
        </w:tc>
        <w:tc>
          <w:tcPr>
            <w:tcW w:w="5300" w:type="dxa"/>
            <w:vAlign w:val="bottom"/>
            <w:gridSpan w:val="2"/>
            <w:vMerge w:val="restart"/>
          </w:tcPr>
          <w:p>
            <w:pPr>
              <w:ind w:left="80"/>
              <w:spacing w:after="0"/>
              <w:rPr>
                <w:sz w:val="20"/>
                <w:szCs w:val="20"/>
                <w:color w:val="auto"/>
              </w:rPr>
            </w:pPr>
            <w:r>
              <w:rPr>
                <w:rFonts w:ascii="Calibri" w:cs="Calibri" w:eastAsia="Calibri" w:hAnsi="Calibri"/>
                <w:sz w:val="16"/>
                <w:szCs w:val="16"/>
                <w:color w:val="auto"/>
              </w:rPr>
              <w:t>In 2023, while visitng our India ofces, our directors had the opportunity to</w:t>
            </w:r>
          </w:p>
        </w:tc>
        <w:tc>
          <w:tcPr>
            <w:tcW w:w="3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60" w:type="dxa"/>
            <w:vAlign w:val="bottom"/>
            <w:tcBorders>
              <w:right w:val="single" w:sz="8" w:color="DCF3FA"/>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3700" w:type="dxa"/>
            <w:vAlign w:val="bottom"/>
            <w:gridSpan w:val="2"/>
            <w:vMerge w:val="restart"/>
          </w:tcPr>
          <w:p>
            <w:pPr>
              <w:ind w:left="20"/>
              <w:spacing w:after="0"/>
              <w:rPr>
                <w:sz w:val="20"/>
                <w:szCs w:val="20"/>
                <w:color w:val="auto"/>
              </w:rPr>
            </w:pPr>
            <w:r>
              <w:rPr>
                <w:rFonts w:ascii="Calibri" w:cs="Calibri" w:eastAsia="Calibri" w:hAnsi="Calibri"/>
                <w:sz w:val="16"/>
                <w:szCs w:val="16"/>
                <w:color w:val="FB4E0B"/>
              </w:rPr>
              <w:t>•</w:t>
            </w:r>
            <w:r>
              <w:rPr>
                <w:rFonts w:ascii="Calibri" w:cs="Calibri" w:eastAsia="Calibri" w:hAnsi="Calibri"/>
                <w:sz w:val="16"/>
                <w:szCs w:val="16"/>
                <w:color w:val="000000"/>
              </w:rPr>
              <w:t xml:space="preserve">   In 2023, our directors had several</w:t>
            </w:r>
          </w:p>
        </w:tc>
        <w:tc>
          <w:tcPr>
            <w:tcW w:w="300" w:type="dxa"/>
            <w:vAlign w:val="bottom"/>
            <w:shd w:val="clear" w:color="auto" w:fill="DCF3FA"/>
          </w:tcPr>
          <w:p>
            <w:pPr>
              <w:spacing w:after="0"/>
              <w:rPr>
                <w:sz w:val="13"/>
                <w:szCs w:val="13"/>
                <w:color w:val="auto"/>
              </w:rPr>
            </w:pPr>
          </w:p>
        </w:tc>
        <w:tc>
          <w:tcPr>
            <w:tcW w:w="100" w:type="dxa"/>
            <w:vAlign w:val="bottom"/>
          </w:tcPr>
          <w:p>
            <w:pPr>
              <w:spacing w:after="0"/>
              <w:rPr>
                <w:sz w:val="13"/>
                <w:szCs w:val="13"/>
                <w:color w:val="auto"/>
              </w:rPr>
            </w:pPr>
          </w:p>
        </w:tc>
        <w:tc>
          <w:tcPr>
            <w:tcW w:w="5300" w:type="dxa"/>
            <w:vAlign w:val="bottom"/>
            <w:gridSpan w:val="2"/>
            <w:vMerge w:val="continue"/>
          </w:tcPr>
          <w:p>
            <w:pPr>
              <w:spacing w:after="0"/>
              <w:rPr>
                <w:sz w:val="13"/>
                <w:szCs w:val="13"/>
                <w:color w:val="auto"/>
              </w:rPr>
            </w:pPr>
          </w:p>
        </w:tc>
        <w:tc>
          <w:tcPr>
            <w:tcW w:w="300" w:type="dxa"/>
            <w:vAlign w:val="bottom"/>
            <w:shd w:val="clear" w:color="auto" w:fill="DCF3FA"/>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60" w:type="dxa"/>
            <w:vAlign w:val="bottom"/>
            <w:tcBorders>
              <w:right w:val="single" w:sz="8" w:color="DCF3FA"/>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00" w:type="dxa"/>
            <w:vAlign w:val="bottom"/>
            <w:gridSpan w:val="2"/>
            <w:vMerge w:val="continue"/>
          </w:tcPr>
          <w:p>
            <w:pPr>
              <w:spacing w:after="0"/>
              <w:rPr>
                <w:sz w:val="12"/>
                <w:szCs w:val="12"/>
                <w:color w:val="auto"/>
              </w:rPr>
            </w:pPr>
          </w:p>
        </w:tc>
        <w:tc>
          <w:tcPr>
            <w:tcW w:w="300" w:type="dxa"/>
            <w:vAlign w:val="bottom"/>
            <w:shd w:val="clear" w:color="auto" w:fill="DCF3FA"/>
          </w:tcPr>
          <w:p>
            <w:pPr>
              <w:spacing w:after="0"/>
              <w:rPr>
                <w:sz w:val="12"/>
                <w:szCs w:val="12"/>
                <w:color w:val="auto"/>
              </w:rPr>
            </w:pPr>
          </w:p>
        </w:tc>
        <w:tc>
          <w:tcPr>
            <w:tcW w:w="100" w:type="dxa"/>
            <w:vAlign w:val="bottom"/>
          </w:tcPr>
          <w:p>
            <w:pPr>
              <w:spacing w:after="0"/>
              <w:rPr>
                <w:sz w:val="12"/>
                <w:szCs w:val="12"/>
                <w:color w:val="auto"/>
              </w:rPr>
            </w:pPr>
          </w:p>
        </w:tc>
        <w:tc>
          <w:tcPr>
            <w:tcW w:w="5300" w:type="dxa"/>
            <w:vAlign w:val="bottom"/>
            <w:gridSpan w:val="2"/>
            <w:vMerge w:val="restart"/>
          </w:tcPr>
          <w:p>
            <w:pPr>
              <w:ind w:left="80"/>
              <w:spacing w:after="0"/>
              <w:rPr>
                <w:sz w:val="20"/>
                <w:szCs w:val="20"/>
                <w:color w:val="auto"/>
              </w:rPr>
            </w:pPr>
            <w:r>
              <w:rPr>
                <w:rFonts w:ascii="Calibri" w:cs="Calibri" w:eastAsia="Calibri" w:hAnsi="Calibri"/>
                <w:sz w:val="16"/>
                <w:szCs w:val="16"/>
                <w:color w:val="auto"/>
              </w:rPr>
              <w:t>meet with NASSCOM leadership to discuss a wide range of industry-related</w:t>
            </w:r>
          </w:p>
        </w:tc>
        <w:tc>
          <w:tcPr>
            <w:tcW w:w="300" w:type="dxa"/>
            <w:vAlign w:val="bottom"/>
            <w:shd w:val="clear" w:color="auto" w:fill="DCF3FA"/>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560" w:type="dxa"/>
            <w:vAlign w:val="bottom"/>
            <w:tcBorders>
              <w:right w:val="single" w:sz="8" w:color="DCF3FA"/>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700" w:type="dxa"/>
            <w:vAlign w:val="bottom"/>
            <w:gridSpan w:val="2"/>
            <w:vMerge w:val="restart"/>
          </w:tcPr>
          <w:p>
            <w:pPr>
              <w:ind w:left="160"/>
              <w:spacing w:after="0"/>
              <w:rPr>
                <w:sz w:val="20"/>
                <w:szCs w:val="20"/>
                <w:color w:val="auto"/>
              </w:rPr>
            </w:pPr>
            <w:r>
              <w:rPr>
                <w:rFonts w:ascii="Calibri" w:cs="Calibri" w:eastAsia="Calibri" w:hAnsi="Calibri"/>
                <w:sz w:val="16"/>
                <w:szCs w:val="16"/>
                <w:color w:val="auto"/>
              </w:rPr>
              <w:t>opportunites to engage directly with our</w:t>
            </w:r>
          </w:p>
        </w:tc>
        <w:tc>
          <w:tcPr>
            <w:tcW w:w="300" w:type="dxa"/>
            <w:vAlign w:val="bottom"/>
            <w:shd w:val="clear" w:color="auto" w:fill="DCF3FA"/>
          </w:tcPr>
          <w:p>
            <w:pPr>
              <w:spacing w:after="0"/>
              <w:rPr>
                <w:sz w:val="4"/>
                <w:szCs w:val="4"/>
                <w:color w:val="auto"/>
              </w:rPr>
            </w:pPr>
          </w:p>
        </w:tc>
        <w:tc>
          <w:tcPr>
            <w:tcW w:w="100" w:type="dxa"/>
            <w:vAlign w:val="bottom"/>
          </w:tcPr>
          <w:p>
            <w:pPr>
              <w:spacing w:after="0"/>
              <w:rPr>
                <w:sz w:val="4"/>
                <w:szCs w:val="4"/>
                <w:color w:val="auto"/>
              </w:rPr>
            </w:pPr>
          </w:p>
        </w:tc>
        <w:tc>
          <w:tcPr>
            <w:tcW w:w="5300" w:type="dxa"/>
            <w:vAlign w:val="bottom"/>
            <w:gridSpan w:val="2"/>
            <w:vMerge w:val="continue"/>
          </w:tcPr>
          <w:p>
            <w:pPr>
              <w:spacing w:after="0"/>
              <w:rPr>
                <w:sz w:val="4"/>
                <w:szCs w:val="4"/>
                <w:color w:val="auto"/>
              </w:rPr>
            </w:pPr>
          </w:p>
        </w:tc>
        <w:tc>
          <w:tcPr>
            <w:tcW w:w="300" w:type="dxa"/>
            <w:vAlign w:val="bottom"/>
            <w:shd w:val="clear" w:color="auto" w:fill="DCF3FA"/>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560" w:type="dxa"/>
            <w:vAlign w:val="bottom"/>
            <w:tcBorders>
              <w:right w:val="single" w:sz="8" w:color="DCF3FA"/>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00" w:type="dxa"/>
            <w:vAlign w:val="bottom"/>
            <w:gridSpan w:val="2"/>
            <w:vMerge w:val="continue"/>
          </w:tcPr>
          <w:p>
            <w:pPr>
              <w:spacing w:after="0"/>
              <w:rPr>
                <w:sz w:val="12"/>
                <w:szCs w:val="12"/>
                <w:color w:val="auto"/>
              </w:rPr>
            </w:pPr>
          </w:p>
        </w:tc>
        <w:tc>
          <w:tcPr>
            <w:tcW w:w="300" w:type="dxa"/>
            <w:vAlign w:val="bottom"/>
            <w:shd w:val="clear" w:color="auto" w:fill="DCF3FA"/>
          </w:tcPr>
          <w:p>
            <w:pPr>
              <w:spacing w:after="0"/>
              <w:rPr>
                <w:sz w:val="12"/>
                <w:szCs w:val="12"/>
                <w:color w:val="auto"/>
              </w:rPr>
            </w:pPr>
          </w:p>
        </w:tc>
        <w:tc>
          <w:tcPr>
            <w:tcW w:w="100" w:type="dxa"/>
            <w:vAlign w:val="bottom"/>
          </w:tcPr>
          <w:p>
            <w:pPr>
              <w:spacing w:after="0"/>
              <w:rPr>
                <w:sz w:val="12"/>
                <w:szCs w:val="12"/>
                <w:color w:val="auto"/>
              </w:rPr>
            </w:pPr>
          </w:p>
        </w:tc>
        <w:tc>
          <w:tcPr>
            <w:tcW w:w="5300" w:type="dxa"/>
            <w:vAlign w:val="bottom"/>
            <w:gridSpan w:val="2"/>
            <w:vMerge w:val="restart"/>
          </w:tcPr>
          <w:p>
            <w:pPr>
              <w:ind w:left="80"/>
              <w:spacing w:after="0"/>
              <w:rPr>
                <w:sz w:val="20"/>
                <w:szCs w:val="20"/>
                <w:color w:val="auto"/>
              </w:rPr>
            </w:pPr>
            <w:r>
              <w:rPr>
                <w:rFonts w:ascii="Calibri" w:cs="Calibri" w:eastAsia="Calibri" w:hAnsi="Calibri"/>
                <w:sz w:val="16"/>
                <w:szCs w:val="16"/>
                <w:color w:val="auto"/>
              </w:rPr>
              <w:t>topics.</w:t>
            </w:r>
          </w:p>
        </w:tc>
        <w:tc>
          <w:tcPr>
            <w:tcW w:w="300" w:type="dxa"/>
            <w:vAlign w:val="bottom"/>
            <w:shd w:val="clear" w:color="auto" w:fill="DCF3FA"/>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560" w:type="dxa"/>
            <w:vAlign w:val="bottom"/>
            <w:tcBorders>
              <w:right w:val="single" w:sz="8" w:color="DCF3FA"/>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700" w:type="dxa"/>
            <w:vAlign w:val="bottom"/>
            <w:gridSpan w:val="2"/>
            <w:vMerge w:val="restart"/>
          </w:tcPr>
          <w:p>
            <w:pPr>
              <w:ind w:left="160"/>
              <w:spacing w:after="0"/>
              <w:rPr>
                <w:sz w:val="20"/>
                <w:szCs w:val="20"/>
                <w:color w:val="auto"/>
              </w:rPr>
            </w:pPr>
            <w:r>
              <w:rPr>
                <w:rFonts w:ascii="Calibri" w:cs="Calibri" w:eastAsia="Calibri" w:hAnsi="Calibri"/>
                <w:sz w:val="16"/>
                <w:szCs w:val="16"/>
                <w:color w:val="auto"/>
              </w:rPr>
              <w:t>employees, including through partcipatng</w:t>
            </w:r>
          </w:p>
        </w:tc>
        <w:tc>
          <w:tcPr>
            <w:tcW w:w="300" w:type="dxa"/>
            <w:vAlign w:val="bottom"/>
            <w:shd w:val="clear" w:color="auto" w:fill="DCF3FA"/>
          </w:tcPr>
          <w:p>
            <w:pPr>
              <w:spacing w:after="0"/>
              <w:rPr>
                <w:sz w:val="4"/>
                <w:szCs w:val="4"/>
                <w:color w:val="auto"/>
              </w:rPr>
            </w:pPr>
          </w:p>
        </w:tc>
        <w:tc>
          <w:tcPr>
            <w:tcW w:w="100" w:type="dxa"/>
            <w:vAlign w:val="bottom"/>
          </w:tcPr>
          <w:p>
            <w:pPr>
              <w:spacing w:after="0"/>
              <w:rPr>
                <w:sz w:val="4"/>
                <w:szCs w:val="4"/>
                <w:color w:val="auto"/>
              </w:rPr>
            </w:pPr>
          </w:p>
        </w:tc>
        <w:tc>
          <w:tcPr>
            <w:tcW w:w="5300" w:type="dxa"/>
            <w:vAlign w:val="bottom"/>
            <w:gridSpan w:val="2"/>
            <w:vMerge w:val="continue"/>
          </w:tcPr>
          <w:p>
            <w:pPr>
              <w:spacing w:after="0"/>
              <w:rPr>
                <w:sz w:val="4"/>
                <w:szCs w:val="4"/>
                <w:color w:val="auto"/>
              </w:rPr>
            </w:pPr>
          </w:p>
        </w:tc>
        <w:tc>
          <w:tcPr>
            <w:tcW w:w="300" w:type="dxa"/>
            <w:vAlign w:val="bottom"/>
            <w:shd w:val="clear" w:color="auto" w:fill="DCF3FA"/>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560" w:type="dxa"/>
            <w:vAlign w:val="bottom"/>
            <w:tcBorders>
              <w:right w:val="single" w:sz="8" w:color="DCF3FA"/>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00" w:type="dxa"/>
            <w:vAlign w:val="bottom"/>
            <w:gridSpan w:val="2"/>
            <w:vMerge w:val="continue"/>
          </w:tcPr>
          <w:p>
            <w:pPr>
              <w:spacing w:after="0"/>
              <w:rPr>
                <w:sz w:val="12"/>
                <w:szCs w:val="12"/>
                <w:color w:val="auto"/>
              </w:rPr>
            </w:pPr>
          </w:p>
        </w:tc>
        <w:tc>
          <w:tcPr>
            <w:tcW w:w="300" w:type="dxa"/>
            <w:vAlign w:val="bottom"/>
            <w:shd w:val="clear" w:color="auto" w:fill="DCF3FA"/>
          </w:tcPr>
          <w:p>
            <w:pPr>
              <w:spacing w:after="0"/>
              <w:rPr>
                <w:sz w:val="12"/>
                <w:szCs w:val="12"/>
                <w:color w:val="auto"/>
              </w:rPr>
            </w:pPr>
          </w:p>
        </w:tc>
        <w:tc>
          <w:tcPr>
            <w:tcW w:w="1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shd w:val="clear" w:color="auto" w:fill="DCF3FA"/>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0" w:type="dxa"/>
            <w:vAlign w:val="bottom"/>
            <w:tcBorders>
              <w:right w:val="single" w:sz="8" w:color="DCF3FA"/>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00" w:type="dxa"/>
            <w:vAlign w:val="bottom"/>
            <w:gridSpan w:val="2"/>
          </w:tcPr>
          <w:p>
            <w:pPr>
              <w:ind w:left="160"/>
              <w:spacing w:after="0"/>
              <w:rPr>
                <w:sz w:val="20"/>
                <w:szCs w:val="20"/>
                <w:color w:val="auto"/>
              </w:rPr>
            </w:pPr>
            <w:r>
              <w:rPr>
                <w:rFonts w:ascii="Calibri" w:cs="Calibri" w:eastAsia="Calibri" w:hAnsi="Calibri"/>
                <w:sz w:val="16"/>
                <w:szCs w:val="16"/>
                <w:color w:val="auto"/>
              </w:rPr>
              <w:t>in an employee townhall in our Gurgaon and</w:t>
            </w:r>
          </w:p>
        </w:tc>
        <w:tc>
          <w:tcPr>
            <w:tcW w:w="300" w:type="dxa"/>
            <w:vAlign w:val="bottom"/>
            <w:shd w:val="clear" w:color="auto" w:fill="DCF3FA"/>
          </w:tcPr>
          <w:p>
            <w:pPr>
              <w:spacing w:after="0"/>
              <w:rPr>
                <w:sz w:val="16"/>
                <w:szCs w:val="16"/>
                <w:color w:val="auto"/>
              </w:rPr>
            </w:pPr>
          </w:p>
        </w:tc>
        <w:tc>
          <w:tcPr>
            <w:tcW w:w="100" w:type="dxa"/>
            <w:vAlign w:val="bottom"/>
          </w:tcPr>
          <w:p>
            <w:pPr>
              <w:spacing w:after="0"/>
              <w:rPr>
                <w:sz w:val="16"/>
                <w:szCs w:val="16"/>
                <w:color w:val="auto"/>
              </w:rPr>
            </w:pPr>
          </w:p>
        </w:tc>
        <w:tc>
          <w:tcPr>
            <w:tcW w:w="5300" w:type="dxa"/>
            <w:vAlign w:val="bottom"/>
            <w:gridSpan w:val="2"/>
            <w:vMerge w:val="restart"/>
          </w:tcPr>
          <w:p>
            <w:pPr>
              <w:ind w:left="80"/>
              <w:spacing w:after="0"/>
              <w:rPr>
                <w:sz w:val="20"/>
                <w:szCs w:val="20"/>
                <w:color w:val="auto"/>
              </w:rPr>
            </w:pPr>
            <w:r>
              <w:rPr>
                <w:rFonts w:ascii="Calibri" w:cs="Calibri" w:eastAsia="Calibri" w:hAnsi="Calibri"/>
                <w:sz w:val="16"/>
                <w:szCs w:val="16"/>
                <w:color w:val="auto"/>
              </w:rPr>
              <w:t xml:space="preserve">In additon, </w:t>
            </w:r>
            <w:r>
              <w:rPr>
                <w:rFonts w:ascii="Calibri" w:cs="Calibri" w:eastAsia="Calibri" w:hAnsi="Calibri"/>
                <w:sz w:val="16"/>
                <w:szCs w:val="16"/>
                <w:b w:val="1"/>
                <w:bCs w:val="1"/>
                <w:color w:val="auto"/>
              </w:rPr>
              <w:t>Ms. Williamson</w:t>
            </w:r>
            <w:r>
              <w:rPr>
                <w:rFonts w:ascii="Calibri" w:cs="Calibri" w:eastAsia="Calibri" w:hAnsi="Calibri"/>
                <w:sz w:val="16"/>
                <w:szCs w:val="16"/>
                <w:color w:val="auto"/>
              </w:rPr>
              <w:t xml:space="preserve"> atended the Stanford University Directors’</w:t>
            </w:r>
          </w:p>
        </w:tc>
        <w:tc>
          <w:tcPr>
            <w:tcW w:w="3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560" w:type="dxa"/>
            <w:vAlign w:val="bottom"/>
            <w:tcBorders>
              <w:right w:val="single" w:sz="8" w:color="DCF3FA"/>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700" w:type="dxa"/>
            <w:vAlign w:val="bottom"/>
            <w:gridSpan w:val="2"/>
            <w:vMerge w:val="restart"/>
          </w:tcPr>
          <w:p>
            <w:pPr>
              <w:ind w:left="160"/>
              <w:spacing w:after="0"/>
              <w:rPr>
                <w:sz w:val="20"/>
                <w:szCs w:val="20"/>
                <w:color w:val="auto"/>
              </w:rPr>
            </w:pPr>
            <w:r>
              <w:rPr>
                <w:rFonts w:ascii="Calibri" w:cs="Calibri" w:eastAsia="Calibri" w:hAnsi="Calibri"/>
                <w:sz w:val="16"/>
                <w:szCs w:val="16"/>
                <w:color w:val="auto"/>
              </w:rPr>
              <w:t xml:space="preserve">Noida, India centers, and through </w:t>
            </w:r>
            <w:r>
              <w:rPr>
                <w:rFonts w:ascii="Calibri" w:cs="Calibri" w:eastAsia="Calibri" w:hAnsi="Calibri"/>
                <w:sz w:val="16"/>
                <w:szCs w:val="16"/>
                <w:b w:val="1"/>
                <w:bCs w:val="1"/>
                <w:color w:val="auto"/>
              </w:rPr>
              <w:t>Mses.</w:t>
            </w:r>
          </w:p>
        </w:tc>
        <w:tc>
          <w:tcPr>
            <w:tcW w:w="300" w:type="dxa"/>
            <w:vAlign w:val="bottom"/>
            <w:shd w:val="clear" w:color="auto" w:fill="DCF3FA"/>
          </w:tcPr>
          <w:p>
            <w:pPr>
              <w:spacing w:after="0"/>
              <w:rPr>
                <w:sz w:val="4"/>
                <w:szCs w:val="4"/>
                <w:color w:val="auto"/>
              </w:rPr>
            </w:pPr>
          </w:p>
        </w:tc>
        <w:tc>
          <w:tcPr>
            <w:tcW w:w="100" w:type="dxa"/>
            <w:vAlign w:val="bottom"/>
          </w:tcPr>
          <w:p>
            <w:pPr>
              <w:spacing w:after="0"/>
              <w:rPr>
                <w:sz w:val="4"/>
                <w:szCs w:val="4"/>
                <w:color w:val="auto"/>
              </w:rPr>
            </w:pPr>
          </w:p>
        </w:tc>
        <w:tc>
          <w:tcPr>
            <w:tcW w:w="5300" w:type="dxa"/>
            <w:vAlign w:val="bottom"/>
            <w:gridSpan w:val="2"/>
            <w:vMerge w:val="continue"/>
          </w:tcPr>
          <w:p>
            <w:pPr>
              <w:spacing w:after="0"/>
              <w:rPr>
                <w:sz w:val="4"/>
                <w:szCs w:val="4"/>
                <w:color w:val="auto"/>
              </w:rPr>
            </w:pPr>
          </w:p>
        </w:tc>
        <w:tc>
          <w:tcPr>
            <w:tcW w:w="300" w:type="dxa"/>
            <w:vAlign w:val="bottom"/>
            <w:shd w:val="clear" w:color="auto" w:fill="DCF3FA"/>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60" w:type="dxa"/>
            <w:vAlign w:val="bottom"/>
            <w:tcBorders>
              <w:right w:val="single" w:sz="8" w:color="DCF3FA"/>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00" w:type="dxa"/>
            <w:vAlign w:val="bottom"/>
            <w:gridSpan w:val="2"/>
            <w:vMerge w:val="continue"/>
          </w:tcPr>
          <w:p>
            <w:pPr>
              <w:spacing w:after="0"/>
              <w:rPr>
                <w:sz w:val="13"/>
                <w:szCs w:val="13"/>
                <w:color w:val="auto"/>
              </w:rPr>
            </w:pPr>
          </w:p>
        </w:tc>
        <w:tc>
          <w:tcPr>
            <w:tcW w:w="300" w:type="dxa"/>
            <w:vAlign w:val="bottom"/>
            <w:shd w:val="clear" w:color="auto" w:fill="DCF3FA"/>
          </w:tcPr>
          <w:p>
            <w:pPr>
              <w:spacing w:after="0"/>
              <w:rPr>
                <w:sz w:val="13"/>
                <w:szCs w:val="13"/>
                <w:color w:val="auto"/>
              </w:rPr>
            </w:pPr>
          </w:p>
        </w:tc>
        <w:tc>
          <w:tcPr>
            <w:tcW w:w="100" w:type="dxa"/>
            <w:vAlign w:val="bottom"/>
          </w:tcPr>
          <w:p>
            <w:pPr>
              <w:spacing w:after="0"/>
              <w:rPr>
                <w:sz w:val="13"/>
                <w:szCs w:val="13"/>
                <w:color w:val="auto"/>
              </w:rPr>
            </w:pPr>
          </w:p>
        </w:tc>
        <w:tc>
          <w:tcPr>
            <w:tcW w:w="5300" w:type="dxa"/>
            <w:vAlign w:val="bottom"/>
            <w:gridSpan w:val="2"/>
          </w:tcPr>
          <w:p>
            <w:pPr>
              <w:ind w:left="80"/>
              <w:spacing w:after="0" w:line="156" w:lineRule="exact"/>
              <w:rPr>
                <w:sz w:val="20"/>
                <w:szCs w:val="20"/>
                <w:color w:val="auto"/>
              </w:rPr>
            </w:pPr>
            <w:r>
              <w:rPr>
                <w:rFonts w:ascii="Calibri" w:cs="Calibri" w:eastAsia="Calibri" w:hAnsi="Calibri"/>
                <w:sz w:val="16"/>
                <w:szCs w:val="16"/>
                <w:color w:val="auto"/>
              </w:rPr>
              <w:t>College in June 2023.</w:t>
            </w:r>
          </w:p>
        </w:tc>
        <w:tc>
          <w:tcPr>
            <w:tcW w:w="300" w:type="dxa"/>
            <w:vAlign w:val="bottom"/>
            <w:shd w:val="clear" w:color="auto" w:fill="DCF3FA"/>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0" w:type="dxa"/>
            <w:vAlign w:val="bottom"/>
            <w:tcBorders>
              <w:right w:val="single" w:sz="8" w:color="DCF3FA"/>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00" w:type="dxa"/>
            <w:vAlign w:val="bottom"/>
            <w:gridSpan w:val="2"/>
          </w:tcPr>
          <w:p>
            <w:pPr>
              <w:ind w:left="160"/>
              <w:spacing w:after="0" w:line="185" w:lineRule="exact"/>
              <w:rPr>
                <w:sz w:val="20"/>
                <w:szCs w:val="20"/>
                <w:color w:val="auto"/>
              </w:rPr>
            </w:pPr>
            <w:r>
              <w:rPr>
                <w:rFonts w:ascii="Calibri" w:cs="Calibri" w:eastAsia="Calibri" w:hAnsi="Calibri"/>
                <w:sz w:val="16"/>
                <w:szCs w:val="16"/>
                <w:b w:val="1"/>
                <w:bCs w:val="1"/>
                <w:color w:val="auto"/>
              </w:rPr>
              <w:t>Pipes, Studenmund and Williamson</w:t>
            </w:r>
          </w:p>
        </w:tc>
        <w:tc>
          <w:tcPr>
            <w:tcW w:w="300" w:type="dxa"/>
            <w:vAlign w:val="bottom"/>
            <w:shd w:val="clear" w:color="auto" w:fill="DCF3FA"/>
          </w:tcPr>
          <w:p>
            <w:pPr>
              <w:spacing w:after="0"/>
              <w:rPr>
                <w:sz w:val="16"/>
                <w:szCs w:val="16"/>
                <w:color w:val="auto"/>
              </w:rPr>
            </w:pPr>
          </w:p>
        </w:tc>
        <w:tc>
          <w:tcPr>
            <w:tcW w:w="100" w:type="dxa"/>
            <w:vAlign w:val="bottom"/>
          </w:tcPr>
          <w:p>
            <w:pPr>
              <w:spacing w:after="0"/>
              <w:rPr>
                <w:sz w:val="16"/>
                <w:szCs w:val="16"/>
                <w:color w:val="auto"/>
              </w:rPr>
            </w:pPr>
          </w:p>
        </w:tc>
        <w:tc>
          <w:tcPr>
            <w:tcW w:w="5300" w:type="dxa"/>
            <w:vAlign w:val="bottom"/>
            <w:gridSpan w:val="2"/>
          </w:tcPr>
          <w:p>
            <w:pPr>
              <w:ind w:left="80"/>
              <w:spacing w:after="0"/>
              <w:rPr>
                <w:sz w:val="20"/>
                <w:szCs w:val="20"/>
                <w:color w:val="auto"/>
              </w:rPr>
            </w:pPr>
            <w:r>
              <w:rPr>
                <w:rFonts w:ascii="Calibri" w:cs="Calibri" w:eastAsia="Calibri" w:hAnsi="Calibri"/>
                <w:sz w:val="16"/>
                <w:szCs w:val="16"/>
                <w:color w:val="auto"/>
              </w:rPr>
              <w:t>Certain of our directors are also involved in industry-level or general</w:t>
            </w:r>
          </w:p>
        </w:tc>
        <w:tc>
          <w:tcPr>
            <w:tcW w:w="3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0" w:type="dxa"/>
            <w:vAlign w:val="bottom"/>
            <w:tcBorders>
              <w:right w:val="single" w:sz="8" w:color="DCF3FA"/>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restart"/>
          </w:tcPr>
          <w:p>
            <w:pPr>
              <w:ind w:left="100"/>
              <w:spacing w:after="0"/>
              <w:rPr>
                <w:sz w:val="20"/>
                <w:szCs w:val="20"/>
                <w:color w:val="auto"/>
              </w:rPr>
            </w:pPr>
            <w:r>
              <w:rPr>
                <w:rFonts w:ascii="Calibri" w:cs="Calibri" w:eastAsia="Calibri" w:hAnsi="Calibri"/>
                <w:sz w:val="16"/>
                <w:szCs w:val="16"/>
                <w:color w:val="auto"/>
              </w:rPr>
              <w:t xml:space="preserve">   </w:t>
            </w:r>
          </w:p>
        </w:tc>
        <w:tc>
          <w:tcPr>
            <w:tcW w:w="3700" w:type="dxa"/>
            <w:vAlign w:val="bottom"/>
            <w:gridSpan w:val="2"/>
          </w:tcPr>
          <w:p>
            <w:pPr>
              <w:ind w:left="160"/>
              <w:spacing w:after="0" w:line="185" w:lineRule="exact"/>
              <w:rPr>
                <w:sz w:val="20"/>
                <w:szCs w:val="20"/>
                <w:color w:val="auto"/>
              </w:rPr>
            </w:pPr>
            <w:r>
              <w:rPr>
                <w:rFonts w:ascii="Calibri" w:cs="Calibri" w:eastAsia="Calibri" w:hAnsi="Calibri"/>
                <w:sz w:val="16"/>
                <w:szCs w:val="16"/>
                <w:color w:val="auto"/>
              </w:rPr>
              <w:t>partcipatng in a freside chat for senior</w:t>
            </w:r>
          </w:p>
        </w:tc>
        <w:tc>
          <w:tcPr>
            <w:tcW w:w="300" w:type="dxa"/>
            <w:vAlign w:val="bottom"/>
            <w:shd w:val="clear" w:color="auto" w:fill="DCF3FA"/>
          </w:tcPr>
          <w:p>
            <w:pPr>
              <w:spacing w:after="0"/>
              <w:rPr>
                <w:sz w:val="16"/>
                <w:szCs w:val="16"/>
                <w:color w:val="auto"/>
              </w:rPr>
            </w:pPr>
          </w:p>
        </w:tc>
        <w:tc>
          <w:tcPr>
            <w:tcW w:w="100" w:type="dxa"/>
            <w:vAlign w:val="bottom"/>
          </w:tcPr>
          <w:p>
            <w:pPr>
              <w:spacing w:after="0"/>
              <w:rPr>
                <w:sz w:val="16"/>
                <w:szCs w:val="16"/>
                <w:color w:val="auto"/>
              </w:rPr>
            </w:pPr>
          </w:p>
        </w:tc>
        <w:tc>
          <w:tcPr>
            <w:tcW w:w="5300" w:type="dxa"/>
            <w:vAlign w:val="bottom"/>
            <w:gridSpan w:val="2"/>
          </w:tcPr>
          <w:p>
            <w:pPr>
              <w:ind w:left="80"/>
              <w:spacing w:after="0" w:line="185" w:lineRule="exact"/>
              <w:rPr>
                <w:sz w:val="20"/>
                <w:szCs w:val="20"/>
                <w:color w:val="auto"/>
              </w:rPr>
            </w:pPr>
            <w:r>
              <w:rPr>
                <w:rFonts w:ascii="Calibri" w:cs="Calibri" w:eastAsia="Calibri" w:hAnsi="Calibri"/>
                <w:sz w:val="16"/>
                <w:szCs w:val="16"/>
                <w:color w:val="auto"/>
              </w:rPr>
              <w:t>governance maters. For example:</w:t>
            </w:r>
          </w:p>
        </w:tc>
        <w:tc>
          <w:tcPr>
            <w:tcW w:w="3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560" w:type="dxa"/>
            <w:vAlign w:val="bottom"/>
            <w:tcBorders>
              <w:right w:val="single" w:sz="8" w:color="DCF3FA"/>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3700" w:type="dxa"/>
            <w:vAlign w:val="bottom"/>
            <w:gridSpan w:val="2"/>
            <w:vMerge w:val="restart"/>
          </w:tcPr>
          <w:p>
            <w:pPr>
              <w:ind w:left="160"/>
              <w:spacing w:after="0"/>
              <w:rPr>
                <w:sz w:val="20"/>
                <w:szCs w:val="20"/>
                <w:color w:val="auto"/>
              </w:rPr>
            </w:pPr>
            <w:r>
              <w:rPr>
                <w:rFonts w:ascii="Calibri" w:cs="Calibri" w:eastAsia="Calibri" w:hAnsi="Calibri"/>
                <w:sz w:val="16"/>
                <w:szCs w:val="16"/>
                <w:color w:val="auto"/>
              </w:rPr>
              <w:t>women employees.</w:t>
            </w:r>
          </w:p>
        </w:tc>
        <w:tc>
          <w:tcPr>
            <w:tcW w:w="300" w:type="dxa"/>
            <w:vAlign w:val="bottom"/>
            <w:shd w:val="clear" w:color="auto" w:fill="DCF3FA"/>
          </w:tcPr>
          <w:p>
            <w:pPr>
              <w:spacing w:after="0"/>
              <w:rPr>
                <w:sz w:val="6"/>
                <w:szCs w:val="6"/>
                <w:color w:val="auto"/>
              </w:rPr>
            </w:pPr>
          </w:p>
        </w:tc>
        <w:tc>
          <w:tcPr>
            <w:tcW w:w="100" w:type="dxa"/>
            <w:vAlign w:val="bottom"/>
          </w:tcPr>
          <w:p>
            <w:pPr>
              <w:spacing w:after="0"/>
              <w:rPr>
                <w:sz w:val="6"/>
                <w:szCs w:val="6"/>
                <w:color w:val="auto"/>
              </w:rPr>
            </w:pPr>
          </w:p>
        </w:tc>
        <w:tc>
          <w:tcPr>
            <w:tcW w:w="5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shd w:val="clear" w:color="auto" w:fill="DCF3FA"/>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560" w:type="dxa"/>
            <w:vAlign w:val="bottom"/>
            <w:tcBorders>
              <w:right w:val="single" w:sz="8" w:color="DCF3FA"/>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700" w:type="dxa"/>
            <w:vAlign w:val="bottom"/>
            <w:gridSpan w:val="2"/>
            <w:vMerge w:val="continue"/>
          </w:tcPr>
          <w:p>
            <w:pPr>
              <w:spacing w:after="0"/>
              <w:rPr>
                <w:sz w:val="10"/>
                <w:szCs w:val="10"/>
                <w:color w:val="auto"/>
              </w:rPr>
            </w:pPr>
          </w:p>
        </w:tc>
        <w:tc>
          <w:tcPr>
            <w:tcW w:w="300" w:type="dxa"/>
            <w:vAlign w:val="bottom"/>
            <w:shd w:val="clear" w:color="auto" w:fill="DCF3FA"/>
          </w:tcPr>
          <w:p>
            <w:pPr>
              <w:spacing w:after="0"/>
              <w:rPr>
                <w:sz w:val="10"/>
                <w:szCs w:val="10"/>
                <w:color w:val="auto"/>
              </w:rPr>
            </w:pPr>
          </w:p>
        </w:tc>
        <w:tc>
          <w:tcPr>
            <w:tcW w:w="100" w:type="dxa"/>
            <w:vAlign w:val="bottom"/>
          </w:tcPr>
          <w:p>
            <w:pPr>
              <w:spacing w:after="0"/>
              <w:rPr>
                <w:sz w:val="10"/>
                <w:szCs w:val="10"/>
                <w:color w:val="auto"/>
              </w:rPr>
            </w:pPr>
          </w:p>
        </w:tc>
        <w:tc>
          <w:tcPr>
            <w:tcW w:w="5300" w:type="dxa"/>
            <w:vAlign w:val="bottom"/>
            <w:gridSpan w:val="2"/>
            <w:vMerge w:val="restart"/>
          </w:tcPr>
          <w:p>
            <w:pPr>
              <w:ind w:left="320"/>
              <w:spacing w:after="0" w:line="193" w:lineRule="exact"/>
              <w:rPr>
                <w:sz w:val="20"/>
                <w:szCs w:val="20"/>
                <w:color w:val="auto"/>
              </w:rPr>
            </w:pPr>
            <w:r>
              <w:rPr>
                <w:rFonts w:ascii="Calibri" w:cs="Calibri" w:eastAsia="Calibri" w:hAnsi="Calibri"/>
                <w:sz w:val="16"/>
                <w:szCs w:val="16"/>
                <w:color w:val="FB4E0B"/>
              </w:rPr>
              <w:t>•</w:t>
            </w:r>
            <w:r>
              <w:rPr>
                <w:rFonts w:ascii="Calibri" w:cs="Calibri" w:eastAsia="Calibri" w:hAnsi="Calibri"/>
                <w:sz w:val="16"/>
                <w:szCs w:val="16"/>
                <w:color w:val="000000"/>
              </w:rPr>
              <w:t xml:space="preserve">    </w:t>
            </w:r>
            <w:r>
              <w:rPr>
                <w:rFonts w:ascii="Calibri" w:cs="Calibri" w:eastAsia="Calibri" w:hAnsi="Calibri"/>
                <w:sz w:val="16"/>
                <w:szCs w:val="16"/>
                <w:b w:val="1"/>
                <w:bCs w:val="1"/>
                <w:color w:val="000000"/>
              </w:rPr>
              <w:t>Ms. Williamson’s</w:t>
            </w:r>
            <w:r>
              <w:rPr>
                <w:rFonts w:ascii="Calibri" w:cs="Calibri" w:eastAsia="Calibri" w:hAnsi="Calibri"/>
                <w:sz w:val="16"/>
                <w:szCs w:val="16"/>
                <w:color w:val="FB4E0B"/>
              </w:rPr>
              <w:t xml:space="preserve"> </w:t>
            </w:r>
            <w:r>
              <w:rPr>
                <w:rFonts w:ascii="Calibri" w:cs="Calibri" w:eastAsia="Calibri" w:hAnsi="Calibri"/>
                <w:sz w:val="16"/>
                <w:szCs w:val="16"/>
                <w:color w:val="000000"/>
              </w:rPr>
              <w:t>work as the CEO of FCLTGlobal involves assistng the</w:t>
            </w:r>
          </w:p>
        </w:tc>
        <w:tc>
          <w:tcPr>
            <w:tcW w:w="300" w:type="dxa"/>
            <w:vAlign w:val="bottom"/>
            <w:shd w:val="clear" w:color="auto" w:fill="DCF3FA"/>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560" w:type="dxa"/>
            <w:vAlign w:val="bottom"/>
            <w:tcBorders>
              <w:right w:val="single" w:sz="8" w:color="DCF3FA"/>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700" w:type="dxa"/>
            <w:vAlign w:val="bottom"/>
            <w:gridSpan w:val="2"/>
            <w:vMerge w:val="restart"/>
          </w:tcPr>
          <w:p>
            <w:pPr>
              <w:ind w:left="20"/>
              <w:spacing w:after="0"/>
              <w:rPr>
                <w:sz w:val="20"/>
                <w:szCs w:val="20"/>
                <w:color w:val="auto"/>
              </w:rPr>
            </w:pPr>
            <w:r>
              <w:rPr>
                <w:rFonts w:ascii="Calibri" w:cs="Calibri" w:eastAsia="Calibri" w:hAnsi="Calibri"/>
                <w:sz w:val="16"/>
                <w:szCs w:val="16"/>
                <w:color w:val="FB4E0B"/>
              </w:rPr>
              <w:t>•</w:t>
            </w:r>
            <w:r>
              <w:rPr>
                <w:rFonts w:ascii="Calibri" w:cs="Calibri" w:eastAsia="Calibri" w:hAnsi="Calibri"/>
                <w:sz w:val="16"/>
                <w:szCs w:val="16"/>
                <w:color w:val="000000"/>
              </w:rPr>
              <w:t xml:space="preserve">   In January 2024,</w:t>
            </w:r>
            <w:r>
              <w:rPr>
                <w:rFonts w:ascii="Calibri" w:cs="Calibri" w:eastAsia="Calibri" w:hAnsi="Calibri"/>
                <w:sz w:val="16"/>
                <w:szCs w:val="16"/>
                <w:color w:val="FB4E0B"/>
              </w:rPr>
              <w:t xml:space="preserve"> </w:t>
            </w:r>
            <w:r>
              <w:rPr>
                <w:rFonts w:ascii="Calibri" w:cs="Calibri" w:eastAsia="Calibri" w:hAnsi="Calibri"/>
                <w:sz w:val="16"/>
                <w:szCs w:val="16"/>
                <w:b w:val="1"/>
                <w:bCs w:val="1"/>
                <w:color w:val="000000"/>
              </w:rPr>
              <w:t>Ms. Williamson</w:t>
            </w:r>
          </w:p>
        </w:tc>
        <w:tc>
          <w:tcPr>
            <w:tcW w:w="300" w:type="dxa"/>
            <w:vAlign w:val="bottom"/>
            <w:shd w:val="clear" w:color="auto" w:fill="DCF3FA"/>
          </w:tcPr>
          <w:p>
            <w:pPr>
              <w:spacing w:after="0"/>
              <w:rPr>
                <w:sz w:val="6"/>
                <w:szCs w:val="6"/>
                <w:color w:val="auto"/>
              </w:rPr>
            </w:pPr>
          </w:p>
        </w:tc>
        <w:tc>
          <w:tcPr>
            <w:tcW w:w="100" w:type="dxa"/>
            <w:vAlign w:val="bottom"/>
          </w:tcPr>
          <w:p>
            <w:pPr>
              <w:spacing w:after="0"/>
              <w:rPr>
                <w:sz w:val="6"/>
                <w:szCs w:val="6"/>
                <w:color w:val="auto"/>
              </w:rPr>
            </w:pPr>
          </w:p>
        </w:tc>
        <w:tc>
          <w:tcPr>
            <w:tcW w:w="5300" w:type="dxa"/>
            <w:vAlign w:val="bottom"/>
            <w:gridSpan w:val="2"/>
            <w:vMerge w:val="continue"/>
          </w:tcPr>
          <w:p>
            <w:pPr>
              <w:spacing w:after="0"/>
              <w:rPr>
                <w:sz w:val="6"/>
                <w:szCs w:val="6"/>
                <w:color w:val="auto"/>
              </w:rPr>
            </w:pPr>
          </w:p>
        </w:tc>
        <w:tc>
          <w:tcPr>
            <w:tcW w:w="300" w:type="dxa"/>
            <w:vAlign w:val="bottom"/>
            <w:shd w:val="clear" w:color="auto" w:fill="DCF3FA"/>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560" w:type="dxa"/>
            <w:vAlign w:val="bottom"/>
            <w:tcBorders>
              <w:right w:val="single" w:sz="8" w:color="DCF3FA"/>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gridSpan w:val="2"/>
            <w:vMerge w:val="continue"/>
          </w:tcPr>
          <w:p>
            <w:pPr>
              <w:spacing w:after="0"/>
              <w:rPr>
                <w:sz w:val="14"/>
                <w:szCs w:val="14"/>
                <w:color w:val="auto"/>
              </w:rPr>
            </w:pPr>
          </w:p>
        </w:tc>
        <w:tc>
          <w:tcPr>
            <w:tcW w:w="300" w:type="dxa"/>
            <w:vAlign w:val="bottom"/>
            <w:shd w:val="clear" w:color="auto" w:fill="DCF3FA"/>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gridSpan w:val="2"/>
          </w:tcPr>
          <w:p>
            <w:pPr>
              <w:ind w:left="560"/>
              <w:spacing w:after="0" w:line="169" w:lineRule="exact"/>
              <w:rPr>
                <w:sz w:val="20"/>
                <w:szCs w:val="20"/>
                <w:color w:val="auto"/>
              </w:rPr>
            </w:pPr>
            <w:r>
              <w:rPr>
                <w:rFonts w:ascii="Calibri" w:cs="Calibri" w:eastAsia="Calibri" w:hAnsi="Calibri"/>
                <w:sz w:val="16"/>
                <w:szCs w:val="16"/>
                <w:color w:val="auto"/>
              </w:rPr>
              <w:t>boards of directors of its member companies with governance maters</w:t>
            </w:r>
          </w:p>
        </w:tc>
        <w:tc>
          <w:tcPr>
            <w:tcW w:w="300" w:type="dxa"/>
            <w:vAlign w:val="bottom"/>
            <w:shd w:val="clear" w:color="auto" w:fill="DCF3FA"/>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0" w:type="dxa"/>
            <w:vAlign w:val="bottom"/>
            <w:tcBorders>
              <w:right w:val="single" w:sz="8" w:color="DCF3FA"/>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gridSpan w:val="2"/>
          </w:tcPr>
          <w:p>
            <w:pPr>
              <w:ind w:left="160"/>
              <w:spacing w:after="0" w:line="169" w:lineRule="exact"/>
              <w:rPr>
                <w:sz w:val="20"/>
                <w:szCs w:val="20"/>
                <w:color w:val="auto"/>
              </w:rPr>
            </w:pPr>
            <w:r>
              <w:rPr>
                <w:rFonts w:ascii="Calibri" w:cs="Calibri" w:eastAsia="Calibri" w:hAnsi="Calibri"/>
                <w:sz w:val="16"/>
                <w:szCs w:val="16"/>
                <w:color w:val="auto"/>
              </w:rPr>
              <w:t>partcipated in a virtual conference ttled</w:t>
            </w:r>
          </w:p>
        </w:tc>
        <w:tc>
          <w:tcPr>
            <w:tcW w:w="300" w:type="dxa"/>
            <w:vAlign w:val="bottom"/>
            <w:shd w:val="clear" w:color="auto" w:fill="DCF3FA"/>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gridSpan w:val="2"/>
          </w:tcPr>
          <w:p>
            <w:pPr>
              <w:ind w:left="560"/>
              <w:spacing w:after="0" w:line="169" w:lineRule="exact"/>
              <w:rPr>
                <w:sz w:val="20"/>
                <w:szCs w:val="20"/>
                <w:color w:val="auto"/>
              </w:rPr>
            </w:pPr>
            <w:r>
              <w:rPr>
                <w:rFonts w:ascii="Calibri" w:cs="Calibri" w:eastAsia="Calibri" w:hAnsi="Calibri"/>
                <w:sz w:val="16"/>
                <w:szCs w:val="16"/>
                <w:color w:val="auto"/>
              </w:rPr>
              <w:t>and investor-corporate engagement, among others.</w:t>
            </w:r>
          </w:p>
        </w:tc>
        <w:tc>
          <w:tcPr>
            <w:tcW w:w="300" w:type="dxa"/>
            <w:vAlign w:val="bottom"/>
            <w:shd w:val="clear" w:color="auto" w:fill="DCF3FA"/>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0" w:type="dxa"/>
            <w:vAlign w:val="bottom"/>
            <w:tcBorders>
              <w:right w:val="single" w:sz="8" w:color="DCF3FA"/>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gridSpan w:val="2"/>
          </w:tcPr>
          <w:p>
            <w:pPr>
              <w:ind w:left="160"/>
              <w:spacing w:after="0" w:line="169" w:lineRule="exact"/>
              <w:rPr>
                <w:sz w:val="20"/>
                <w:szCs w:val="20"/>
                <w:color w:val="auto"/>
              </w:rPr>
            </w:pPr>
            <w:r>
              <w:rPr>
                <w:rFonts w:ascii="Calibri" w:cs="Calibri" w:eastAsia="Calibri" w:hAnsi="Calibri"/>
                <w:sz w:val="16"/>
                <w:szCs w:val="16"/>
                <w:color w:val="auto"/>
              </w:rPr>
              <w:t>“Diversity and Innovaton: A powerful</w:t>
            </w:r>
          </w:p>
        </w:tc>
        <w:tc>
          <w:tcPr>
            <w:tcW w:w="300" w:type="dxa"/>
            <w:vAlign w:val="bottom"/>
            <w:shd w:val="clear" w:color="auto" w:fill="DCF3FA"/>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gridSpan w:val="2"/>
            <w:vMerge w:val="restart"/>
          </w:tcPr>
          <w:p>
            <w:pPr>
              <w:ind w:left="320"/>
              <w:spacing w:after="0"/>
              <w:rPr>
                <w:sz w:val="20"/>
                <w:szCs w:val="20"/>
                <w:color w:val="auto"/>
              </w:rPr>
            </w:pPr>
            <w:r>
              <w:rPr>
                <w:rFonts w:ascii="Calibri" w:cs="Calibri" w:eastAsia="Calibri" w:hAnsi="Calibri"/>
                <w:sz w:val="16"/>
                <w:szCs w:val="16"/>
                <w:color w:val="FB4E0B"/>
              </w:rPr>
              <w:t>•</w:t>
            </w:r>
            <w:r>
              <w:rPr>
                <w:rFonts w:ascii="Calibri" w:cs="Calibri" w:eastAsia="Calibri" w:hAnsi="Calibri"/>
                <w:sz w:val="16"/>
                <w:szCs w:val="16"/>
                <w:color w:val="000000"/>
              </w:rPr>
              <w:t xml:space="preserve">    </w:t>
            </w:r>
            <w:r>
              <w:rPr>
                <w:rFonts w:ascii="Calibri" w:cs="Calibri" w:eastAsia="Calibri" w:hAnsi="Calibri"/>
                <w:sz w:val="16"/>
                <w:szCs w:val="16"/>
                <w:b w:val="1"/>
                <w:bCs w:val="1"/>
                <w:color w:val="000000"/>
              </w:rPr>
              <w:t>Mr. Mital</w:t>
            </w:r>
            <w:r>
              <w:rPr>
                <w:rFonts w:ascii="Calibri" w:cs="Calibri" w:eastAsia="Calibri" w:hAnsi="Calibri"/>
                <w:sz w:val="16"/>
                <w:szCs w:val="16"/>
                <w:color w:val="FB4E0B"/>
              </w:rPr>
              <w:t xml:space="preserve"> </w:t>
            </w:r>
            <w:r>
              <w:rPr>
                <w:rFonts w:ascii="Calibri" w:cs="Calibri" w:eastAsia="Calibri" w:hAnsi="Calibri"/>
                <w:sz w:val="16"/>
                <w:szCs w:val="16"/>
                <w:color w:val="000000"/>
              </w:rPr>
              <w:t>is the former president and chairman of the Natonal</w:t>
            </w:r>
          </w:p>
        </w:tc>
        <w:tc>
          <w:tcPr>
            <w:tcW w:w="300" w:type="dxa"/>
            <w:vAlign w:val="bottom"/>
            <w:shd w:val="clear" w:color="auto" w:fill="DCF3FA"/>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60" w:type="dxa"/>
            <w:vAlign w:val="bottom"/>
            <w:tcBorders>
              <w:right w:val="single" w:sz="8" w:color="DCF3FA"/>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00" w:type="dxa"/>
            <w:vAlign w:val="bottom"/>
            <w:gridSpan w:val="2"/>
          </w:tcPr>
          <w:p>
            <w:pPr>
              <w:ind w:left="160"/>
              <w:spacing w:after="0" w:line="147" w:lineRule="exact"/>
              <w:rPr>
                <w:sz w:val="20"/>
                <w:szCs w:val="20"/>
                <w:color w:val="auto"/>
              </w:rPr>
            </w:pPr>
            <w:r>
              <w:rPr>
                <w:rFonts w:ascii="Calibri" w:cs="Calibri" w:eastAsia="Calibri" w:hAnsi="Calibri"/>
                <w:sz w:val="16"/>
                <w:szCs w:val="16"/>
                <w:color w:val="auto"/>
              </w:rPr>
              <w:t>connecton” with over 500 EXL</w:t>
            </w:r>
          </w:p>
        </w:tc>
        <w:tc>
          <w:tcPr>
            <w:tcW w:w="300" w:type="dxa"/>
            <w:vAlign w:val="bottom"/>
            <w:shd w:val="clear" w:color="auto" w:fill="DCF3FA"/>
          </w:tcPr>
          <w:p>
            <w:pPr>
              <w:spacing w:after="0"/>
              <w:rPr>
                <w:sz w:val="12"/>
                <w:szCs w:val="12"/>
                <w:color w:val="auto"/>
              </w:rPr>
            </w:pPr>
          </w:p>
        </w:tc>
        <w:tc>
          <w:tcPr>
            <w:tcW w:w="10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300" w:type="dxa"/>
            <w:vAlign w:val="bottom"/>
            <w:shd w:val="clear" w:color="auto" w:fill="DCF3FA"/>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60" w:type="dxa"/>
            <w:vAlign w:val="bottom"/>
            <w:tcBorders>
              <w:right w:val="single" w:sz="8" w:color="DCF3FA"/>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00" w:type="dxa"/>
            <w:vAlign w:val="bottom"/>
            <w:gridSpan w:val="2"/>
            <w:vMerge w:val="restart"/>
          </w:tcPr>
          <w:p>
            <w:pPr>
              <w:ind w:left="160"/>
              <w:spacing w:after="0"/>
              <w:rPr>
                <w:sz w:val="20"/>
                <w:szCs w:val="20"/>
                <w:color w:val="auto"/>
              </w:rPr>
            </w:pPr>
            <w:r>
              <w:rPr>
                <w:rFonts w:ascii="Calibri" w:cs="Calibri" w:eastAsia="Calibri" w:hAnsi="Calibri"/>
                <w:sz w:val="16"/>
                <w:szCs w:val="16"/>
                <w:color w:val="auto"/>
              </w:rPr>
              <w:t>employees as part of our Women@EXL</w:t>
            </w:r>
          </w:p>
        </w:tc>
        <w:tc>
          <w:tcPr>
            <w:tcW w:w="300" w:type="dxa"/>
            <w:vAlign w:val="bottom"/>
            <w:shd w:val="clear" w:color="auto" w:fill="DCF3FA"/>
          </w:tcPr>
          <w:p>
            <w:pPr>
              <w:spacing w:after="0"/>
              <w:rPr>
                <w:sz w:val="15"/>
                <w:szCs w:val="15"/>
                <w:color w:val="auto"/>
              </w:rPr>
            </w:pPr>
          </w:p>
        </w:tc>
        <w:tc>
          <w:tcPr>
            <w:tcW w:w="100" w:type="dxa"/>
            <w:vAlign w:val="bottom"/>
          </w:tcPr>
          <w:p>
            <w:pPr>
              <w:spacing w:after="0"/>
              <w:rPr>
                <w:sz w:val="15"/>
                <w:szCs w:val="15"/>
                <w:color w:val="auto"/>
              </w:rPr>
            </w:pPr>
          </w:p>
        </w:tc>
        <w:tc>
          <w:tcPr>
            <w:tcW w:w="5300" w:type="dxa"/>
            <w:vAlign w:val="bottom"/>
            <w:gridSpan w:val="2"/>
          </w:tcPr>
          <w:p>
            <w:pPr>
              <w:ind w:left="560"/>
              <w:spacing w:after="0" w:line="182" w:lineRule="exact"/>
              <w:rPr>
                <w:sz w:val="20"/>
                <w:szCs w:val="20"/>
                <w:color w:val="auto"/>
              </w:rPr>
            </w:pPr>
            <w:r>
              <w:rPr>
                <w:rFonts w:ascii="Calibri" w:cs="Calibri" w:eastAsia="Calibri" w:hAnsi="Calibri"/>
                <w:sz w:val="16"/>
                <w:szCs w:val="16"/>
                <w:color w:val="auto"/>
              </w:rPr>
              <w:t>Associaton of Sofware and Service Companies (“NASSCOM”), an</w:t>
            </w:r>
          </w:p>
        </w:tc>
        <w:tc>
          <w:tcPr>
            <w:tcW w:w="300" w:type="dxa"/>
            <w:vAlign w:val="bottom"/>
            <w:shd w:val="clear" w:color="auto" w:fill="DCF3FA"/>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60" w:type="dxa"/>
            <w:vAlign w:val="bottom"/>
            <w:tcBorders>
              <w:right w:val="single" w:sz="8" w:color="DCF3F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00" w:type="dxa"/>
            <w:vAlign w:val="bottom"/>
            <w:gridSpan w:val="2"/>
            <w:vMerge w:val="continue"/>
          </w:tcPr>
          <w:p>
            <w:pPr>
              <w:spacing w:after="0" w:line="20" w:lineRule="exact"/>
              <w:rPr>
                <w:sz w:val="1"/>
                <w:szCs w:val="1"/>
                <w:color w:val="auto"/>
              </w:rPr>
            </w:pPr>
          </w:p>
        </w:tc>
        <w:tc>
          <w:tcPr>
            <w:tcW w:w="300" w:type="dxa"/>
            <w:vAlign w:val="bottom"/>
            <w:shd w:val="clear" w:color="auto" w:fill="DCF3F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00" w:type="dxa"/>
            <w:vAlign w:val="bottom"/>
            <w:gridSpan w:val="2"/>
            <w:vMerge w:val="restart"/>
          </w:tcPr>
          <w:p>
            <w:pPr>
              <w:ind w:left="560"/>
              <w:spacing w:after="0" w:line="169" w:lineRule="exact"/>
              <w:rPr>
                <w:sz w:val="20"/>
                <w:szCs w:val="20"/>
                <w:color w:val="auto"/>
              </w:rPr>
            </w:pPr>
            <w:r>
              <w:rPr>
                <w:rFonts w:ascii="Calibri" w:cs="Calibri" w:eastAsia="Calibri" w:hAnsi="Calibri"/>
                <w:sz w:val="16"/>
                <w:szCs w:val="16"/>
                <w:color w:val="auto"/>
              </w:rPr>
              <w:t>Indian trade associaton and governance group focused on the</w:t>
            </w:r>
          </w:p>
        </w:tc>
        <w:tc>
          <w:tcPr>
            <w:tcW w:w="300" w:type="dxa"/>
            <w:vAlign w:val="bottom"/>
            <w:shd w:val="clear" w:color="auto" w:fill="DCF3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 w:type="dxa"/>
            <w:vAlign w:val="bottom"/>
            <w:tcBorders>
              <w:right w:val="single" w:sz="8" w:color="DCF3FA"/>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00" w:type="dxa"/>
            <w:vAlign w:val="bottom"/>
            <w:gridSpan w:val="2"/>
          </w:tcPr>
          <w:p>
            <w:pPr>
              <w:ind w:left="160"/>
              <w:spacing w:after="0" w:line="147" w:lineRule="exact"/>
              <w:rPr>
                <w:sz w:val="20"/>
                <w:szCs w:val="20"/>
                <w:color w:val="auto"/>
              </w:rPr>
            </w:pPr>
            <w:r>
              <w:rPr>
                <w:rFonts w:ascii="Calibri" w:cs="Calibri" w:eastAsia="Calibri" w:hAnsi="Calibri"/>
                <w:sz w:val="16"/>
                <w:szCs w:val="16"/>
                <w:color w:val="auto"/>
              </w:rPr>
              <w:t>Talks Series. See “Diversity, equity and</w:t>
            </w:r>
          </w:p>
        </w:tc>
        <w:tc>
          <w:tcPr>
            <w:tcW w:w="300" w:type="dxa"/>
            <w:vAlign w:val="bottom"/>
            <w:shd w:val="clear" w:color="auto" w:fill="DCF3FA"/>
          </w:tcPr>
          <w:p>
            <w:pPr>
              <w:spacing w:after="0"/>
              <w:rPr>
                <w:sz w:val="12"/>
                <w:szCs w:val="12"/>
                <w:color w:val="auto"/>
              </w:rPr>
            </w:pPr>
          </w:p>
        </w:tc>
        <w:tc>
          <w:tcPr>
            <w:tcW w:w="10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300" w:type="dxa"/>
            <w:vAlign w:val="bottom"/>
            <w:shd w:val="clear" w:color="auto" w:fill="DCF3FA"/>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60" w:type="dxa"/>
            <w:vAlign w:val="bottom"/>
            <w:tcBorders>
              <w:right w:val="single" w:sz="8" w:color="DCF3FA"/>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gridSpan w:val="2"/>
          </w:tcPr>
          <w:p>
            <w:pPr>
              <w:ind w:left="160"/>
              <w:spacing w:after="0" w:line="169" w:lineRule="exact"/>
              <w:rPr>
                <w:sz w:val="20"/>
                <w:szCs w:val="20"/>
                <w:color w:val="auto"/>
              </w:rPr>
            </w:pPr>
            <w:r>
              <w:rPr>
                <w:rFonts w:ascii="Calibri" w:cs="Calibri" w:eastAsia="Calibri" w:hAnsi="Calibri"/>
                <w:sz w:val="16"/>
                <w:szCs w:val="16"/>
                <w:color w:val="auto"/>
              </w:rPr>
              <w:t>inclusion” on page 49 of this Proxy</w:t>
            </w:r>
          </w:p>
        </w:tc>
        <w:tc>
          <w:tcPr>
            <w:tcW w:w="300" w:type="dxa"/>
            <w:vAlign w:val="bottom"/>
            <w:shd w:val="clear" w:color="auto" w:fill="DCF3FA"/>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gridSpan w:val="2"/>
          </w:tcPr>
          <w:p>
            <w:pPr>
              <w:ind w:left="560"/>
              <w:spacing w:after="0" w:line="169" w:lineRule="exact"/>
              <w:rPr>
                <w:sz w:val="20"/>
                <w:szCs w:val="20"/>
                <w:color w:val="auto"/>
              </w:rPr>
            </w:pPr>
            <w:r>
              <w:rPr>
                <w:rFonts w:ascii="Calibri" w:cs="Calibri" w:eastAsia="Calibri" w:hAnsi="Calibri"/>
                <w:sz w:val="16"/>
                <w:szCs w:val="16"/>
                <w:color w:val="auto"/>
              </w:rPr>
              <w:t>informaton technology and business process outsourcing industry, in</w:t>
            </w:r>
          </w:p>
        </w:tc>
        <w:tc>
          <w:tcPr>
            <w:tcW w:w="300" w:type="dxa"/>
            <w:vAlign w:val="bottom"/>
            <w:shd w:val="clear" w:color="auto" w:fill="DCF3FA"/>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0" w:type="dxa"/>
            <w:vAlign w:val="bottom"/>
            <w:tcBorders>
              <w:right w:val="single" w:sz="8" w:color="DCF3FA"/>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00" w:type="dxa"/>
            <w:vAlign w:val="bottom"/>
            <w:gridSpan w:val="2"/>
            <w:vMerge w:val="restart"/>
          </w:tcPr>
          <w:p>
            <w:pPr>
              <w:ind w:left="160"/>
              <w:spacing w:after="0"/>
              <w:rPr>
                <w:sz w:val="20"/>
                <w:szCs w:val="20"/>
                <w:color w:val="auto"/>
              </w:rPr>
            </w:pPr>
            <w:r>
              <w:rPr>
                <w:rFonts w:ascii="Calibri" w:cs="Calibri" w:eastAsia="Calibri" w:hAnsi="Calibri"/>
                <w:sz w:val="16"/>
                <w:szCs w:val="16"/>
                <w:color w:val="auto"/>
              </w:rPr>
              <w:t>Statement for more informaton on our</w:t>
            </w:r>
          </w:p>
        </w:tc>
        <w:tc>
          <w:tcPr>
            <w:tcW w:w="300" w:type="dxa"/>
            <w:vAlign w:val="bottom"/>
            <w:shd w:val="clear" w:color="auto" w:fill="DCF3FA"/>
          </w:tcPr>
          <w:p>
            <w:pPr>
              <w:spacing w:after="0"/>
              <w:rPr>
                <w:sz w:val="15"/>
                <w:szCs w:val="15"/>
                <w:color w:val="auto"/>
              </w:rPr>
            </w:pPr>
          </w:p>
        </w:tc>
        <w:tc>
          <w:tcPr>
            <w:tcW w:w="100" w:type="dxa"/>
            <w:vAlign w:val="bottom"/>
          </w:tcPr>
          <w:p>
            <w:pPr>
              <w:spacing w:after="0"/>
              <w:rPr>
                <w:sz w:val="15"/>
                <w:szCs w:val="15"/>
                <w:color w:val="auto"/>
              </w:rPr>
            </w:pPr>
          </w:p>
        </w:tc>
        <w:tc>
          <w:tcPr>
            <w:tcW w:w="5300" w:type="dxa"/>
            <w:vAlign w:val="bottom"/>
            <w:gridSpan w:val="2"/>
          </w:tcPr>
          <w:p>
            <w:pPr>
              <w:ind w:left="560"/>
              <w:spacing w:after="0" w:line="182" w:lineRule="exact"/>
              <w:rPr>
                <w:sz w:val="20"/>
                <w:szCs w:val="20"/>
                <w:color w:val="auto"/>
              </w:rPr>
            </w:pPr>
            <w:r>
              <w:rPr>
                <w:rFonts w:ascii="Calibri" w:cs="Calibri" w:eastAsia="Calibri" w:hAnsi="Calibri"/>
                <w:sz w:val="16"/>
                <w:szCs w:val="16"/>
                <w:color w:val="auto"/>
              </w:rPr>
              <w:t>which we, and many of our U.S. peer companies with operatons in</w:t>
            </w:r>
          </w:p>
        </w:tc>
        <w:tc>
          <w:tcPr>
            <w:tcW w:w="300" w:type="dxa"/>
            <w:vAlign w:val="bottom"/>
            <w:shd w:val="clear" w:color="auto" w:fill="DCF3FA"/>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60" w:type="dxa"/>
            <w:vAlign w:val="bottom"/>
            <w:tcBorders>
              <w:right w:val="single" w:sz="8" w:color="DCF3F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00" w:type="dxa"/>
            <w:vAlign w:val="bottom"/>
            <w:gridSpan w:val="2"/>
            <w:vMerge w:val="continue"/>
          </w:tcPr>
          <w:p>
            <w:pPr>
              <w:spacing w:after="0" w:line="20" w:lineRule="exact"/>
              <w:rPr>
                <w:sz w:val="1"/>
                <w:szCs w:val="1"/>
                <w:color w:val="auto"/>
              </w:rPr>
            </w:pPr>
          </w:p>
        </w:tc>
        <w:tc>
          <w:tcPr>
            <w:tcW w:w="300" w:type="dxa"/>
            <w:vAlign w:val="bottom"/>
            <w:shd w:val="clear" w:color="auto" w:fill="DCF3F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00" w:type="dxa"/>
            <w:vAlign w:val="bottom"/>
            <w:gridSpan w:val="2"/>
            <w:vMerge w:val="restart"/>
          </w:tcPr>
          <w:p>
            <w:pPr>
              <w:ind w:left="560"/>
              <w:spacing w:after="0" w:line="169" w:lineRule="exact"/>
              <w:rPr>
                <w:sz w:val="20"/>
                <w:szCs w:val="20"/>
                <w:color w:val="auto"/>
              </w:rPr>
            </w:pPr>
            <w:r>
              <w:rPr>
                <w:rFonts w:ascii="Calibri" w:cs="Calibri" w:eastAsia="Calibri" w:hAnsi="Calibri"/>
                <w:sz w:val="16"/>
                <w:szCs w:val="16"/>
                <w:color w:val="auto"/>
              </w:rPr>
              <w:t>India, are members. He advises NASSCOM on best practces for</w:t>
            </w:r>
          </w:p>
        </w:tc>
        <w:tc>
          <w:tcPr>
            <w:tcW w:w="300" w:type="dxa"/>
            <w:vAlign w:val="bottom"/>
            <w:shd w:val="clear" w:color="auto" w:fill="DCF3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 w:type="dxa"/>
            <w:vAlign w:val="bottom"/>
            <w:tcBorders>
              <w:right w:val="single" w:sz="8" w:color="DCF3FA"/>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00" w:type="dxa"/>
            <w:vAlign w:val="bottom"/>
            <w:gridSpan w:val="2"/>
          </w:tcPr>
          <w:p>
            <w:pPr>
              <w:ind w:left="160"/>
              <w:spacing w:after="0" w:line="147" w:lineRule="exact"/>
              <w:rPr>
                <w:sz w:val="20"/>
                <w:szCs w:val="20"/>
                <w:color w:val="auto"/>
              </w:rPr>
            </w:pPr>
            <w:r>
              <w:rPr>
                <w:rFonts w:ascii="Calibri" w:cs="Calibri" w:eastAsia="Calibri" w:hAnsi="Calibri"/>
                <w:sz w:val="16"/>
                <w:szCs w:val="16"/>
                <w:color w:val="auto"/>
              </w:rPr>
              <w:t>Women@EXL employee resource group.</w:t>
            </w:r>
          </w:p>
        </w:tc>
        <w:tc>
          <w:tcPr>
            <w:tcW w:w="300" w:type="dxa"/>
            <w:vAlign w:val="bottom"/>
            <w:shd w:val="clear" w:color="auto" w:fill="DCF3FA"/>
          </w:tcPr>
          <w:p>
            <w:pPr>
              <w:spacing w:after="0"/>
              <w:rPr>
                <w:sz w:val="12"/>
                <w:szCs w:val="12"/>
                <w:color w:val="auto"/>
              </w:rPr>
            </w:pPr>
          </w:p>
        </w:tc>
        <w:tc>
          <w:tcPr>
            <w:tcW w:w="10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300" w:type="dxa"/>
            <w:vAlign w:val="bottom"/>
            <w:shd w:val="clear" w:color="auto" w:fill="DCF3FA"/>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60" w:type="dxa"/>
            <w:vAlign w:val="bottom"/>
            <w:tcBorders>
              <w:right w:val="single" w:sz="8" w:color="DCF3FA"/>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shd w:val="clear" w:color="auto" w:fill="DCF3FA"/>
          </w:tcPr>
          <w:p>
            <w:pPr>
              <w:spacing w:after="0"/>
              <w:rPr>
                <w:sz w:val="13"/>
                <w:szCs w:val="13"/>
                <w:color w:val="auto"/>
              </w:rPr>
            </w:pPr>
          </w:p>
        </w:tc>
        <w:tc>
          <w:tcPr>
            <w:tcW w:w="100" w:type="dxa"/>
            <w:vAlign w:val="bottom"/>
          </w:tcPr>
          <w:p>
            <w:pPr>
              <w:spacing w:after="0"/>
              <w:rPr>
                <w:sz w:val="13"/>
                <w:szCs w:val="13"/>
                <w:color w:val="auto"/>
              </w:rPr>
            </w:pPr>
          </w:p>
        </w:tc>
        <w:tc>
          <w:tcPr>
            <w:tcW w:w="5300" w:type="dxa"/>
            <w:vAlign w:val="bottom"/>
            <w:gridSpan w:val="2"/>
          </w:tcPr>
          <w:p>
            <w:pPr>
              <w:ind w:left="560"/>
              <w:spacing w:after="0" w:line="152" w:lineRule="exact"/>
              <w:rPr>
                <w:sz w:val="20"/>
                <w:szCs w:val="20"/>
                <w:color w:val="auto"/>
              </w:rPr>
            </w:pPr>
            <w:r>
              <w:rPr>
                <w:rFonts w:ascii="Calibri" w:cs="Calibri" w:eastAsia="Calibri" w:hAnsi="Calibri"/>
                <w:sz w:val="16"/>
                <w:szCs w:val="16"/>
                <w:color w:val="auto"/>
              </w:rPr>
              <w:t>corporate governance and is currently assistng NASSCOM in the</w:t>
            </w:r>
          </w:p>
        </w:tc>
        <w:tc>
          <w:tcPr>
            <w:tcW w:w="300" w:type="dxa"/>
            <w:vAlign w:val="bottom"/>
            <w:shd w:val="clear" w:color="auto" w:fill="DCF3FA"/>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60" w:type="dxa"/>
            <w:vAlign w:val="bottom"/>
            <w:tcBorders>
              <w:right w:val="single" w:sz="8" w:color="DCF3FA"/>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shd w:val="clear" w:color="auto" w:fill="DCF3FA"/>
          </w:tcPr>
          <w:p>
            <w:pPr>
              <w:spacing w:after="0"/>
              <w:rPr>
                <w:sz w:val="16"/>
                <w:szCs w:val="16"/>
                <w:color w:val="auto"/>
              </w:rPr>
            </w:pPr>
          </w:p>
        </w:tc>
        <w:tc>
          <w:tcPr>
            <w:tcW w:w="100" w:type="dxa"/>
            <w:vAlign w:val="bottom"/>
          </w:tcPr>
          <w:p>
            <w:pPr>
              <w:spacing w:after="0"/>
              <w:rPr>
                <w:sz w:val="16"/>
                <w:szCs w:val="16"/>
                <w:color w:val="auto"/>
              </w:rPr>
            </w:pPr>
          </w:p>
        </w:tc>
        <w:tc>
          <w:tcPr>
            <w:tcW w:w="5300" w:type="dxa"/>
            <w:vAlign w:val="bottom"/>
            <w:gridSpan w:val="2"/>
          </w:tcPr>
          <w:p>
            <w:pPr>
              <w:ind w:left="560"/>
              <w:spacing w:after="0" w:line="185" w:lineRule="exact"/>
              <w:rPr>
                <w:sz w:val="20"/>
                <w:szCs w:val="20"/>
                <w:color w:val="auto"/>
              </w:rPr>
            </w:pPr>
            <w:r>
              <w:rPr>
                <w:rFonts w:ascii="Calibri" w:cs="Calibri" w:eastAsia="Calibri" w:hAnsi="Calibri"/>
                <w:sz w:val="16"/>
                <w:szCs w:val="16"/>
                <w:color w:val="auto"/>
              </w:rPr>
              <w:t>development of data privacy legislaton in India.</w:t>
            </w:r>
          </w:p>
        </w:tc>
        <w:tc>
          <w:tcPr>
            <w:tcW w:w="3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560" w:type="dxa"/>
            <w:vAlign w:val="bottom"/>
            <w:tcBorders>
              <w:right w:val="single" w:sz="8" w:color="DCF3FA"/>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shd w:val="clear" w:color="auto" w:fill="DCF3FA"/>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shd w:val="clear" w:color="auto" w:fill="DCF3FA"/>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-6335395</wp:posOffset>
            </wp:positionV>
            <wp:extent cx="6740525" cy="74428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40525" cy="7442835"/>
                    </a:xfrm>
                    <a:prstGeom prst="rect">
                      <a:avLst/>
                    </a:prstGeom>
                    <a:noFill/>
                  </pic:spPr>
                </pic:pic>
              </a:graphicData>
            </a:graphic>
          </wp:anchor>
        </w:drawing>
      </w:r>
    </w:p>
    <w:p>
      <w:pPr>
        <w:spacing w:after="0" w:line="10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 </w:t>
      </w:r>
    </w:p>
    <w:p>
      <w:pPr>
        <w:sectPr>
          <w:pgSz w:w="11900" w:h="16838" w:orient="portrait"/>
          <w:cols w:equalWidth="0" w:num="1">
            <w:col w:w="10940"/>
          </w:cols>
          <w:pgMar w:left="320" w:top="471" w:right="639" w:bottom="7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60"/>
        <w:spacing w:after="0"/>
        <w:rPr>
          <w:sz w:val="20"/>
          <w:szCs w:val="20"/>
          <w:color w:val="auto"/>
        </w:rPr>
      </w:pPr>
      <w:r>
        <w:rPr>
          <w:rFonts w:ascii="Calibri" w:cs="Calibri" w:eastAsia="Calibri" w:hAnsi="Calibri"/>
          <w:sz w:val="13"/>
          <w:szCs w:val="13"/>
          <w:b w:val="1"/>
          <w:bCs w:val="1"/>
          <w:i w:val="1"/>
          <w:iCs w:val="1"/>
          <w:color w:val="auto"/>
        </w:rPr>
        <w:t>Kristy Pipes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Sarah K. Williamson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alibri" w:cs="Calibri" w:eastAsia="Calibri" w:hAnsi="Calibri"/>
          <w:sz w:val="14"/>
          <w:szCs w:val="14"/>
          <w:b w:val="1"/>
          <w:bCs w:val="1"/>
          <w:i w:val="1"/>
          <w:iCs w:val="1"/>
          <w:color w:val="auto"/>
        </w:rPr>
        <w:t>Som Mital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Jaynie Studenmund</w:t>
      </w:r>
    </w:p>
    <w:p>
      <w:pPr>
        <w:spacing w:after="0" w:line="10" w:lineRule="exact"/>
        <w:rPr>
          <w:sz w:val="20"/>
          <w:szCs w:val="20"/>
          <w:color w:val="auto"/>
        </w:rPr>
      </w:pPr>
    </w:p>
    <w:p>
      <w:pPr>
        <w:sectPr>
          <w:pgSz w:w="11900" w:h="16838" w:orient="portrait"/>
          <w:cols w:equalWidth="0" w:num="4">
            <w:col w:w="3020" w:space="720"/>
            <w:col w:w="1720" w:space="720"/>
            <w:col w:w="1700" w:space="720"/>
            <w:col w:w="2340"/>
          </w:cols>
          <w:pgMar w:left="320" w:top="471" w:right="639" w:bottom="754" w:gutter="0" w:footer="0" w:header="0"/>
          <w:type w:val="continuous"/>
        </w:sectPr>
      </w:pPr>
    </w:p>
    <w:p>
      <w:pPr>
        <w:ind w:left="960"/>
        <w:spacing w:after="0"/>
        <w:rPr>
          <w:sz w:val="20"/>
          <w:szCs w:val="20"/>
          <w:color w:val="auto"/>
        </w:rPr>
      </w:pPr>
      <w:r>
        <w:rPr>
          <w:rFonts w:ascii="Calibri" w:cs="Calibri" w:eastAsia="Calibri" w:hAnsi="Calibri"/>
          <w:sz w:val="13"/>
          <w:szCs w:val="13"/>
          <w:i w:val="1"/>
          <w:iCs w:val="1"/>
          <w:color w:val="auto"/>
        </w:rPr>
        <w:t>Independent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3"/>
          <w:szCs w:val="13"/>
          <w:i w:val="1"/>
          <w:iCs w:val="1"/>
          <w:color w:val="auto"/>
        </w:rPr>
        <w:t>Independent director</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alibri" w:cs="Calibri" w:eastAsia="Calibri" w:hAnsi="Calibri"/>
          <w:sz w:val="13"/>
          <w:szCs w:val="13"/>
          <w:i w:val="1"/>
          <w:iCs w:val="1"/>
          <w:color w:val="auto"/>
        </w:rPr>
        <w:t>Independent director</w:t>
      </w:r>
    </w:p>
    <w:p>
      <w:pPr>
        <w:spacing w:after="0" w:line="20" w:lineRule="exact"/>
        <w:rPr>
          <w:sz w:val="20"/>
          <w:szCs w:val="20"/>
          <w:color w:val="auto"/>
        </w:rPr>
      </w:pPr>
      <w:r>
        <w:rPr>
          <w:sz w:val="20"/>
          <w:szCs w:val="20"/>
          <w:color w:val="auto"/>
        </w:rPr>
        <w:br w:type="column"/>
      </w:r>
    </w:p>
    <w:p>
      <w:pPr>
        <w:jc w:val="center"/>
        <w:ind w:right="1160"/>
        <w:spacing w:after="0"/>
        <w:rPr>
          <w:sz w:val="20"/>
          <w:szCs w:val="20"/>
          <w:color w:val="auto"/>
        </w:rPr>
      </w:pPr>
      <w:r>
        <w:rPr>
          <w:rFonts w:ascii="Calibri" w:cs="Calibri" w:eastAsia="Calibri" w:hAnsi="Calibri"/>
          <w:sz w:val="13"/>
          <w:szCs w:val="13"/>
          <w:i w:val="1"/>
          <w:iCs w:val="1"/>
          <w:color w:val="auto"/>
        </w:rPr>
        <w:t>Independent director</w:t>
      </w:r>
    </w:p>
    <w:p>
      <w:pPr>
        <w:spacing w:after="0" w:line="200" w:lineRule="exact"/>
        <w:rPr>
          <w:sz w:val="20"/>
          <w:szCs w:val="20"/>
          <w:color w:val="auto"/>
        </w:rPr>
      </w:pPr>
    </w:p>
    <w:p>
      <w:pPr>
        <w:sectPr>
          <w:pgSz w:w="11900" w:h="16838" w:orient="portrait"/>
          <w:cols w:equalWidth="0" w:num="4">
            <w:col w:w="3020" w:space="720"/>
            <w:col w:w="1720" w:space="720"/>
            <w:col w:w="1700" w:space="720"/>
            <w:col w:w="2340"/>
          </w:cols>
          <w:pgMar w:left="320" w:top="471" w:right="639" w:bottom="754" w:gutter="0" w:footer="0" w:header="0"/>
          <w:type w:val="continuous"/>
        </w:sectPr>
      </w:pPr>
    </w:p>
    <w:p>
      <w:pPr>
        <w:spacing w:after="0" w:line="254"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27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754"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Board leadership structure</w:t>
      </w:r>
    </w:p>
    <w:p>
      <w:pPr>
        <w:spacing w:after="0" w:line="127" w:lineRule="exact"/>
        <w:rPr>
          <w:sz w:val="20"/>
          <w:szCs w:val="20"/>
          <w:color w:val="auto"/>
        </w:rPr>
      </w:pPr>
    </w:p>
    <w:p>
      <w:pPr>
        <w:ind w:left="4680" w:right="80"/>
        <w:spacing w:after="0"/>
        <w:rPr>
          <w:sz w:val="20"/>
          <w:szCs w:val="20"/>
          <w:color w:val="auto"/>
        </w:rPr>
      </w:pPr>
      <w:r>
        <w:rPr>
          <w:rFonts w:ascii="Calibri" w:cs="Calibri" w:eastAsia="Calibri" w:hAnsi="Calibri"/>
          <w:sz w:val="17"/>
          <w:szCs w:val="17"/>
          <w:color w:val="auto"/>
        </w:rPr>
        <w:t>Our board of directors is currently led by Rohit Kapoor, our Chair and CEO, and Vikram Pandit, our Lead Director. Our Chair and CEO, a non-independent director, was appointed to his current Chair role in April 2024, at which tme Mr. Pandit, an independent director and our former Chair, was appointed Lead Director. In recent years, including in 2023, our board has updated and strengthened the role of the Lead Director to include the functons and responsibilites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-776605</wp:posOffset>
            </wp:positionV>
            <wp:extent cx="2254885" cy="9829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254885" cy="982980"/>
                    </a:xfrm>
                    <a:prstGeom prst="rect">
                      <a:avLst/>
                    </a:prstGeom>
                    <a:noFill/>
                  </pic:spPr>
                </pic:pic>
              </a:graphicData>
            </a:graphic>
          </wp:anchor>
        </w:drawing>
      </w:r>
    </w:p>
    <w:p>
      <w:pPr>
        <w:spacing w:after="0" w:line="13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 xml:space="preserve">  </w:t>
      </w:r>
    </w:p>
    <w:p>
      <w:pPr>
        <w:sectPr>
          <w:pgSz w:w="11900" w:h="16838" w:orient="portrait"/>
          <w:cols w:equalWidth="0" w:num="1">
            <w:col w:w="10940"/>
          </w:cols>
          <w:pgMar w:left="320" w:top="471" w:right="639" w:bottom="1440" w:gutter="0" w:footer="0" w:header="0"/>
        </w:sectPr>
      </w:pPr>
    </w:p>
    <w:p>
      <w:pPr>
        <w:spacing w:after="0" w:line="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Rohit Kapoor</w:t>
      </w:r>
    </w:p>
    <w:p>
      <w:pPr>
        <w:spacing w:after="0" w:line="2" w:lineRule="exact"/>
        <w:rPr>
          <w:sz w:val="20"/>
          <w:szCs w:val="20"/>
          <w:color w:val="auto"/>
        </w:rPr>
      </w:pPr>
    </w:p>
    <w:p>
      <w:pPr>
        <w:ind w:left="320"/>
        <w:spacing w:after="0"/>
        <w:rPr>
          <w:sz w:val="20"/>
          <w:szCs w:val="20"/>
          <w:color w:val="auto"/>
        </w:rPr>
      </w:pPr>
      <w:r>
        <w:rPr>
          <w:rFonts w:ascii="Calibri" w:cs="Calibri" w:eastAsia="Calibri" w:hAnsi="Calibri"/>
          <w:sz w:val="16"/>
          <w:szCs w:val="16"/>
          <w:i w:val="1"/>
          <w:iCs w:val="1"/>
          <w:color w:val="auto"/>
        </w:rPr>
        <w:t>Chair and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6"/>
          <w:szCs w:val="16"/>
          <w:b w:val="1"/>
          <w:bCs w:val="1"/>
          <w:color w:val="auto"/>
        </w:rPr>
        <w:t>Vikram Pandit</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-1348105</wp:posOffset>
            </wp:positionH>
            <wp:positionV relativeFrom="paragraph">
              <wp:posOffset>97155</wp:posOffset>
            </wp:positionV>
            <wp:extent cx="6773545" cy="24949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73545" cy="24949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720"/>
            <w:col w:w="8500"/>
          </w:cols>
          <w:pgMar w:left="320" w:top="471"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Sixth Amended and Restated By-laws (our “By-laws”) provide that our Chair or, in the absence of our Chair, our Lead Director, or in the absence of both our Chair and Lead Director, our CEO, calls meetngs of our board of directors to order and acts as the chair for those board meetngs. In the absence of our Chair, our Lead Director, and our CEO, a majority of our directors present may elect as chair of the meetng any director present. Independent directors meet at least quarterly in executve session without any management directors or members of the Company’s management present. Our Corporate Governance Guidelines provide that in the absence of our Chair, our Lead Director or, in the absence of the Lead Director, a director chosen by the directors meetng in executve session, presides at all executve sessions.</w:t>
      </w:r>
    </w:p>
    <w:p>
      <w:pPr>
        <w:spacing w:after="0" w:line="108"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The board of directors does not have a permanent policy or practce regarding the combinaton of the Chair and CEO role. At present, the board believes that consolidatng the Chair and CEO positons allows our CEO to contribute his experience and perspectve regarding management and leadership of the Company towards the goals of improved corporate governance and greater management accountability. This structure also provides greater informaton fow between the management team and directors. At the same tme, the presence of our Lead Director ensures that the board can retain sufcient delineaton of responsibilites, such that our Lead Director and our Chair and CEO may each successfully and efectvely perform and discharge their respectve dutes and, as a corollary, enhance our prospects for success. As a result, the Company benefts from the ability to integrate the collectve leadership and corporate governance experience of our Lead Director and our Chair and CEO, while retaining the ability to facilitate the functoning of the board of directors independently of our management and to focus on our commitment to corporate governance.</w:t>
      </w:r>
    </w:p>
    <w:p>
      <w:pPr>
        <w:spacing w:after="0" w:line="109"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For the foregoing reasons, our board of directors has determined that its leadership structure is appropriate and in the best interests of our stockholders at this tme.</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28 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ectPr>
          <w:pgSz w:w="11900" w:h="16838" w:orient="portrait"/>
          <w:cols w:equalWidth="0" w:num="1">
            <w:col w:w="10940"/>
          </w:cols>
          <w:pgMar w:left="320" w:top="471" w:right="639" w:bottom="1440" w:gutter="0" w:footer="0" w:header="0"/>
        </w:sectPr>
      </w:pP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Director qualifcatons, refreshment and evaluatons</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Director qualifcatons</w:t>
      </w:r>
    </w:p>
    <w:p>
      <w:pPr>
        <w:spacing w:after="0" w:line="141" w:lineRule="exact"/>
        <w:rPr>
          <w:sz w:val="20"/>
          <w:szCs w:val="20"/>
          <w:color w:val="auto"/>
        </w:rPr>
      </w:pPr>
    </w:p>
    <w:p>
      <w:pPr>
        <w:ind w:left="320" w:right="260"/>
        <w:spacing w:after="0"/>
        <w:rPr>
          <w:sz w:val="20"/>
          <w:szCs w:val="20"/>
          <w:color w:val="auto"/>
        </w:rPr>
      </w:pPr>
      <w:r>
        <w:rPr>
          <w:rFonts w:ascii="Calibri" w:cs="Calibri" w:eastAsia="Calibri" w:hAnsi="Calibri"/>
          <w:sz w:val="17"/>
          <w:szCs w:val="17"/>
          <w:color w:val="auto"/>
        </w:rPr>
        <w:t>The board of directors considers it paramount to achieving excellence in corporate governance to assemble a board of directors that, taken together, has the breadth of skills, qualifcatons, experience and atributes appropriate for functoning as the board of our Company and working productvely with management. The Nominatng and Governance Commitee of the board is responsible for recommending nominees who are qualifed and bring a diverse set of skills and qualifcatons to oversee the Company efectvely.</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Nominatng and Governance Commitee has not formally established any</w:t>
      </w:r>
    </w:p>
    <w:p>
      <w:pPr>
        <w:spacing w:after="0" w:line="2"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minimum qualifcatons for director candidates, but pursuant to our Corporate Governance Guidelines, our board seeks independent directors from diverse professional and personal backgrounds who combine a broad spectrum of experience and expertse with a reputaton for integrity. The board believes that its membership should refect a diversity of gender, race, ethnicity, age, and skills and experience in the context of the needs of the board and endeavors</w:t>
      </w:r>
    </w:p>
    <w:p>
      <w:pPr>
        <w:spacing w:after="0" w:line="3"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to consider such criteria, when applicable, for positons on the board. The Nominatng and Governance Commitee assesses each director candidate on this basis. The Nominatng and Governance Commitee considers a number of factors in selectng director candidates, including, among others: ethical standards and integrity; independence; diversity of professional and personal backgrounds; skills and experience; other public company directorships; and fnancial literacy and expertse; communicaton skills; and ability and willingness to comply with Company policies and procedures.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Key skills and atributes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-229870</wp:posOffset>
            </wp:positionV>
            <wp:extent cx="2354580" cy="2428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354580" cy="2428875"/>
                    </a:xfrm>
                    <a:prstGeom prst="rect">
                      <a:avLst/>
                    </a:prstGeom>
                    <a:noFill/>
                  </pic:spPr>
                </pic:pic>
              </a:graphicData>
            </a:graphic>
          </wp:anchor>
        </w:drawing>
      </w:r>
    </w:p>
    <w:p>
      <w:pPr>
        <w:spacing w:after="0"/>
        <w:rPr>
          <w:sz w:val="20"/>
          <w:szCs w:val="20"/>
          <w:color w:val="auto"/>
        </w:rPr>
      </w:pPr>
      <w:r>
        <w:rPr>
          <w:rFonts w:ascii="Calibri" w:cs="Calibri" w:eastAsia="Calibri" w:hAnsi="Calibri"/>
          <w:sz w:val="16"/>
          <w:szCs w:val="16"/>
          <w:b w:val="1"/>
          <w:bCs w:val="1"/>
          <w:color w:val="auto"/>
        </w:rPr>
        <w:t>we look for in board nominees</w:t>
      </w:r>
    </w:p>
    <w:p>
      <w:pPr>
        <w:spacing w:after="0" w:line="91" w:lineRule="exact"/>
        <w:rPr>
          <w:sz w:val="20"/>
          <w:szCs w:val="20"/>
          <w:color w:val="auto"/>
        </w:rPr>
      </w:pPr>
    </w:p>
    <w:p>
      <w:pPr>
        <w:spacing w:after="0"/>
        <w:rPr>
          <w:sz w:val="20"/>
          <w:szCs w:val="20"/>
          <w:color w:val="auto"/>
        </w:rPr>
      </w:pPr>
      <w:r>
        <w:rPr>
          <w:sz w:val="1"/>
          <w:szCs w:val="1"/>
          <w:color w:val="auto"/>
        </w:rPr>
        <w:drawing>
          <wp:inline distT="0" distB="0" distL="0" distR="0">
            <wp:extent cx="165100" cy="10731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65100" cy="107315"/>
                    </a:xfrm>
                    <a:prstGeom prst="rect">
                      <a:avLst/>
                    </a:prstGeom>
                    <a:noFill/>
                    <a:ln>
                      <a:noFill/>
                    </a:ln>
                  </pic:spPr>
                </pic:pic>
              </a:graphicData>
            </a:graphic>
          </wp:inline>
        </w:drawing>
      </w:r>
      <w:r>
        <w:rPr>
          <w:rFonts w:ascii="Calibri" w:cs="Calibri" w:eastAsia="Calibri" w:hAnsi="Calibri"/>
          <w:sz w:val="13"/>
          <w:szCs w:val="13"/>
          <w:color w:val="auto"/>
        </w:rPr>
        <w:t xml:space="preserve">    Strategic insight and broad business perspectve</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165100" cy="10731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65100" cy="107315"/>
                    </a:xfrm>
                    <a:prstGeom prst="rect">
                      <a:avLst/>
                    </a:prstGeom>
                    <a:noFill/>
                    <a:ln>
                      <a:noFill/>
                    </a:ln>
                  </pic:spPr>
                </pic:pic>
              </a:graphicData>
            </a:graphic>
          </wp:inline>
        </w:drawing>
      </w:r>
      <w:r>
        <w:rPr>
          <w:rFonts w:ascii="Calibri" w:cs="Calibri" w:eastAsia="Calibri" w:hAnsi="Calibri"/>
          <w:sz w:val="14"/>
          <w:szCs w:val="14"/>
          <w:color w:val="auto"/>
        </w:rPr>
        <w:t xml:space="preserve">    Critcal and innovatve thinking</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165100" cy="10731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65100" cy="107315"/>
                    </a:xfrm>
                    <a:prstGeom prst="rect">
                      <a:avLst/>
                    </a:prstGeom>
                    <a:noFill/>
                    <a:ln>
                      <a:noFill/>
                    </a:ln>
                  </pic:spPr>
                </pic:pic>
              </a:graphicData>
            </a:graphic>
          </wp:inline>
        </w:drawing>
      </w:r>
      <w:r>
        <w:rPr>
          <w:rFonts w:ascii="Calibri" w:cs="Calibri" w:eastAsia="Calibri" w:hAnsi="Calibri"/>
          <w:sz w:val="14"/>
          <w:szCs w:val="14"/>
          <w:color w:val="auto"/>
        </w:rPr>
        <w:t xml:space="preserve">    High ethical standards and integrity</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165100" cy="10731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65100" cy="107315"/>
                    </a:xfrm>
                    <a:prstGeom prst="rect">
                      <a:avLst/>
                    </a:prstGeom>
                    <a:noFill/>
                    <a:ln>
                      <a:noFill/>
                    </a:ln>
                  </pic:spPr>
                </pic:pic>
              </a:graphicData>
            </a:graphic>
          </wp:inline>
        </w:drawing>
      </w:r>
      <w:r>
        <w:rPr>
          <w:rFonts w:ascii="Calibri" w:cs="Calibri" w:eastAsia="Calibri" w:hAnsi="Calibri"/>
          <w:sz w:val="14"/>
          <w:szCs w:val="14"/>
          <w:color w:val="auto"/>
        </w:rPr>
        <w:t xml:space="preserve">    Mutual respect for other board members</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165100" cy="10731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65100" cy="107315"/>
                    </a:xfrm>
                    <a:prstGeom prst="rect">
                      <a:avLst/>
                    </a:prstGeom>
                    <a:noFill/>
                    <a:ln>
                      <a:noFill/>
                    </a:ln>
                  </pic:spPr>
                </pic:pic>
              </a:graphicData>
            </a:graphic>
          </wp:inline>
        </w:drawing>
      </w:r>
      <w:r>
        <w:rPr>
          <w:rFonts w:ascii="Calibri" w:cs="Calibri" w:eastAsia="Calibri" w:hAnsi="Calibri"/>
          <w:sz w:val="14"/>
          <w:szCs w:val="14"/>
          <w:color w:val="auto"/>
        </w:rPr>
        <w:t xml:space="preserve">    Ability to debate constructvely</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165100" cy="10731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65100" cy="107315"/>
                    </a:xfrm>
                    <a:prstGeom prst="rect">
                      <a:avLst/>
                    </a:prstGeom>
                    <a:noFill/>
                    <a:ln>
                      <a:noFill/>
                    </a:ln>
                  </pic:spPr>
                </pic:pic>
              </a:graphicData>
            </a:graphic>
          </wp:inline>
        </w:drawing>
      </w:r>
      <w:r>
        <w:rPr>
          <w:rFonts w:ascii="Calibri" w:cs="Calibri" w:eastAsia="Calibri" w:hAnsi="Calibri"/>
          <w:sz w:val="14"/>
          <w:szCs w:val="14"/>
          <w:color w:val="auto"/>
        </w:rPr>
        <w:t xml:space="preserve">    Candid, assertve, open minded</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165100" cy="10731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65100" cy="107315"/>
                    </a:xfrm>
                    <a:prstGeom prst="rect">
                      <a:avLst/>
                    </a:prstGeom>
                    <a:noFill/>
                    <a:ln>
                      <a:noFill/>
                    </a:ln>
                  </pic:spPr>
                </pic:pic>
              </a:graphicData>
            </a:graphic>
          </wp:inline>
        </w:drawing>
      </w:r>
      <w:r>
        <w:rPr>
          <w:rFonts w:ascii="Calibri" w:cs="Calibri" w:eastAsia="Calibri" w:hAnsi="Calibri"/>
          <w:sz w:val="14"/>
          <w:szCs w:val="14"/>
          <w:color w:val="auto"/>
        </w:rPr>
        <w:t xml:space="preserve">    Availability and commitment to serve</w:t>
      </w:r>
    </w:p>
    <w:p>
      <w:pPr>
        <w:spacing w:after="0" w:line="83" w:lineRule="exact"/>
        <w:rPr>
          <w:sz w:val="20"/>
          <w:szCs w:val="20"/>
          <w:color w:val="auto"/>
        </w:rPr>
      </w:pPr>
    </w:p>
    <w:p>
      <w:pPr>
        <w:ind w:left="340" w:right="600" w:hanging="341"/>
        <w:spacing w:after="0"/>
        <w:rPr>
          <w:sz w:val="20"/>
          <w:szCs w:val="20"/>
          <w:color w:val="auto"/>
        </w:rPr>
      </w:pPr>
      <w:r>
        <w:rPr>
          <w:sz w:val="1"/>
          <w:szCs w:val="1"/>
          <w:color w:val="auto"/>
        </w:rPr>
        <w:drawing>
          <wp:inline distT="0" distB="0" distL="0" distR="0">
            <wp:extent cx="165100" cy="10731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65100" cy="107315"/>
                    </a:xfrm>
                    <a:prstGeom prst="rect">
                      <a:avLst/>
                    </a:prstGeom>
                    <a:noFill/>
                    <a:ln>
                      <a:noFill/>
                    </a:ln>
                  </pic:spPr>
                </pic:pic>
              </a:graphicData>
            </a:graphic>
          </wp:inline>
        </w:drawing>
      </w:r>
      <w:r>
        <w:rPr>
          <w:rFonts w:ascii="Calibri" w:cs="Calibri" w:eastAsia="Calibri" w:hAnsi="Calibri"/>
          <w:sz w:val="14"/>
          <w:szCs w:val="14"/>
          <w:color w:val="auto"/>
        </w:rPr>
        <w:t xml:space="preserve">    Commitment to accountability, excellence and contnuous improvement</w:t>
      </w:r>
    </w:p>
    <w:p>
      <w:pPr>
        <w:spacing w:after="0" w:line="83" w:lineRule="exact"/>
        <w:rPr>
          <w:sz w:val="20"/>
          <w:szCs w:val="20"/>
          <w:color w:val="auto"/>
        </w:rPr>
      </w:pPr>
    </w:p>
    <w:p>
      <w:pPr>
        <w:ind w:right="520"/>
        <w:spacing w:after="0" w:line="346" w:lineRule="auto"/>
        <w:rPr>
          <w:sz w:val="20"/>
          <w:szCs w:val="20"/>
          <w:color w:val="auto"/>
        </w:rPr>
      </w:pPr>
      <w:r>
        <w:rPr>
          <w:sz w:val="1"/>
          <w:szCs w:val="1"/>
          <w:color w:val="auto"/>
        </w:rPr>
        <w:drawing>
          <wp:inline distT="0" distB="0" distL="0" distR="0">
            <wp:extent cx="165100" cy="10731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5100" cy="107315"/>
                    </a:xfrm>
                    <a:prstGeom prst="rect">
                      <a:avLst/>
                    </a:prstGeom>
                    <a:noFill/>
                    <a:ln>
                      <a:noFill/>
                    </a:ln>
                  </pic:spPr>
                </pic:pic>
              </a:graphicData>
            </a:graphic>
          </wp:inline>
        </w:drawing>
      </w:r>
      <w:r>
        <w:rPr>
          <w:rFonts w:ascii="Calibri" w:cs="Calibri" w:eastAsia="Calibri" w:hAnsi="Calibri"/>
          <w:sz w:val="14"/>
          <w:szCs w:val="14"/>
          <w:color w:val="auto"/>
        </w:rPr>
        <w:t xml:space="preserve">    Commitment to driving our growth and success </w:t>
      </w:r>
      <w:r>
        <w:rPr>
          <w:sz w:val="1"/>
          <w:szCs w:val="1"/>
          <w:color w:val="auto"/>
        </w:rPr>
        <w:drawing>
          <wp:inline distT="0" distB="0" distL="0" distR="0">
            <wp:extent cx="165100" cy="10731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65100" cy="107315"/>
                    </a:xfrm>
                    <a:prstGeom prst="rect">
                      <a:avLst/>
                    </a:prstGeom>
                    <a:noFill/>
                    <a:ln>
                      <a:noFill/>
                    </a:ln>
                  </pic:spPr>
                </pic:pic>
              </a:graphicData>
            </a:graphic>
          </wp:inline>
        </w:drawing>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Proven leadership skills</w:t>
      </w:r>
    </w:p>
    <w:p>
      <w:pPr>
        <w:spacing w:after="0" w:line="677" w:lineRule="exact"/>
        <w:rPr>
          <w:sz w:val="20"/>
          <w:szCs w:val="20"/>
          <w:color w:val="auto"/>
        </w:rPr>
      </w:pPr>
    </w:p>
    <w:p>
      <w:pPr>
        <w:sectPr>
          <w:pgSz w:w="11900" w:h="16838" w:orient="portrait"/>
          <w:cols w:equalWidth="0" w:num="2">
            <w:col w:w="7160" w:space="220"/>
            <w:col w:w="3560"/>
          </w:cols>
          <w:pgMar w:left="320" w:top="471" w:right="639" w:bottom="1440" w:gutter="0" w:footer="0" w:header="0"/>
          <w:type w:val="continuous"/>
        </w:sectPr>
      </w:pPr>
    </w:p>
    <w:p>
      <w:pPr>
        <w:spacing w:after="0" w:line="13"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In light of our business, the primary areas of experience, qualifcatons and atributes typically sought and put forward by the Nominatng and Governance Commitee in director candidates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48780" cy="21310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48780" cy="213106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Executve leadership</w:t>
      </w:r>
    </w:p>
    <w:p>
      <w:pPr>
        <w:spacing w:after="0" w:line="10" w:lineRule="exact"/>
        <w:rPr>
          <w:sz w:val="20"/>
          <w:szCs w:val="20"/>
          <w:color w:val="auto"/>
        </w:rPr>
      </w:pPr>
    </w:p>
    <w:p>
      <w:pPr>
        <w:ind w:left="1380" w:right="120"/>
        <w:spacing w:after="0" w:line="233" w:lineRule="auto"/>
        <w:rPr>
          <w:sz w:val="20"/>
          <w:szCs w:val="20"/>
          <w:color w:val="auto"/>
        </w:rPr>
      </w:pPr>
      <w:r>
        <w:rPr>
          <w:rFonts w:ascii="Calibri" w:cs="Calibri" w:eastAsia="Calibri" w:hAnsi="Calibri"/>
          <w:sz w:val="16"/>
          <w:szCs w:val="16"/>
          <w:color w:val="auto"/>
        </w:rPr>
        <w:t>Experience holding signifcant leadership positons, including as a CEO or head of a signifcant business, to help us drive business strategy, growth and performance.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Finance and accountng</w:t>
      </w:r>
    </w:p>
    <w:p>
      <w:pPr>
        <w:ind w:left="1380"/>
        <w:spacing w:after="0"/>
        <w:rPr>
          <w:sz w:val="20"/>
          <w:szCs w:val="20"/>
          <w:color w:val="auto"/>
        </w:rPr>
      </w:pPr>
      <w:r>
        <w:rPr>
          <w:rFonts w:ascii="Calibri" w:cs="Calibri" w:eastAsia="Calibri" w:hAnsi="Calibri"/>
          <w:sz w:val="16"/>
          <w:szCs w:val="16"/>
          <w:color w:val="auto"/>
        </w:rPr>
        <w:t>Experience with fnance, accountng or fnancial reportng processes, to help drive fnancial performance.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Global companies</w:t>
      </w:r>
    </w:p>
    <w:p>
      <w:pPr>
        <w:ind w:left="1380"/>
        <w:spacing w:after="0"/>
        <w:rPr>
          <w:sz w:val="20"/>
          <w:szCs w:val="20"/>
          <w:color w:val="auto"/>
        </w:rPr>
      </w:pPr>
      <w:r>
        <w:rPr>
          <w:rFonts w:ascii="Calibri" w:cs="Calibri" w:eastAsia="Calibri" w:hAnsi="Calibri"/>
          <w:sz w:val="16"/>
          <w:szCs w:val="16"/>
          <w:color w:val="auto"/>
        </w:rPr>
        <w:t>Experience working outside of the United States or with multnatonal companies, to help facilitate our global expansion.</w:t>
      </w:r>
    </w:p>
    <w:p>
      <w:pPr>
        <w:spacing w:after="0" w:line="200" w:lineRule="exact"/>
        <w:rPr>
          <w:sz w:val="20"/>
          <w:szCs w:val="20"/>
          <w:color w:val="auto"/>
        </w:rPr>
      </w:pPr>
    </w:p>
    <w:p>
      <w:pPr>
        <w:spacing w:after="0" w:line="34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29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48780" cy="74180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48780" cy="741807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Board experience</w:t>
      </w:r>
    </w:p>
    <w:p>
      <w:pPr>
        <w:spacing w:after="0" w:line="10" w:lineRule="exact"/>
        <w:rPr>
          <w:sz w:val="20"/>
          <w:szCs w:val="20"/>
          <w:color w:val="auto"/>
        </w:rPr>
      </w:pPr>
    </w:p>
    <w:p>
      <w:pPr>
        <w:ind w:left="1380" w:right="300"/>
        <w:spacing w:after="0" w:line="233" w:lineRule="auto"/>
        <w:rPr>
          <w:sz w:val="20"/>
          <w:szCs w:val="20"/>
          <w:color w:val="auto"/>
        </w:rPr>
      </w:pPr>
      <w:r>
        <w:rPr>
          <w:rFonts w:ascii="Calibri" w:cs="Calibri" w:eastAsia="Calibri" w:hAnsi="Calibri"/>
          <w:sz w:val="16"/>
          <w:szCs w:val="16"/>
          <w:color w:val="auto"/>
        </w:rPr>
        <w:t>Understanding of public company board of director and fduciary dutes, to help provide perspectve on corporate governance best practces and related maters.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166370</wp:posOffset>
            </wp:positionV>
            <wp:extent cx="611505" cy="7766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1505" cy="77660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166370</wp:posOffset>
            </wp:positionV>
            <wp:extent cx="611505" cy="7766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1505" cy="77660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Data and AI</w:t>
      </w:r>
    </w:p>
    <w:p>
      <w:pPr>
        <w:spacing w:after="0" w:line="10" w:lineRule="exact"/>
        <w:rPr>
          <w:sz w:val="20"/>
          <w:szCs w:val="20"/>
          <w:color w:val="auto"/>
        </w:rPr>
      </w:pPr>
    </w:p>
    <w:p>
      <w:pPr>
        <w:ind w:left="1380" w:right="380"/>
        <w:spacing w:after="0" w:line="233" w:lineRule="auto"/>
        <w:rPr>
          <w:sz w:val="20"/>
          <w:szCs w:val="20"/>
          <w:color w:val="auto"/>
        </w:rPr>
      </w:pPr>
      <w:r>
        <w:rPr>
          <w:rFonts w:ascii="Calibri" w:cs="Calibri" w:eastAsia="Calibri" w:hAnsi="Calibri"/>
          <w:sz w:val="16"/>
          <w:szCs w:val="16"/>
          <w:color w:val="auto"/>
        </w:rPr>
        <w:t>Experience with data analytcs, digital operatons and solutons, artfcial intelligence and machine learning, and other key technologies that are central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240665</wp:posOffset>
            </wp:positionV>
            <wp:extent cx="611505" cy="7518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1505" cy="75184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240665</wp:posOffset>
            </wp:positionV>
            <wp:extent cx="611505" cy="7518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150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Client and industry knowledge</w:t>
      </w:r>
    </w:p>
    <w:p>
      <w:pPr>
        <w:spacing w:after="0" w:line="10" w:lineRule="exact"/>
        <w:rPr>
          <w:sz w:val="20"/>
          <w:szCs w:val="20"/>
          <w:color w:val="auto"/>
        </w:rPr>
      </w:pPr>
    </w:p>
    <w:p>
      <w:pPr>
        <w:ind w:left="1380" w:right="640"/>
        <w:spacing w:after="0" w:line="233" w:lineRule="auto"/>
        <w:rPr>
          <w:sz w:val="20"/>
          <w:szCs w:val="20"/>
          <w:color w:val="auto"/>
        </w:rPr>
      </w:pPr>
      <w:r>
        <w:rPr>
          <w:rFonts w:ascii="Calibri" w:cs="Calibri" w:eastAsia="Calibri" w:hAnsi="Calibri"/>
          <w:sz w:val="16"/>
          <w:szCs w:val="16"/>
          <w:color w:val="auto"/>
        </w:rPr>
        <w:t>Experience with our key client industries, including insurance, healthcare, banking and fnancial services, fnance/accountng, and our other capabilites, to help deepen our knowledge of our key industry vertcals and markets in which we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166370</wp:posOffset>
            </wp:positionV>
            <wp:extent cx="611505" cy="7766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1505" cy="77660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166370</wp:posOffset>
            </wp:positionV>
            <wp:extent cx="611505" cy="7766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1505" cy="77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Risk oversight/management</w:t>
      </w:r>
    </w:p>
    <w:p>
      <w:pPr>
        <w:ind w:left="1380"/>
        <w:spacing w:after="0"/>
        <w:rPr>
          <w:sz w:val="20"/>
          <w:szCs w:val="20"/>
          <w:color w:val="auto"/>
        </w:rPr>
      </w:pPr>
      <w:r>
        <w:rPr>
          <w:rFonts w:ascii="Calibri" w:cs="Calibri" w:eastAsia="Calibri" w:hAnsi="Calibri"/>
          <w:sz w:val="16"/>
          <w:szCs w:val="16"/>
          <w:color w:val="auto"/>
        </w:rPr>
        <w:t>Experience assessing and overseeing the overall risk profle of multnatonal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240030</wp:posOffset>
            </wp:positionV>
            <wp:extent cx="611505" cy="7023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1505" cy="70231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240030</wp:posOffset>
            </wp:positionV>
            <wp:extent cx="611505" cy="7023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1505" cy="70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Human capital management</w:t>
      </w:r>
    </w:p>
    <w:p>
      <w:pPr>
        <w:spacing w:after="0" w:line="10" w:lineRule="exact"/>
        <w:rPr>
          <w:sz w:val="20"/>
          <w:szCs w:val="20"/>
          <w:color w:val="auto"/>
        </w:rPr>
      </w:pPr>
    </w:p>
    <w:p>
      <w:pPr>
        <w:ind w:left="1380" w:right="700"/>
        <w:spacing w:after="0" w:line="233" w:lineRule="auto"/>
        <w:rPr>
          <w:sz w:val="20"/>
          <w:szCs w:val="20"/>
          <w:color w:val="auto"/>
        </w:rPr>
      </w:pPr>
      <w:r>
        <w:rPr>
          <w:rFonts w:ascii="Calibri" w:cs="Calibri" w:eastAsia="Calibri" w:hAnsi="Calibri"/>
          <w:sz w:val="16"/>
          <w:szCs w:val="16"/>
          <w:color w:val="auto"/>
        </w:rPr>
        <w:t>Experience in management and development of human capital, including management of a large workforce, diversity and inclusion, talent development, workplace health and safety, compensaton and other human capital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166370</wp:posOffset>
            </wp:positionV>
            <wp:extent cx="611505" cy="6527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1505" cy="65278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166370</wp:posOffset>
            </wp:positionV>
            <wp:extent cx="611505" cy="6527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1505" cy="65278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Diverse backgrounds</w:t>
      </w:r>
    </w:p>
    <w:p>
      <w:pPr>
        <w:spacing w:after="0" w:line="10" w:lineRule="exact"/>
        <w:rPr>
          <w:sz w:val="20"/>
          <w:szCs w:val="20"/>
          <w:color w:val="auto"/>
        </w:rPr>
      </w:pPr>
    </w:p>
    <w:p>
      <w:pPr>
        <w:ind w:left="1380"/>
        <w:spacing w:after="0" w:line="233" w:lineRule="auto"/>
        <w:rPr>
          <w:sz w:val="20"/>
          <w:szCs w:val="20"/>
          <w:color w:val="auto"/>
        </w:rPr>
      </w:pPr>
      <w:r>
        <w:rPr>
          <w:rFonts w:ascii="Calibri" w:cs="Calibri" w:eastAsia="Calibri" w:hAnsi="Calibri"/>
          <w:sz w:val="16"/>
          <w:szCs w:val="16"/>
          <w:color w:val="auto"/>
        </w:rPr>
        <w:t>We seek directors with diverse professional and personal backgrounds and perspectves to promote the values of diversity and inclusion from the top and to provide perspectve from varying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166370</wp:posOffset>
            </wp:positionV>
            <wp:extent cx="611505" cy="7766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11505" cy="77660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166370</wp:posOffset>
            </wp:positionV>
            <wp:extent cx="611505" cy="7766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1505" cy="77660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Experience in sustainability maters</w:t>
      </w:r>
    </w:p>
    <w:p>
      <w:pPr>
        <w:ind w:left="1380"/>
        <w:spacing w:after="0"/>
        <w:rPr>
          <w:sz w:val="20"/>
          <w:szCs w:val="20"/>
          <w:color w:val="auto"/>
        </w:rPr>
      </w:pPr>
      <w:r>
        <w:rPr>
          <w:rFonts w:ascii="Calibri" w:cs="Calibri" w:eastAsia="Calibri" w:hAnsi="Calibri"/>
          <w:sz w:val="16"/>
          <w:szCs w:val="16"/>
          <w:color w:val="auto"/>
        </w:rPr>
        <w:t>Experience in managing sustainability maters, incorporatng them into business and strategy and associated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314325</wp:posOffset>
            </wp:positionV>
            <wp:extent cx="611505" cy="8261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1505" cy="82613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314325</wp:posOffset>
            </wp:positionV>
            <wp:extent cx="611505" cy="8261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1505" cy="826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Informaton and cybersecurity</w:t>
      </w:r>
    </w:p>
    <w:p>
      <w:pPr>
        <w:ind w:left="1380"/>
        <w:spacing w:after="0"/>
        <w:rPr>
          <w:sz w:val="20"/>
          <w:szCs w:val="20"/>
          <w:color w:val="auto"/>
        </w:rPr>
      </w:pPr>
      <w:r>
        <w:rPr>
          <w:rFonts w:ascii="Calibri" w:cs="Calibri" w:eastAsia="Calibri" w:hAnsi="Calibri"/>
          <w:sz w:val="16"/>
          <w:szCs w:val="16"/>
          <w:color w:val="auto"/>
        </w:rPr>
        <w:t>Experience in informaton and cybersecurity maters, best practces and associated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240030</wp:posOffset>
            </wp:positionV>
            <wp:extent cx="611505" cy="7353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1505" cy="73533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240030</wp:posOffset>
            </wp:positionV>
            <wp:extent cx="611505" cy="7353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1505" cy="73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Mergers and acquisitons</w:t>
      </w:r>
    </w:p>
    <w:p>
      <w:pPr>
        <w:ind w:left="1380"/>
        <w:spacing w:after="0"/>
        <w:rPr>
          <w:sz w:val="20"/>
          <w:szCs w:val="20"/>
          <w:color w:val="auto"/>
        </w:rPr>
      </w:pPr>
      <w:r>
        <w:rPr>
          <w:rFonts w:ascii="Calibri" w:cs="Calibri" w:eastAsia="Calibri" w:hAnsi="Calibri"/>
          <w:sz w:val="16"/>
          <w:szCs w:val="16"/>
          <w:color w:val="auto"/>
        </w:rPr>
        <w:t>Experience in mergers and acquisitons as a component of business development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248285</wp:posOffset>
            </wp:positionV>
            <wp:extent cx="611505" cy="7353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1505" cy="73533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248285</wp:posOffset>
            </wp:positionV>
            <wp:extent cx="611505" cy="7353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1505" cy="73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Marketng</w:t>
      </w:r>
    </w:p>
    <w:p>
      <w:pPr>
        <w:ind w:left="1380"/>
        <w:spacing w:after="0"/>
        <w:rPr>
          <w:sz w:val="20"/>
          <w:szCs w:val="20"/>
          <w:color w:val="auto"/>
        </w:rPr>
      </w:pPr>
      <w:r>
        <w:rPr>
          <w:rFonts w:ascii="Calibri" w:cs="Calibri" w:eastAsia="Calibri" w:hAnsi="Calibri"/>
          <w:sz w:val="16"/>
          <w:szCs w:val="16"/>
          <w:color w:val="auto"/>
        </w:rPr>
        <w:t>Experience in marketng and branding of multnatonal companies.</w:t>
      </w:r>
    </w:p>
    <w:p>
      <w:pPr>
        <w:spacing w:after="0" w:line="200" w:lineRule="exact"/>
        <w:rPr>
          <w:sz w:val="20"/>
          <w:szCs w:val="20"/>
          <w:color w:val="auto"/>
        </w:rPr>
      </w:pPr>
    </w:p>
    <w:p>
      <w:pPr>
        <w:spacing w:after="0" w:line="30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30 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71" w:right="7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Refreshment</w:t>
      </w:r>
    </w:p>
    <w:p>
      <w:pPr>
        <w:spacing w:after="0" w:line="361"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Our Nominatng and Governance Commitee considers the size and compositon of our board (and its commitees) on a contnual basis with an aim toward creatng a balanced board with extensive experience and insttutonal knowledge, and fresh perspectve and insight.</w:t>
      </w:r>
    </w:p>
    <w:p>
      <w:pPr>
        <w:spacing w:after="0" w:line="369" w:lineRule="exact"/>
        <w:rPr>
          <w:sz w:val="20"/>
          <w:szCs w:val="20"/>
          <w:color w:val="auto"/>
        </w:rPr>
      </w:pPr>
    </w:p>
    <w:p>
      <w:pPr>
        <w:ind w:left="320"/>
        <w:spacing w:after="0" w:line="259" w:lineRule="auto"/>
        <w:rPr>
          <w:sz w:val="20"/>
          <w:szCs w:val="20"/>
          <w:color w:val="auto"/>
        </w:rPr>
      </w:pPr>
      <w:r>
        <w:rPr>
          <w:rFonts w:ascii="Calibri" w:cs="Calibri" w:eastAsia="Calibri" w:hAnsi="Calibri"/>
          <w:sz w:val="16"/>
          <w:szCs w:val="16"/>
          <w:color w:val="auto"/>
        </w:rPr>
        <w:t>Consideratons include whether the compositon of the board of directors (and its commitees) includes sufcient diversity and independent skill sets and background as appropriate for our immediate and long-term strategic needs. These consideratons are also informed by discussions with our investors through stockholder engagement. In terms of diversity, our board, following the Annual Meetng will be 37.5% diverse in terms of gender and 37.5% diverse in terms of ethnic/racial diversity.</w:t>
      </w:r>
    </w:p>
    <w:p>
      <w:pPr>
        <w:spacing w:after="0" w:line="351"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Our Nominatng and Governance Commitee also considers the length of tenure of the directors as a whole. Following the Annual Meetng (assuming the electon of all nominees), we will have the following balance of tenures: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800735</wp:posOffset>
            </wp:positionV>
            <wp:extent cx="4279265" cy="916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279265" cy="916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80"/>
        <w:spacing w:after="0"/>
        <w:rPr>
          <w:sz w:val="20"/>
          <w:szCs w:val="20"/>
          <w:color w:val="auto"/>
        </w:rPr>
      </w:pPr>
      <w:r>
        <w:rPr>
          <w:rFonts w:ascii="Calibri" w:cs="Calibri" w:eastAsia="Calibri" w:hAnsi="Calibri"/>
          <w:sz w:val="19"/>
          <w:szCs w:val="19"/>
          <w:b w:val="1"/>
          <w:bCs w:val="1"/>
          <w:color w:val="FB4E0B"/>
        </w:rPr>
        <w:t>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177165</wp:posOffset>
            </wp:positionV>
            <wp:extent cx="2147570" cy="17265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47570" cy="1726565"/>
                    </a:xfrm>
                    <a:prstGeom prst="rect">
                      <a:avLst/>
                    </a:prstGeom>
                    <a:noFill/>
                  </pic:spPr>
                </pic:pic>
              </a:graphicData>
            </a:graphic>
          </wp:anchor>
        </w:drawing>
      </w:r>
    </w:p>
    <w:p>
      <w:pPr>
        <w:spacing w:after="0" w:line="304" w:lineRule="exact"/>
        <w:rPr>
          <w:sz w:val="20"/>
          <w:szCs w:val="20"/>
          <w:color w:val="auto"/>
        </w:rPr>
      </w:pPr>
    </w:p>
    <w:p>
      <w:pPr>
        <w:ind w:left="580"/>
        <w:spacing w:after="0"/>
        <w:tabs>
          <w:tab w:leader="none" w:pos="2420" w:val="left"/>
        </w:tabs>
        <w:rPr>
          <w:sz w:val="20"/>
          <w:szCs w:val="20"/>
          <w:color w:val="auto"/>
        </w:rPr>
      </w:pPr>
      <w:r>
        <w:rPr>
          <w:rFonts w:ascii="Calibri" w:cs="Calibri" w:eastAsia="Calibri" w:hAnsi="Calibri"/>
          <w:sz w:val="14"/>
          <w:szCs w:val="14"/>
          <w:b w:val="1"/>
          <w:bCs w:val="1"/>
          <w:color w:val="FFFFFF"/>
        </w:rPr>
        <w:t>ADDITIONS</w:t>
      </w:r>
      <w:r>
        <w:rPr>
          <w:sz w:val="20"/>
          <w:szCs w:val="20"/>
          <w:color w:val="auto"/>
        </w:rPr>
        <w:tab/>
      </w:r>
      <w:r>
        <w:rPr>
          <w:rFonts w:ascii="Calibri" w:cs="Calibri" w:eastAsia="Calibri" w:hAnsi="Calibri"/>
          <w:sz w:val="14"/>
          <w:szCs w:val="14"/>
          <w:b w:val="1"/>
          <w:bCs w:val="1"/>
          <w:color w:val="FFFFFF"/>
        </w:rPr>
        <w:t>EXITS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554"/>
        </w:trPr>
        <w:tc>
          <w:tcPr>
            <w:tcW w:w="1700" w:type="dxa"/>
            <w:vAlign w:val="bottom"/>
            <w:shd w:val="clear" w:color="auto" w:fill="DCF3FA"/>
          </w:tcPr>
          <w:p>
            <w:pPr>
              <w:jc w:val="center"/>
              <w:ind w:left="31"/>
              <w:spacing w:after="0"/>
              <w:rPr>
                <w:sz w:val="20"/>
                <w:szCs w:val="20"/>
                <w:color w:val="auto"/>
              </w:rPr>
            </w:pPr>
            <w:r>
              <w:rPr>
                <w:rFonts w:ascii="Calibri" w:cs="Calibri" w:eastAsia="Calibri" w:hAnsi="Calibri"/>
                <w:sz w:val="14"/>
                <w:szCs w:val="14"/>
                <w:b w:val="1"/>
                <w:bCs w:val="1"/>
                <w:color w:val="auto"/>
                <w:w w:val="98"/>
              </w:rPr>
              <w:t>2024</w:t>
            </w:r>
          </w:p>
        </w:tc>
        <w:tc>
          <w:tcPr>
            <w:tcW w:w="1700" w:type="dxa"/>
            <w:vAlign w:val="bottom"/>
            <w:shd w:val="clear" w:color="auto" w:fill="FEDBCE"/>
          </w:tcPr>
          <w:p>
            <w:pPr>
              <w:jc w:val="center"/>
              <w:ind w:left="31"/>
              <w:spacing w:after="0"/>
              <w:rPr>
                <w:sz w:val="20"/>
                <w:szCs w:val="20"/>
                <w:color w:val="auto"/>
              </w:rPr>
            </w:pPr>
            <w:r>
              <w:rPr>
                <w:rFonts w:ascii="Calibri" w:cs="Calibri" w:eastAsia="Calibri" w:hAnsi="Calibri"/>
                <w:sz w:val="14"/>
                <w:szCs w:val="14"/>
                <w:b w:val="1"/>
                <w:bCs w:val="1"/>
                <w:color w:val="FB4E0B"/>
                <w:w w:val="98"/>
              </w:rPr>
              <w:t>2024</w:t>
            </w:r>
          </w:p>
        </w:tc>
      </w:tr>
      <w:tr>
        <w:trPr>
          <w:trHeight w:val="286"/>
        </w:trPr>
        <w:tc>
          <w:tcPr>
            <w:tcW w:w="1700" w:type="dxa"/>
            <w:vAlign w:val="bottom"/>
            <w:shd w:val="clear" w:color="auto" w:fill="DCF3FA"/>
          </w:tcPr>
          <w:p>
            <w:pPr>
              <w:jc w:val="center"/>
              <w:ind w:left="31"/>
              <w:spacing w:after="0"/>
              <w:rPr>
                <w:sz w:val="20"/>
                <w:szCs w:val="20"/>
                <w:color w:val="auto"/>
              </w:rPr>
            </w:pPr>
            <w:r>
              <w:rPr>
                <w:rFonts w:ascii="Calibri" w:cs="Calibri" w:eastAsia="Calibri" w:hAnsi="Calibri"/>
                <w:sz w:val="14"/>
                <w:szCs w:val="14"/>
                <w:b w:val="1"/>
                <w:bCs w:val="1"/>
                <w:color w:val="auto"/>
              </w:rPr>
              <w:t>Thomas Bartlet</w:t>
            </w:r>
          </w:p>
        </w:tc>
        <w:tc>
          <w:tcPr>
            <w:tcW w:w="1700" w:type="dxa"/>
            <w:vAlign w:val="bottom"/>
            <w:shd w:val="clear" w:color="auto" w:fill="FEDBCE"/>
          </w:tcPr>
          <w:p>
            <w:pPr>
              <w:jc w:val="center"/>
              <w:ind w:left="31"/>
              <w:spacing w:after="0"/>
              <w:rPr>
                <w:sz w:val="20"/>
                <w:szCs w:val="20"/>
                <w:color w:val="auto"/>
              </w:rPr>
            </w:pPr>
            <w:r>
              <w:rPr>
                <w:rFonts w:ascii="Calibri" w:cs="Calibri" w:eastAsia="Calibri" w:hAnsi="Calibri"/>
                <w:sz w:val="14"/>
                <w:szCs w:val="14"/>
                <w:b w:val="1"/>
                <w:bCs w:val="1"/>
                <w:color w:val="auto"/>
              </w:rPr>
              <w:t>Som Mital</w:t>
            </w:r>
          </w:p>
        </w:tc>
      </w:tr>
      <w:tr>
        <w:trPr>
          <w:trHeight w:val="833"/>
        </w:trPr>
        <w:tc>
          <w:tcPr>
            <w:tcW w:w="1700" w:type="dxa"/>
            <w:vAlign w:val="bottom"/>
            <w:shd w:val="clear" w:color="auto" w:fill="DCF3FA"/>
          </w:tcPr>
          <w:p>
            <w:pPr>
              <w:jc w:val="center"/>
              <w:ind w:left="31"/>
              <w:spacing w:after="0"/>
              <w:rPr>
                <w:sz w:val="20"/>
                <w:szCs w:val="20"/>
                <w:color w:val="auto"/>
              </w:rPr>
            </w:pPr>
            <w:r>
              <w:rPr>
                <w:rFonts w:ascii="Calibri" w:cs="Calibri" w:eastAsia="Calibri" w:hAnsi="Calibri"/>
                <w:sz w:val="14"/>
                <w:szCs w:val="14"/>
                <w:b w:val="1"/>
                <w:bCs w:val="1"/>
                <w:color w:val="auto"/>
                <w:w w:val="98"/>
              </w:rPr>
              <w:t>2023</w:t>
            </w:r>
          </w:p>
        </w:tc>
        <w:tc>
          <w:tcPr>
            <w:tcW w:w="1700" w:type="dxa"/>
            <w:vAlign w:val="bottom"/>
            <w:shd w:val="clear" w:color="auto" w:fill="FEDBCE"/>
          </w:tcPr>
          <w:p>
            <w:pPr>
              <w:jc w:val="center"/>
              <w:ind w:left="31"/>
              <w:spacing w:after="0"/>
              <w:rPr>
                <w:sz w:val="20"/>
                <w:szCs w:val="20"/>
                <w:color w:val="auto"/>
              </w:rPr>
            </w:pPr>
            <w:r>
              <w:rPr>
                <w:rFonts w:ascii="Calibri" w:cs="Calibri" w:eastAsia="Calibri" w:hAnsi="Calibri"/>
                <w:sz w:val="14"/>
                <w:szCs w:val="14"/>
                <w:b w:val="1"/>
                <w:bCs w:val="1"/>
                <w:color w:val="FB4E0B"/>
                <w:w w:val="98"/>
              </w:rPr>
              <w:t>2023</w:t>
            </w:r>
          </w:p>
        </w:tc>
      </w:tr>
      <w:tr>
        <w:trPr>
          <w:trHeight w:val="286"/>
        </w:trPr>
        <w:tc>
          <w:tcPr>
            <w:tcW w:w="1700" w:type="dxa"/>
            <w:vAlign w:val="bottom"/>
            <w:shd w:val="clear" w:color="auto" w:fill="DCF3FA"/>
          </w:tcPr>
          <w:p>
            <w:pPr>
              <w:jc w:val="center"/>
              <w:ind w:left="31"/>
              <w:spacing w:after="0"/>
              <w:rPr>
                <w:sz w:val="20"/>
                <w:szCs w:val="20"/>
                <w:color w:val="auto"/>
              </w:rPr>
            </w:pPr>
            <w:r>
              <w:rPr>
                <w:rFonts w:ascii="Calibri" w:cs="Calibri" w:eastAsia="Calibri" w:hAnsi="Calibri"/>
                <w:sz w:val="14"/>
                <w:szCs w:val="14"/>
                <w:b w:val="1"/>
                <w:bCs w:val="1"/>
                <w:color w:val="auto"/>
                <w:w w:val="96"/>
              </w:rPr>
              <w:t>Andreas Fibig</w:t>
            </w:r>
          </w:p>
        </w:tc>
        <w:tc>
          <w:tcPr>
            <w:tcW w:w="1700" w:type="dxa"/>
            <w:vAlign w:val="bottom"/>
            <w:shd w:val="clear" w:color="auto" w:fill="FEDBCE"/>
          </w:tcPr>
          <w:p>
            <w:pPr>
              <w:jc w:val="center"/>
              <w:ind w:left="31"/>
              <w:spacing w:after="0"/>
              <w:rPr>
                <w:sz w:val="20"/>
                <w:szCs w:val="20"/>
                <w:color w:val="auto"/>
              </w:rPr>
            </w:pPr>
            <w:r>
              <w:rPr>
                <w:rFonts w:ascii="Calibri" w:cs="Calibri" w:eastAsia="Calibri" w:hAnsi="Calibri"/>
                <w:sz w:val="14"/>
                <w:szCs w:val="14"/>
                <w:b w:val="1"/>
                <w:bCs w:val="1"/>
                <w:color w:val="auto"/>
                <w:w w:val="98"/>
              </w:rPr>
              <w:t>Anne Minto</w:t>
            </w:r>
          </w:p>
        </w:tc>
      </w:tr>
      <w:tr>
        <w:trPr>
          <w:trHeight w:val="169"/>
        </w:trPr>
        <w:tc>
          <w:tcPr>
            <w:tcW w:w="1700" w:type="dxa"/>
            <w:vAlign w:val="bottom"/>
            <w:shd w:val="clear" w:color="auto" w:fill="DCF3FA"/>
          </w:tcPr>
          <w:p>
            <w:pPr>
              <w:jc w:val="center"/>
              <w:ind w:left="31"/>
              <w:spacing w:after="0" w:line="169" w:lineRule="exact"/>
              <w:rPr>
                <w:sz w:val="20"/>
                <w:szCs w:val="20"/>
                <w:color w:val="auto"/>
              </w:rPr>
            </w:pPr>
            <w:r>
              <w:rPr>
                <w:rFonts w:ascii="Calibri" w:cs="Calibri" w:eastAsia="Calibri" w:hAnsi="Calibri"/>
                <w:sz w:val="14"/>
                <w:szCs w:val="14"/>
                <w:b w:val="1"/>
                <w:bCs w:val="1"/>
                <w:color w:val="auto"/>
                <w:w w:val="99"/>
              </w:rPr>
              <w:t>Sarah K. Williamson</w:t>
            </w:r>
          </w:p>
        </w:tc>
        <w:tc>
          <w:tcPr>
            <w:tcW w:w="1700" w:type="dxa"/>
            <w:vAlign w:val="bottom"/>
            <w:shd w:val="clear" w:color="auto" w:fill="FEDBCE"/>
          </w:tcPr>
          <w:p>
            <w:pPr>
              <w:jc w:val="center"/>
              <w:ind w:left="31"/>
              <w:spacing w:after="0" w:line="169" w:lineRule="exact"/>
              <w:rPr>
                <w:sz w:val="20"/>
                <w:szCs w:val="20"/>
                <w:color w:val="auto"/>
              </w:rPr>
            </w:pPr>
            <w:r>
              <w:rPr>
                <w:rFonts w:ascii="Calibri" w:cs="Calibri" w:eastAsia="Calibri" w:hAnsi="Calibri"/>
                <w:sz w:val="14"/>
                <w:szCs w:val="14"/>
                <w:b w:val="1"/>
                <w:bCs w:val="1"/>
                <w:color w:val="auto"/>
                <w:w w:val="96"/>
              </w:rPr>
              <w:t>Clyde Ostler</w:t>
            </w:r>
          </w:p>
        </w:tc>
      </w:tr>
      <w:tr>
        <w:trPr>
          <w:trHeight w:val="265"/>
        </w:trPr>
        <w:tc>
          <w:tcPr>
            <w:tcW w:w="1700" w:type="dxa"/>
            <w:vAlign w:val="bottom"/>
            <w:shd w:val="clear" w:color="auto" w:fill="DCF3FA"/>
          </w:tcPr>
          <w:p>
            <w:pPr>
              <w:spacing w:after="0"/>
              <w:rPr>
                <w:sz w:val="23"/>
                <w:szCs w:val="23"/>
                <w:color w:val="auto"/>
              </w:rPr>
            </w:pPr>
          </w:p>
        </w:tc>
        <w:tc>
          <w:tcPr>
            <w:tcW w:w="1700" w:type="dxa"/>
            <w:vAlign w:val="bottom"/>
            <w:shd w:val="clear" w:color="auto" w:fill="FEDBCE"/>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2">
            <w:col w:w="7280" w:space="260"/>
            <w:col w:w="3400"/>
          </w:cols>
          <w:pgMar w:left="320" w:top="471"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While the Company does not maintain term limits, our Corporate Governance Guidelines provide that the expectaton for new directors is a maximum term of ten years. Each of our director nominees, other than Mr. Kapoor, our Chair and CEO, has served on the board for less than ten years as of the date of this Proxy Statement. The board actvely manages board refreshment and succession planning at the board and commitee level. For example, the board generally expects that each member serve on two commitees, and that each commitee chair serve for a maximum of fve years. The board expects that over the next few years, the commitee and board compositon will contnue to change due to rotaton and retrement. The Nominatng and Governance Commitee will identfy successors based on the goal of maintaining the board’s overall balance of experience and perspectve. A recommendaton regarding board (and commitee) compositon is shared with the full board of directors on an annual basis.</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refreshment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168910</wp:posOffset>
            </wp:positionV>
            <wp:extent cx="5551170" cy="65506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51170" cy="655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32 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1" w:right="7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Commitee rotaton</w:t>
      </w:r>
    </w:p>
    <w:p>
      <w:pPr>
        <w:spacing w:after="0" w:line="21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rotate commitee and commitee chair assignments based on the current compositon of the board. Recent rotatons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163195</wp:posOffset>
            </wp:positionV>
            <wp:extent cx="5022850" cy="11398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02285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Former director</w:t>
      </w:r>
    </w:p>
    <w:p>
      <w:pPr>
        <w:spacing w:after="0" w:line="30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evaluatons</w:t>
      </w:r>
    </w:p>
    <w:p>
      <w:pPr>
        <w:spacing w:after="0" w:line="115"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color w:val="auto"/>
        </w:rPr>
        <w:t>We consider the contnued efectveness of the board and its commitees as critcal to our long-term success and stockholder value. The board evaluates its performance and the performance of its commitees and each director on an annual basis through the following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163830</wp:posOffset>
            </wp:positionV>
            <wp:extent cx="5287010" cy="31470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87010" cy="314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Succession planning</w:t>
      </w:r>
    </w:p>
    <w:p>
      <w:pPr>
        <w:spacing w:after="0" w:line="218"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Our board of directors (without the partcipaton of the CEO), guided by our Lead Director, is responsible for developing and annually reassessing succession plans for our CEO and other key executve ofcers of the Company, and preparing contngency plans for interim CEO succession in the event of an unexpected occurrence for board review. In additon, our Compensaton and Talent Management Commitee is responsible for ensuring appropriate compensaton strategies and design to align with the retenton and recruitment of our key executve ofcers. We actvely plan for the succession of our executve ofcers (including those who are retring or departng from the Company), and regularly consider our strong pipeline of internal and external candidates. As part of this process, in April 2024, Vikas Bhalla and Vivek Jetley, who had been serving as Executve Vice President and Business Head, Insurance and Executve Vice President and Business Head, Analytcs, respectvely, were each promoted to President of EXL in additon to their business head roles. In their expanded roles, they will take on broader Company-wide responsibilites, including supportng our Chair and CEO to drive overall corporate performance and the adopton of our data and AI-led solutons. We generally consider succession planning and associated executve compensaton maters on the following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165735</wp:posOffset>
            </wp:positionV>
            <wp:extent cx="5031105" cy="20980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031105" cy="2098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Commitees</w:t>
      </w:r>
    </w:p>
    <w:p>
      <w:pPr>
        <w:spacing w:after="0" w:line="21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board of directors currently has three standing commitees: the Audit Commitee, the Compensaton and Talent Management Commitee and the Nominatng and Governance Commitee. As discussed above, our board of directors has determined that each member of the Audit, Compensaton and Talent Management and Nominatng and Governance Commitees meets the independence and experience requirements of the Nasdaq Stock Market and federal securites laws. Copies of our commitee charters can be found on the Investor Relatons page of our website at: htps://ir.exlservice.com/corporate-governance. Informaton on our website referred to in this Proxy Statement does not consttute a part of this Proxy Statement.</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34 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1" w:right="6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348"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The following table sets forth the current chairs and members of each standing commitee of the board of directors. As an executve director, Mr. Kapoor, our Chair and CEO, does not serve on any board commitee.</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4780" w:type="dxa"/>
            <w:vAlign w:val="bottom"/>
          </w:tcPr>
          <w:p>
            <w:pPr>
              <w:jc w:val="center"/>
              <w:ind w:left="2673"/>
              <w:spacing w:after="0"/>
              <w:rPr>
                <w:sz w:val="20"/>
                <w:szCs w:val="20"/>
                <w:color w:val="auto"/>
              </w:rPr>
            </w:pPr>
            <w:r>
              <w:rPr>
                <w:rFonts w:ascii="Calibri" w:cs="Calibri" w:eastAsia="Calibri" w:hAnsi="Calibri"/>
                <w:sz w:val="17"/>
                <w:szCs w:val="17"/>
                <w:b w:val="1"/>
                <w:bCs w:val="1"/>
                <w:color w:val="FB4E0B"/>
                <w:w w:val="98"/>
              </w:rPr>
              <w:t>Audit</w:t>
            </w:r>
          </w:p>
        </w:tc>
        <w:tc>
          <w:tcPr>
            <w:tcW w:w="3260" w:type="dxa"/>
            <w:vAlign w:val="bottom"/>
          </w:tcPr>
          <w:p>
            <w:pPr>
              <w:jc w:val="center"/>
              <w:ind w:left="133"/>
              <w:spacing w:after="0"/>
              <w:rPr>
                <w:sz w:val="20"/>
                <w:szCs w:val="20"/>
                <w:color w:val="auto"/>
              </w:rPr>
            </w:pPr>
            <w:r>
              <w:rPr>
                <w:rFonts w:ascii="Calibri" w:cs="Calibri" w:eastAsia="Calibri" w:hAnsi="Calibri"/>
                <w:sz w:val="17"/>
                <w:szCs w:val="17"/>
                <w:b w:val="1"/>
                <w:bCs w:val="1"/>
                <w:color w:val="FB4E0B"/>
              </w:rPr>
              <w:t>Compensaton and</w:t>
            </w:r>
          </w:p>
        </w:tc>
        <w:tc>
          <w:tcPr>
            <w:tcW w:w="2580" w:type="dxa"/>
            <w:vAlign w:val="bottom"/>
          </w:tcPr>
          <w:p>
            <w:pPr>
              <w:jc w:val="center"/>
              <w:spacing w:after="0"/>
              <w:rPr>
                <w:sz w:val="20"/>
                <w:szCs w:val="20"/>
                <w:color w:val="auto"/>
              </w:rPr>
            </w:pPr>
            <w:r>
              <w:rPr>
                <w:rFonts w:ascii="Calibri" w:cs="Calibri" w:eastAsia="Calibri" w:hAnsi="Calibri"/>
                <w:sz w:val="17"/>
                <w:szCs w:val="17"/>
                <w:b w:val="1"/>
                <w:bCs w:val="1"/>
                <w:color w:val="FB4E0B"/>
              </w:rPr>
              <w:t>Nominatng and</w:t>
            </w:r>
          </w:p>
        </w:tc>
      </w:tr>
      <w:tr>
        <w:trPr>
          <w:trHeight w:val="208"/>
        </w:trPr>
        <w:tc>
          <w:tcPr>
            <w:tcW w:w="4780" w:type="dxa"/>
            <w:vAlign w:val="bottom"/>
          </w:tcPr>
          <w:p>
            <w:pPr>
              <w:jc w:val="center"/>
              <w:ind w:left="2673"/>
              <w:spacing w:after="0"/>
              <w:rPr>
                <w:sz w:val="20"/>
                <w:szCs w:val="20"/>
                <w:color w:val="auto"/>
              </w:rPr>
            </w:pPr>
            <w:r>
              <w:rPr>
                <w:rFonts w:ascii="Calibri" w:cs="Calibri" w:eastAsia="Calibri" w:hAnsi="Calibri"/>
                <w:sz w:val="17"/>
                <w:szCs w:val="17"/>
                <w:b w:val="1"/>
                <w:bCs w:val="1"/>
                <w:color w:val="FB4E0B"/>
              </w:rPr>
              <w:t>Commitee</w:t>
            </w:r>
          </w:p>
        </w:tc>
        <w:tc>
          <w:tcPr>
            <w:tcW w:w="3260" w:type="dxa"/>
            <w:vAlign w:val="bottom"/>
          </w:tcPr>
          <w:p>
            <w:pPr>
              <w:jc w:val="center"/>
              <w:ind w:left="153"/>
              <w:spacing w:after="0"/>
              <w:rPr>
                <w:sz w:val="20"/>
                <w:szCs w:val="20"/>
                <w:color w:val="auto"/>
              </w:rPr>
            </w:pPr>
            <w:r>
              <w:rPr>
                <w:rFonts w:ascii="Calibri" w:cs="Calibri" w:eastAsia="Calibri" w:hAnsi="Calibri"/>
                <w:sz w:val="17"/>
                <w:szCs w:val="17"/>
                <w:b w:val="1"/>
                <w:bCs w:val="1"/>
                <w:color w:val="FB4E0B"/>
              </w:rPr>
              <w:t>Talent Management Commitee</w:t>
            </w:r>
          </w:p>
        </w:tc>
        <w:tc>
          <w:tcPr>
            <w:tcW w:w="2580" w:type="dxa"/>
            <w:vAlign w:val="bottom"/>
          </w:tcPr>
          <w:p>
            <w:pPr>
              <w:jc w:val="center"/>
              <w:spacing w:after="0"/>
              <w:rPr>
                <w:sz w:val="20"/>
                <w:szCs w:val="20"/>
                <w:color w:val="auto"/>
              </w:rPr>
            </w:pPr>
            <w:r>
              <w:rPr>
                <w:rFonts w:ascii="Calibri" w:cs="Calibri" w:eastAsia="Calibri" w:hAnsi="Calibri"/>
                <w:sz w:val="17"/>
                <w:szCs w:val="17"/>
                <w:b w:val="1"/>
                <w:bCs w:val="1"/>
                <w:color w:val="FB4E0B"/>
              </w:rPr>
              <w:t>Governance Commitee</w:t>
            </w:r>
          </w:p>
        </w:tc>
      </w:tr>
      <w:tr>
        <w:trPr>
          <w:trHeight w:val="42"/>
        </w:trPr>
        <w:tc>
          <w:tcPr>
            <w:tcW w:w="4780" w:type="dxa"/>
            <w:vAlign w:val="bottom"/>
            <w:tcBorders>
              <w:bottom w:val="single" w:sz="8" w:color="FB4E0B"/>
            </w:tcBorders>
          </w:tcPr>
          <w:p>
            <w:pPr>
              <w:spacing w:after="0"/>
              <w:rPr>
                <w:sz w:val="3"/>
                <w:szCs w:val="3"/>
                <w:color w:val="auto"/>
              </w:rPr>
            </w:pPr>
          </w:p>
        </w:tc>
        <w:tc>
          <w:tcPr>
            <w:tcW w:w="3260" w:type="dxa"/>
            <w:vAlign w:val="bottom"/>
            <w:tcBorders>
              <w:bottom w:val="single" w:sz="8" w:color="FB4E0B"/>
            </w:tcBorders>
          </w:tcPr>
          <w:p>
            <w:pPr>
              <w:spacing w:after="0"/>
              <w:rPr>
                <w:sz w:val="3"/>
                <w:szCs w:val="3"/>
                <w:color w:val="auto"/>
              </w:rPr>
            </w:pPr>
          </w:p>
        </w:tc>
        <w:tc>
          <w:tcPr>
            <w:tcW w:w="2580" w:type="dxa"/>
            <w:vAlign w:val="bottom"/>
            <w:tcBorders>
              <w:bottom w:val="single" w:sz="8" w:color="FB4E0B"/>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-7620</wp:posOffset>
            </wp:positionV>
            <wp:extent cx="6740525" cy="31388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40525" cy="3138805"/>
                    </a:xfrm>
                    <a:prstGeom prst="rect">
                      <a:avLst/>
                    </a:prstGeom>
                    <a:noFill/>
                  </pic:spPr>
                </pic:pic>
              </a:graphicData>
            </a:graphic>
          </wp:anchor>
        </w:drawing>
      </w:r>
    </w:p>
    <w:p>
      <w:pPr>
        <w:spacing w:after="0" w:line="192"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auto"/>
        </w:rPr>
        <w:t>Vikram Pandit</w:t>
      </w:r>
    </w:p>
    <w:p>
      <w:pPr>
        <w:spacing w:after="0" w:line="1"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FB4E0B"/>
        </w:rPr>
        <w:t>(Lead Director)</w:t>
      </w:r>
    </w:p>
    <w:p>
      <w:pPr>
        <w:spacing w:after="0" w:line="378"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auto"/>
        </w:rPr>
        <w:t xml:space="preserve">Thomas Bartlet </w:t>
      </w:r>
      <w:r>
        <w:rPr>
          <w:rFonts w:ascii="Calibri" w:cs="Calibri" w:eastAsia="Calibri" w:hAnsi="Calibri"/>
          <w:sz w:val="17"/>
          <w:szCs w:val="17"/>
          <w:b w:val="1"/>
          <w:bCs w:val="1"/>
          <w:color w:val="FB4E0B"/>
        </w:rPr>
        <w:t>*</w:t>
      </w:r>
    </w:p>
    <w:p>
      <w:pPr>
        <w:spacing w:after="0" w:line="378"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auto"/>
        </w:rPr>
        <w:t>Andreas Fibig</w:t>
      </w:r>
    </w:p>
    <w:p>
      <w:pPr>
        <w:spacing w:after="0" w:line="378"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auto"/>
        </w:rPr>
        <w:t>Som Mital</w:t>
      </w:r>
      <w:r>
        <w:rPr>
          <w:rFonts w:ascii="Calibri" w:cs="Calibri" w:eastAsia="Calibri" w:hAnsi="Calibri"/>
          <w:sz w:val="13"/>
          <w:szCs w:val="13"/>
          <w:b w:val="1"/>
          <w:bCs w:val="1"/>
          <w:color w:val="auto"/>
        </w:rPr>
        <w:t>+</w:t>
      </w:r>
    </w:p>
    <w:p>
      <w:pPr>
        <w:spacing w:after="0" w:line="378"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auto"/>
        </w:rPr>
        <w:t>Kristy Pipes</w:t>
      </w:r>
      <w:r>
        <w:rPr>
          <w:rFonts w:ascii="Calibri" w:cs="Calibri" w:eastAsia="Calibri" w:hAnsi="Calibri"/>
          <w:sz w:val="17"/>
          <w:szCs w:val="17"/>
          <w:b w:val="1"/>
          <w:bCs w:val="1"/>
          <w:color w:val="FB4E0B"/>
        </w:rPr>
        <w:t>*</w:t>
      </w:r>
    </w:p>
    <w:p>
      <w:pPr>
        <w:spacing w:after="0" w:line="378"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auto"/>
        </w:rPr>
        <w:t>Nitn Sahney</w:t>
      </w:r>
    </w:p>
    <w:p>
      <w:pPr>
        <w:spacing w:after="0" w:line="378"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auto"/>
        </w:rPr>
        <w:t>Jaynie Studenmund</w:t>
      </w:r>
      <w:r>
        <w:rPr>
          <w:rFonts w:ascii="Calibri" w:cs="Calibri" w:eastAsia="Calibri" w:hAnsi="Calibri"/>
          <w:sz w:val="17"/>
          <w:szCs w:val="17"/>
          <w:b w:val="1"/>
          <w:bCs w:val="1"/>
          <w:color w:val="FB4E0B"/>
        </w:rPr>
        <w:t>*</w:t>
      </w:r>
    </w:p>
    <w:p>
      <w:pPr>
        <w:spacing w:after="0" w:line="378"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auto"/>
        </w:rPr>
        <w:t>Sarah K. Williamson</w:t>
      </w:r>
      <w:r>
        <w:rPr>
          <w:rFonts w:ascii="Calibri" w:cs="Calibri" w:eastAsia="Calibri" w:hAnsi="Calibri"/>
          <w:sz w:val="17"/>
          <w:szCs w:val="17"/>
          <w:b w:val="1"/>
          <w:bCs w:val="1"/>
          <w:color w:val="FB4E0B"/>
        </w:rPr>
        <w:t>*</w:t>
      </w:r>
    </w:p>
    <w:p>
      <w:pPr>
        <w:spacing w:after="0" w:line="277" w:lineRule="exact"/>
        <w:rPr>
          <w:sz w:val="20"/>
          <w:szCs w:val="20"/>
          <w:color w:val="auto"/>
        </w:rPr>
      </w:pPr>
    </w:p>
    <w:p>
      <w:pPr>
        <w:ind w:left="860"/>
        <w:spacing w:after="0"/>
        <w:tabs>
          <w:tab w:leader="none" w:pos="2200" w:val="left"/>
          <w:tab w:leader="none" w:pos="2360" w:val="left"/>
          <w:tab w:leader="none" w:pos="2540" w:val="left"/>
          <w:tab w:leader="none" w:pos="2720" w:val="left"/>
        </w:tabs>
        <w:rPr>
          <w:sz w:val="20"/>
          <w:szCs w:val="20"/>
          <w:color w:val="auto"/>
        </w:rPr>
      </w:pPr>
      <w:r>
        <w:rPr>
          <w:rFonts w:ascii="Calibri" w:cs="Calibri" w:eastAsia="Calibri" w:hAnsi="Calibri"/>
          <w:sz w:val="17"/>
          <w:szCs w:val="17"/>
          <w:b w:val="1"/>
          <w:bCs w:val="1"/>
          <w:color w:val="auto"/>
        </w:rPr>
        <w:t>Commitee Chair</w:t>
      </w:r>
      <w:r>
        <w:rPr>
          <w:rFonts w:ascii="Calibri" w:cs="Calibri" w:eastAsia="Calibri" w:hAnsi="Calibri"/>
          <w:sz w:val="17"/>
          <w:szCs w:val="17"/>
          <w:color w:val="auto"/>
        </w:rPr>
        <w:t xml:space="preserve"> </w:t>
      </w:r>
      <w:r>
        <w:rPr>
          <w:sz w:val="20"/>
          <w:szCs w:val="20"/>
          <w:color w:val="auto"/>
        </w:rPr>
        <w:tab/>
      </w:r>
      <w:r>
        <w:rPr>
          <w:rFonts w:ascii="Calibri" w:cs="Calibri" w:eastAsia="Calibri" w:hAnsi="Calibri"/>
          <w:sz w:val="17"/>
          <w:szCs w:val="17"/>
          <w:color w:val="auto"/>
        </w:rPr>
        <w:t> </w:t>
        <w:tab/>
        <w:t> </w:t>
        <w:tab/>
        <w:t> </w:t>
        <w:tab/>
        <w:t xml:space="preserve">       </w:t>
      </w:r>
      <w:r>
        <w:rPr>
          <w:sz w:val="1"/>
          <w:szCs w:val="1"/>
          <w:color w:val="auto"/>
        </w:rPr>
        <w:drawing>
          <wp:inline distT="0" distB="0" distL="0" distR="0">
            <wp:extent cx="330200" cy="25590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0200" cy="255905"/>
                    </a:xfrm>
                    <a:prstGeom prst="rect">
                      <a:avLst/>
                    </a:prstGeom>
                    <a:noFill/>
                    <a:ln>
                      <a:noFill/>
                    </a:ln>
                  </pic:spPr>
                </pic:pic>
              </a:graphicData>
            </a:graphic>
          </wp:inline>
        </w:drawing>
      </w:r>
      <w:r>
        <w:rPr>
          <w:rFonts w:ascii="Calibri" w:cs="Calibri" w:eastAsia="Calibri" w:hAnsi="Calibri"/>
          <w:sz w:val="17"/>
          <w:szCs w:val="17"/>
          <w:b w:val="1"/>
          <w:bCs w:val="1"/>
          <w:color w:val="auto"/>
        </w:rPr>
        <w:t xml:space="preserve"> Member</w:t>
      </w:r>
    </w:p>
    <w:p>
      <w:pPr>
        <w:ind w:left="400" w:hanging="84"/>
        <w:spacing w:after="0" w:line="238" w:lineRule="auto"/>
        <w:tabs>
          <w:tab w:leader="none" w:pos="400" w:val="left"/>
        </w:tabs>
        <w:numPr>
          <w:ilvl w:val="0"/>
          <w:numId w:val="20"/>
        </w:numPr>
        <w:rPr>
          <w:rFonts w:ascii="Calibri" w:cs="Calibri" w:eastAsia="Calibri" w:hAnsi="Calibri"/>
          <w:sz w:val="21"/>
          <w:szCs w:val="21"/>
          <w:color w:val="auto"/>
          <w:vertAlign w:val="superscript"/>
        </w:rPr>
      </w:pPr>
      <w:r>
        <w:rPr>
          <w:rFonts w:ascii="Calibri" w:cs="Calibri" w:eastAsia="Calibri" w:hAnsi="Calibri"/>
          <w:sz w:val="14"/>
          <w:szCs w:val="14"/>
          <w:color w:val="auto"/>
        </w:rPr>
        <w:t>Not standing for re-electon</w:t>
      </w:r>
    </w:p>
    <w:p>
      <w:pPr>
        <w:ind w:left="320"/>
        <w:spacing w:after="0"/>
        <w:rPr>
          <w:sz w:val="20"/>
          <w:szCs w:val="20"/>
          <w:color w:val="auto"/>
        </w:rPr>
      </w:pPr>
      <w:r>
        <w:rPr>
          <w:rFonts w:ascii="Calibri" w:cs="Calibri" w:eastAsia="Calibri" w:hAnsi="Calibri"/>
          <w:sz w:val="14"/>
          <w:szCs w:val="14"/>
          <w:color w:val="FB4E0B"/>
        </w:rPr>
        <w:t>*</w:t>
      </w:r>
      <w:r>
        <w:rPr>
          <w:rFonts w:ascii="Calibri" w:cs="Calibri" w:eastAsia="Calibri" w:hAnsi="Calibri"/>
          <w:sz w:val="14"/>
          <w:szCs w:val="14"/>
          <w:color w:val="000000"/>
        </w:rPr>
        <w:t>Audit Commitee Financial Expert</w:t>
      </w:r>
    </w:p>
    <w:p>
      <w:pPr>
        <w:spacing w:after="0" w:line="290"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Audit Commitee</w:t>
      </w:r>
    </w:p>
    <w:p>
      <w:pPr>
        <w:spacing w:after="0" w:line="1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Audit Commitee oversees and assists our board of directors in fulflling its oversight responsibilites with respect to our accountng and fnancial reportng processes, including the integrity of the fnancial statements and other fnancial informaton provided by us to our stockholders, the public, stock exchanges and others; our compliance with legal and regulatory requirements; our independent registered public accountng frm’s qualifcatons and independence; the audit of our fnancial statements; the performance of our internal audit functon and independent registered public accountng frm; the Company’s cybersecurity program and cyber strategy-related risks; business contnuity and disaster recovery planning; our Code of Conduct and Ethics and the processes used to disseminate it to our employees and monitor their compliance with our Code of Conduct and Ethics; and environmental, social and governance-related disclosure, processes and controls. Its risk oversight is discussed below beginning on page 39. Our Audit Commitee charter permits the commitee to form and delegate authority to subcommitees when appropriate, provided that the subcommitees are composed entrely of directors who satsfy the applicable requirement of federal securites laws as well as independence requirements of the Nasdaq Stock Market.</w:t>
      </w:r>
    </w:p>
    <w:p>
      <w:pPr>
        <w:sectPr>
          <w:pgSz w:w="11900" w:h="16838" w:orient="portrait"/>
          <w:cols w:equalWidth="0" w:num="1">
            <w:col w:w="10920"/>
          </w:cols>
          <w:pgMar w:left="320" w:top="471" w:right="659" w:bottom="1440" w:gutter="0" w:footer="0" w:header="0"/>
        </w:sectPr>
      </w:pPr>
    </w:p>
    <w:p>
      <w:pPr>
        <w:spacing w:after="0" w:line="17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Audit Commitee has direct responsibility for the appointment, compensaton, retenton (including terminaton) and oversight of our independent registered public accountng frm, and our independent registered public accountng frm reports directly to our Audit Commitee. It also reviews and approves specifed related-party transactons as required by the rules of the Nasdaq Stock Market, and oversees the Company’s cybersecurity program and cyber strategy-related risks. The Audit Commitee was established in accordance with Secton 3(a)(58)(A) of the Securites Exchange Act of 1934 (the “Exchange Act”). Our Audit Commitee annually reviews and assesses the adequacy of its charter and its own performance.</w:t>
      </w:r>
    </w:p>
    <w:p>
      <w:pPr>
        <w:spacing w:after="0" w:line="319"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The members of our Audit Commitee are appointed by our board of directors. All members of the commitee must also be recommended by our Nominatng and Governance Commitee.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745"/>
        <w:spacing w:after="0"/>
        <w:rPr>
          <w:sz w:val="20"/>
          <w:szCs w:val="20"/>
          <w:color w:val="auto"/>
        </w:rPr>
      </w:pPr>
      <w:r>
        <w:rPr>
          <w:rFonts w:ascii="Calibri" w:cs="Calibri" w:eastAsia="Calibri" w:hAnsi="Calibri"/>
          <w:sz w:val="17"/>
          <w:szCs w:val="17"/>
          <w:b w:val="1"/>
          <w:bCs w:val="1"/>
          <w:color w:val="FFFFFF"/>
        </w:rPr>
        <w:t>Audit Commitee profle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-215900</wp:posOffset>
            </wp:positionV>
            <wp:extent cx="3296285" cy="13462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96285" cy="1346200"/>
                    </a:xfrm>
                    <a:prstGeom prst="rect">
                      <a:avLst/>
                    </a:prstGeom>
                    <a:noFill/>
                  </pic:spPr>
                </pic:pic>
              </a:graphicData>
            </a:graphic>
          </wp:anchor>
        </w:drawing>
      </w:r>
    </w:p>
    <w:p>
      <w:pPr>
        <w:spacing w:after="0" w:line="307" w:lineRule="exact"/>
        <w:rPr>
          <w:sz w:val="20"/>
          <w:szCs w:val="20"/>
          <w:color w:val="auto"/>
        </w:rPr>
      </w:pPr>
    </w:p>
    <w:p>
      <w:pPr>
        <w:ind w:left="165" w:hanging="165"/>
        <w:spacing w:after="0"/>
        <w:tabs>
          <w:tab w:leader="none" w:pos="165" w:val="left"/>
        </w:tabs>
        <w:numPr>
          <w:ilvl w:val="0"/>
          <w:numId w:val="21"/>
        </w:numPr>
        <w:rPr>
          <w:rFonts w:ascii="Calibri" w:cs="Calibri" w:eastAsia="Calibri" w:hAnsi="Calibri"/>
          <w:sz w:val="16"/>
          <w:szCs w:val="16"/>
          <w:b w:val="1"/>
          <w:bCs w:val="1"/>
          <w:color w:val="FFFFFF"/>
        </w:rPr>
      </w:pPr>
      <w:r>
        <w:rPr>
          <w:rFonts w:ascii="Calibri" w:cs="Calibri" w:eastAsia="Calibri" w:hAnsi="Calibri"/>
          <w:sz w:val="16"/>
          <w:szCs w:val="16"/>
          <w:b w:val="1"/>
          <w:bCs w:val="1"/>
          <w:color w:val="FFFFFF"/>
        </w:rPr>
        <w:t>Kristy Pipes, Chair*</w:t>
      </w:r>
    </w:p>
    <w:p>
      <w:pPr>
        <w:spacing w:after="0" w:line="123" w:lineRule="exact"/>
        <w:rPr>
          <w:rFonts w:ascii="Calibri" w:cs="Calibri" w:eastAsia="Calibri" w:hAnsi="Calibri"/>
          <w:sz w:val="16"/>
          <w:szCs w:val="16"/>
          <w:b w:val="1"/>
          <w:bCs w:val="1"/>
          <w:color w:val="FFFFFF"/>
        </w:rPr>
      </w:pPr>
    </w:p>
    <w:p>
      <w:pPr>
        <w:ind w:left="165" w:hanging="165"/>
        <w:spacing w:after="0"/>
        <w:tabs>
          <w:tab w:leader="none" w:pos="165" w:val="left"/>
        </w:tabs>
        <w:numPr>
          <w:ilvl w:val="0"/>
          <w:numId w:val="21"/>
        </w:numPr>
        <w:rPr>
          <w:rFonts w:ascii="Calibri" w:cs="Calibri" w:eastAsia="Calibri" w:hAnsi="Calibri"/>
          <w:sz w:val="16"/>
          <w:szCs w:val="16"/>
          <w:color w:val="FFFFFF"/>
        </w:rPr>
      </w:pPr>
      <w:r>
        <w:rPr>
          <w:rFonts w:ascii="Calibri" w:cs="Calibri" w:eastAsia="Calibri" w:hAnsi="Calibri"/>
          <w:sz w:val="16"/>
          <w:szCs w:val="16"/>
          <w:color w:val="FFFFFF"/>
        </w:rPr>
        <w:t> Thomas Bartlet*</w:t>
      </w:r>
    </w:p>
    <w:tbl>
      <w:tblPr>
        <w:tblLayout w:type="fixed"/>
        <w:tblInd w:w="5" w:type="dxa"/>
        <w:tblCellMar>
          <w:top w:w="0" w:type="dxa"/>
          <w:left w:w="0" w:type="dxa"/>
          <w:bottom w:w="0" w:type="dxa"/>
          <w:right w:w="0" w:type="dxa"/>
        </w:tblCellMar>
      </w:tblPr>
      <w:tr>
        <w:trPr>
          <w:trHeight w:val="195"/>
        </w:trPr>
        <w:tc>
          <w:tcPr>
            <w:tcW w:w="100" w:type="dxa"/>
            <w:vAlign w:val="bottom"/>
          </w:tcPr>
          <w:p>
            <w:pPr>
              <w:spacing w:after="0"/>
              <w:rPr>
                <w:sz w:val="20"/>
                <w:szCs w:val="20"/>
                <w:color w:val="auto"/>
              </w:rPr>
            </w:pPr>
            <w:r>
              <w:rPr>
                <w:rFonts w:ascii="Calibri" w:cs="Calibri" w:eastAsia="Calibri" w:hAnsi="Calibri"/>
                <w:sz w:val="9"/>
                <w:szCs w:val="9"/>
                <w:color w:val="FFFFFF"/>
                <w:w w:val="73"/>
              </w:rPr>
              <w:t>  </w:t>
            </w:r>
          </w:p>
        </w:tc>
        <w:tc>
          <w:tcPr>
            <w:tcW w:w="4660" w:type="dxa"/>
            <w:vAlign w:val="bottom"/>
            <w:gridSpan w:val="2"/>
          </w:tcPr>
          <w:p>
            <w:pPr>
              <w:ind w:left="80"/>
              <w:spacing w:after="0"/>
              <w:rPr>
                <w:sz w:val="20"/>
                <w:szCs w:val="20"/>
                <w:color w:val="auto"/>
              </w:rPr>
            </w:pPr>
            <w:r>
              <w:rPr>
                <w:rFonts w:ascii="Calibri" w:cs="Calibri" w:eastAsia="Calibri" w:hAnsi="Calibri"/>
                <w:sz w:val="16"/>
                <w:szCs w:val="16"/>
                <w:color w:val="FFFFFF"/>
              </w:rPr>
              <w:t>Andreas Fibig</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20"/>
                <w:szCs w:val="20"/>
                <w:color w:val="auto"/>
              </w:rPr>
            </w:pPr>
            <w:r>
              <w:rPr>
                <w:rFonts w:ascii="Calibri" w:cs="Calibri" w:eastAsia="Calibri" w:hAnsi="Calibri"/>
                <w:sz w:val="9"/>
                <w:szCs w:val="9"/>
                <w:color w:val="FFFFFF"/>
                <w:w w:val="73"/>
              </w:rPr>
              <w:t>  </w:t>
            </w:r>
          </w:p>
        </w:tc>
        <w:tc>
          <w:tcPr>
            <w:tcW w:w="4660" w:type="dxa"/>
            <w:vAlign w:val="bottom"/>
            <w:gridSpan w:val="2"/>
          </w:tcPr>
          <w:p>
            <w:pPr>
              <w:ind w:left="80"/>
              <w:spacing w:after="0"/>
              <w:rPr>
                <w:sz w:val="20"/>
                <w:szCs w:val="20"/>
                <w:color w:val="auto"/>
              </w:rPr>
            </w:pPr>
            <w:r>
              <w:rPr>
                <w:rFonts w:ascii="Calibri" w:cs="Calibri" w:eastAsia="Calibri" w:hAnsi="Calibri"/>
                <w:sz w:val="16"/>
                <w:szCs w:val="16"/>
                <w:color w:val="FFFFFF"/>
              </w:rPr>
              <w:t>Nitn Sahney</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20"/>
                <w:szCs w:val="20"/>
                <w:color w:val="auto"/>
              </w:rPr>
            </w:pPr>
            <w:r>
              <w:rPr>
                <w:rFonts w:ascii="Calibri" w:cs="Calibri" w:eastAsia="Calibri" w:hAnsi="Calibri"/>
                <w:sz w:val="9"/>
                <w:szCs w:val="9"/>
                <w:color w:val="FFFFFF"/>
                <w:w w:val="73"/>
              </w:rPr>
              <w:t>  </w:t>
            </w:r>
          </w:p>
        </w:tc>
        <w:tc>
          <w:tcPr>
            <w:tcW w:w="4660" w:type="dxa"/>
            <w:vAlign w:val="bottom"/>
            <w:gridSpan w:val="2"/>
          </w:tcPr>
          <w:p>
            <w:pPr>
              <w:ind w:left="80"/>
              <w:spacing w:after="0"/>
              <w:rPr>
                <w:sz w:val="20"/>
                <w:szCs w:val="20"/>
                <w:color w:val="auto"/>
              </w:rPr>
            </w:pPr>
            <w:r>
              <w:rPr>
                <w:rFonts w:ascii="Calibri" w:cs="Calibri" w:eastAsia="Calibri" w:hAnsi="Calibri"/>
                <w:sz w:val="16"/>
                <w:szCs w:val="16"/>
                <w:color w:val="FFFFFF"/>
              </w:rPr>
              <w:t>Jaynie Studenmund*</w:t>
            </w:r>
          </w:p>
        </w:tc>
        <w:tc>
          <w:tcPr>
            <w:tcW w:w="360" w:type="dxa"/>
            <w:vAlign w:val="bottom"/>
            <w:vMerge w:val="restart"/>
          </w:tcPr>
          <w:p>
            <w:pPr>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20"/>
                <w:szCs w:val="20"/>
                <w:color w:val="auto"/>
              </w:rPr>
            </w:pPr>
            <w:r>
              <w:rPr>
                <w:rFonts w:ascii="Calibri" w:cs="Calibri" w:eastAsia="Calibri" w:hAnsi="Calibri"/>
                <w:sz w:val="11"/>
                <w:szCs w:val="11"/>
                <w:color w:val="FFFFFF"/>
                <w:w w:val="72"/>
              </w:rPr>
              <w:t> </w:t>
            </w:r>
          </w:p>
        </w:tc>
        <w:tc>
          <w:tcPr>
            <w:tcW w:w="4660" w:type="dxa"/>
            <w:vAlign w:val="bottom"/>
            <w:gridSpan w:val="2"/>
          </w:tcPr>
          <w:p>
            <w:pPr>
              <w:ind w:left="60"/>
              <w:spacing w:after="0"/>
              <w:rPr>
                <w:sz w:val="20"/>
                <w:szCs w:val="20"/>
                <w:color w:val="auto"/>
              </w:rPr>
            </w:pPr>
            <w:r>
              <w:rPr>
                <w:rFonts w:ascii="Calibri" w:cs="Calibri" w:eastAsia="Calibri" w:hAnsi="Calibri"/>
                <w:sz w:val="16"/>
                <w:szCs w:val="16"/>
                <w:color w:val="FFFFFF"/>
              </w:rPr>
              <w:t> Sarah K. Williamson*</w:t>
            </w: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10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4200" w:type="dxa"/>
            <w:vAlign w:val="bottom"/>
          </w:tcPr>
          <w:p>
            <w:pPr>
              <w:ind w:left="60"/>
              <w:spacing w:after="0"/>
              <w:rPr>
                <w:sz w:val="20"/>
                <w:szCs w:val="20"/>
                <w:color w:val="auto"/>
              </w:rPr>
            </w:pPr>
            <w:r>
              <w:rPr>
                <w:rFonts w:ascii="Calibri" w:cs="Calibri" w:eastAsia="Calibri" w:hAnsi="Calibri"/>
                <w:sz w:val="16"/>
                <w:szCs w:val="16"/>
                <w:color w:val="auto"/>
              </w:rPr>
              <w:t>  Accountng and fnancial reportng processes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0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4560" w:type="dxa"/>
            <w:vAlign w:val="bottom"/>
            <w:gridSpan w:val="2"/>
          </w:tcPr>
          <w:p>
            <w:pPr>
              <w:ind w:left="60"/>
              <w:spacing w:after="0"/>
              <w:rPr>
                <w:sz w:val="20"/>
                <w:szCs w:val="20"/>
                <w:color w:val="auto"/>
              </w:rPr>
            </w:pPr>
            <w:r>
              <w:rPr>
                <w:rFonts w:ascii="Calibri" w:cs="Calibri" w:eastAsia="Calibri" w:hAnsi="Calibri"/>
                <w:sz w:val="16"/>
                <w:szCs w:val="16"/>
                <w:color w:val="auto"/>
                <w:w w:val="98"/>
              </w:rPr>
              <w:t>  Our independent registered public accountng frm’s appointment and</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0" w:type="dxa"/>
            <w:vAlign w:val="bottom"/>
          </w:tcPr>
          <w:p>
            <w:pPr>
              <w:ind w:left="140"/>
              <w:spacing w:after="0"/>
              <w:rPr>
                <w:sz w:val="20"/>
                <w:szCs w:val="20"/>
                <w:color w:val="auto"/>
              </w:rPr>
            </w:pPr>
            <w:r>
              <w:rPr>
                <w:rFonts w:ascii="Calibri" w:cs="Calibri" w:eastAsia="Calibri" w:hAnsi="Calibri"/>
                <w:sz w:val="16"/>
                <w:szCs w:val="16"/>
                <w:color w:val="auto"/>
              </w:rPr>
              <w:t>independence</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4200" w:type="dxa"/>
            <w:vAlign w:val="bottom"/>
          </w:tcPr>
          <w:p>
            <w:pPr>
              <w:ind w:left="60"/>
              <w:spacing w:after="0"/>
              <w:rPr>
                <w:sz w:val="20"/>
                <w:szCs w:val="20"/>
                <w:color w:val="auto"/>
              </w:rPr>
            </w:pPr>
            <w:r>
              <w:rPr>
                <w:rFonts w:ascii="Calibri" w:cs="Calibri" w:eastAsia="Calibri" w:hAnsi="Calibri"/>
                <w:sz w:val="16"/>
                <w:szCs w:val="16"/>
                <w:color w:val="auto"/>
                <w:w w:val="99"/>
              </w:rPr>
              <w:t>  The audit of our fnancial statements and internal audit functon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0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4560" w:type="dxa"/>
            <w:vAlign w:val="bottom"/>
            <w:gridSpan w:val="2"/>
          </w:tcPr>
          <w:p>
            <w:pPr>
              <w:ind w:left="60"/>
              <w:spacing w:after="0"/>
              <w:rPr>
                <w:sz w:val="20"/>
                <w:szCs w:val="20"/>
                <w:color w:val="auto"/>
              </w:rPr>
            </w:pPr>
            <w:r>
              <w:rPr>
                <w:rFonts w:ascii="Calibri" w:cs="Calibri" w:eastAsia="Calibri" w:hAnsi="Calibri"/>
                <w:sz w:val="16"/>
                <w:szCs w:val="16"/>
                <w:color w:val="auto"/>
              </w:rPr>
              <w:t>  Other key areas including cybersecurity, ESG disclosures, processes</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60" w:type="dxa"/>
            <w:vAlign w:val="bottom"/>
            <w:gridSpan w:val="2"/>
          </w:tcPr>
          <w:p>
            <w:pPr>
              <w:ind w:left="140"/>
              <w:spacing w:after="0"/>
              <w:rPr>
                <w:sz w:val="20"/>
                <w:szCs w:val="20"/>
                <w:color w:val="auto"/>
              </w:rPr>
            </w:pPr>
            <w:r>
              <w:rPr>
                <w:rFonts w:ascii="Calibri" w:cs="Calibri" w:eastAsia="Calibri" w:hAnsi="Calibri"/>
                <w:sz w:val="16"/>
                <w:szCs w:val="16"/>
                <w:color w:val="auto"/>
              </w:rPr>
              <w:t>and controls, litgaton, business contnuity and disaster recovery,</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0" w:type="dxa"/>
            <w:vAlign w:val="bottom"/>
          </w:tcPr>
          <w:p>
            <w:pPr>
              <w:ind w:left="140"/>
              <w:spacing w:after="0"/>
              <w:rPr>
                <w:sz w:val="20"/>
                <w:szCs w:val="20"/>
                <w:color w:val="auto"/>
              </w:rPr>
            </w:pPr>
            <w:r>
              <w:rPr>
                <w:rFonts w:ascii="Calibri" w:cs="Calibri" w:eastAsia="Calibri" w:hAnsi="Calibri"/>
                <w:sz w:val="16"/>
                <w:szCs w:val="16"/>
                <w:color w:val="auto"/>
              </w:rPr>
              <w:t>compliance and regulatory enforcement maters</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-1146810</wp:posOffset>
            </wp:positionV>
            <wp:extent cx="3296285" cy="18751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296285" cy="18751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55"/>
            <w:col w:w="5185"/>
          </w:cols>
          <w:pgMar w:left="320" w:top="471" w:right="659" w:bottom="1440" w:gutter="0" w:footer="0" w:header="0"/>
          <w:type w:val="continuous"/>
        </w:sectPr>
      </w:pPr>
    </w:p>
    <w:p>
      <w:pPr>
        <w:spacing w:after="0" w:line="104" w:lineRule="exact"/>
        <w:rPr>
          <w:sz w:val="20"/>
          <w:szCs w:val="20"/>
          <w:color w:val="auto"/>
        </w:rPr>
      </w:pPr>
    </w:p>
    <w:p>
      <w:pPr>
        <w:ind w:left="5740"/>
        <w:spacing w:after="0"/>
        <w:tabs>
          <w:tab w:leader="none" w:pos="5840" w:val="left"/>
        </w:tabs>
        <w:rPr>
          <w:sz w:val="20"/>
          <w:szCs w:val="20"/>
          <w:color w:val="auto"/>
        </w:rPr>
      </w:pPr>
      <w:r>
        <w:rPr>
          <w:rFonts w:ascii="Calibri" w:cs="Calibri" w:eastAsia="Calibri" w:hAnsi="Calibri"/>
          <w:sz w:val="13"/>
          <w:szCs w:val="13"/>
          <w:color w:val="auto"/>
        </w:rPr>
        <w:t> </w:t>
        <w:tab/>
        <w:t> *Audit commitee fnancial expert under applicable SEC rules and regulatons</w:t>
      </w:r>
    </w:p>
    <w:p>
      <w:pPr>
        <w:spacing w:after="0" w:line="284"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6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880" w:type="dxa"/>
            <w:vAlign w:val="bottom"/>
          </w:tcPr>
          <w:p>
            <w:pPr>
              <w:ind w:left="2360"/>
              <w:spacing w:after="0"/>
              <w:rPr>
                <w:sz w:val="20"/>
                <w:szCs w:val="20"/>
                <w:color w:val="auto"/>
              </w:rPr>
            </w:pPr>
            <w:r>
              <w:rPr>
                <w:rFonts w:ascii="Calibri" w:cs="Calibri" w:eastAsia="Calibri" w:hAnsi="Calibri"/>
                <w:sz w:val="17"/>
                <w:szCs w:val="17"/>
                <w:b w:val="1"/>
                <w:bCs w:val="1"/>
                <w:color w:val="FB4E0B"/>
              </w:rPr>
              <w:t>7 commitee meetngs in 2023</w:t>
            </w:r>
          </w:p>
        </w:tc>
        <w:tc>
          <w:tcPr>
            <w:tcW w:w="0" w:type="dxa"/>
            <w:vAlign w:val="bottom"/>
          </w:tcPr>
          <w:p>
            <w:pPr>
              <w:spacing w:after="0"/>
              <w:rPr>
                <w:sz w:val="1"/>
                <w:szCs w:val="1"/>
                <w:color w:val="auto"/>
              </w:rPr>
            </w:pPr>
          </w:p>
        </w:tc>
      </w:tr>
      <w:tr>
        <w:trPr>
          <w:trHeight w:val="663"/>
        </w:trPr>
        <w:tc>
          <w:tcPr>
            <w:tcW w:w="620" w:type="dxa"/>
            <w:vAlign w:val="bottom"/>
            <w:vMerge w:val="restart"/>
          </w:tcPr>
          <w:p>
            <w:pPr>
              <w:spacing w:after="0"/>
              <w:rPr>
                <w:sz w:val="20"/>
                <w:szCs w:val="20"/>
                <w:color w:val="auto"/>
              </w:rPr>
            </w:pPr>
            <w:r>
              <w:rPr>
                <w:rFonts w:ascii="Calibri" w:cs="Calibri" w:eastAsia="Calibri" w:hAnsi="Calibri"/>
                <w:sz w:val="17"/>
                <w:szCs w:val="17"/>
                <w:b w:val="1"/>
                <w:bCs w:val="1"/>
                <w:color w:val="auto"/>
              </w:rPr>
              <w:t xml:space="preserve">36    </w:t>
            </w:r>
            <w:r>
              <w:rPr>
                <w:rFonts w:ascii="Calibri" w:cs="Calibri" w:eastAsia="Calibri" w:hAnsi="Calibri"/>
                <w:sz w:val="27"/>
                <w:szCs w:val="27"/>
                <w:b w:val="1"/>
                <w:bCs w:val="1"/>
                <w:color w:val="FB4E0B"/>
              </w:rPr>
              <w:t>/</w:t>
            </w:r>
          </w:p>
        </w:tc>
        <w:tc>
          <w:tcPr>
            <w:tcW w:w="390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5880" w:type="dxa"/>
            <w:vAlign w:val="bottom"/>
          </w:tcPr>
          <w:p>
            <w:pPr>
              <w:ind w:left="56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620" w:type="dxa"/>
            <w:vAlign w:val="bottom"/>
            <w:vMerge w:val="continue"/>
          </w:tcPr>
          <w:p>
            <w:pPr>
              <w:spacing w:after="0"/>
              <w:rPr>
                <w:sz w:val="10"/>
                <w:szCs w:val="10"/>
                <w:color w:val="auto"/>
              </w:rPr>
            </w:pPr>
          </w:p>
        </w:tc>
        <w:tc>
          <w:tcPr>
            <w:tcW w:w="3900" w:type="dxa"/>
            <w:vAlign w:val="bottom"/>
            <w:vMerge w:val="continue"/>
          </w:tcPr>
          <w:p>
            <w:pPr>
              <w:spacing w:after="0"/>
              <w:rPr>
                <w:sz w:val="10"/>
                <w:szCs w:val="10"/>
                <w:color w:val="auto"/>
              </w:rPr>
            </w:pPr>
          </w:p>
        </w:tc>
        <w:tc>
          <w:tcPr>
            <w:tcW w:w="5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1" w:right="6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Compensaton and Talent Management Commitee</w:t>
      </w:r>
    </w:p>
    <w:p>
      <w:pPr>
        <w:spacing w:after="0" w:line="115"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Our Compensaton and Talent Management Commitee reviews and recommends policies relatng to compensaton and benefts of our directors, ofcers and employees and is responsible for approving the compensaton of our Chair and CEO and other executve ofcers, as well as our employee benefts policies, programs and administraton. The commitee reviews, evaluates and makes recommendatons to our board of directors with respect to our incentve compensaton plans and equity-based plans and administers the issuance of awards under our equity incentve plans. It also provides oversight with respect to human capital management maters, including diversity, equity and inclusion, and talent and leadership engagement, development and training. The commitee’s charter permits the commitee to form and delegate authority to subcommitees when appropriate, provided that the subcommitees are composed entrely of directors who satsfy the applicable independence requirements of the Nasdaq Stock Market.</w:t>
      </w:r>
    </w:p>
    <w:p>
      <w:pPr>
        <w:sectPr>
          <w:pgSz w:w="11900" w:h="16838" w:orient="portrait"/>
          <w:cols w:equalWidth="0" w:num="1">
            <w:col w:w="10940"/>
          </w:cols>
          <w:pgMar w:left="320" w:top="471" w:right="639" w:bottom="1440" w:gutter="0" w:footer="0" w:header="0"/>
        </w:sectPr>
      </w:pPr>
    </w:p>
    <w:p>
      <w:pPr>
        <w:spacing w:after="0" w:line="291" w:lineRule="exact"/>
        <w:rPr>
          <w:sz w:val="20"/>
          <w:szCs w:val="20"/>
          <w:color w:val="auto"/>
        </w:rPr>
      </w:pPr>
    </w:p>
    <w:p>
      <w:pPr>
        <w:ind w:left="320" w:right="300"/>
        <w:spacing w:after="0" w:line="261" w:lineRule="auto"/>
        <w:rPr>
          <w:sz w:val="20"/>
          <w:szCs w:val="20"/>
          <w:color w:val="auto"/>
        </w:rPr>
      </w:pPr>
      <w:r>
        <w:rPr>
          <w:rFonts w:ascii="Calibri" w:cs="Calibri" w:eastAsia="Calibri" w:hAnsi="Calibri"/>
          <w:sz w:val="16"/>
          <w:szCs w:val="16"/>
          <w:color w:val="auto"/>
        </w:rPr>
        <w:t>The Compensaton and Talent Management Commitee charter also permits the commitee to retain advisors, consultants or other professionals to assist the commitee to evaluate director, Chair and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FFFFFF"/>
        </w:rPr>
        <w:t>Compensaton and Talent Management Commitee profle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-215900</wp:posOffset>
            </wp:positionV>
            <wp:extent cx="3296285" cy="14293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296285" cy="142938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5580" w:space="720"/>
            <w:col w:w="4640"/>
          </w:cols>
          <w:pgMar w:left="320" w:top="471" w:right="639" w:bottom="1440" w:gutter="0" w:footer="0" w:header="0"/>
          <w:type w:val="continuous"/>
        </w:sectPr>
      </w:pPr>
    </w:p>
    <w:p>
      <w:pPr>
        <w:ind w:left="320"/>
        <w:spacing w:after="0" w:line="238" w:lineRule="auto"/>
        <w:rPr>
          <w:sz w:val="20"/>
          <w:szCs w:val="20"/>
          <w:color w:val="auto"/>
        </w:rPr>
      </w:pPr>
      <w:r>
        <w:rPr>
          <w:rFonts w:ascii="Calibri" w:cs="Calibri" w:eastAsia="Calibri" w:hAnsi="Calibri"/>
          <w:sz w:val="17"/>
          <w:szCs w:val="17"/>
          <w:color w:val="auto"/>
        </w:rPr>
        <w:t>or other senior executve compensaton and to carry out its dutes. For 2023, our Compensaton and Talent Management Commitee retained the services of Farient Advisors LLC (“Farient”), a qualifed and independent compensaton consultant, to aid the commitee in performing its review of executve compensaton including executve compensaton benchmarking and peer group analysis. Our Compensaton and Talent Management Commitee annually reviews and assesses the adequacy of its charter and its own performance. Additonal informaton regarding our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140" w:val="left"/>
        </w:tabs>
        <w:rPr>
          <w:sz w:val="20"/>
          <w:szCs w:val="20"/>
          <w:color w:val="auto"/>
        </w:rPr>
      </w:pPr>
      <w:r>
        <w:rPr>
          <w:rFonts w:ascii="Calibri" w:cs="Calibri" w:eastAsia="Calibri" w:hAnsi="Calibri"/>
          <w:sz w:val="17"/>
          <w:szCs w:val="17"/>
          <w:b w:val="1"/>
          <w:bCs w:val="1"/>
          <w:color w:val="FFFFFF"/>
        </w:rPr>
        <w:t> </w:t>
        <w:tab/>
        <w:t>Jaynie Studenmund, Chair</w:t>
      </w:r>
    </w:p>
    <w:p>
      <w:pPr>
        <w:spacing w:after="0" w:line="113" w:lineRule="exact"/>
        <w:rPr>
          <w:sz w:val="20"/>
          <w:szCs w:val="20"/>
          <w:color w:val="auto"/>
        </w:rPr>
      </w:pPr>
    </w:p>
    <w:p>
      <w:pPr>
        <w:spacing w:after="0"/>
        <w:tabs>
          <w:tab w:leader="none" w:pos="140" w:val="left"/>
        </w:tabs>
        <w:rPr>
          <w:sz w:val="20"/>
          <w:szCs w:val="20"/>
          <w:color w:val="auto"/>
        </w:rPr>
      </w:pPr>
      <w:r>
        <w:rPr>
          <w:rFonts w:ascii="Calibri" w:cs="Calibri" w:eastAsia="Calibri" w:hAnsi="Calibri"/>
          <w:sz w:val="16"/>
          <w:szCs w:val="16"/>
          <w:color w:val="FFFFFF"/>
        </w:rPr>
        <w:t> </w:t>
        <w:tab/>
        <w:t>Som Mital</w:t>
      </w:r>
    </w:p>
    <w:p>
      <w:pPr>
        <w:spacing w:after="0"/>
        <w:tabs>
          <w:tab w:leader="none" w:pos="140" w:val="left"/>
        </w:tabs>
        <w:rPr>
          <w:sz w:val="20"/>
          <w:szCs w:val="20"/>
          <w:color w:val="auto"/>
        </w:rPr>
      </w:pPr>
      <w:r>
        <w:rPr>
          <w:rFonts w:ascii="Calibri" w:cs="Calibri" w:eastAsia="Calibri" w:hAnsi="Calibri"/>
          <w:sz w:val="16"/>
          <w:szCs w:val="16"/>
          <w:color w:val="FFFFFF"/>
        </w:rPr>
        <w:t> </w:t>
      </w:r>
      <w:r>
        <w:rPr>
          <w:sz w:val="20"/>
          <w:szCs w:val="20"/>
          <w:color w:val="auto"/>
        </w:rPr>
        <w:tab/>
      </w:r>
      <w:r>
        <w:rPr>
          <w:rFonts w:ascii="Calibri" w:cs="Calibri" w:eastAsia="Calibri" w:hAnsi="Calibri"/>
          <w:sz w:val="14"/>
          <w:szCs w:val="14"/>
          <w:color w:val="FFFFFF"/>
        </w:rPr>
        <w:t>Vikram Pandit</w:t>
      </w:r>
    </w:p>
    <w:p>
      <w:pPr>
        <w:spacing w:after="0"/>
        <w:tabs>
          <w:tab w:leader="none" w:pos="140" w:val="left"/>
        </w:tabs>
        <w:rPr>
          <w:sz w:val="20"/>
          <w:szCs w:val="20"/>
          <w:color w:val="auto"/>
        </w:rPr>
      </w:pPr>
      <w:r>
        <w:rPr>
          <w:rFonts w:ascii="Calibri" w:cs="Calibri" w:eastAsia="Calibri" w:hAnsi="Calibri"/>
          <w:sz w:val="16"/>
          <w:szCs w:val="16"/>
          <w:color w:val="FFFFFF"/>
        </w:rPr>
        <w:t> </w:t>
      </w:r>
      <w:r>
        <w:rPr>
          <w:sz w:val="20"/>
          <w:szCs w:val="20"/>
          <w:color w:val="auto"/>
        </w:rPr>
        <w:tab/>
      </w:r>
      <w:r>
        <w:rPr>
          <w:rFonts w:ascii="Calibri" w:cs="Calibri" w:eastAsia="Calibri" w:hAnsi="Calibri"/>
          <w:sz w:val="14"/>
          <w:szCs w:val="14"/>
          <w:color w:val="FFFFFF"/>
        </w:rPr>
        <w:t>Kristy Pipes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355600</wp:posOffset>
            </wp:positionV>
            <wp:extent cx="3296285" cy="14789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296285" cy="1478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sz w:val="1"/>
          <w:szCs w:val="1"/>
          <w:color w:val="auto"/>
        </w:rPr>
        <w:drawing>
          <wp:inline distT="0" distB="0" distL="0" distR="0">
            <wp:extent cx="883920" cy="88392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3920" cy="883920"/>
                    </a:xfrm>
                    <a:prstGeom prst="rect">
                      <a:avLst/>
                    </a:prstGeom>
                    <a:noFill/>
                    <a:ln>
                      <a:noFill/>
                    </a:ln>
                  </pic:spPr>
                </pic:pic>
              </a:graphicData>
            </a:graphic>
          </wp:inline>
        </w:drawing>
      </w:r>
      <w:r>
        <w:rPr>
          <w:rFonts w:ascii="Arial" w:cs="Arial" w:eastAsia="Arial" w:hAnsi="Arial"/>
          <w:sz w:val="6"/>
          <w:szCs w:val="6"/>
          <w:color w:val="auto"/>
        </w:rPr>
        <w:t xml:space="preserve">  </w:t>
      </w:r>
    </w:p>
    <w:p>
      <w:pPr>
        <w:spacing w:after="0" w:line="233" w:lineRule="exact"/>
        <w:rPr>
          <w:sz w:val="20"/>
          <w:szCs w:val="20"/>
          <w:color w:val="auto"/>
        </w:rPr>
      </w:pPr>
    </w:p>
    <w:p>
      <w:pPr>
        <w:sectPr>
          <w:pgSz w:w="11900" w:h="16838" w:orient="portrait"/>
          <w:cols w:equalWidth="0" w:num="3">
            <w:col w:w="5400" w:space="340"/>
            <w:col w:w="2860" w:space="720"/>
            <w:col w:w="1620"/>
          </w:cols>
          <w:pgMar w:left="320" w:top="471" w:right="639" w:bottom="1440" w:gutter="0" w:footer="0" w:header="0"/>
          <w:type w:val="continuous"/>
        </w:sectPr>
      </w:pPr>
    </w:p>
    <w:p>
      <w:pPr>
        <w:spacing w:after="0" w:line="6" w:lineRule="exact"/>
        <w:rPr>
          <w:sz w:val="20"/>
          <w:szCs w:val="20"/>
          <w:color w:val="auto"/>
        </w:rPr>
      </w:pPr>
    </w:p>
    <w:p>
      <w:pPr>
        <w:ind w:left="320"/>
        <w:spacing w:after="0" w:line="229" w:lineRule="auto"/>
        <w:rPr>
          <w:sz w:val="20"/>
          <w:szCs w:val="20"/>
          <w:color w:val="auto"/>
        </w:rPr>
      </w:pPr>
      <w:r>
        <w:rPr>
          <w:rFonts w:ascii="Calibri" w:cs="Calibri" w:eastAsia="Calibri" w:hAnsi="Calibri"/>
          <w:sz w:val="17"/>
          <w:szCs w:val="17"/>
          <w:color w:val="auto"/>
        </w:rPr>
        <w:t>Compensaton and Talent Management Commitee’s processes and procedures for considering executve compensaton are addressed in the Compensaton Discussion and Analysis below.</w:t>
      </w:r>
    </w:p>
    <w:p>
      <w:pPr>
        <w:spacing w:after="0" w:line="20" w:lineRule="exact"/>
        <w:rPr>
          <w:sz w:val="20"/>
          <w:szCs w:val="20"/>
          <w:color w:val="auto"/>
        </w:rPr>
      </w:pPr>
      <w:r>
        <w:rPr>
          <w:sz w:val="20"/>
          <w:szCs w:val="20"/>
          <w:color w:val="auto"/>
        </w:rPr>
        <w:br w:type="column"/>
      </w:r>
    </w:p>
    <w:p>
      <w:pPr>
        <w:spacing w:after="0"/>
        <w:tabs>
          <w:tab w:leader="none" w:pos="2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Overall compensaton risk management, including recommending</w:t>
      </w:r>
    </w:p>
    <w:p>
      <w:pPr>
        <w:ind w:left="320"/>
        <w:spacing w:after="0"/>
        <w:rPr>
          <w:sz w:val="20"/>
          <w:szCs w:val="20"/>
          <w:color w:val="auto"/>
        </w:rPr>
      </w:pPr>
      <w:r>
        <w:rPr>
          <w:rFonts w:ascii="Calibri" w:cs="Calibri" w:eastAsia="Calibri" w:hAnsi="Calibri"/>
          <w:sz w:val="16"/>
          <w:szCs w:val="16"/>
          <w:color w:val="auto"/>
        </w:rPr>
        <w:t>incentve compensaton plans</w:t>
      </w:r>
    </w:p>
    <w:p>
      <w:pPr>
        <w:spacing w:after="0" w:line="117" w:lineRule="exact"/>
        <w:rPr>
          <w:sz w:val="20"/>
          <w:szCs w:val="20"/>
          <w:color w:val="auto"/>
        </w:rPr>
      </w:pPr>
    </w:p>
    <w:p>
      <w:pPr>
        <w:spacing w:after="0"/>
        <w:tabs>
          <w:tab w:leader="none" w:pos="2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Retenton of advisors or other compensaton consultants</w:t>
      </w:r>
    </w:p>
    <w:p>
      <w:pPr>
        <w:spacing w:after="0" w:line="117" w:lineRule="exact"/>
        <w:rPr>
          <w:sz w:val="20"/>
          <w:szCs w:val="20"/>
          <w:color w:val="auto"/>
        </w:rPr>
      </w:pPr>
    </w:p>
    <w:p>
      <w:pPr>
        <w:spacing w:after="0"/>
        <w:tabs>
          <w:tab w:leader="none" w:pos="2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Oversight of human capital management maters, including diversity,</w:t>
      </w:r>
    </w:p>
    <w:p>
      <w:pPr>
        <w:ind w:left="320"/>
        <w:spacing w:after="0"/>
        <w:rPr>
          <w:sz w:val="20"/>
          <w:szCs w:val="20"/>
          <w:color w:val="auto"/>
        </w:rPr>
      </w:pPr>
      <w:r>
        <w:rPr>
          <w:rFonts w:ascii="Calibri" w:cs="Calibri" w:eastAsia="Calibri" w:hAnsi="Calibri"/>
          <w:sz w:val="16"/>
          <w:szCs w:val="16"/>
          <w:color w:val="auto"/>
        </w:rPr>
        <w:t>equity and inclusion</w:t>
      </w:r>
    </w:p>
    <w:p>
      <w:pPr>
        <w:spacing w:after="0" w:line="117" w:lineRule="exact"/>
        <w:rPr>
          <w:sz w:val="20"/>
          <w:szCs w:val="20"/>
          <w:color w:val="auto"/>
        </w:rPr>
      </w:pPr>
    </w:p>
    <w:p>
      <w:pPr>
        <w:spacing w:after="0"/>
        <w:tabs>
          <w:tab w:leader="none" w:pos="2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No interlocks or insider partcipaton</w:t>
      </w:r>
    </w:p>
    <w:p>
      <w:pPr>
        <w:spacing w:after="0" w:line="200" w:lineRule="exact"/>
        <w:rPr>
          <w:sz w:val="20"/>
          <w:szCs w:val="20"/>
          <w:color w:val="auto"/>
        </w:rPr>
      </w:pPr>
    </w:p>
    <w:p>
      <w:pPr>
        <w:sectPr>
          <w:pgSz w:w="11900" w:h="16838" w:orient="portrait"/>
          <w:cols w:equalWidth="0" w:num="2">
            <w:col w:w="5300" w:space="680"/>
            <w:col w:w="4960"/>
          </w:cols>
          <w:pgMar w:left="320" w:top="471" w:right="639" w:bottom="1440" w:gutter="0" w:footer="0" w:header="0"/>
          <w:type w:val="continuous"/>
        </w:sectPr>
      </w:pPr>
    </w:p>
    <w:p>
      <w:pPr>
        <w:spacing w:after="0" w:line="169" w:lineRule="exact"/>
        <w:rPr>
          <w:sz w:val="20"/>
          <w:szCs w:val="20"/>
          <w:color w:val="auto"/>
        </w:rPr>
      </w:pPr>
    </w:p>
    <w:p>
      <w:pPr>
        <w:ind w:left="7280"/>
        <w:spacing w:after="0"/>
        <w:rPr>
          <w:sz w:val="20"/>
          <w:szCs w:val="20"/>
          <w:color w:val="auto"/>
        </w:rPr>
      </w:pPr>
      <w:r>
        <w:rPr>
          <w:rFonts w:ascii="Calibri" w:cs="Calibri" w:eastAsia="Calibri" w:hAnsi="Calibri"/>
          <w:sz w:val="17"/>
          <w:szCs w:val="17"/>
          <w:b w:val="1"/>
          <w:bCs w:val="1"/>
          <w:color w:val="FB4E0B"/>
        </w:rPr>
        <w:t>6 commitee meetngs in 2023</w:t>
      </w:r>
    </w:p>
    <w:p>
      <w:pPr>
        <w:spacing w:after="0" w:line="200" w:lineRule="exact"/>
        <w:rPr>
          <w:sz w:val="20"/>
          <w:szCs w:val="20"/>
          <w:color w:val="auto"/>
        </w:rPr>
      </w:pPr>
    </w:p>
    <w:p>
      <w:pPr>
        <w:spacing w:after="0" w:line="348" w:lineRule="exact"/>
        <w:rPr>
          <w:sz w:val="20"/>
          <w:szCs w:val="20"/>
          <w:color w:val="auto"/>
        </w:rPr>
      </w:pPr>
    </w:p>
    <w:p>
      <w:pPr>
        <w:ind w:left="320" w:right="60"/>
        <w:spacing w:after="0" w:line="239" w:lineRule="auto"/>
        <w:rPr>
          <w:sz w:val="20"/>
          <w:szCs w:val="20"/>
          <w:color w:val="auto"/>
        </w:rPr>
      </w:pPr>
      <w:r>
        <w:rPr>
          <w:rFonts w:ascii="Calibri" w:cs="Calibri" w:eastAsia="Calibri" w:hAnsi="Calibri"/>
          <w:sz w:val="17"/>
          <w:szCs w:val="17"/>
          <w:color w:val="auto"/>
        </w:rPr>
        <w:t>The members of our Compensaton and Talent Management Commitee are appointed by our board of directors. All new members of the commitee must be recommended by our Nominatng and Governance Commitee.</w:t>
      </w:r>
    </w:p>
    <w:p>
      <w:pPr>
        <w:spacing w:after="0" w:line="211" w:lineRule="exact"/>
        <w:rPr>
          <w:sz w:val="20"/>
          <w:szCs w:val="20"/>
          <w:color w:val="auto"/>
        </w:rPr>
      </w:pPr>
    </w:p>
    <w:p>
      <w:pPr>
        <w:ind w:left="320" w:right="280"/>
        <w:spacing w:after="0" w:line="239" w:lineRule="auto"/>
        <w:rPr>
          <w:sz w:val="20"/>
          <w:szCs w:val="20"/>
          <w:color w:val="auto"/>
        </w:rPr>
      </w:pPr>
      <w:r>
        <w:rPr>
          <w:rFonts w:ascii="Calibri" w:cs="Calibri" w:eastAsia="Calibri" w:hAnsi="Calibri"/>
          <w:sz w:val="17"/>
          <w:szCs w:val="17"/>
          <w:color w:val="auto"/>
        </w:rPr>
        <w:t>During 2023, none of our executve ofcers served as a member of the board of directors or compensaton commitee (or similar) of any entty that has one or more executve ofcers who serve on our board of directors or Compensaton and Talent Management Commitee.</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Nominatng and Governance Commitee</w:t>
      </w:r>
    </w:p>
    <w:p>
      <w:pPr>
        <w:spacing w:after="0" w:line="29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Nominatng and Governance Commitee is responsible for:</w:t>
      </w:r>
    </w:p>
    <w:p>
      <w:pPr>
        <w:spacing w:after="0" w:line="2" w:lineRule="exact"/>
        <w:rPr>
          <w:sz w:val="20"/>
          <w:szCs w:val="20"/>
          <w:color w:val="auto"/>
        </w:rPr>
      </w:pPr>
    </w:p>
    <w:p>
      <w:pPr>
        <w:ind w:left="320" w:hanging="4"/>
        <w:spacing w:after="0"/>
        <w:tabs>
          <w:tab w:leader="none" w:pos="500" w:val="left"/>
        </w:tabs>
        <w:numPr>
          <w:ilvl w:val="0"/>
          <w:numId w:val="22"/>
        </w:numPr>
        <w:rPr>
          <w:rFonts w:ascii="Calibri" w:cs="Calibri" w:eastAsia="Calibri" w:hAnsi="Calibri"/>
          <w:sz w:val="17"/>
          <w:szCs w:val="17"/>
          <w:color w:val="auto"/>
        </w:rPr>
      </w:pPr>
      <w:r>
        <w:rPr>
          <w:rFonts w:ascii="Calibri" w:cs="Calibri" w:eastAsia="Calibri" w:hAnsi="Calibri"/>
          <w:sz w:val="17"/>
          <w:szCs w:val="17"/>
          <w:color w:val="auto"/>
        </w:rPr>
        <w:t>identfying and recommending candidates for electon to our board of directors using selecton criteria approved by our board of directors, reviewing compositon of the board and commitee membership and overseeing board refreshment and director compensaton and benefts maters, (ii) developing and recommending to our board of directors Corporate Governance Guidelines, including independence standards, and other board procedures or corporate governance policies, as well as any changes to such guidelines, procedures or policies or to any of our organizatonal documents; (iii) overseeing our board of director and management evaluatons and our director educaton program, and</w:t>
      </w:r>
    </w:p>
    <w:p>
      <w:pPr>
        <w:spacing w:after="0" w:line="6" w:lineRule="exact"/>
        <w:rPr>
          <w:rFonts w:ascii="Calibri" w:cs="Calibri" w:eastAsia="Calibri" w:hAnsi="Calibri"/>
          <w:sz w:val="17"/>
          <w:szCs w:val="17"/>
          <w:color w:val="auto"/>
        </w:rPr>
      </w:pPr>
    </w:p>
    <w:p>
      <w:pPr>
        <w:ind w:left="320" w:right="60" w:hanging="4"/>
        <w:spacing w:after="0"/>
        <w:tabs>
          <w:tab w:leader="none" w:pos="576" w:val="left"/>
        </w:tabs>
        <w:numPr>
          <w:ilvl w:val="0"/>
          <w:numId w:val="23"/>
        </w:numPr>
        <w:rPr>
          <w:rFonts w:ascii="Calibri" w:cs="Calibri" w:eastAsia="Calibri" w:hAnsi="Calibri"/>
          <w:sz w:val="17"/>
          <w:szCs w:val="17"/>
          <w:color w:val="auto"/>
        </w:rPr>
      </w:pPr>
      <w:r>
        <w:rPr>
          <w:rFonts w:ascii="Calibri" w:cs="Calibri" w:eastAsia="Calibri" w:hAnsi="Calibri"/>
          <w:sz w:val="17"/>
          <w:szCs w:val="17"/>
          <w:color w:val="auto"/>
        </w:rPr>
        <w:t>overseeing our environmental, social and governance-related goals, policies and practces. The commitee’s charter permits the commitee to form and delegate authority to subcommitees when appropriate, provided that the subcommitees are composed entrely of directors who satsfy the applicable independence requirements of the Nasdaq Stock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1"/>
        </w:trPr>
        <w:tc>
          <w:tcPr>
            <w:tcW w:w="20" w:type="dxa"/>
            <w:vAlign w:val="bottom"/>
          </w:tcPr>
          <w:p>
            <w:pPr>
              <w:spacing w:after="0"/>
              <w:rPr>
                <w:sz w:val="24"/>
                <w:szCs w:val="24"/>
                <w:color w:val="auto"/>
              </w:rPr>
            </w:pPr>
          </w:p>
        </w:tc>
        <w:tc>
          <w:tcPr>
            <w:tcW w:w="100" w:type="dxa"/>
            <w:vAlign w:val="bottom"/>
            <w:shd w:val="clear" w:color="auto" w:fill="FB4E0B"/>
          </w:tcPr>
          <w:p>
            <w:pPr>
              <w:spacing w:after="0"/>
              <w:rPr>
                <w:sz w:val="24"/>
                <w:szCs w:val="24"/>
                <w:color w:val="auto"/>
              </w:rPr>
            </w:pPr>
          </w:p>
        </w:tc>
        <w:tc>
          <w:tcPr>
            <w:tcW w:w="320" w:type="dxa"/>
            <w:vAlign w:val="bottom"/>
            <w:shd w:val="clear" w:color="auto" w:fill="FB4E0B"/>
          </w:tcPr>
          <w:p>
            <w:pPr>
              <w:spacing w:after="0"/>
              <w:rPr>
                <w:sz w:val="24"/>
                <w:szCs w:val="24"/>
                <w:color w:val="auto"/>
              </w:rPr>
            </w:pPr>
          </w:p>
        </w:tc>
        <w:tc>
          <w:tcPr>
            <w:tcW w:w="4440" w:type="dxa"/>
            <w:vAlign w:val="bottom"/>
            <w:shd w:val="clear" w:color="auto" w:fill="FB4E0B"/>
          </w:tcPr>
          <w:p>
            <w:pPr>
              <w:ind w:left="520"/>
              <w:spacing w:after="0"/>
              <w:rPr>
                <w:sz w:val="20"/>
                <w:szCs w:val="20"/>
                <w:color w:val="auto"/>
              </w:rPr>
            </w:pPr>
            <w:r>
              <w:rPr>
                <w:rFonts w:ascii="Calibri" w:cs="Calibri" w:eastAsia="Calibri" w:hAnsi="Calibri"/>
                <w:sz w:val="17"/>
                <w:szCs w:val="17"/>
                <w:b w:val="1"/>
                <w:bCs w:val="1"/>
                <w:color w:val="FFFFFF"/>
              </w:rPr>
              <w:t>Nominatng and Governance Commitee profle</w:t>
            </w:r>
          </w:p>
        </w:tc>
        <w:tc>
          <w:tcPr>
            <w:tcW w:w="340" w:type="dxa"/>
            <w:vAlign w:val="bottom"/>
            <w:shd w:val="clear" w:color="auto" w:fill="FB4E0B"/>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100" w:type="dxa"/>
            <w:vAlign w:val="bottom"/>
            <w:shd w:val="clear" w:color="auto" w:fill="FB4E0B"/>
          </w:tcPr>
          <w:p>
            <w:pPr>
              <w:spacing w:after="0"/>
              <w:rPr>
                <w:sz w:val="20"/>
                <w:szCs w:val="20"/>
                <w:color w:val="auto"/>
              </w:rPr>
            </w:pPr>
          </w:p>
        </w:tc>
        <w:tc>
          <w:tcPr>
            <w:tcW w:w="4760" w:type="dxa"/>
            <w:vAlign w:val="bottom"/>
            <w:gridSpan w:val="2"/>
            <w:shd w:val="clear" w:color="auto" w:fill="FB4E0B"/>
          </w:tcPr>
          <w:p>
            <w:pPr>
              <w:spacing w:after="0"/>
              <w:rPr>
                <w:sz w:val="20"/>
                <w:szCs w:val="20"/>
                <w:color w:val="auto"/>
              </w:rPr>
            </w:pPr>
          </w:p>
        </w:tc>
        <w:tc>
          <w:tcPr>
            <w:tcW w:w="340" w:type="dxa"/>
            <w:vAlign w:val="bottom"/>
            <w:shd w:val="clear" w:color="auto" w:fill="FB4E0B"/>
          </w:tcPr>
          <w:p>
            <w:pPr>
              <w:spacing w:after="0"/>
              <w:rPr>
                <w:sz w:val="20"/>
                <w:szCs w:val="20"/>
                <w:color w:val="auto"/>
              </w:rPr>
            </w:pPr>
          </w:p>
        </w:tc>
      </w:tr>
      <w:tr>
        <w:trPr>
          <w:trHeight w:val="419"/>
        </w:trPr>
        <w:tc>
          <w:tcPr>
            <w:tcW w:w="120" w:type="dxa"/>
            <w:vAlign w:val="bottom"/>
            <w:gridSpan w:val="2"/>
          </w:tcPr>
          <w:p>
            <w:pPr>
              <w:spacing w:after="0"/>
              <w:rPr>
                <w:sz w:val="20"/>
                <w:szCs w:val="20"/>
                <w:color w:val="auto"/>
              </w:rPr>
            </w:pPr>
            <w:r>
              <w:rPr>
                <w:rFonts w:ascii="Calibri" w:cs="Calibri" w:eastAsia="Calibri" w:hAnsi="Calibri"/>
                <w:sz w:val="14"/>
                <w:szCs w:val="14"/>
                <w:b w:val="1"/>
                <w:bCs w:val="1"/>
                <w:color w:val="FFFFFF"/>
                <w:w w:val="71"/>
              </w:rPr>
              <w:t> </w:t>
            </w:r>
          </w:p>
        </w:tc>
        <w:tc>
          <w:tcPr>
            <w:tcW w:w="4760" w:type="dxa"/>
            <w:vAlign w:val="bottom"/>
            <w:gridSpan w:val="2"/>
          </w:tcPr>
          <w:p>
            <w:pPr>
              <w:ind w:left="60"/>
              <w:spacing w:after="0"/>
              <w:rPr>
                <w:sz w:val="20"/>
                <w:szCs w:val="20"/>
                <w:color w:val="auto"/>
              </w:rPr>
            </w:pPr>
            <w:r>
              <w:rPr>
                <w:rFonts w:ascii="Calibri" w:cs="Calibri" w:eastAsia="Calibri" w:hAnsi="Calibri"/>
                <w:sz w:val="17"/>
                <w:szCs w:val="17"/>
                <w:b w:val="1"/>
                <w:bCs w:val="1"/>
                <w:color w:val="FFFFFF"/>
              </w:rPr>
              <w:t>Nitn Sahney, Chair</w:t>
            </w:r>
          </w:p>
        </w:tc>
        <w:tc>
          <w:tcPr>
            <w:tcW w:w="340" w:type="dxa"/>
            <w:vAlign w:val="bottom"/>
          </w:tcPr>
          <w:p>
            <w:pPr>
              <w:spacing w:after="0"/>
              <w:rPr>
                <w:sz w:val="24"/>
                <w:szCs w:val="24"/>
                <w:color w:val="auto"/>
              </w:rPr>
            </w:pPr>
          </w:p>
        </w:tc>
      </w:tr>
      <w:tr>
        <w:trPr>
          <w:trHeight w:val="308"/>
        </w:trPr>
        <w:tc>
          <w:tcPr>
            <w:tcW w:w="120" w:type="dxa"/>
            <w:vAlign w:val="bottom"/>
            <w:gridSpan w:val="2"/>
          </w:tcPr>
          <w:p>
            <w:pPr>
              <w:ind w:left="20"/>
              <w:spacing w:after="0"/>
              <w:rPr>
                <w:sz w:val="20"/>
                <w:szCs w:val="20"/>
                <w:color w:val="auto"/>
              </w:rPr>
            </w:pPr>
            <w:r>
              <w:rPr>
                <w:rFonts w:ascii="Calibri" w:cs="Calibri" w:eastAsia="Calibri" w:hAnsi="Calibri"/>
                <w:sz w:val="11"/>
                <w:szCs w:val="11"/>
                <w:color w:val="FFFFFF"/>
                <w:w w:val="72"/>
              </w:rPr>
              <w:t> </w:t>
            </w:r>
          </w:p>
        </w:tc>
        <w:tc>
          <w:tcPr>
            <w:tcW w:w="4760" w:type="dxa"/>
            <w:vAlign w:val="bottom"/>
            <w:gridSpan w:val="2"/>
          </w:tcPr>
          <w:p>
            <w:pPr>
              <w:ind w:left="60"/>
              <w:spacing w:after="0"/>
              <w:rPr>
                <w:sz w:val="20"/>
                <w:szCs w:val="20"/>
                <w:color w:val="auto"/>
              </w:rPr>
            </w:pPr>
            <w:r>
              <w:rPr>
                <w:rFonts w:ascii="Calibri" w:cs="Calibri" w:eastAsia="Calibri" w:hAnsi="Calibri"/>
                <w:sz w:val="16"/>
                <w:szCs w:val="16"/>
                <w:color w:val="FFFFFF"/>
              </w:rPr>
              <w:t>Thomas Bartlet</w:t>
            </w:r>
          </w:p>
        </w:tc>
        <w:tc>
          <w:tcPr>
            <w:tcW w:w="340" w:type="dxa"/>
            <w:vAlign w:val="bottom"/>
          </w:tcPr>
          <w:p>
            <w:pPr>
              <w:spacing w:after="0"/>
              <w:rPr>
                <w:sz w:val="24"/>
                <w:szCs w:val="24"/>
                <w:color w:val="auto"/>
              </w:rPr>
            </w:pPr>
          </w:p>
        </w:tc>
      </w:tr>
      <w:tr>
        <w:trPr>
          <w:trHeight w:val="195"/>
        </w:trPr>
        <w:tc>
          <w:tcPr>
            <w:tcW w:w="120" w:type="dxa"/>
            <w:vAlign w:val="bottom"/>
            <w:gridSpan w:val="2"/>
          </w:tcPr>
          <w:p>
            <w:pPr>
              <w:ind w:left="20"/>
              <w:spacing w:after="0"/>
              <w:rPr>
                <w:sz w:val="20"/>
                <w:szCs w:val="20"/>
                <w:color w:val="auto"/>
              </w:rPr>
            </w:pPr>
            <w:r>
              <w:rPr>
                <w:rFonts w:ascii="Calibri" w:cs="Calibri" w:eastAsia="Calibri" w:hAnsi="Calibri"/>
                <w:sz w:val="11"/>
                <w:szCs w:val="11"/>
                <w:color w:val="FFFFFF"/>
                <w:w w:val="72"/>
              </w:rPr>
              <w:t> </w:t>
            </w:r>
          </w:p>
        </w:tc>
        <w:tc>
          <w:tcPr>
            <w:tcW w:w="4760" w:type="dxa"/>
            <w:vAlign w:val="bottom"/>
            <w:gridSpan w:val="2"/>
          </w:tcPr>
          <w:p>
            <w:pPr>
              <w:ind w:left="60"/>
              <w:spacing w:after="0"/>
              <w:rPr>
                <w:sz w:val="20"/>
                <w:szCs w:val="20"/>
                <w:color w:val="auto"/>
              </w:rPr>
            </w:pPr>
            <w:r>
              <w:rPr>
                <w:rFonts w:ascii="Calibri" w:cs="Calibri" w:eastAsia="Calibri" w:hAnsi="Calibri"/>
                <w:sz w:val="16"/>
                <w:szCs w:val="16"/>
                <w:color w:val="FFFFFF"/>
              </w:rPr>
              <w:t>Andreas Fibig</w:t>
            </w:r>
          </w:p>
        </w:tc>
        <w:tc>
          <w:tcPr>
            <w:tcW w:w="340" w:type="dxa"/>
            <w:vAlign w:val="bottom"/>
          </w:tcPr>
          <w:p>
            <w:pPr>
              <w:spacing w:after="0"/>
              <w:rPr>
                <w:sz w:val="16"/>
                <w:szCs w:val="16"/>
                <w:color w:val="auto"/>
              </w:rPr>
            </w:pPr>
          </w:p>
        </w:tc>
      </w:tr>
      <w:tr>
        <w:trPr>
          <w:trHeight w:val="195"/>
        </w:trPr>
        <w:tc>
          <w:tcPr>
            <w:tcW w:w="120" w:type="dxa"/>
            <w:vAlign w:val="bottom"/>
            <w:gridSpan w:val="2"/>
          </w:tcPr>
          <w:p>
            <w:pPr>
              <w:ind w:left="20"/>
              <w:spacing w:after="0"/>
              <w:rPr>
                <w:sz w:val="20"/>
                <w:szCs w:val="20"/>
                <w:color w:val="auto"/>
              </w:rPr>
            </w:pPr>
            <w:r>
              <w:rPr>
                <w:rFonts w:ascii="Calibri" w:cs="Calibri" w:eastAsia="Calibri" w:hAnsi="Calibri"/>
                <w:sz w:val="11"/>
                <w:szCs w:val="11"/>
                <w:color w:val="FFFFFF"/>
                <w:w w:val="72"/>
              </w:rPr>
              <w:t> </w:t>
            </w:r>
          </w:p>
        </w:tc>
        <w:tc>
          <w:tcPr>
            <w:tcW w:w="4760" w:type="dxa"/>
            <w:vAlign w:val="bottom"/>
            <w:gridSpan w:val="2"/>
          </w:tcPr>
          <w:p>
            <w:pPr>
              <w:ind w:left="60"/>
              <w:spacing w:after="0"/>
              <w:rPr>
                <w:sz w:val="20"/>
                <w:szCs w:val="20"/>
                <w:color w:val="auto"/>
              </w:rPr>
            </w:pPr>
            <w:r>
              <w:rPr>
                <w:rFonts w:ascii="Calibri" w:cs="Calibri" w:eastAsia="Calibri" w:hAnsi="Calibri"/>
                <w:sz w:val="16"/>
                <w:szCs w:val="16"/>
                <w:color w:val="FFFFFF"/>
              </w:rPr>
              <w:t>Som Mital</w:t>
            </w:r>
          </w:p>
        </w:tc>
        <w:tc>
          <w:tcPr>
            <w:tcW w:w="340" w:type="dxa"/>
            <w:vAlign w:val="bottom"/>
          </w:tcPr>
          <w:p>
            <w:pPr>
              <w:spacing w:after="0"/>
              <w:rPr>
                <w:sz w:val="16"/>
                <w:szCs w:val="16"/>
                <w:color w:val="auto"/>
              </w:rPr>
            </w:pPr>
          </w:p>
        </w:tc>
      </w:tr>
      <w:tr>
        <w:trPr>
          <w:trHeight w:val="195"/>
        </w:trPr>
        <w:tc>
          <w:tcPr>
            <w:tcW w:w="120" w:type="dxa"/>
            <w:vAlign w:val="bottom"/>
            <w:gridSpan w:val="2"/>
          </w:tcPr>
          <w:p>
            <w:pPr>
              <w:ind w:left="20"/>
              <w:spacing w:after="0"/>
              <w:rPr>
                <w:sz w:val="20"/>
                <w:szCs w:val="20"/>
                <w:color w:val="auto"/>
              </w:rPr>
            </w:pPr>
            <w:r>
              <w:rPr>
                <w:rFonts w:ascii="Calibri" w:cs="Calibri" w:eastAsia="Calibri" w:hAnsi="Calibri"/>
                <w:sz w:val="11"/>
                <w:szCs w:val="11"/>
                <w:color w:val="FFFFFF"/>
                <w:w w:val="72"/>
              </w:rPr>
              <w:t> </w:t>
            </w:r>
          </w:p>
        </w:tc>
        <w:tc>
          <w:tcPr>
            <w:tcW w:w="4760" w:type="dxa"/>
            <w:vAlign w:val="bottom"/>
            <w:gridSpan w:val="2"/>
          </w:tcPr>
          <w:p>
            <w:pPr>
              <w:ind w:left="60"/>
              <w:spacing w:after="0"/>
              <w:rPr>
                <w:sz w:val="20"/>
                <w:szCs w:val="20"/>
                <w:color w:val="auto"/>
              </w:rPr>
            </w:pPr>
            <w:r>
              <w:rPr>
                <w:rFonts w:ascii="Calibri" w:cs="Calibri" w:eastAsia="Calibri" w:hAnsi="Calibri"/>
                <w:sz w:val="16"/>
                <w:szCs w:val="16"/>
                <w:color w:val="FFFFFF"/>
              </w:rPr>
              <w:t>Vikram Pandit</w:t>
            </w:r>
          </w:p>
        </w:tc>
        <w:tc>
          <w:tcPr>
            <w:tcW w:w="340" w:type="dxa"/>
            <w:vAlign w:val="bottom"/>
          </w:tcPr>
          <w:p>
            <w:pPr>
              <w:spacing w:after="0"/>
              <w:rPr>
                <w:sz w:val="16"/>
                <w:szCs w:val="16"/>
                <w:color w:val="auto"/>
              </w:rPr>
            </w:pPr>
          </w:p>
        </w:tc>
      </w:tr>
      <w:tr>
        <w:trPr>
          <w:trHeight w:val="207"/>
        </w:trPr>
        <w:tc>
          <w:tcPr>
            <w:tcW w:w="120" w:type="dxa"/>
            <w:vAlign w:val="bottom"/>
            <w:gridSpan w:val="2"/>
          </w:tcPr>
          <w:p>
            <w:pPr>
              <w:ind w:left="20"/>
              <w:spacing w:after="0"/>
              <w:rPr>
                <w:sz w:val="20"/>
                <w:szCs w:val="20"/>
                <w:color w:val="auto"/>
              </w:rPr>
            </w:pPr>
            <w:r>
              <w:rPr>
                <w:rFonts w:ascii="Calibri" w:cs="Calibri" w:eastAsia="Calibri" w:hAnsi="Calibri"/>
                <w:sz w:val="11"/>
                <w:szCs w:val="11"/>
                <w:color w:val="FFFFFF"/>
                <w:w w:val="72"/>
              </w:rPr>
              <w:t> </w:t>
            </w:r>
          </w:p>
        </w:tc>
        <w:tc>
          <w:tcPr>
            <w:tcW w:w="4760" w:type="dxa"/>
            <w:vAlign w:val="bottom"/>
            <w:gridSpan w:val="2"/>
          </w:tcPr>
          <w:p>
            <w:pPr>
              <w:ind w:left="60"/>
              <w:spacing w:after="0"/>
              <w:rPr>
                <w:sz w:val="20"/>
                <w:szCs w:val="20"/>
                <w:color w:val="auto"/>
              </w:rPr>
            </w:pPr>
            <w:r>
              <w:rPr>
                <w:rFonts w:ascii="Calibri" w:cs="Calibri" w:eastAsia="Calibri" w:hAnsi="Calibri"/>
                <w:sz w:val="16"/>
                <w:szCs w:val="16"/>
                <w:color w:val="FFFFFF"/>
              </w:rPr>
              <w:t>Sarah K. Williamson</w:t>
            </w:r>
          </w:p>
        </w:tc>
        <w:tc>
          <w:tcPr>
            <w:tcW w:w="340" w:type="dxa"/>
            <w:vAlign w:val="bottom"/>
          </w:tcPr>
          <w:p>
            <w:pPr>
              <w:ind w:left="60"/>
              <w:spacing w:after="0"/>
              <w:rPr>
                <w:sz w:val="20"/>
                <w:szCs w:val="20"/>
                <w:color w:val="auto"/>
              </w:rPr>
            </w:pPr>
            <w:r>
              <w:rPr>
                <w:rFonts w:ascii="Arial" w:cs="Arial" w:eastAsia="Arial" w:hAnsi="Arial"/>
                <w:sz w:val="16"/>
                <w:szCs w:val="16"/>
                <w:color w:val="auto"/>
              </w:rPr>
              <w:t xml:space="preserve">    </w:t>
            </w:r>
          </w:p>
        </w:tc>
      </w:tr>
      <w:tr>
        <w:trPr>
          <w:trHeight w:val="5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Calibri" w:cs="Calibri" w:eastAsia="Calibri" w:hAnsi="Calibri"/>
                <w:sz w:val="14"/>
                <w:szCs w:val="14"/>
                <w:color w:val="auto"/>
                <w:w w:val="76"/>
              </w:rPr>
              <w:t>• </w:t>
            </w:r>
          </w:p>
        </w:tc>
        <w:tc>
          <w:tcPr>
            <w:tcW w:w="4780" w:type="dxa"/>
            <w:vAlign w:val="bottom"/>
            <w:gridSpan w:val="2"/>
          </w:tcPr>
          <w:p>
            <w:pPr>
              <w:ind w:left="60"/>
              <w:spacing w:after="0"/>
              <w:rPr>
                <w:sz w:val="20"/>
                <w:szCs w:val="20"/>
                <w:color w:val="auto"/>
              </w:rPr>
            </w:pPr>
            <w:r>
              <w:rPr>
                <w:rFonts w:ascii="Calibri" w:cs="Calibri" w:eastAsia="Calibri" w:hAnsi="Calibri"/>
                <w:sz w:val="16"/>
                <w:szCs w:val="16"/>
                <w:color w:val="auto"/>
                <w:w w:val="99"/>
              </w:rPr>
              <w:t>  Reviewing compositon of the board, overseeing board refreshment and</w:t>
            </w: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40" w:type="dxa"/>
            <w:vAlign w:val="bottom"/>
          </w:tcPr>
          <w:p>
            <w:pPr>
              <w:ind w:left="140"/>
              <w:spacing w:after="0"/>
              <w:rPr>
                <w:sz w:val="20"/>
                <w:szCs w:val="20"/>
                <w:color w:val="auto"/>
              </w:rPr>
            </w:pPr>
            <w:r>
              <w:rPr>
                <w:rFonts w:ascii="Calibri" w:cs="Calibri" w:eastAsia="Calibri" w:hAnsi="Calibri"/>
                <w:sz w:val="16"/>
                <w:szCs w:val="16"/>
                <w:color w:val="auto"/>
              </w:rPr>
              <w:t>identfying and recommending board candidates</w:t>
            </w:r>
          </w:p>
        </w:tc>
        <w:tc>
          <w:tcPr>
            <w:tcW w:w="340" w:type="dxa"/>
            <w:vAlign w:val="bottom"/>
          </w:tcPr>
          <w:p>
            <w:pPr>
              <w:spacing w:after="0"/>
              <w:rPr>
                <w:sz w:val="16"/>
                <w:szCs w:val="16"/>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Calibri" w:cs="Calibri" w:eastAsia="Calibri" w:hAnsi="Calibri"/>
                <w:sz w:val="14"/>
                <w:szCs w:val="14"/>
                <w:color w:val="auto"/>
                <w:w w:val="76"/>
              </w:rPr>
              <w:t>• </w:t>
            </w:r>
          </w:p>
        </w:tc>
        <w:tc>
          <w:tcPr>
            <w:tcW w:w="4440" w:type="dxa"/>
            <w:vAlign w:val="bottom"/>
          </w:tcPr>
          <w:p>
            <w:pPr>
              <w:ind w:left="60"/>
              <w:spacing w:after="0"/>
              <w:rPr>
                <w:sz w:val="20"/>
                <w:szCs w:val="20"/>
                <w:color w:val="auto"/>
              </w:rPr>
            </w:pPr>
            <w:r>
              <w:rPr>
                <w:rFonts w:ascii="Calibri" w:cs="Calibri" w:eastAsia="Calibri" w:hAnsi="Calibri"/>
                <w:sz w:val="16"/>
                <w:szCs w:val="16"/>
                <w:color w:val="auto"/>
                <w:w w:val="98"/>
              </w:rPr>
              <w:t>  Developing and recommending governance practces, including our</w:t>
            </w:r>
          </w:p>
        </w:tc>
        <w:tc>
          <w:tcPr>
            <w:tcW w:w="3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40" w:type="dxa"/>
            <w:vAlign w:val="bottom"/>
          </w:tcPr>
          <w:p>
            <w:pPr>
              <w:ind w:left="140"/>
              <w:spacing w:after="0"/>
              <w:rPr>
                <w:sz w:val="20"/>
                <w:szCs w:val="20"/>
                <w:color w:val="auto"/>
              </w:rPr>
            </w:pPr>
            <w:r>
              <w:rPr>
                <w:rFonts w:ascii="Calibri" w:cs="Calibri" w:eastAsia="Calibri" w:hAnsi="Calibri"/>
                <w:sz w:val="16"/>
                <w:szCs w:val="16"/>
                <w:color w:val="auto"/>
              </w:rPr>
              <w:t>Corporate Governance Guidelines</w:t>
            </w:r>
          </w:p>
        </w:tc>
        <w:tc>
          <w:tcPr>
            <w:tcW w:w="340" w:type="dxa"/>
            <w:vAlign w:val="bottom"/>
          </w:tcPr>
          <w:p>
            <w:pPr>
              <w:spacing w:after="0"/>
              <w:rPr>
                <w:sz w:val="16"/>
                <w:szCs w:val="16"/>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Calibri" w:cs="Calibri" w:eastAsia="Calibri" w:hAnsi="Calibri"/>
                <w:sz w:val="14"/>
                <w:szCs w:val="14"/>
                <w:color w:val="auto"/>
                <w:w w:val="76"/>
              </w:rPr>
              <w:t>• </w:t>
            </w:r>
          </w:p>
        </w:tc>
        <w:tc>
          <w:tcPr>
            <w:tcW w:w="4440" w:type="dxa"/>
            <w:vAlign w:val="bottom"/>
          </w:tcPr>
          <w:p>
            <w:pPr>
              <w:ind w:left="60"/>
              <w:spacing w:after="0"/>
              <w:rPr>
                <w:sz w:val="20"/>
                <w:szCs w:val="20"/>
                <w:color w:val="auto"/>
              </w:rPr>
            </w:pPr>
            <w:r>
              <w:rPr>
                <w:rFonts w:ascii="Calibri" w:cs="Calibri" w:eastAsia="Calibri" w:hAnsi="Calibri"/>
                <w:sz w:val="16"/>
                <w:szCs w:val="16"/>
                <w:color w:val="auto"/>
              </w:rPr>
              <w:t>  Overseeing board evaluatons</w:t>
            </w:r>
          </w:p>
        </w:tc>
        <w:tc>
          <w:tcPr>
            <w:tcW w:w="340" w:type="dxa"/>
            <w:vAlign w:val="bottom"/>
          </w:tcPr>
          <w:p>
            <w:pPr>
              <w:spacing w:after="0"/>
              <w:rPr>
                <w:sz w:val="24"/>
                <w:szCs w:val="24"/>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Calibri" w:cs="Calibri" w:eastAsia="Calibri" w:hAnsi="Calibri"/>
                <w:sz w:val="14"/>
                <w:szCs w:val="14"/>
                <w:color w:val="auto"/>
                <w:w w:val="76"/>
              </w:rPr>
              <w:t>• </w:t>
            </w:r>
          </w:p>
        </w:tc>
        <w:tc>
          <w:tcPr>
            <w:tcW w:w="4440" w:type="dxa"/>
            <w:vAlign w:val="bottom"/>
          </w:tcPr>
          <w:p>
            <w:pPr>
              <w:ind w:left="60"/>
              <w:spacing w:after="0"/>
              <w:rPr>
                <w:sz w:val="20"/>
                <w:szCs w:val="20"/>
                <w:color w:val="auto"/>
              </w:rPr>
            </w:pPr>
            <w:r>
              <w:rPr>
                <w:rFonts w:ascii="Calibri" w:cs="Calibri" w:eastAsia="Calibri" w:hAnsi="Calibri"/>
                <w:sz w:val="16"/>
                <w:szCs w:val="16"/>
                <w:color w:val="auto"/>
              </w:rPr>
              <w:t>  Overseeing our ESG goals, policies and practces</w:t>
            </w:r>
          </w:p>
        </w:tc>
        <w:tc>
          <w:tcPr>
            <w:tcW w:w="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-3831590</wp:posOffset>
            </wp:positionV>
            <wp:extent cx="7179310" cy="539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-2179320</wp:posOffset>
            </wp:positionV>
            <wp:extent cx="3296285" cy="26682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96285" cy="2668270"/>
                    </a:xfrm>
                    <a:prstGeom prst="rect">
                      <a:avLst/>
                    </a:prstGeom>
                    <a:noFill/>
                  </pic:spPr>
                </pic:pic>
              </a:graphicData>
            </a:graphic>
          </wp:anchor>
        </w:drawing>
      </w:r>
    </w:p>
    <w:p>
      <w:pPr>
        <w:spacing w:after="0" w:line="349" w:lineRule="exact"/>
        <w:rPr>
          <w:sz w:val="20"/>
          <w:szCs w:val="20"/>
          <w:color w:val="auto"/>
        </w:rPr>
      </w:pPr>
    </w:p>
    <w:p>
      <w:pPr>
        <w:ind w:left="1560"/>
        <w:spacing w:after="0"/>
        <w:rPr>
          <w:sz w:val="20"/>
          <w:szCs w:val="20"/>
          <w:color w:val="auto"/>
        </w:rPr>
      </w:pPr>
      <w:r>
        <w:rPr>
          <w:rFonts w:ascii="Calibri" w:cs="Calibri" w:eastAsia="Calibri" w:hAnsi="Calibri"/>
          <w:sz w:val="17"/>
          <w:szCs w:val="17"/>
          <w:b w:val="1"/>
          <w:bCs w:val="1"/>
          <w:color w:val="FB4E0B"/>
        </w:rPr>
        <w:t>4 commitee meetngs in 2023</w:t>
      </w:r>
    </w:p>
    <w:p>
      <w:pPr>
        <w:spacing w:after="0" w:line="200" w:lineRule="exact"/>
        <w:rPr>
          <w:sz w:val="20"/>
          <w:szCs w:val="20"/>
          <w:color w:val="auto"/>
        </w:rPr>
      </w:pPr>
    </w:p>
    <w:p>
      <w:pPr>
        <w:sectPr>
          <w:pgSz w:w="11900" w:h="16838" w:orient="portrait"/>
          <w:cols w:equalWidth="0" w:num="2">
            <w:col w:w="5400" w:space="320"/>
            <w:col w:w="5220"/>
          </w:cols>
          <w:pgMar w:left="320" w:top="471" w:right="639" w:bottom="1440" w:gutter="0" w:footer="0" w:header="0"/>
        </w:sectPr>
      </w:pPr>
    </w:p>
    <w:p>
      <w:pPr>
        <w:spacing w:after="0" w:line="348"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Our Nominatng and Governance Commitee reviews writen and oral informaton provided by and about candidates and considers any additonal criteria it feels are appropriate to ensure that all director nominees possess appropriate skills and experience to serve as a member of our board of directors.</w:t>
      </w:r>
    </w:p>
    <w:p>
      <w:pPr>
        <w:spacing w:after="0" w:line="315" w:lineRule="exact"/>
        <w:rPr>
          <w:sz w:val="20"/>
          <w:szCs w:val="20"/>
          <w:color w:val="auto"/>
        </w:rPr>
      </w:pPr>
    </w:p>
    <w:p>
      <w:pPr>
        <w:ind w:left="320" w:right="800"/>
        <w:spacing w:after="0" w:line="239" w:lineRule="auto"/>
        <w:rPr>
          <w:sz w:val="20"/>
          <w:szCs w:val="20"/>
          <w:color w:val="auto"/>
        </w:rPr>
      </w:pPr>
      <w:r>
        <w:rPr>
          <w:rFonts w:ascii="Calibri" w:cs="Calibri" w:eastAsia="Calibri" w:hAnsi="Calibri"/>
          <w:sz w:val="17"/>
          <w:szCs w:val="17"/>
          <w:color w:val="auto"/>
        </w:rPr>
        <w:t>It also oversees our director onboarding and training program, which provides new directors with training regarding the Company’s policies and procedures and specifc requirements that may be needed based on the director’s commitee memberships.</w:t>
      </w:r>
    </w:p>
    <w:p>
      <w:pPr>
        <w:spacing w:after="0" w:line="315"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In additon, the Nominatng and Governance Commitee oversees and reviews the Company’s ESG goals, policies and programs and the Company’s corporate governance policies and practces regularly. It is responsible for reviewing and assessing the adequacy of our organizatonal documents, and recommending any changes and annually reviewing and assessing the adequacy of its charter and its own performance. The members of our Nominatng and Governance Commitee are appointed by our board of directors.</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38 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Board and commitee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242570</wp:posOffset>
            </wp:positionV>
            <wp:extent cx="6740525" cy="16192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40525" cy="161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80"/>
        <w:spacing w:after="0"/>
        <w:rPr>
          <w:sz w:val="20"/>
          <w:szCs w:val="20"/>
          <w:color w:val="auto"/>
        </w:rPr>
      </w:pPr>
      <w:r>
        <w:rPr>
          <w:rFonts w:ascii="Calibri" w:cs="Calibri" w:eastAsia="Calibri" w:hAnsi="Calibri"/>
          <w:sz w:val="17"/>
          <w:szCs w:val="17"/>
          <w:b w:val="1"/>
          <w:bCs w:val="1"/>
          <w:color w:val="auto"/>
        </w:rPr>
        <w:t>Full board oversight</w:t>
      </w:r>
    </w:p>
    <w:p>
      <w:pPr>
        <w:spacing w:after="0" w:line="105" w:lineRule="exact"/>
        <w:rPr>
          <w:sz w:val="20"/>
          <w:szCs w:val="20"/>
          <w:color w:val="auto"/>
        </w:rPr>
      </w:pPr>
    </w:p>
    <w:p>
      <w:pPr>
        <w:ind w:left="600"/>
        <w:spacing w:after="0"/>
        <w:rPr>
          <w:sz w:val="20"/>
          <w:szCs w:val="20"/>
          <w:color w:val="auto"/>
        </w:rPr>
      </w:pPr>
      <w:r>
        <w:rPr>
          <w:rFonts w:ascii="Calibri" w:cs="Calibri" w:eastAsia="Calibri" w:hAnsi="Calibri"/>
          <w:sz w:val="17"/>
          <w:szCs w:val="17"/>
          <w:color w:val="auto"/>
        </w:rPr>
        <w:t>Our board of directors is ultmately responsible for overseeing EXL’s risk management actvites as a whole.</w:t>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600" w:hanging="284"/>
        <w:spacing w:after="0" w:line="279" w:lineRule="auto"/>
        <w:tabs>
          <w:tab w:leader="none" w:pos="383" w:val="left"/>
        </w:tabs>
        <w:numPr>
          <w:ilvl w:val="0"/>
          <w:numId w:val="24"/>
        </w:numPr>
        <w:rPr>
          <w:rFonts w:ascii="Calibri" w:cs="Calibri" w:eastAsia="Calibri" w:hAnsi="Calibri"/>
          <w:sz w:val="13"/>
          <w:szCs w:val="13"/>
          <w:color w:val="auto"/>
        </w:rPr>
      </w:pPr>
      <w:r>
        <w:rPr>
          <w:rFonts w:ascii="Calibri" w:cs="Calibri" w:eastAsia="Calibri" w:hAnsi="Calibri"/>
          <w:sz w:val="13"/>
          <w:szCs w:val="13"/>
          <w:color w:val="auto"/>
        </w:rPr>
        <w:t xml:space="preserve">   </w:t>
      </w:r>
      <w:r>
        <w:rPr>
          <w:rFonts w:ascii="Calibri" w:cs="Calibri" w:eastAsia="Calibri" w:hAnsi="Calibri"/>
          <w:sz w:val="14"/>
          <w:szCs w:val="14"/>
          <w:color w:val="auto"/>
        </w:rPr>
        <w:t>Our management is responsible for development of our risk management</w:t>
      </w:r>
      <w:r>
        <w:rPr>
          <w:rFonts w:ascii="Calibri" w:cs="Calibri" w:eastAsia="Calibri" w:hAnsi="Calibri"/>
          <w:sz w:val="13"/>
          <w:szCs w:val="13"/>
          <w:color w:val="auto"/>
        </w:rPr>
        <w:t xml:space="preserve"> </w:t>
      </w:r>
      <w:r>
        <w:rPr>
          <w:rFonts w:ascii="Calibri" w:cs="Calibri" w:eastAsia="Calibri" w:hAnsi="Calibri"/>
          <w:sz w:val="14"/>
          <w:szCs w:val="14"/>
          <w:color w:val="auto"/>
        </w:rPr>
        <w:t>framework and methodological guidelines. Management, and ultmately, our Chair and CEO, is responsible for our day-to-day risks, and, because we are exposed to fnancial risks in multple areas of our business, day-to-day risk management actvites and processes are performed by multple members of our senior and other management.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alibri" w:cs="Calibri" w:eastAsia="Calibri" w:hAnsi="Calibri"/>
          <w:sz w:val="16"/>
          <w:szCs w:val="16"/>
          <w:color w:val="auto"/>
        </w:rPr>
        <w:t>Our management assists the board in identfying strategic and operatng</w:t>
      </w:r>
    </w:p>
    <w:p>
      <w:pPr>
        <w:ind w:right="60"/>
        <w:spacing w:after="0" w:line="195" w:lineRule="auto"/>
        <w:rPr>
          <w:sz w:val="20"/>
          <w:szCs w:val="20"/>
          <w:color w:val="auto"/>
        </w:rPr>
      </w:pPr>
      <w:r>
        <w:rPr>
          <w:rFonts w:ascii="Calibri" w:cs="Calibri" w:eastAsia="Calibri" w:hAnsi="Calibri"/>
          <w:sz w:val="16"/>
          <w:szCs w:val="16"/>
          <w:color w:val="auto"/>
        </w:rPr>
        <w:t xml:space="preserve">risks that could afect the achievement of our business goals and </w:t>
      </w:r>
      <w:r>
        <w:rPr>
          <w:rFonts w:ascii="Calibri" w:cs="Calibri" w:eastAsia="Calibri" w:hAnsi="Calibri"/>
          <w:sz w:val="27"/>
          <w:szCs w:val="27"/>
          <w:color w:val="auto"/>
          <w:vertAlign w:val="superscript"/>
        </w:rPr>
        <w:t xml:space="preserve"> </w:t>
      </w:r>
      <w:r>
        <w:rPr>
          <w:rFonts w:ascii="Calibri" w:cs="Calibri" w:eastAsia="Calibri" w:hAnsi="Calibri"/>
          <w:sz w:val="16"/>
          <w:szCs w:val="16"/>
          <w:color w:val="auto"/>
        </w:rPr>
        <w:t xml:space="preserve"> objectves, assessing the likelihood and potental impact of these risks and proposing courses of acton to mitgate and/or respond to these risks.</w:t>
      </w:r>
    </w:p>
    <w:p>
      <w:pPr>
        <w:spacing w:after="0" w:line="423" w:lineRule="exact"/>
        <w:rPr>
          <w:sz w:val="20"/>
          <w:szCs w:val="20"/>
          <w:color w:val="auto"/>
        </w:rPr>
      </w:pPr>
    </w:p>
    <w:p>
      <w:pPr>
        <w:sectPr>
          <w:pgSz w:w="11900" w:h="16838" w:orient="portrait"/>
          <w:cols w:equalWidth="0" w:num="2">
            <w:col w:w="5480" w:space="400"/>
            <w:col w:w="5060"/>
          </w:cols>
          <w:pgMar w:left="320" w:top="471" w:right="639" w:bottom="1440" w:gutter="0" w:footer="0" w:header="0"/>
          <w:type w:val="continuous"/>
        </w:sectPr>
      </w:pPr>
    </w:p>
    <w:p>
      <w:pPr>
        <w:spacing w:after="0" w:line="105"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00" w:type="dxa"/>
            <w:vAlign w:val="bottom"/>
            <w:shd w:val="clear" w:color="auto" w:fill="DCF3FA"/>
          </w:tcPr>
          <w:p>
            <w:pPr>
              <w:spacing w:after="0"/>
              <w:rPr>
                <w:sz w:val="16"/>
                <w:szCs w:val="16"/>
                <w:color w:val="auto"/>
              </w:rPr>
            </w:pPr>
          </w:p>
        </w:tc>
        <w:tc>
          <w:tcPr>
            <w:tcW w:w="3260" w:type="dxa"/>
            <w:vAlign w:val="bottom"/>
            <w:tcBorders>
              <w:top w:val="single" w:sz="8" w:color="FB4E0B"/>
            </w:tcBorders>
            <w:shd w:val="clear" w:color="auto" w:fill="DCF3FA"/>
          </w:tcPr>
          <w:p>
            <w:pPr>
              <w:spacing w:after="0"/>
              <w:rPr>
                <w:sz w:val="16"/>
                <w:szCs w:val="16"/>
                <w:color w:val="auto"/>
              </w:rPr>
            </w:pPr>
          </w:p>
        </w:tc>
        <w:tc>
          <w:tcPr>
            <w:tcW w:w="200" w:type="dxa"/>
            <w:vAlign w:val="bottom"/>
            <w:tcBorders>
              <w:top w:val="single" w:sz="8" w:color="FB4E0B"/>
            </w:tcBorders>
            <w:shd w:val="clear" w:color="auto" w:fill="DCF3FA"/>
          </w:tcPr>
          <w:p>
            <w:pPr>
              <w:spacing w:after="0"/>
              <w:rPr>
                <w:sz w:val="16"/>
                <w:szCs w:val="16"/>
                <w:color w:val="auto"/>
              </w:rPr>
            </w:pPr>
          </w:p>
        </w:tc>
        <w:tc>
          <w:tcPr>
            <w:tcW w:w="1700" w:type="dxa"/>
            <w:vAlign w:val="bottom"/>
            <w:tcBorders>
              <w:top w:val="single" w:sz="8" w:color="FB4E0B"/>
            </w:tcBorders>
            <w:shd w:val="clear" w:color="auto" w:fill="DCF3FA"/>
          </w:tcPr>
          <w:p>
            <w:pPr>
              <w:ind w:left="1320"/>
              <w:spacing w:after="0"/>
              <w:rPr>
                <w:sz w:val="20"/>
                <w:szCs w:val="20"/>
                <w:color w:val="auto"/>
              </w:rPr>
            </w:pPr>
            <w:r>
              <w:rPr>
                <w:rFonts w:ascii="Calibri" w:cs="Calibri" w:eastAsia="Calibri" w:hAnsi="Calibri"/>
                <w:sz w:val="12"/>
                <w:szCs w:val="12"/>
                <w:color w:val="auto"/>
              </w:rPr>
              <w:t xml:space="preserve">       </w:t>
            </w:r>
          </w:p>
        </w:tc>
        <w:tc>
          <w:tcPr>
            <w:tcW w:w="1580" w:type="dxa"/>
            <w:vAlign w:val="bottom"/>
            <w:tcBorders>
              <w:top w:val="single" w:sz="8" w:color="FB4E0B"/>
            </w:tcBorders>
            <w:shd w:val="clear" w:color="auto" w:fill="DCF3FA"/>
          </w:tcPr>
          <w:p>
            <w:pPr>
              <w:ind w:left="160"/>
              <w:spacing w:after="0"/>
              <w:rPr>
                <w:sz w:val="20"/>
                <w:szCs w:val="20"/>
                <w:color w:val="auto"/>
              </w:rPr>
            </w:pPr>
            <w:r>
              <w:rPr>
                <w:rFonts w:ascii="Calibri" w:cs="Calibri" w:eastAsia="Calibri" w:hAnsi="Calibri"/>
                <w:sz w:val="12"/>
                <w:szCs w:val="12"/>
                <w:color w:val="auto"/>
              </w:rPr>
              <w:t xml:space="preserve">     </w:t>
            </w:r>
          </w:p>
        </w:tc>
        <w:tc>
          <w:tcPr>
            <w:tcW w:w="220" w:type="dxa"/>
            <w:vAlign w:val="bottom"/>
            <w:tcBorders>
              <w:top w:val="single" w:sz="8" w:color="FB4E0B"/>
            </w:tcBorders>
            <w:shd w:val="clear" w:color="auto" w:fill="DCF3FA"/>
          </w:tcPr>
          <w:p>
            <w:pPr>
              <w:spacing w:after="0"/>
              <w:rPr>
                <w:sz w:val="16"/>
                <w:szCs w:val="16"/>
                <w:color w:val="auto"/>
              </w:rPr>
            </w:pPr>
          </w:p>
        </w:tc>
        <w:tc>
          <w:tcPr>
            <w:tcW w:w="3260" w:type="dxa"/>
            <w:vAlign w:val="bottom"/>
            <w:tcBorders>
              <w:top w:val="single" w:sz="8" w:color="FB4E0B"/>
            </w:tcBorders>
            <w:shd w:val="clear" w:color="auto" w:fill="DCF3FA"/>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0" w:type="dxa"/>
            <w:vAlign w:val="bottom"/>
          </w:tcPr>
          <w:p>
            <w:pPr>
              <w:spacing w:after="0"/>
              <w:rPr>
                <w:sz w:val="12"/>
                <w:szCs w:val="12"/>
                <w:color w:val="auto"/>
              </w:rPr>
            </w:pPr>
          </w:p>
        </w:tc>
        <w:tc>
          <w:tcPr>
            <w:tcW w:w="3260" w:type="dxa"/>
            <w:vAlign w:val="bottom"/>
            <w:shd w:val="clear" w:color="auto" w:fill="DCF3FA"/>
          </w:tcPr>
          <w:p>
            <w:pPr>
              <w:spacing w:after="0"/>
              <w:rPr>
                <w:sz w:val="12"/>
                <w:szCs w:val="12"/>
                <w:color w:val="auto"/>
              </w:rPr>
            </w:pPr>
          </w:p>
        </w:tc>
        <w:tc>
          <w:tcPr>
            <w:tcW w:w="200" w:type="dxa"/>
            <w:vAlign w:val="bottom"/>
            <w:shd w:val="clear" w:color="auto" w:fill="DCF3FA"/>
          </w:tcPr>
          <w:p>
            <w:pPr>
              <w:spacing w:after="0"/>
              <w:rPr>
                <w:sz w:val="12"/>
                <w:szCs w:val="12"/>
                <w:color w:val="auto"/>
              </w:rPr>
            </w:pPr>
          </w:p>
        </w:tc>
        <w:tc>
          <w:tcPr>
            <w:tcW w:w="3280" w:type="dxa"/>
            <w:vAlign w:val="bottom"/>
            <w:gridSpan w:val="2"/>
            <w:shd w:val="clear" w:color="auto" w:fill="DCF3FA"/>
          </w:tcPr>
          <w:p>
            <w:pPr>
              <w:spacing w:after="0"/>
              <w:rPr>
                <w:sz w:val="12"/>
                <w:szCs w:val="12"/>
                <w:color w:val="auto"/>
              </w:rPr>
            </w:pPr>
          </w:p>
        </w:tc>
        <w:tc>
          <w:tcPr>
            <w:tcW w:w="220" w:type="dxa"/>
            <w:vAlign w:val="bottom"/>
            <w:shd w:val="clear" w:color="auto" w:fill="DCF3FA"/>
          </w:tcPr>
          <w:p>
            <w:pPr>
              <w:spacing w:after="0"/>
              <w:rPr>
                <w:sz w:val="12"/>
                <w:szCs w:val="12"/>
                <w:color w:val="auto"/>
              </w:rPr>
            </w:pPr>
          </w:p>
        </w:tc>
        <w:tc>
          <w:tcPr>
            <w:tcW w:w="3260" w:type="dxa"/>
            <w:vAlign w:val="bottom"/>
            <w:shd w:val="clear" w:color="auto" w:fill="DCF3FA"/>
          </w:tcPr>
          <w:p>
            <w:pPr>
              <w:spacing w:after="0"/>
              <w:rPr>
                <w:sz w:val="12"/>
                <w:szCs w:val="12"/>
                <w:color w:val="auto"/>
              </w:rPr>
            </w:pPr>
          </w:p>
        </w:tc>
        <w:tc>
          <w:tcPr>
            <w:tcW w:w="200" w:type="dxa"/>
            <w:vAlign w:val="bottom"/>
            <w:shd w:val="clear" w:color="auto" w:fill="DCF3FA"/>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0" w:type="dxa"/>
            <w:vAlign w:val="bottom"/>
            <w:vMerge w:val="restart"/>
            <w:shd w:val="clear" w:color="auto" w:fill="D8D8D8"/>
          </w:tcPr>
          <w:p>
            <w:pPr>
              <w:spacing w:after="0"/>
              <w:rPr>
                <w:sz w:val="20"/>
                <w:szCs w:val="20"/>
                <w:color w:val="auto"/>
              </w:rPr>
            </w:pPr>
            <w:r>
              <w:rPr>
                <w:rFonts w:ascii="Calibri" w:cs="Calibri" w:eastAsia="Calibri" w:hAnsi="Calibri"/>
                <w:sz w:val="14"/>
                <w:szCs w:val="14"/>
                <w:color w:val="auto"/>
                <w:w w:val="82"/>
              </w:rPr>
              <w:t>    </w:t>
            </w:r>
          </w:p>
        </w:tc>
        <w:tc>
          <w:tcPr>
            <w:tcW w:w="3260" w:type="dxa"/>
            <w:vAlign w:val="bottom"/>
          </w:tcPr>
          <w:p>
            <w:pPr>
              <w:spacing w:after="0"/>
              <w:rPr>
                <w:sz w:val="5"/>
                <w:szCs w:val="5"/>
                <w:color w:val="auto"/>
              </w:rPr>
            </w:pPr>
          </w:p>
        </w:tc>
        <w:tc>
          <w:tcPr>
            <w:tcW w:w="200" w:type="dxa"/>
            <w:vAlign w:val="bottom"/>
            <w:shd w:val="clear" w:color="auto" w:fill="DCF3FA"/>
          </w:tcPr>
          <w:p>
            <w:pPr>
              <w:spacing w:after="0"/>
              <w:rPr>
                <w:sz w:val="5"/>
                <w:szCs w:val="5"/>
                <w:color w:val="auto"/>
              </w:rPr>
            </w:pPr>
          </w:p>
        </w:tc>
        <w:tc>
          <w:tcPr>
            <w:tcW w:w="17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20" w:type="dxa"/>
            <w:vAlign w:val="bottom"/>
            <w:shd w:val="clear" w:color="auto" w:fill="DCF3FA"/>
          </w:tcPr>
          <w:p>
            <w:pPr>
              <w:spacing w:after="0"/>
              <w:rPr>
                <w:sz w:val="5"/>
                <w:szCs w:val="5"/>
                <w:color w:val="auto"/>
              </w:rPr>
            </w:pPr>
          </w:p>
        </w:tc>
        <w:tc>
          <w:tcPr>
            <w:tcW w:w="3260" w:type="dxa"/>
            <w:vAlign w:val="bottom"/>
          </w:tcPr>
          <w:p>
            <w:pPr>
              <w:spacing w:after="0"/>
              <w:rPr>
                <w:sz w:val="5"/>
                <w:szCs w:val="5"/>
                <w:color w:val="auto"/>
              </w:rPr>
            </w:pPr>
          </w:p>
        </w:tc>
        <w:tc>
          <w:tcPr>
            <w:tcW w:w="200" w:type="dxa"/>
            <w:vAlign w:val="bottom"/>
            <w:shd w:val="clear" w:color="auto" w:fill="DCF3FA"/>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0" w:type="dxa"/>
            <w:vAlign w:val="bottom"/>
            <w:vMerge w:val="continue"/>
            <w:shd w:val="clear" w:color="auto" w:fill="D8D8D8"/>
          </w:tcPr>
          <w:p>
            <w:pPr>
              <w:spacing w:after="0"/>
              <w:rPr>
                <w:sz w:val="15"/>
                <w:szCs w:val="15"/>
                <w:color w:val="auto"/>
              </w:rPr>
            </w:pPr>
          </w:p>
        </w:tc>
        <w:tc>
          <w:tcPr>
            <w:tcW w:w="3260" w:type="dxa"/>
            <w:vAlign w:val="bottom"/>
            <w:shd w:val="clear" w:color="auto" w:fill="D8D8D8"/>
          </w:tcPr>
          <w:p>
            <w:pPr>
              <w:ind w:left="80"/>
              <w:spacing w:after="0" w:line="178" w:lineRule="exact"/>
              <w:rPr>
                <w:sz w:val="20"/>
                <w:szCs w:val="20"/>
                <w:color w:val="auto"/>
              </w:rPr>
            </w:pPr>
            <w:r>
              <w:rPr>
                <w:rFonts w:ascii="Calibri" w:cs="Calibri" w:eastAsia="Calibri" w:hAnsi="Calibri"/>
                <w:sz w:val="16"/>
                <w:szCs w:val="16"/>
                <w:b w:val="1"/>
                <w:bCs w:val="1"/>
                <w:color w:val="auto"/>
              </w:rPr>
              <w:t>Audit Commitee</w:t>
            </w:r>
          </w:p>
        </w:tc>
        <w:tc>
          <w:tcPr>
            <w:tcW w:w="200" w:type="dxa"/>
            <w:vAlign w:val="bottom"/>
            <w:shd w:val="clear" w:color="auto" w:fill="DCF3FA"/>
          </w:tcPr>
          <w:p>
            <w:pPr>
              <w:spacing w:after="0"/>
              <w:rPr>
                <w:sz w:val="15"/>
                <w:szCs w:val="15"/>
                <w:color w:val="auto"/>
              </w:rPr>
            </w:pPr>
          </w:p>
        </w:tc>
        <w:tc>
          <w:tcPr>
            <w:tcW w:w="3280" w:type="dxa"/>
            <w:vAlign w:val="bottom"/>
            <w:gridSpan w:val="2"/>
            <w:shd w:val="clear" w:color="auto" w:fill="D8D8D8"/>
          </w:tcPr>
          <w:p>
            <w:pPr>
              <w:ind w:left="100"/>
              <w:spacing w:after="0" w:line="178" w:lineRule="exact"/>
              <w:rPr>
                <w:sz w:val="20"/>
                <w:szCs w:val="20"/>
                <w:color w:val="auto"/>
              </w:rPr>
            </w:pPr>
            <w:r>
              <w:rPr>
                <w:rFonts w:ascii="Calibri" w:cs="Calibri" w:eastAsia="Calibri" w:hAnsi="Calibri"/>
                <w:sz w:val="16"/>
                <w:szCs w:val="16"/>
                <w:b w:val="1"/>
                <w:bCs w:val="1"/>
                <w:color w:val="auto"/>
              </w:rPr>
              <w:t>Nominatng and Governance</w:t>
            </w:r>
          </w:p>
        </w:tc>
        <w:tc>
          <w:tcPr>
            <w:tcW w:w="220" w:type="dxa"/>
            <w:vAlign w:val="bottom"/>
            <w:shd w:val="clear" w:color="auto" w:fill="DCF3FA"/>
          </w:tcPr>
          <w:p>
            <w:pPr>
              <w:spacing w:after="0"/>
              <w:rPr>
                <w:sz w:val="15"/>
                <w:szCs w:val="15"/>
                <w:color w:val="auto"/>
              </w:rPr>
            </w:pPr>
          </w:p>
        </w:tc>
        <w:tc>
          <w:tcPr>
            <w:tcW w:w="3260" w:type="dxa"/>
            <w:vAlign w:val="bottom"/>
            <w:shd w:val="clear" w:color="auto" w:fill="D8D8D8"/>
          </w:tcPr>
          <w:p>
            <w:pPr>
              <w:ind w:left="100"/>
              <w:spacing w:after="0" w:line="178" w:lineRule="exact"/>
              <w:rPr>
                <w:sz w:val="20"/>
                <w:szCs w:val="20"/>
                <w:color w:val="auto"/>
              </w:rPr>
            </w:pPr>
            <w:r>
              <w:rPr>
                <w:rFonts w:ascii="Calibri" w:cs="Calibri" w:eastAsia="Calibri" w:hAnsi="Calibri"/>
                <w:sz w:val="16"/>
                <w:szCs w:val="16"/>
                <w:b w:val="1"/>
                <w:bCs w:val="1"/>
                <w:color w:val="auto"/>
              </w:rPr>
              <w:t>Compensaton and Talent</w:t>
            </w:r>
          </w:p>
        </w:tc>
        <w:tc>
          <w:tcPr>
            <w:tcW w:w="200" w:type="dxa"/>
            <w:vAlign w:val="bottom"/>
            <w:shd w:val="clear" w:color="auto" w:fill="DCF3FA"/>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line="185" w:lineRule="exact"/>
              <w:rPr>
                <w:sz w:val="20"/>
                <w:szCs w:val="20"/>
                <w:color w:val="auto"/>
              </w:rPr>
            </w:pPr>
            <w:r>
              <w:rPr>
                <w:rFonts w:ascii="Calibri" w:cs="Calibri" w:eastAsia="Calibri" w:hAnsi="Calibri"/>
                <w:sz w:val="16"/>
                <w:szCs w:val="16"/>
                <w:color w:val="auto"/>
              </w:rPr>
              <w:t>Responsible for primary oversight of our risk</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ind w:left="100"/>
              <w:spacing w:after="0" w:line="185" w:lineRule="exact"/>
              <w:rPr>
                <w:sz w:val="20"/>
                <w:szCs w:val="20"/>
                <w:color w:val="auto"/>
              </w:rPr>
            </w:pPr>
            <w:r>
              <w:rPr>
                <w:rFonts w:ascii="Calibri" w:cs="Calibri" w:eastAsia="Calibri" w:hAnsi="Calibri"/>
                <w:sz w:val="16"/>
                <w:szCs w:val="16"/>
                <w:b w:val="1"/>
                <w:bCs w:val="1"/>
                <w:color w:val="auto"/>
              </w:rPr>
              <w:t>Commitee</w:t>
            </w: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ind w:left="100"/>
              <w:spacing w:after="0" w:line="185" w:lineRule="exact"/>
              <w:rPr>
                <w:sz w:val="20"/>
                <w:szCs w:val="20"/>
                <w:color w:val="auto"/>
              </w:rPr>
            </w:pPr>
            <w:r>
              <w:rPr>
                <w:rFonts w:ascii="Calibri" w:cs="Calibri" w:eastAsia="Calibri" w:hAnsi="Calibri"/>
                <w:sz w:val="16"/>
                <w:szCs w:val="16"/>
                <w:b w:val="1"/>
                <w:bCs w:val="1"/>
                <w:color w:val="auto"/>
              </w:rPr>
              <w:t>Management Commitee</w:t>
            </w: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management, fnancial and cybersecurity risk</w:t>
            </w:r>
          </w:p>
        </w:tc>
        <w:tc>
          <w:tcPr>
            <w:tcW w:w="200" w:type="dxa"/>
            <w:vAlign w:val="bottom"/>
            <w:shd w:val="clear" w:color="auto" w:fill="DCF3FA"/>
          </w:tcPr>
          <w:p>
            <w:pPr>
              <w:spacing w:after="0"/>
              <w:rPr>
                <w:sz w:val="16"/>
                <w:szCs w:val="16"/>
                <w:color w:val="auto"/>
              </w:rPr>
            </w:pPr>
          </w:p>
        </w:tc>
        <w:tc>
          <w:tcPr>
            <w:tcW w:w="3280" w:type="dxa"/>
            <w:vAlign w:val="bottom"/>
            <w:gridSpan w:val="2"/>
            <w:shd w:val="clear" w:color="auto" w:fill="D8D8D8"/>
          </w:tcPr>
          <w:p>
            <w:pPr>
              <w:ind w:left="100"/>
              <w:spacing w:after="0"/>
              <w:rPr>
                <w:sz w:val="20"/>
                <w:szCs w:val="20"/>
                <w:color w:val="auto"/>
              </w:rPr>
            </w:pPr>
            <w:r>
              <w:rPr>
                <w:rFonts w:ascii="Calibri" w:cs="Calibri" w:eastAsia="Calibri" w:hAnsi="Calibri"/>
                <w:sz w:val="16"/>
                <w:szCs w:val="16"/>
                <w:color w:val="auto"/>
              </w:rPr>
              <w:t>Responsible for risk relatng to sustainability</w:t>
            </w: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ind w:left="100"/>
              <w:spacing w:after="0"/>
              <w:rPr>
                <w:sz w:val="20"/>
                <w:szCs w:val="20"/>
                <w:color w:val="auto"/>
              </w:rPr>
            </w:pPr>
            <w:r>
              <w:rPr>
                <w:rFonts w:ascii="Calibri" w:cs="Calibri" w:eastAsia="Calibri" w:hAnsi="Calibri"/>
                <w:sz w:val="16"/>
                <w:szCs w:val="16"/>
                <w:color w:val="auto"/>
              </w:rPr>
              <w:t>Responsible for executve and employee</w:t>
            </w: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and reportng internal and external audit</w:t>
            </w:r>
          </w:p>
        </w:tc>
        <w:tc>
          <w:tcPr>
            <w:tcW w:w="200" w:type="dxa"/>
            <w:vAlign w:val="bottom"/>
            <w:shd w:val="clear" w:color="auto" w:fill="DCF3FA"/>
          </w:tcPr>
          <w:p>
            <w:pPr>
              <w:spacing w:after="0"/>
              <w:rPr>
                <w:sz w:val="16"/>
                <w:szCs w:val="16"/>
                <w:color w:val="auto"/>
              </w:rPr>
            </w:pPr>
          </w:p>
        </w:tc>
        <w:tc>
          <w:tcPr>
            <w:tcW w:w="3280" w:type="dxa"/>
            <w:vAlign w:val="bottom"/>
            <w:gridSpan w:val="2"/>
            <w:shd w:val="clear" w:color="auto" w:fill="D8D8D8"/>
          </w:tcPr>
          <w:p>
            <w:pPr>
              <w:ind w:left="100"/>
              <w:spacing w:after="0"/>
              <w:rPr>
                <w:sz w:val="20"/>
                <w:szCs w:val="20"/>
                <w:color w:val="auto"/>
              </w:rPr>
            </w:pPr>
            <w:r>
              <w:rPr>
                <w:rFonts w:ascii="Calibri" w:cs="Calibri" w:eastAsia="Calibri" w:hAnsi="Calibri"/>
                <w:sz w:val="16"/>
                <w:szCs w:val="16"/>
                <w:color w:val="auto"/>
              </w:rPr>
              <w:t>maters, conficts of interest, and oversight of</w:t>
            </w: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ind w:left="100"/>
              <w:spacing w:after="0"/>
              <w:rPr>
                <w:sz w:val="20"/>
                <w:szCs w:val="20"/>
                <w:color w:val="auto"/>
              </w:rPr>
            </w:pPr>
            <w:r>
              <w:rPr>
                <w:rFonts w:ascii="Calibri" w:cs="Calibri" w:eastAsia="Calibri" w:hAnsi="Calibri"/>
                <w:sz w:val="16"/>
                <w:szCs w:val="16"/>
                <w:color w:val="auto"/>
              </w:rPr>
              <w:t>compensaton and retenton-related risk, as well</w:t>
            </w: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controls and regulatory requirements. Reviews</w:t>
            </w:r>
          </w:p>
        </w:tc>
        <w:tc>
          <w:tcPr>
            <w:tcW w:w="200" w:type="dxa"/>
            <w:vAlign w:val="bottom"/>
            <w:shd w:val="clear" w:color="auto" w:fill="DCF3FA"/>
          </w:tcPr>
          <w:p>
            <w:pPr>
              <w:spacing w:after="0"/>
              <w:rPr>
                <w:sz w:val="16"/>
                <w:szCs w:val="16"/>
                <w:color w:val="auto"/>
              </w:rPr>
            </w:pPr>
          </w:p>
        </w:tc>
        <w:tc>
          <w:tcPr>
            <w:tcW w:w="3280" w:type="dxa"/>
            <w:vAlign w:val="bottom"/>
            <w:gridSpan w:val="2"/>
            <w:shd w:val="clear" w:color="auto" w:fill="D8D8D8"/>
          </w:tcPr>
          <w:p>
            <w:pPr>
              <w:ind w:left="100"/>
              <w:spacing w:after="0"/>
              <w:rPr>
                <w:sz w:val="20"/>
                <w:szCs w:val="20"/>
                <w:color w:val="auto"/>
              </w:rPr>
            </w:pPr>
            <w:r>
              <w:rPr>
                <w:rFonts w:ascii="Calibri" w:cs="Calibri" w:eastAsia="Calibri" w:hAnsi="Calibri"/>
                <w:sz w:val="16"/>
                <w:szCs w:val="16"/>
                <w:color w:val="auto"/>
              </w:rPr>
              <w:t>corporate governance policies and practces as a</w:t>
            </w: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ind w:left="100"/>
              <w:spacing w:after="0"/>
              <w:rPr>
                <w:sz w:val="20"/>
                <w:szCs w:val="20"/>
                <w:color w:val="auto"/>
              </w:rPr>
            </w:pPr>
            <w:r>
              <w:rPr>
                <w:rFonts w:ascii="Calibri" w:cs="Calibri" w:eastAsia="Calibri" w:hAnsi="Calibri"/>
                <w:sz w:val="16"/>
                <w:szCs w:val="16"/>
                <w:color w:val="auto"/>
              </w:rPr>
              <w:t>as other human capital management-related</w:t>
            </w: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and discusses with management our enterprise</w:t>
            </w:r>
          </w:p>
        </w:tc>
        <w:tc>
          <w:tcPr>
            <w:tcW w:w="200" w:type="dxa"/>
            <w:vAlign w:val="bottom"/>
            <w:shd w:val="clear" w:color="auto" w:fill="DCF3FA"/>
          </w:tcPr>
          <w:p>
            <w:pPr>
              <w:spacing w:after="0"/>
              <w:rPr>
                <w:sz w:val="16"/>
                <w:szCs w:val="16"/>
                <w:color w:val="auto"/>
              </w:rPr>
            </w:pPr>
          </w:p>
        </w:tc>
        <w:tc>
          <w:tcPr>
            <w:tcW w:w="3280" w:type="dxa"/>
            <w:vAlign w:val="bottom"/>
            <w:gridSpan w:val="2"/>
            <w:shd w:val="clear" w:color="auto" w:fill="D8D8D8"/>
          </w:tcPr>
          <w:p>
            <w:pPr>
              <w:ind w:left="100"/>
              <w:spacing w:after="0"/>
              <w:rPr>
                <w:sz w:val="20"/>
                <w:szCs w:val="20"/>
                <w:color w:val="auto"/>
              </w:rPr>
            </w:pPr>
            <w:r>
              <w:rPr>
                <w:rFonts w:ascii="Calibri" w:cs="Calibri" w:eastAsia="Calibri" w:hAnsi="Calibri"/>
                <w:sz w:val="16"/>
                <w:szCs w:val="16"/>
                <w:color w:val="auto"/>
              </w:rPr>
              <w:t>risk- management-related measure.</w:t>
            </w: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ind w:left="100"/>
              <w:spacing w:after="0"/>
              <w:rPr>
                <w:sz w:val="20"/>
                <w:szCs w:val="20"/>
                <w:color w:val="auto"/>
              </w:rPr>
            </w:pPr>
            <w:r>
              <w:rPr>
                <w:rFonts w:ascii="Calibri" w:cs="Calibri" w:eastAsia="Calibri" w:hAnsi="Calibri"/>
                <w:sz w:val="16"/>
                <w:szCs w:val="16"/>
                <w:color w:val="auto"/>
              </w:rPr>
              <w:t>risk.</w:t>
            </w: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risk assessment, major fnancial risk and</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cybersecurity exposures and the steps</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management has taken to monitor, control and</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manage such exposures, including our risk</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management guidelines and policies. Reviews</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and discusses with other board commitees our</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sustainability programs and related maters.</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0" w:type="dxa"/>
            <w:vAlign w:val="bottom"/>
            <w:shd w:val="clear" w:color="auto" w:fill="D8D8D8"/>
          </w:tcPr>
          <w:p>
            <w:pPr>
              <w:spacing w:after="0"/>
              <w:rPr>
                <w:sz w:val="12"/>
                <w:szCs w:val="12"/>
                <w:color w:val="auto"/>
              </w:rPr>
            </w:pPr>
          </w:p>
        </w:tc>
        <w:tc>
          <w:tcPr>
            <w:tcW w:w="3260" w:type="dxa"/>
            <w:vAlign w:val="bottom"/>
            <w:shd w:val="clear" w:color="auto" w:fill="D8D8D8"/>
          </w:tcPr>
          <w:p>
            <w:pPr>
              <w:spacing w:after="0"/>
              <w:rPr>
                <w:sz w:val="12"/>
                <w:szCs w:val="12"/>
                <w:color w:val="auto"/>
              </w:rPr>
            </w:pPr>
          </w:p>
        </w:tc>
        <w:tc>
          <w:tcPr>
            <w:tcW w:w="200" w:type="dxa"/>
            <w:vAlign w:val="bottom"/>
            <w:shd w:val="clear" w:color="auto" w:fill="DCF3FA"/>
          </w:tcPr>
          <w:p>
            <w:pPr>
              <w:spacing w:after="0"/>
              <w:rPr>
                <w:sz w:val="12"/>
                <w:szCs w:val="12"/>
                <w:color w:val="auto"/>
              </w:rPr>
            </w:pPr>
          </w:p>
        </w:tc>
        <w:tc>
          <w:tcPr>
            <w:tcW w:w="1700" w:type="dxa"/>
            <w:vAlign w:val="bottom"/>
            <w:shd w:val="clear" w:color="auto" w:fill="D8D8D8"/>
          </w:tcPr>
          <w:p>
            <w:pPr>
              <w:spacing w:after="0"/>
              <w:rPr>
                <w:sz w:val="12"/>
                <w:szCs w:val="12"/>
                <w:color w:val="auto"/>
              </w:rPr>
            </w:pPr>
          </w:p>
        </w:tc>
        <w:tc>
          <w:tcPr>
            <w:tcW w:w="1580" w:type="dxa"/>
            <w:vAlign w:val="bottom"/>
            <w:shd w:val="clear" w:color="auto" w:fill="D8D8D8"/>
          </w:tcPr>
          <w:p>
            <w:pPr>
              <w:spacing w:after="0"/>
              <w:rPr>
                <w:sz w:val="12"/>
                <w:szCs w:val="12"/>
                <w:color w:val="auto"/>
              </w:rPr>
            </w:pPr>
          </w:p>
        </w:tc>
        <w:tc>
          <w:tcPr>
            <w:tcW w:w="220" w:type="dxa"/>
            <w:vAlign w:val="bottom"/>
            <w:shd w:val="clear" w:color="auto" w:fill="DCF3FA"/>
          </w:tcPr>
          <w:p>
            <w:pPr>
              <w:spacing w:after="0"/>
              <w:rPr>
                <w:sz w:val="12"/>
                <w:szCs w:val="12"/>
                <w:color w:val="auto"/>
              </w:rPr>
            </w:pPr>
          </w:p>
        </w:tc>
        <w:tc>
          <w:tcPr>
            <w:tcW w:w="3260" w:type="dxa"/>
            <w:vAlign w:val="bottom"/>
            <w:shd w:val="clear" w:color="auto" w:fill="D8D8D8"/>
          </w:tcPr>
          <w:p>
            <w:pPr>
              <w:spacing w:after="0"/>
              <w:rPr>
                <w:sz w:val="12"/>
                <w:szCs w:val="12"/>
                <w:color w:val="auto"/>
              </w:rPr>
            </w:pPr>
          </w:p>
        </w:tc>
        <w:tc>
          <w:tcPr>
            <w:tcW w:w="200" w:type="dxa"/>
            <w:vAlign w:val="bottom"/>
            <w:shd w:val="clear" w:color="auto" w:fill="DCF3FA"/>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200" w:type="dxa"/>
            <w:vAlign w:val="bottom"/>
            <w:shd w:val="clear" w:color="auto" w:fill="D8D8D8"/>
          </w:tcPr>
          <w:p>
            <w:pPr>
              <w:spacing w:after="0"/>
              <w:rPr>
                <w:sz w:val="23"/>
                <w:szCs w:val="23"/>
                <w:color w:val="auto"/>
              </w:rPr>
            </w:pPr>
          </w:p>
        </w:tc>
        <w:tc>
          <w:tcPr>
            <w:tcW w:w="3260" w:type="dxa"/>
            <w:vAlign w:val="bottom"/>
            <w:shd w:val="clear" w:color="auto" w:fill="DCF3FA"/>
          </w:tcPr>
          <w:p>
            <w:pPr>
              <w:spacing w:after="0"/>
              <w:rPr>
                <w:sz w:val="23"/>
                <w:szCs w:val="23"/>
                <w:color w:val="auto"/>
              </w:rPr>
            </w:pPr>
          </w:p>
        </w:tc>
        <w:tc>
          <w:tcPr>
            <w:tcW w:w="200" w:type="dxa"/>
            <w:vAlign w:val="bottom"/>
            <w:shd w:val="clear" w:color="auto" w:fill="DCF3FA"/>
          </w:tcPr>
          <w:p>
            <w:pPr>
              <w:spacing w:after="0"/>
              <w:rPr>
                <w:sz w:val="23"/>
                <w:szCs w:val="23"/>
                <w:color w:val="auto"/>
              </w:rPr>
            </w:pPr>
          </w:p>
        </w:tc>
        <w:tc>
          <w:tcPr>
            <w:tcW w:w="1700" w:type="dxa"/>
            <w:vAlign w:val="bottom"/>
            <w:shd w:val="clear" w:color="auto" w:fill="DCF3FA"/>
          </w:tcPr>
          <w:p>
            <w:pPr>
              <w:spacing w:after="0"/>
              <w:rPr>
                <w:sz w:val="23"/>
                <w:szCs w:val="23"/>
                <w:color w:val="auto"/>
              </w:rPr>
            </w:pPr>
          </w:p>
        </w:tc>
        <w:tc>
          <w:tcPr>
            <w:tcW w:w="1580" w:type="dxa"/>
            <w:vAlign w:val="bottom"/>
            <w:shd w:val="clear" w:color="auto" w:fill="DCF3FA"/>
          </w:tcPr>
          <w:p>
            <w:pPr>
              <w:spacing w:after="0"/>
              <w:rPr>
                <w:sz w:val="23"/>
                <w:szCs w:val="23"/>
                <w:color w:val="auto"/>
              </w:rPr>
            </w:pPr>
          </w:p>
        </w:tc>
        <w:tc>
          <w:tcPr>
            <w:tcW w:w="220" w:type="dxa"/>
            <w:vAlign w:val="bottom"/>
            <w:shd w:val="clear" w:color="auto" w:fill="DCF3FA"/>
          </w:tcPr>
          <w:p>
            <w:pPr>
              <w:spacing w:after="0"/>
              <w:rPr>
                <w:sz w:val="23"/>
                <w:szCs w:val="23"/>
                <w:color w:val="auto"/>
              </w:rPr>
            </w:pPr>
          </w:p>
        </w:tc>
        <w:tc>
          <w:tcPr>
            <w:tcW w:w="3260" w:type="dxa"/>
            <w:vAlign w:val="bottom"/>
            <w:shd w:val="clear" w:color="auto" w:fill="DCF3FA"/>
          </w:tcPr>
          <w:p>
            <w:pPr>
              <w:spacing w:after="0"/>
              <w:rPr>
                <w:sz w:val="23"/>
                <w:szCs w:val="23"/>
                <w:color w:val="auto"/>
              </w:rPr>
            </w:pPr>
          </w:p>
        </w:tc>
        <w:tc>
          <w:tcPr>
            <w:tcW w:w="200" w:type="dxa"/>
            <w:vAlign w:val="bottom"/>
            <w:shd w:val="clear" w:color="auto" w:fill="DCF3FA"/>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-2105660</wp:posOffset>
            </wp:positionV>
            <wp:extent cx="6740525" cy="2800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40525" cy="2800350"/>
                    </a:xfrm>
                    <a:prstGeom prst="rect">
                      <a:avLst/>
                    </a:prstGeom>
                    <a:noFill/>
                  </pic:spPr>
                </pic:pic>
              </a:graphicData>
            </a:graphic>
          </wp:anchor>
        </w:drawing>
      </w:r>
    </w:p>
    <w:p>
      <w:pPr>
        <w:spacing w:after="0" w:line="67" w:lineRule="exact"/>
        <w:rPr>
          <w:sz w:val="20"/>
          <w:szCs w:val="20"/>
          <w:color w:val="auto"/>
        </w:rPr>
      </w:pPr>
    </w:p>
    <w:p>
      <w:pPr>
        <w:ind w:left="600" w:right="400"/>
        <w:spacing w:after="0" w:line="280" w:lineRule="auto"/>
        <w:rPr>
          <w:sz w:val="20"/>
          <w:szCs w:val="20"/>
          <w:color w:val="auto"/>
        </w:rPr>
      </w:pPr>
      <w:r>
        <w:rPr>
          <w:rFonts w:ascii="Calibri" w:cs="Calibri" w:eastAsia="Calibri" w:hAnsi="Calibri"/>
          <w:sz w:val="14"/>
          <w:szCs w:val="14"/>
          <w:color w:val="auto"/>
        </w:rPr>
        <w:t>Our management maintains, as part of our disclosure controls and procedures, a separate disclosure commitee whose meetngs’ atendees generally include our CEO, Chief Financial Ofcer, General Counsel, other members of our Executve Commitee, members of our investor relatons, controllership, tax, compliance, internal audit and legal teams, as well as our external auditors and outside counsel. As part of its review of our quarterly and annual reports the disclosure commitee helps facilitate understanding by the Audit Commitee and our full board of directors of new or changing risks afectng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Cybersecurity risk management</w:t>
      </w:r>
    </w:p>
    <w:p>
      <w:pPr>
        <w:spacing w:after="0" w:line="1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Given the nature of our business, EXL is highly focused on maintaining a robust and comprehensive program that identfes and manages a broad range of cybersecurity and data privacy, referred to collectvely herein as “cybersecurity,” risks on behalf of our clients and their customers, as well as our employees, contractors and any relevant third partes. Cybersecurity is managed by our cross-functonal cybersecurity apex body, the Management Security, Contnuity and Privacy Forum, which is comprised of representatves from our management, business unit heads, and enterprise functons, such as legal, human resources, growth and strategy, compliance, technology and informaton security. Our Audit Commitee has primary oversight over cybersecurity and receives briefngs from management throughout the year, typically on a quarterly basis, regarding our security risk management, including cybersecurity-related risks, vulnerabilites, policies, practces, and strategic initatves. At least once a year, our board receives a report from management on our cybersecurity posture, our readiness and our capability to reduce the risk of, detect and respond to a cyber-atack. Our cybersecurity team consists of qualifed technical cybersecurity professionals, business contnuity specialists and atorneys. We regularly conduct cybersecurity and other risk assessments and compliance audits both internally and through third party auditors that we independently engage or that we engage in connecton with our certfcaton to certain internatonal standards. We also regularly assess and deploy technical safeguards and conduct vulnerability assessment and penetraton testng of our technology environment independently and through third partes. We use the outcome of these assessments to align our cybersecurity program and technical safeguards with the evolving cybersecurity threat landscape and adjust and augment our security controls environment as required. We also periodically engage third-party experts to review and assess our cybersecurity governance and management, including as may relate to our use of suppliers and third party partners. In 2022 and 2023, our board and senior management completed cybersecurity tabletop exercises to further our preparedness in the event of a need to address a variety of cybersecurity threat scenarios. Our directors also partcipated in a walkthrough of our Cyber Defense Center in Noida, India during their September 2023 visit to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168910</wp:posOffset>
            </wp:positionV>
            <wp:extent cx="5881370" cy="36264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81370" cy="362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more details on our cybersecurity program, see “Sustainability – Cybersecurity at EXL” on page 54.</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40 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1" w:right="6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Sustainability risk management</w:t>
      </w:r>
    </w:p>
    <w:p>
      <w:pPr>
        <w:spacing w:after="0" w:line="115" w:lineRule="exact"/>
        <w:rPr>
          <w:sz w:val="20"/>
          <w:szCs w:val="20"/>
          <w:color w:val="auto"/>
        </w:rPr>
      </w:pPr>
    </w:p>
    <w:p>
      <w:pPr>
        <w:ind w:left="320" w:right="440"/>
        <w:spacing w:after="0" w:line="239" w:lineRule="auto"/>
        <w:rPr>
          <w:sz w:val="20"/>
          <w:szCs w:val="20"/>
          <w:color w:val="auto"/>
        </w:rPr>
      </w:pPr>
      <w:r>
        <w:rPr>
          <w:rFonts w:ascii="Calibri" w:cs="Calibri" w:eastAsia="Calibri" w:hAnsi="Calibri"/>
          <w:sz w:val="17"/>
          <w:szCs w:val="17"/>
          <w:color w:val="auto"/>
        </w:rPr>
        <w:t>Our board reviews and receives regular reports on sustainability risks, including those relatng to sustainability disclosures, employee safety, environmental-related eforts, human capital management maters, and corporate governance trends and best practces. We also receive third-party limited assurance of the informaton contained in our Sustainability Report from a Big 4 accountng frm afliate.</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Each of our board commitees is involved in oversight over sustainability-related risks as relate to maters within their purview: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163195</wp:posOffset>
            </wp:positionV>
            <wp:extent cx="4997450" cy="24041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997450" cy="240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We maintain a cross functonal management-level sustainability steering commitee (“ESG Steering Commitee”), which is responsible for setng our sustainability/ESG strategy and risk management, keeping our management and board up-to-date on ESG-related developments, overseeing our internal and external disclosure on ESG maters, and providing implementaton support across our Company. The ESG Steering Commitee works in close coordinaton with the board, and provides the board with advice and assistance in its oversight of ESG risks and other maters. For more details on our ESG and sustainability-related eforts, see “Sustainability” on page 44.</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Artfcial intelligence risk management</w:t>
      </w:r>
    </w:p>
    <w:p>
      <w:pPr>
        <w:spacing w:after="0" w:line="115"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We have a centralized, cross-functonal Artfcial Intelligence (“AI”) Governance Commitee that is led by the General Counsel and Chief Informaton Ofcer and supported by our corporate compliance team, and engineering, digital, analytcs and applicable business leads, which oversees high-risk AI projects. The AI Governance Commitee is guided by our global AI Governance Policy. Our board and our Audit Commitee are briefed from tme to tme by management, as well as by third-party frms, on AI-related risks and opportunites, including in-depth discussions regarding current AI deployments with our customers. For more details on responsible AI, see “Responsible artfcial intelligence” on page 54.</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41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Stockholder engagement</w:t>
      </w:r>
    </w:p>
    <w:p>
      <w:pPr>
        <w:spacing w:after="0" w:line="1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In 2023 and contnuing into early 2024, we contnued our formal governance-focused stockholder outreach program. Given our frequent engagement and the maturity of our stockholder outreach program, a number of our stockholders that we engaged with in prior years indicated that they had all required informaton at this tme, and elected to defer meetng again to a future year. For the meetngs we conducted with our stockholders in 2023 and early 2024, EXL was represented by our management and members of our legal and investor relatons teams. We discussed the below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40525" cy="12966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40525" cy="129667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Calibri" w:cs="Calibri" w:eastAsia="Calibri" w:hAnsi="Calibri"/>
          <w:sz w:val="24"/>
          <w:szCs w:val="24"/>
          <w:color w:val="005071"/>
        </w:rPr>
        <w:t>Outreach to stockholders by</w:t>
      </w:r>
    </w:p>
    <w:p>
      <w:pPr>
        <w:ind w:left="4460" w:right="3860" w:hanging="3139"/>
        <w:spacing w:after="0" w:line="181" w:lineRule="auto"/>
        <w:tabs>
          <w:tab w:leader="none" w:pos="4440" w:val="left"/>
        </w:tabs>
        <w:rPr>
          <w:sz w:val="20"/>
          <w:szCs w:val="20"/>
          <w:color w:val="auto"/>
        </w:rPr>
      </w:pPr>
      <w:r>
        <w:rPr>
          <w:rFonts w:ascii="Calibri" w:cs="Calibri" w:eastAsia="Calibri" w:hAnsi="Calibri"/>
          <w:sz w:val="44"/>
          <w:szCs w:val="44"/>
          <w:color w:val="FB4E0B"/>
        </w:rPr>
        <w:t>~80%</w:t>
      </w:r>
      <w:r>
        <w:rPr>
          <w:sz w:val="20"/>
          <w:szCs w:val="20"/>
          <w:color w:val="auto"/>
        </w:rPr>
        <w:tab/>
      </w:r>
      <w:r>
        <w:rPr>
          <w:rFonts w:ascii="Calibri" w:cs="Calibri" w:eastAsia="Calibri" w:hAnsi="Calibri"/>
          <w:sz w:val="20"/>
          <w:szCs w:val="20"/>
          <w:color w:val="005071"/>
        </w:rPr>
        <w:t>shares outstanding during 2023-2024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708025</wp:posOffset>
            </wp:positionV>
            <wp:extent cx="4055745" cy="26269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055745" cy="2626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EXL also regularly interacts and shares informaton with our stockholders through our quarterly earnings calls, investor meetngs, SEC flings and publicatons on our website, among others, including in 2023, our sustainability materiality analysis. The feedback received from our stockholders is shared with and reviewed by our board, which is used to inform and focus our decisions relatng to our governance and sustainability practces and to improve our disclosure.</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42 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Communicatons with the board</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Stockholders interested in contactng our board of directors, Lead Director or the directors who meet in executve session are invited to do so by writng to:</w:t>
      </w:r>
    </w:p>
    <w:p>
      <w:pPr>
        <w:spacing w:after="0" w:line="31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Board of Directors of ExlService Holdings, Inc.</w:t>
      </w:r>
    </w:p>
    <w:p>
      <w:pPr>
        <w:spacing w:after="0" w:line="53" w:lineRule="exact"/>
        <w:rPr>
          <w:sz w:val="20"/>
          <w:szCs w:val="20"/>
          <w:color w:val="auto"/>
        </w:rPr>
      </w:pPr>
    </w:p>
    <w:p>
      <w:pPr>
        <w:ind w:left="4780"/>
        <w:spacing w:after="0"/>
        <w:rPr>
          <w:sz w:val="20"/>
          <w:szCs w:val="20"/>
          <w:color w:val="auto"/>
        </w:rPr>
      </w:pPr>
      <w:r>
        <w:rPr>
          <w:rFonts w:ascii="Calibri" w:cs="Calibri" w:eastAsia="Calibri" w:hAnsi="Calibri"/>
          <w:sz w:val="17"/>
          <w:szCs w:val="17"/>
          <w:b w:val="1"/>
          <w:bCs w:val="1"/>
          <w:color w:val="auto"/>
        </w:rPr>
        <w:t>c/o Corporate Secretary</w:t>
      </w:r>
    </w:p>
    <w:p>
      <w:pPr>
        <w:spacing w:after="0" w:line="53" w:lineRule="exact"/>
        <w:rPr>
          <w:sz w:val="20"/>
          <w:szCs w:val="20"/>
          <w:color w:val="auto"/>
        </w:rPr>
      </w:pPr>
    </w:p>
    <w:p>
      <w:pPr>
        <w:ind w:left="4780"/>
        <w:spacing w:after="0"/>
        <w:rPr>
          <w:sz w:val="20"/>
          <w:szCs w:val="20"/>
          <w:color w:val="auto"/>
        </w:rPr>
      </w:pPr>
      <w:r>
        <w:rPr>
          <w:rFonts w:ascii="Calibri" w:cs="Calibri" w:eastAsia="Calibri" w:hAnsi="Calibri"/>
          <w:sz w:val="17"/>
          <w:szCs w:val="17"/>
          <w:b w:val="1"/>
          <w:bCs w:val="1"/>
          <w:color w:val="auto"/>
        </w:rPr>
        <w:t>ExlService Holdings, Inc.</w:t>
      </w:r>
    </w:p>
    <w:p>
      <w:pPr>
        <w:spacing w:after="0" w:line="53" w:lineRule="exact"/>
        <w:rPr>
          <w:sz w:val="20"/>
          <w:szCs w:val="20"/>
          <w:color w:val="auto"/>
        </w:rPr>
      </w:pPr>
    </w:p>
    <w:p>
      <w:pPr>
        <w:ind w:left="4660"/>
        <w:spacing w:after="0"/>
        <w:rPr>
          <w:sz w:val="20"/>
          <w:szCs w:val="20"/>
          <w:color w:val="auto"/>
        </w:rPr>
      </w:pPr>
      <w:r>
        <w:rPr>
          <w:rFonts w:ascii="Calibri" w:cs="Calibri" w:eastAsia="Calibri" w:hAnsi="Calibri"/>
          <w:sz w:val="17"/>
          <w:szCs w:val="17"/>
          <w:b w:val="1"/>
          <w:bCs w:val="1"/>
          <w:color w:val="auto"/>
        </w:rPr>
        <w:t>320 Park Avenue, 29</w:t>
      </w:r>
      <w:r>
        <w:rPr>
          <w:rFonts w:ascii="Calibri" w:cs="Calibri" w:eastAsia="Calibri" w:hAnsi="Calibri"/>
          <w:sz w:val="13"/>
          <w:szCs w:val="13"/>
          <w:b w:val="1"/>
          <w:bCs w:val="1"/>
          <w:color w:val="auto"/>
        </w:rPr>
        <w:t>th</w:t>
      </w:r>
      <w:r>
        <w:rPr>
          <w:rFonts w:ascii="Calibri" w:cs="Calibri" w:eastAsia="Calibri" w:hAnsi="Calibri"/>
          <w:sz w:val="17"/>
          <w:szCs w:val="17"/>
          <w:b w:val="1"/>
          <w:bCs w:val="1"/>
          <w:color w:val="auto"/>
        </w:rPr>
        <w:t xml:space="preserve"> Floor</w:t>
      </w:r>
    </w:p>
    <w:p>
      <w:pPr>
        <w:spacing w:after="0" w:line="53" w:lineRule="exact"/>
        <w:rPr>
          <w:sz w:val="20"/>
          <w:szCs w:val="20"/>
          <w:color w:val="auto"/>
        </w:rPr>
      </w:pPr>
    </w:p>
    <w:p>
      <w:pPr>
        <w:ind w:left="4680"/>
        <w:spacing w:after="0"/>
        <w:rPr>
          <w:sz w:val="20"/>
          <w:szCs w:val="20"/>
          <w:color w:val="auto"/>
        </w:rPr>
      </w:pPr>
      <w:r>
        <w:rPr>
          <w:rFonts w:ascii="Calibri" w:cs="Calibri" w:eastAsia="Calibri" w:hAnsi="Calibri"/>
          <w:sz w:val="17"/>
          <w:szCs w:val="17"/>
          <w:b w:val="1"/>
          <w:bCs w:val="1"/>
          <w:color w:val="auto"/>
        </w:rPr>
        <w:t>New York, New York 10022</w:t>
      </w:r>
    </w:p>
    <w:p>
      <w:pPr>
        <w:spacing w:after="0" w:line="314"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All other stockholder communicatons addressed to our board of directors will be referred to our Chair and CEO and our Lead Director and tracked by our Corporate Secretary. Stockholder communicatons specifcally addressed to a partcular director will be referred to that director.</w:t>
      </w:r>
    </w:p>
    <w:p>
      <w:pPr>
        <w:spacing w:after="0" w:line="315"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Complaints and concerns relatng to our accountng, internal accountng controls or auditng maters should be communicated to our Audit Commitee, which consists solely of non-employee directors. Any such communicaton may be anonymous and may be reported to our Audit Commitee through our General Counsel by writng to:</w:t>
      </w:r>
    </w:p>
    <w:p>
      <w:pPr>
        <w:spacing w:after="0" w:line="315"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Audit Commitee of the Board of Directors</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ExlService Holdings, Inc.</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320 Park Avenue, 29</w:t>
      </w:r>
      <w:r>
        <w:rPr>
          <w:rFonts w:ascii="Calibri" w:cs="Calibri" w:eastAsia="Calibri" w:hAnsi="Calibri"/>
          <w:sz w:val="13"/>
          <w:szCs w:val="13"/>
          <w:b w:val="1"/>
          <w:bCs w:val="1"/>
          <w:color w:val="auto"/>
        </w:rPr>
        <w:t>th</w:t>
      </w:r>
      <w:r>
        <w:rPr>
          <w:rFonts w:ascii="Calibri" w:cs="Calibri" w:eastAsia="Calibri" w:hAnsi="Calibri"/>
          <w:sz w:val="17"/>
          <w:szCs w:val="17"/>
          <w:b w:val="1"/>
          <w:bCs w:val="1"/>
          <w:color w:val="auto"/>
        </w:rPr>
        <w:t xml:space="preserve"> Floor</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New York, New York 10022</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Atn: General Counsel</w:t>
      </w:r>
    </w:p>
    <w:p>
      <w:pPr>
        <w:spacing w:after="0" w:line="3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All such concerns will be reviewed under Audit Commitee directon and oversight by our General Counsel, our Head of Internal Audit or such other persons as our Audit Commitee determines to be appropriate. Confdentality will be maintained to the fullest extent possible, consistent with the need to conduct an adequate review. Prompt and appropriate correctve acton will be taken when and as warranted in the judgment of our Audit Commitee. We prepare periodic summary reports of all such communicatons for our Audit Commitee.</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43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Sustainability</w:t>
      </w:r>
    </w:p>
    <w:p>
      <w:pPr>
        <w:spacing w:after="0" w:line="330" w:lineRule="exact"/>
        <w:rPr>
          <w:sz w:val="20"/>
          <w:szCs w:val="20"/>
          <w:color w:val="auto"/>
        </w:rPr>
      </w:pPr>
    </w:p>
    <w:p>
      <w:pPr>
        <w:ind w:left="320" w:right="200"/>
        <w:spacing w:after="0"/>
        <w:rPr>
          <w:sz w:val="20"/>
          <w:szCs w:val="20"/>
          <w:color w:val="auto"/>
        </w:rPr>
      </w:pPr>
      <w:r>
        <w:rPr>
          <w:rFonts w:ascii="Calibri" w:cs="Calibri" w:eastAsia="Calibri" w:hAnsi="Calibri"/>
          <w:sz w:val="17"/>
          <w:szCs w:val="17"/>
          <w:color w:val="auto"/>
        </w:rPr>
        <w:t>In line with our mission of looking deeper to fnd a beter way for our clients, at EXL we are commited to doing our part to build a beter future by operatng in a responsible and sustainable manner that is aligned with our business goals. We believe that by integratng sustainable practces into our business model, working towards positve social change, and providing transparent reportng on those practces and our progress, we are a stronger and more resilient organizaton that is best able to deliver long-term value to our stakeholders.</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Recent actvites</w:t>
      </w: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In 2023 and contnuing into 2024, we took a number of steps to contnue improving our sustainability program. These recent actvites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163195</wp:posOffset>
            </wp:positionV>
            <wp:extent cx="6748780" cy="7353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48780" cy="735330"/>
                    </a:xfrm>
                    <a:prstGeom prst="rect">
                      <a:avLst/>
                    </a:prstGeom>
                    <a:noFill/>
                  </pic:spPr>
                </pic:pic>
              </a:graphicData>
            </a:graphic>
          </wp:anchor>
        </w:drawing>
      </w:r>
    </w:p>
    <w:p>
      <w:pPr>
        <w:spacing w:after="0" w:line="281" w:lineRule="exact"/>
        <w:rPr>
          <w:sz w:val="20"/>
          <w:szCs w:val="20"/>
          <w:color w:val="auto"/>
        </w:rPr>
      </w:pPr>
    </w:p>
    <w:p>
      <w:pPr>
        <w:ind w:left="1820" w:right="120"/>
        <w:spacing w:after="0" w:line="228" w:lineRule="auto"/>
        <w:rPr>
          <w:sz w:val="20"/>
          <w:szCs w:val="20"/>
          <w:color w:val="auto"/>
        </w:rPr>
      </w:pPr>
      <w:r>
        <w:rPr>
          <w:rFonts w:ascii="Calibri" w:cs="Calibri" w:eastAsia="Calibri" w:hAnsi="Calibri"/>
          <w:sz w:val="16"/>
          <w:szCs w:val="16"/>
          <w:color w:val="auto"/>
        </w:rPr>
        <w:t>Aligning our sustainability program with our corporate strategy, which is aimed at ensuring that the sustainability initatves that we choose to undertake create value and contribute to our business goals. For example, we seek to review and measure the return on</w:t>
      </w:r>
    </w:p>
    <w:p>
      <w:pPr>
        <w:spacing w:after="0" w:line="1" w:lineRule="exact"/>
        <w:rPr>
          <w:sz w:val="20"/>
          <w:szCs w:val="20"/>
          <w:color w:val="auto"/>
        </w:rPr>
      </w:pPr>
    </w:p>
    <w:p>
      <w:pPr>
        <w:ind w:left="1820" w:right="120" w:hanging="979"/>
        <w:spacing w:after="0" w:line="180" w:lineRule="auto"/>
        <w:tabs>
          <w:tab w:leader="none" w:pos="1800" w:val="left"/>
        </w:tabs>
        <w:rPr>
          <w:sz w:val="20"/>
          <w:szCs w:val="20"/>
          <w:color w:val="auto"/>
        </w:rPr>
      </w:pPr>
      <w:r>
        <w:rPr>
          <w:rFonts w:ascii="Calibri" w:cs="Calibri" w:eastAsia="Calibri" w:hAnsi="Calibri"/>
          <w:sz w:val="31"/>
          <w:szCs w:val="31"/>
          <w:b w:val="1"/>
          <w:bCs w:val="1"/>
          <w:color w:val="FB4E0B"/>
        </w:rPr>
        <w:t>1</w:t>
      </w:r>
      <w:r>
        <w:rPr>
          <w:sz w:val="20"/>
          <w:szCs w:val="20"/>
          <w:color w:val="auto"/>
        </w:rPr>
        <w:tab/>
      </w:r>
      <w:r>
        <w:rPr>
          <w:rFonts w:ascii="Calibri" w:cs="Calibri" w:eastAsia="Calibri" w:hAnsi="Calibri"/>
          <w:sz w:val="14"/>
          <w:szCs w:val="14"/>
          <w:color w:val="auto"/>
        </w:rPr>
        <w:t>investment received from our sustainability-related initatves. For more informaton on sustainability-related return on investment, please review our Sustainability Report, available on our website at www.exlservice.com/about/sustainability.</w:t>
      </w:r>
    </w:p>
    <w:p>
      <w:pPr>
        <w:spacing w:after="0" w:line="323" w:lineRule="exact"/>
        <w:rPr>
          <w:sz w:val="20"/>
          <w:szCs w:val="20"/>
          <w:color w:val="auto"/>
        </w:rPr>
      </w:pPr>
    </w:p>
    <w:p>
      <w:pPr>
        <w:ind w:left="320"/>
        <w:spacing w:after="0"/>
        <w:tabs>
          <w:tab w:leader="none" w:pos="1800" w:val="left"/>
        </w:tabs>
        <w:rPr>
          <w:sz w:val="20"/>
          <w:szCs w:val="20"/>
          <w:color w:val="auto"/>
        </w:rPr>
      </w:pPr>
      <w:r>
        <w:rPr>
          <w:rFonts w:ascii="Calibri" w:cs="Calibri" w:eastAsia="Calibri" w:hAnsi="Calibri"/>
          <w:sz w:val="10"/>
          <w:szCs w:val="10"/>
          <w:color w:val="auto"/>
        </w:rPr>
        <w:t> </w:t>
      </w:r>
      <w:r>
        <w:rPr>
          <w:sz w:val="20"/>
          <w:szCs w:val="20"/>
          <w:color w:val="auto"/>
        </w:rPr>
        <w:tab/>
      </w:r>
      <w:r>
        <w:rPr>
          <w:rFonts w:ascii="Calibri" w:cs="Calibri" w:eastAsia="Calibri" w:hAnsi="Calibri"/>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9525</wp:posOffset>
            </wp:positionV>
            <wp:extent cx="6748780" cy="10737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48780" cy="1073785"/>
                    </a:xfrm>
                    <a:prstGeom prst="rect">
                      <a:avLst/>
                    </a:prstGeom>
                    <a:noFill/>
                  </pic:spPr>
                </pic:pic>
              </a:graphicData>
            </a:graphic>
          </wp:anchor>
        </w:drawing>
      </w:r>
    </w:p>
    <w:p>
      <w:pPr>
        <w:spacing w:after="0" w:line="38" w:lineRule="exact"/>
        <w:rPr>
          <w:sz w:val="20"/>
          <w:szCs w:val="20"/>
          <w:color w:val="auto"/>
        </w:rPr>
      </w:pPr>
    </w:p>
    <w:p>
      <w:pPr>
        <w:ind w:left="1820"/>
        <w:spacing w:after="0"/>
        <w:rPr>
          <w:sz w:val="20"/>
          <w:szCs w:val="20"/>
          <w:color w:val="auto"/>
        </w:rPr>
      </w:pPr>
      <w:r>
        <w:rPr>
          <w:rFonts w:ascii="Calibri" w:cs="Calibri" w:eastAsia="Calibri" w:hAnsi="Calibri"/>
          <w:sz w:val="17"/>
          <w:szCs w:val="17"/>
          <w:color w:val="auto"/>
        </w:rPr>
        <w:t>Contnuing to build on existng actons in environmental stewardship, including:</w:t>
      </w:r>
    </w:p>
    <w:p>
      <w:pPr>
        <w:spacing w:after="0" w:line="115" w:lineRule="exact"/>
        <w:rPr>
          <w:sz w:val="20"/>
          <w:szCs w:val="20"/>
          <w:color w:val="auto"/>
        </w:rPr>
      </w:pPr>
    </w:p>
    <w:p>
      <w:pPr>
        <w:ind w:left="1820"/>
        <w:spacing w:after="0"/>
        <w:tabs>
          <w:tab w:leader="none" w:pos="2060" w:val="left"/>
        </w:tabs>
        <w:rPr>
          <w:sz w:val="20"/>
          <w:szCs w:val="20"/>
          <w:color w:val="auto"/>
        </w:rPr>
      </w:pPr>
      <w:r>
        <w:rPr>
          <w:rFonts w:ascii="Calibri" w:cs="Calibri" w:eastAsia="Calibri" w:hAnsi="Calibri"/>
          <w:sz w:val="17"/>
          <w:szCs w:val="17"/>
          <w:color w:val="auto"/>
        </w:rPr>
        <w:t>• </w:t>
        <w:tab/>
        <w:t> transitoning additonal delivery centers to 100% green energy in India, joining the existng centers that beneft from this</w:t>
      </w:r>
    </w:p>
    <w:p>
      <w:pPr>
        <w:spacing w:after="0" w:line="5" w:lineRule="exact"/>
        <w:rPr>
          <w:sz w:val="20"/>
          <w:szCs w:val="20"/>
          <w:color w:val="auto"/>
        </w:rPr>
      </w:pPr>
    </w:p>
    <w:p>
      <w:pPr>
        <w:ind w:left="2140" w:right="320" w:hanging="1298"/>
        <w:spacing w:after="0" w:line="198" w:lineRule="auto"/>
        <w:tabs>
          <w:tab w:leader="none" w:pos="2140" w:val="left"/>
        </w:tabs>
        <w:numPr>
          <w:ilvl w:val="0"/>
          <w:numId w:val="25"/>
        </w:numPr>
        <w:rPr>
          <w:rFonts w:ascii="Calibri" w:cs="Calibri" w:eastAsia="Calibri" w:hAnsi="Calibri"/>
          <w:sz w:val="41"/>
          <w:szCs w:val="41"/>
          <w:b w:val="1"/>
          <w:bCs w:val="1"/>
          <w:color w:val="FB4E0B"/>
        </w:rPr>
      </w:pPr>
      <w:r>
        <w:rPr>
          <w:rFonts w:ascii="Calibri" w:cs="Calibri" w:eastAsia="Calibri" w:hAnsi="Calibri"/>
          <w:sz w:val="16"/>
          <w:szCs w:val="16"/>
          <w:color w:val="auto"/>
        </w:rPr>
        <w:t>initatve in India and the UK, and resultng in an increase of our renewable energy portolio to ~30% on an annualized basis, and</w:t>
      </w: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ind w:left="1220"/>
              <w:spacing w:after="0"/>
              <w:rPr>
                <w:sz w:val="20"/>
                <w:szCs w:val="20"/>
                <w:color w:val="auto"/>
              </w:rPr>
            </w:pPr>
            <w:r>
              <w:rPr>
                <w:rFonts w:ascii="Calibri" w:cs="Calibri" w:eastAsia="Calibri" w:hAnsi="Calibri"/>
                <w:sz w:val="17"/>
                <w:szCs w:val="17"/>
                <w:color w:val="auto"/>
                <w:w w:val="70"/>
              </w:rPr>
              <w:t>• </w:t>
            </w:r>
          </w:p>
        </w:tc>
        <w:tc>
          <w:tcPr>
            <w:tcW w:w="8940" w:type="dxa"/>
            <w:vAlign w:val="bottom"/>
          </w:tcPr>
          <w:p>
            <w:pPr>
              <w:ind w:left="60"/>
              <w:spacing w:after="0"/>
              <w:rPr>
                <w:sz w:val="20"/>
                <w:szCs w:val="20"/>
                <w:color w:val="auto"/>
              </w:rPr>
            </w:pPr>
            <w:r>
              <w:rPr>
                <w:rFonts w:ascii="Calibri" w:cs="Calibri" w:eastAsia="Calibri" w:hAnsi="Calibri"/>
                <w:sz w:val="17"/>
                <w:szCs w:val="17"/>
                <w:color w:val="auto"/>
              </w:rPr>
              <w:t> installing roofop solar facilites in two additonal delivery centers in India, bringing our total to fve delivery centers with roofop</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940" w:type="dxa"/>
            <w:vAlign w:val="bottom"/>
          </w:tcPr>
          <w:p>
            <w:pPr>
              <w:ind w:left="120"/>
              <w:spacing w:after="0"/>
              <w:rPr>
                <w:sz w:val="20"/>
                <w:szCs w:val="20"/>
                <w:color w:val="auto"/>
              </w:rPr>
            </w:pPr>
            <w:r>
              <w:rPr>
                <w:rFonts w:ascii="Calibri" w:cs="Calibri" w:eastAsia="Calibri" w:hAnsi="Calibri"/>
                <w:sz w:val="17"/>
                <w:szCs w:val="17"/>
                <w:color w:val="auto"/>
              </w:rPr>
              <w:t>solar facilites, among other green actons</w:t>
            </w:r>
          </w:p>
        </w:tc>
        <w:tc>
          <w:tcPr>
            <w:tcW w:w="0" w:type="dxa"/>
            <w:vAlign w:val="bottom"/>
          </w:tcPr>
          <w:p>
            <w:pPr>
              <w:spacing w:after="0"/>
              <w:rPr>
                <w:sz w:val="1"/>
                <w:szCs w:val="1"/>
                <w:color w:val="auto"/>
              </w:rPr>
            </w:pPr>
          </w:p>
        </w:tc>
      </w:tr>
      <w:tr>
        <w:trPr>
          <w:trHeight w:val="270"/>
        </w:trPr>
        <w:tc>
          <w:tcPr>
            <w:tcW w:w="280" w:type="dxa"/>
            <w:vAlign w:val="bottom"/>
            <w:gridSpan w:val="2"/>
          </w:tcPr>
          <w:p>
            <w:pPr>
              <w:spacing w:after="0"/>
              <w:rPr>
                <w:sz w:val="23"/>
                <w:szCs w:val="23"/>
                <w:color w:val="auto"/>
              </w:rPr>
            </w:pPr>
          </w:p>
        </w:tc>
        <w:tc>
          <w:tcPr>
            <w:tcW w:w="142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0" w:type="dxa"/>
            <w:vAlign w:val="bottom"/>
            <w:tcBorders>
              <w:top w:val="single" w:sz="8" w:color="B2B2B2"/>
              <w:bottom w:val="single" w:sz="8" w:color="B2B2B2"/>
            </w:tcBorders>
          </w:tcPr>
          <w:p>
            <w:pPr>
              <w:spacing w:after="0" w:line="121" w:lineRule="exact"/>
              <w:rPr>
                <w:sz w:val="20"/>
                <w:szCs w:val="20"/>
                <w:color w:val="auto"/>
              </w:rPr>
            </w:pPr>
            <w:r>
              <w:rPr>
                <w:rFonts w:ascii="Calibri" w:cs="Calibri" w:eastAsia="Calibri" w:hAnsi="Calibri"/>
                <w:sz w:val="10"/>
                <w:szCs w:val="10"/>
                <w:color w:val="auto"/>
              </w:rPr>
              <w:t> </w:t>
            </w:r>
          </w:p>
        </w:tc>
        <w:tc>
          <w:tcPr>
            <w:tcW w:w="1420" w:type="dxa"/>
            <w:vAlign w:val="bottom"/>
            <w:tcBorders>
              <w:top w:val="single" w:sz="8" w:color="B2B2B2"/>
              <w:bottom w:val="single" w:sz="8" w:color="B2B2B2"/>
            </w:tcBorders>
          </w:tcPr>
          <w:p>
            <w:pPr>
              <w:ind w:left="1220"/>
              <w:spacing w:after="0" w:line="121" w:lineRule="exact"/>
              <w:rPr>
                <w:sz w:val="20"/>
                <w:szCs w:val="20"/>
                <w:color w:val="auto"/>
              </w:rPr>
            </w:pPr>
            <w:r>
              <w:rPr>
                <w:rFonts w:ascii="Calibri" w:cs="Calibri" w:eastAsia="Calibri" w:hAnsi="Calibri"/>
                <w:sz w:val="10"/>
                <w:szCs w:val="10"/>
                <w:color w:val="auto"/>
              </w:rPr>
              <w:t> </w:t>
            </w:r>
          </w:p>
        </w:tc>
        <w:tc>
          <w:tcPr>
            <w:tcW w:w="8940" w:type="dxa"/>
            <w:vAlign w:val="bottom"/>
            <w:tcBorders>
              <w:top w:val="single" w:sz="8" w:color="B2B2B2"/>
              <w:bottom w:val="single" w:sz="8" w:color="B2B2B2"/>
            </w:tcBorders>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 w:type="dxa"/>
            <w:vAlign w:val="bottom"/>
            <w:tcBorders>
              <w:left w:val="single" w:sz="8" w:color="B2B2B2"/>
            </w:tcBorders>
          </w:tcPr>
          <w:p>
            <w:pPr>
              <w:spacing w:after="0"/>
              <w:rPr>
                <w:sz w:val="20"/>
                <w:szCs w:val="20"/>
                <w:color w:val="auto"/>
              </w:rPr>
            </w:pPr>
          </w:p>
        </w:tc>
        <w:tc>
          <w:tcPr>
            <w:tcW w:w="10360" w:type="dxa"/>
            <w:vAlign w:val="bottom"/>
            <w:tcBorders>
              <w:right w:val="single" w:sz="8" w:color="B2B2B2"/>
            </w:tcBorders>
            <w:gridSpan w:val="2"/>
          </w:tcPr>
          <w:p>
            <w:pPr>
              <w:ind w:left="1220"/>
              <w:spacing w:after="0"/>
              <w:rPr>
                <w:sz w:val="20"/>
                <w:szCs w:val="20"/>
                <w:color w:val="auto"/>
              </w:rPr>
            </w:pPr>
            <w:r>
              <w:rPr>
                <w:rFonts w:ascii="Calibri" w:cs="Calibri" w:eastAsia="Calibri" w:hAnsi="Calibri"/>
                <w:sz w:val="17"/>
                <w:szCs w:val="17"/>
                <w:color w:val="auto"/>
              </w:rPr>
              <w:t>Demonstratng our commitment to providing transparency and meaningful disclosure on sustainability-related informaton,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Borders>
              <w:left w:val="single" w:sz="8" w:color="B2B2B2"/>
            </w:tcBorders>
          </w:tcPr>
          <w:p>
            <w:pPr>
              <w:spacing w:after="0"/>
              <w:rPr>
                <w:sz w:val="18"/>
                <w:szCs w:val="18"/>
                <w:color w:val="auto"/>
              </w:rPr>
            </w:pPr>
          </w:p>
        </w:tc>
        <w:tc>
          <w:tcPr>
            <w:tcW w:w="10360" w:type="dxa"/>
            <w:vAlign w:val="bottom"/>
            <w:tcBorders>
              <w:right w:val="single" w:sz="8" w:color="B2B2B2"/>
            </w:tcBorders>
            <w:gridSpan w:val="2"/>
          </w:tcPr>
          <w:p>
            <w:pPr>
              <w:ind w:left="1220"/>
              <w:spacing w:after="0"/>
              <w:rPr>
                <w:sz w:val="20"/>
                <w:szCs w:val="20"/>
                <w:color w:val="auto"/>
              </w:rPr>
            </w:pPr>
            <w:r>
              <w:rPr>
                <w:rFonts w:ascii="Calibri" w:cs="Calibri" w:eastAsia="Calibri" w:hAnsi="Calibri"/>
                <w:sz w:val="17"/>
                <w:szCs w:val="17"/>
                <w:color w:val="auto"/>
              </w:rPr>
              <w:t>including through:</w:t>
            </w: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0" w:type="dxa"/>
            <w:vAlign w:val="bottom"/>
            <w:tcBorders>
              <w:left w:val="single" w:sz="8" w:color="B2B2B2"/>
            </w:tcBorders>
          </w:tcPr>
          <w:p>
            <w:pPr>
              <w:spacing w:after="0"/>
              <w:rPr>
                <w:sz w:val="24"/>
                <w:szCs w:val="24"/>
                <w:color w:val="auto"/>
              </w:rPr>
            </w:pPr>
          </w:p>
        </w:tc>
        <w:tc>
          <w:tcPr>
            <w:tcW w:w="1420" w:type="dxa"/>
            <w:vAlign w:val="bottom"/>
          </w:tcPr>
          <w:p>
            <w:pPr>
              <w:ind w:left="1220"/>
              <w:spacing w:after="0"/>
              <w:rPr>
                <w:sz w:val="20"/>
                <w:szCs w:val="20"/>
                <w:color w:val="auto"/>
              </w:rPr>
            </w:pPr>
            <w:r>
              <w:rPr>
                <w:rFonts w:ascii="Calibri" w:cs="Calibri" w:eastAsia="Calibri" w:hAnsi="Calibri"/>
                <w:sz w:val="17"/>
                <w:szCs w:val="17"/>
                <w:color w:val="auto"/>
                <w:w w:val="70"/>
              </w:rPr>
              <w:t>• </w:t>
            </w:r>
          </w:p>
        </w:tc>
        <w:tc>
          <w:tcPr>
            <w:tcW w:w="8940" w:type="dxa"/>
            <w:vAlign w:val="bottom"/>
            <w:tcBorders>
              <w:right w:val="single" w:sz="8" w:color="B2B2B2"/>
            </w:tcBorders>
          </w:tcPr>
          <w:p>
            <w:pPr>
              <w:ind w:left="60"/>
              <w:spacing w:after="0"/>
              <w:rPr>
                <w:sz w:val="20"/>
                <w:szCs w:val="20"/>
                <w:color w:val="auto"/>
              </w:rPr>
            </w:pPr>
            <w:r>
              <w:rPr>
                <w:rFonts w:ascii="Calibri" w:cs="Calibri" w:eastAsia="Calibri" w:hAnsi="Calibri"/>
                <w:sz w:val="17"/>
                <w:szCs w:val="17"/>
                <w:color w:val="auto"/>
              </w:rPr>
              <w:t> contnuing to update our Sustainability page on our website, which highlights all of our relevant sustainability-related policies,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Borders>
              <w:left w:val="single" w:sz="8" w:color="B2B2B2"/>
            </w:tcBorders>
          </w:tcPr>
          <w:p>
            <w:pPr>
              <w:spacing w:after="0"/>
              <w:rPr>
                <w:sz w:val="18"/>
                <w:szCs w:val="18"/>
                <w:color w:val="auto"/>
              </w:rPr>
            </w:pPr>
          </w:p>
        </w:tc>
        <w:tc>
          <w:tcPr>
            <w:tcW w:w="1420" w:type="dxa"/>
            <w:vAlign w:val="bottom"/>
          </w:tcPr>
          <w:p>
            <w:pPr>
              <w:spacing w:after="0"/>
              <w:rPr>
                <w:sz w:val="18"/>
                <w:szCs w:val="18"/>
                <w:color w:val="auto"/>
              </w:rPr>
            </w:pPr>
          </w:p>
        </w:tc>
        <w:tc>
          <w:tcPr>
            <w:tcW w:w="8940" w:type="dxa"/>
            <w:vAlign w:val="bottom"/>
            <w:tcBorders>
              <w:right w:val="single" w:sz="8" w:color="B2B2B2"/>
            </w:tcBorders>
          </w:tcPr>
          <w:p>
            <w:pPr>
              <w:ind w:left="120"/>
              <w:spacing w:after="0"/>
              <w:rPr>
                <w:sz w:val="20"/>
                <w:szCs w:val="20"/>
                <w:color w:val="auto"/>
              </w:rPr>
            </w:pPr>
            <w:r>
              <w:rPr>
                <w:rFonts w:ascii="Calibri" w:cs="Calibri" w:eastAsia="Calibri" w:hAnsi="Calibri"/>
                <w:sz w:val="17"/>
                <w:szCs w:val="17"/>
                <w:color w:val="auto"/>
              </w:rPr>
              <w:t>reports, certfcatons and awards, targets and actvites, available at www.exlservice.com/about/sustainability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Borders>
              <w:left w:val="single" w:sz="8" w:color="B2B2B2"/>
            </w:tcBorders>
          </w:tcPr>
          <w:p>
            <w:pPr>
              <w:spacing w:after="0"/>
              <w:rPr>
                <w:sz w:val="18"/>
                <w:szCs w:val="18"/>
                <w:color w:val="auto"/>
              </w:rPr>
            </w:pPr>
          </w:p>
        </w:tc>
        <w:tc>
          <w:tcPr>
            <w:tcW w:w="1420" w:type="dxa"/>
            <w:vAlign w:val="bottom"/>
          </w:tcPr>
          <w:p>
            <w:pPr>
              <w:ind w:left="1220"/>
              <w:spacing w:after="0"/>
              <w:rPr>
                <w:sz w:val="20"/>
                <w:szCs w:val="20"/>
                <w:color w:val="auto"/>
              </w:rPr>
            </w:pPr>
            <w:r>
              <w:rPr>
                <w:rFonts w:ascii="Calibri" w:cs="Calibri" w:eastAsia="Calibri" w:hAnsi="Calibri"/>
                <w:sz w:val="17"/>
                <w:szCs w:val="17"/>
                <w:color w:val="auto"/>
                <w:w w:val="70"/>
              </w:rPr>
              <w:t>• </w:t>
            </w:r>
          </w:p>
        </w:tc>
        <w:tc>
          <w:tcPr>
            <w:tcW w:w="8940" w:type="dxa"/>
            <w:vAlign w:val="bottom"/>
            <w:tcBorders>
              <w:right w:val="single" w:sz="8" w:color="B2B2B2"/>
            </w:tcBorders>
          </w:tcPr>
          <w:p>
            <w:pPr>
              <w:ind w:left="60"/>
              <w:spacing w:after="0"/>
              <w:rPr>
                <w:sz w:val="20"/>
                <w:szCs w:val="20"/>
                <w:color w:val="auto"/>
              </w:rPr>
            </w:pPr>
            <w:r>
              <w:rPr>
                <w:rFonts w:ascii="Calibri" w:cs="Calibri" w:eastAsia="Calibri" w:hAnsi="Calibri"/>
                <w:sz w:val="17"/>
                <w:szCs w:val="17"/>
                <w:color w:val="auto"/>
              </w:rPr>
              <w:t> publishing our fourth Annual Sustainability Report developed in accordance with the 2021 Global Reportng Initatve (GRI)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Borders>
              <w:left w:val="single" w:sz="8" w:color="B2B2B2"/>
            </w:tcBorders>
          </w:tcPr>
          <w:p>
            <w:pPr>
              <w:spacing w:after="0"/>
              <w:rPr>
                <w:sz w:val="18"/>
                <w:szCs w:val="18"/>
                <w:color w:val="auto"/>
              </w:rPr>
            </w:pPr>
          </w:p>
        </w:tc>
        <w:tc>
          <w:tcPr>
            <w:tcW w:w="1420" w:type="dxa"/>
            <w:vAlign w:val="bottom"/>
          </w:tcPr>
          <w:p>
            <w:pPr>
              <w:spacing w:after="0"/>
              <w:rPr>
                <w:sz w:val="18"/>
                <w:szCs w:val="18"/>
                <w:color w:val="auto"/>
              </w:rPr>
            </w:pPr>
          </w:p>
        </w:tc>
        <w:tc>
          <w:tcPr>
            <w:tcW w:w="8940" w:type="dxa"/>
            <w:vAlign w:val="bottom"/>
            <w:tcBorders>
              <w:right w:val="single" w:sz="8" w:color="B2B2B2"/>
            </w:tcBorders>
          </w:tcPr>
          <w:p>
            <w:pPr>
              <w:ind w:left="120"/>
              <w:spacing w:after="0"/>
              <w:rPr>
                <w:sz w:val="20"/>
                <w:szCs w:val="20"/>
                <w:color w:val="auto"/>
              </w:rPr>
            </w:pPr>
            <w:r>
              <w:rPr>
                <w:rFonts w:ascii="Calibri" w:cs="Calibri" w:eastAsia="Calibri" w:hAnsi="Calibri"/>
                <w:sz w:val="17"/>
                <w:szCs w:val="17"/>
                <w:color w:val="auto"/>
              </w:rPr>
              <w:t>Standard, the Sustainability Accountng Standards Board (SASB) Sofware and IT Services Standard (2018), and the Task Force 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Borders>
              <w:left w:val="single" w:sz="8" w:color="B2B2B2"/>
            </w:tcBorders>
          </w:tcPr>
          <w:p>
            <w:pPr>
              <w:spacing w:after="0"/>
              <w:rPr>
                <w:sz w:val="18"/>
                <w:szCs w:val="18"/>
                <w:color w:val="auto"/>
              </w:rPr>
            </w:pPr>
          </w:p>
        </w:tc>
        <w:tc>
          <w:tcPr>
            <w:tcW w:w="1420" w:type="dxa"/>
            <w:vAlign w:val="bottom"/>
            <w:vMerge w:val="restart"/>
          </w:tcPr>
          <w:p>
            <w:pPr>
              <w:ind w:left="240"/>
              <w:spacing w:after="0" w:line="373" w:lineRule="exact"/>
              <w:rPr>
                <w:sz w:val="20"/>
                <w:szCs w:val="20"/>
                <w:color w:val="auto"/>
              </w:rPr>
            </w:pPr>
            <w:r>
              <w:rPr>
                <w:rFonts w:ascii="Calibri" w:cs="Calibri" w:eastAsia="Calibri" w:hAnsi="Calibri"/>
                <w:sz w:val="40"/>
                <w:szCs w:val="40"/>
                <w:b w:val="1"/>
                <w:bCs w:val="1"/>
                <w:color w:val="FB4E0B"/>
              </w:rPr>
              <w:t>3</w:t>
            </w:r>
          </w:p>
        </w:tc>
        <w:tc>
          <w:tcPr>
            <w:tcW w:w="8940" w:type="dxa"/>
            <w:vAlign w:val="bottom"/>
            <w:tcBorders>
              <w:right w:val="single" w:sz="8" w:color="B2B2B2"/>
            </w:tcBorders>
          </w:tcPr>
          <w:p>
            <w:pPr>
              <w:ind w:left="120"/>
              <w:spacing w:after="0"/>
              <w:rPr>
                <w:sz w:val="20"/>
                <w:szCs w:val="20"/>
                <w:color w:val="auto"/>
              </w:rPr>
            </w:pPr>
            <w:r>
              <w:rPr>
                <w:rFonts w:ascii="Calibri" w:cs="Calibri" w:eastAsia="Calibri" w:hAnsi="Calibri"/>
                <w:sz w:val="17"/>
                <w:szCs w:val="17"/>
                <w:color w:val="auto"/>
              </w:rPr>
              <w:t>Climate-Related Financial Disclosures (TCFD), with assurance from a Big 4 accountng frm afliate, which is available on the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0" w:type="dxa"/>
            <w:vAlign w:val="bottom"/>
            <w:tcBorders>
              <w:left w:val="single" w:sz="8" w:color="B2B2B2"/>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940" w:type="dxa"/>
            <w:vAlign w:val="bottom"/>
            <w:tcBorders>
              <w:right w:val="single" w:sz="8" w:color="B2B2B2"/>
            </w:tcBorders>
            <w:vMerge w:val="restart"/>
          </w:tcPr>
          <w:p>
            <w:pPr>
              <w:ind w:left="120"/>
              <w:spacing w:after="0"/>
              <w:rPr>
                <w:sz w:val="20"/>
                <w:szCs w:val="20"/>
                <w:color w:val="auto"/>
              </w:rPr>
            </w:pPr>
            <w:r>
              <w:rPr>
                <w:rFonts w:ascii="Calibri" w:cs="Calibri" w:eastAsia="Calibri" w:hAnsi="Calibri"/>
                <w:sz w:val="17"/>
                <w:szCs w:val="17"/>
                <w:color w:val="auto"/>
              </w:rPr>
              <w:t>Sustainability page of our website at www.exlservice.com/about/sustainability</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60" w:type="dxa"/>
            <w:vAlign w:val="bottom"/>
            <w:tcBorders>
              <w:left w:val="single" w:sz="8" w:color="B2B2B2"/>
            </w:tcBorders>
          </w:tcPr>
          <w:p>
            <w:pPr>
              <w:spacing w:after="0"/>
              <w:rPr>
                <w:sz w:val="3"/>
                <w:szCs w:val="3"/>
                <w:color w:val="auto"/>
              </w:rPr>
            </w:pPr>
          </w:p>
        </w:tc>
        <w:tc>
          <w:tcPr>
            <w:tcW w:w="1420" w:type="dxa"/>
            <w:vAlign w:val="bottom"/>
          </w:tcPr>
          <w:p>
            <w:pPr>
              <w:spacing w:after="0"/>
              <w:rPr>
                <w:sz w:val="3"/>
                <w:szCs w:val="3"/>
                <w:color w:val="auto"/>
              </w:rPr>
            </w:pPr>
          </w:p>
        </w:tc>
        <w:tc>
          <w:tcPr>
            <w:tcW w:w="8940" w:type="dxa"/>
            <w:vAlign w:val="bottom"/>
            <w:tcBorders>
              <w:right w:val="single" w:sz="8" w:color="B2B2B2"/>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Borders>
              <w:left w:val="single" w:sz="8" w:color="B2B2B2"/>
            </w:tcBorders>
          </w:tcPr>
          <w:p>
            <w:pPr>
              <w:spacing w:after="0"/>
              <w:rPr>
                <w:sz w:val="18"/>
                <w:szCs w:val="18"/>
                <w:color w:val="auto"/>
              </w:rPr>
            </w:pPr>
          </w:p>
        </w:tc>
        <w:tc>
          <w:tcPr>
            <w:tcW w:w="1420" w:type="dxa"/>
            <w:vAlign w:val="bottom"/>
          </w:tcPr>
          <w:p>
            <w:pPr>
              <w:ind w:left="1220"/>
              <w:spacing w:after="0"/>
              <w:rPr>
                <w:sz w:val="20"/>
                <w:szCs w:val="20"/>
                <w:color w:val="auto"/>
              </w:rPr>
            </w:pPr>
            <w:r>
              <w:rPr>
                <w:rFonts w:ascii="Calibri" w:cs="Calibri" w:eastAsia="Calibri" w:hAnsi="Calibri"/>
                <w:sz w:val="17"/>
                <w:szCs w:val="17"/>
                <w:color w:val="auto"/>
                <w:w w:val="70"/>
              </w:rPr>
              <w:t>• </w:t>
            </w:r>
          </w:p>
        </w:tc>
        <w:tc>
          <w:tcPr>
            <w:tcW w:w="8940" w:type="dxa"/>
            <w:vAlign w:val="bottom"/>
            <w:tcBorders>
              <w:right w:val="single" w:sz="8" w:color="B2B2B2"/>
            </w:tcBorders>
          </w:tcPr>
          <w:p>
            <w:pPr>
              <w:ind w:left="60"/>
              <w:spacing w:after="0"/>
              <w:rPr>
                <w:sz w:val="20"/>
                <w:szCs w:val="20"/>
                <w:color w:val="auto"/>
              </w:rPr>
            </w:pPr>
            <w:r>
              <w:rPr>
                <w:rFonts w:ascii="Calibri" w:cs="Calibri" w:eastAsia="Calibri" w:hAnsi="Calibri"/>
                <w:sz w:val="17"/>
                <w:szCs w:val="17"/>
                <w:color w:val="auto"/>
              </w:rPr>
              <w:t> implementng the controls, processes and frameworks around sustainability data collecton and reportng that we developed at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Borders>
              <w:left w:val="single" w:sz="8" w:color="B2B2B2"/>
            </w:tcBorders>
          </w:tcPr>
          <w:p>
            <w:pPr>
              <w:spacing w:after="0"/>
              <w:rPr>
                <w:sz w:val="18"/>
                <w:szCs w:val="18"/>
                <w:color w:val="auto"/>
              </w:rPr>
            </w:pPr>
          </w:p>
        </w:tc>
        <w:tc>
          <w:tcPr>
            <w:tcW w:w="1420" w:type="dxa"/>
            <w:vAlign w:val="bottom"/>
          </w:tcPr>
          <w:p>
            <w:pPr>
              <w:spacing w:after="0"/>
              <w:rPr>
                <w:sz w:val="18"/>
                <w:szCs w:val="18"/>
                <w:color w:val="auto"/>
              </w:rPr>
            </w:pPr>
          </w:p>
        </w:tc>
        <w:tc>
          <w:tcPr>
            <w:tcW w:w="8940" w:type="dxa"/>
            <w:vAlign w:val="bottom"/>
            <w:tcBorders>
              <w:right w:val="single" w:sz="8" w:color="B2B2B2"/>
            </w:tcBorders>
          </w:tcPr>
          <w:p>
            <w:pPr>
              <w:ind w:left="120"/>
              <w:spacing w:after="0"/>
              <w:rPr>
                <w:sz w:val="20"/>
                <w:szCs w:val="20"/>
                <w:color w:val="auto"/>
              </w:rPr>
            </w:pPr>
            <w:r>
              <w:rPr>
                <w:rFonts w:ascii="Calibri" w:cs="Calibri" w:eastAsia="Calibri" w:hAnsi="Calibri"/>
                <w:sz w:val="17"/>
                <w:szCs w:val="17"/>
                <w:color w:val="auto"/>
              </w:rPr>
              <w:t>the end of 2022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Borders>
              <w:left w:val="single" w:sz="8" w:color="B2B2B2"/>
            </w:tcBorders>
          </w:tcPr>
          <w:p>
            <w:pPr>
              <w:spacing w:after="0"/>
              <w:rPr>
                <w:sz w:val="18"/>
                <w:szCs w:val="18"/>
                <w:color w:val="auto"/>
              </w:rPr>
            </w:pPr>
          </w:p>
        </w:tc>
        <w:tc>
          <w:tcPr>
            <w:tcW w:w="1420" w:type="dxa"/>
            <w:vAlign w:val="bottom"/>
          </w:tcPr>
          <w:p>
            <w:pPr>
              <w:ind w:left="1220"/>
              <w:spacing w:after="0"/>
              <w:rPr>
                <w:sz w:val="20"/>
                <w:szCs w:val="20"/>
                <w:color w:val="auto"/>
              </w:rPr>
            </w:pPr>
            <w:r>
              <w:rPr>
                <w:rFonts w:ascii="Calibri" w:cs="Calibri" w:eastAsia="Calibri" w:hAnsi="Calibri"/>
                <w:sz w:val="17"/>
                <w:szCs w:val="17"/>
                <w:color w:val="auto"/>
                <w:w w:val="70"/>
              </w:rPr>
              <w:t>• </w:t>
            </w:r>
          </w:p>
        </w:tc>
        <w:tc>
          <w:tcPr>
            <w:tcW w:w="8940" w:type="dxa"/>
            <w:vAlign w:val="bottom"/>
            <w:tcBorders>
              <w:right w:val="single" w:sz="8" w:color="B2B2B2"/>
            </w:tcBorders>
          </w:tcPr>
          <w:p>
            <w:pPr>
              <w:ind w:left="60"/>
              <w:spacing w:after="0"/>
              <w:rPr>
                <w:sz w:val="20"/>
                <w:szCs w:val="20"/>
                <w:color w:val="auto"/>
              </w:rPr>
            </w:pPr>
            <w:r>
              <w:rPr>
                <w:rFonts w:ascii="Calibri" w:cs="Calibri" w:eastAsia="Calibri" w:hAnsi="Calibri"/>
                <w:sz w:val="17"/>
                <w:szCs w:val="17"/>
                <w:color w:val="auto"/>
              </w:rPr>
              <w:t> completng a Company-wide internal amplifcaton campaign aimed at driving employee support and partcipaton in our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Borders>
              <w:left w:val="single" w:sz="8" w:color="B2B2B2"/>
            </w:tcBorders>
          </w:tcPr>
          <w:p>
            <w:pPr>
              <w:spacing w:after="0"/>
              <w:rPr>
                <w:sz w:val="18"/>
                <w:szCs w:val="18"/>
                <w:color w:val="auto"/>
              </w:rPr>
            </w:pPr>
          </w:p>
        </w:tc>
        <w:tc>
          <w:tcPr>
            <w:tcW w:w="1420" w:type="dxa"/>
            <w:vAlign w:val="bottom"/>
          </w:tcPr>
          <w:p>
            <w:pPr>
              <w:spacing w:after="0"/>
              <w:rPr>
                <w:sz w:val="18"/>
                <w:szCs w:val="18"/>
                <w:color w:val="auto"/>
              </w:rPr>
            </w:pPr>
          </w:p>
        </w:tc>
        <w:tc>
          <w:tcPr>
            <w:tcW w:w="8940" w:type="dxa"/>
            <w:vAlign w:val="bottom"/>
            <w:tcBorders>
              <w:right w:val="single" w:sz="8" w:color="B2B2B2"/>
            </w:tcBorders>
          </w:tcPr>
          <w:p>
            <w:pPr>
              <w:ind w:left="120"/>
              <w:spacing w:after="0"/>
              <w:rPr>
                <w:sz w:val="20"/>
                <w:szCs w:val="20"/>
                <w:color w:val="auto"/>
              </w:rPr>
            </w:pPr>
            <w:r>
              <w:rPr>
                <w:rFonts w:ascii="Calibri" w:cs="Calibri" w:eastAsia="Calibri" w:hAnsi="Calibri"/>
                <w:sz w:val="17"/>
                <w:szCs w:val="17"/>
                <w:color w:val="auto"/>
              </w:rPr>
              <w:t>sustainability eforts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Borders>
              <w:left w:val="single" w:sz="8" w:color="B2B2B2"/>
            </w:tcBorders>
          </w:tcPr>
          <w:p>
            <w:pPr>
              <w:spacing w:after="0"/>
              <w:rPr>
                <w:sz w:val="18"/>
                <w:szCs w:val="18"/>
                <w:color w:val="auto"/>
              </w:rPr>
            </w:pPr>
          </w:p>
        </w:tc>
        <w:tc>
          <w:tcPr>
            <w:tcW w:w="1420" w:type="dxa"/>
            <w:vAlign w:val="bottom"/>
          </w:tcPr>
          <w:p>
            <w:pPr>
              <w:ind w:left="1220"/>
              <w:spacing w:after="0"/>
              <w:rPr>
                <w:sz w:val="20"/>
                <w:szCs w:val="20"/>
                <w:color w:val="auto"/>
              </w:rPr>
            </w:pPr>
            <w:r>
              <w:rPr>
                <w:rFonts w:ascii="Calibri" w:cs="Calibri" w:eastAsia="Calibri" w:hAnsi="Calibri"/>
                <w:sz w:val="17"/>
                <w:szCs w:val="17"/>
                <w:color w:val="auto"/>
                <w:w w:val="70"/>
              </w:rPr>
              <w:t>• </w:t>
            </w:r>
          </w:p>
        </w:tc>
        <w:tc>
          <w:tcPr>
            <w:tcW w:w="8940" w:type="dxa"/>
            <w:vAlign w:val="bottom"/>
            <w:tcBorders>
              <w:right w:val="single" w:sz="8" w:color="B2B2B2"/>
            </w:tcBorders>
          </w:tcPr>
          <w:p>
            <w:pPr>
              <w:ind w:left="60"/>
              <w:spacing w:after="0"/>
              <w:rPr>
                <w:sz w:val="20"/>
                <w:szCs w:val="20"/>
                <w:color w:val="auto"/>
              </w:rPr>
            </w:pPr>
            <w:r>
              <w:rPr>
                <w:rFonts w:ascii="Calibri" w:cs="Calibri" w:eastAsia="Calibri" w:hAnsi="Calibri"/>
                <w:sz w:val="17"/>
                <w:szCs w:val="17"/>
                <w:color w:val="auto"/>
              </w:rPr>
              <w:t> engaging with our management, employees, clients and investors in a materiality assessment conducted by an independent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Borders>
              <w:left w:val="single" w:sz="8" w:color="B2B2B2"/>
            </w:tcBorders>
          </w:tcPr>
          <w:p>
            <w:pPr>
              <w:spacing w:after="0"/>
              <w:rPr>
                <w:sz w:val="18"/>
                <w:szCs w:val="18"/>
                <w:color w:val="auto"/>
              </w:rPr>
            </w:pPr>
          </w:p>
        </w:tc>
        <w:tc>
          <w:tcPr>
            <w:tcW w:w="1420" w:type="dxa"/>
            <w:vAlign w:val="bottom"/>
          </w:tcPr>
          <w:p>
            <w:pPr>
              <w:spacing w:after="0"/>
              <w:rPr>
                <w:sz w:val="18"/>
                <w:szCs w:val="18"/>
                <w:color w:val="auto"/>
              </w:rPr>
            </w:pPr>
          </w:p>
        </w:tc>
        <w:tc>
          <w:tcPr>
            <w:tcW w:w="8940" w:type="dxa"/>
            <w:vAlign w:val="bottom"/>
            <w:tcBorders>
              <w:right w:val="single" w:sz="8" w:color="B2B2B2"/>
            </w:tcBorders>
          </w:tcPr>
          <w:p>
            <w:pPr>
              <w:ind w:left="120"/>
              <w:spacing w:after="0"/>
              <w:rPr>
                <w:sz w:val="20"/>
                <w:szCs w:val="20"/>
                <w:color w:val="auto"/>
              </w:rPr>
            </w:pPr>
            <w:r>
              <w:rPr>
                <w:rFonts w:ascii="Calibri" w:cs="Calibri" w:eastAsia="Calibri" w:hAnsi="Calibri"/>
                <w:sz w:val="17"/>
                <w:szCs w:val="17"/>
                <w:color w:val="auto"/>
              </w:rPr>
              <w:t>third party, through which we identfed priority sustainability topics to help inform our sustainability strategy and reportng,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Borders>
              <w:left w:val="single" w:sz="8" w:color="B2B2B2"/>
            </w:tcBorders>
          </w:tcPr>
          <w:p>
            <w:pPr>
              <w:spacing w:after="0"/>
              <w:rPr>
                <w:sz w:val="18"/>
                <w:szCs w:val="18"/>
                <w:color w:val="auto"/>
              </w:rPr>
            </w:pPr>
          </w:p>
        </w:tc>
        <w:tc>
          <w:tcPr>
            <w:tcW w:w="1420" w:type="dxa"/>
            <w:vAlign w:val="bottom"/>
          </w:tcPr>
          <w:p>
            <w:pPr>
              <w:spacing w:after="0"/>
              <w:rPr>
                <w:sz w:val="18"/>
                <w:szCs w:val="18"/>
                <w:color w:val="auto"/>
              </w:rPr>
            </w:pPr>
          </w:p>
        </w:tc>
        <w:tc>
          <w:tcPr>
            <w:tcW w:w="8940" w:type="dxa"/>
            <w:vAlign w:val="bottom"/>
            <w:tcBorders>
              <w:right w:val="single" w:sz="8" w:color="B2B2B2"/>
            </w:tcBorders>
          </w:tcPr>
          <w:p>
            <w:pPr>
              <w:ind w:left="120"/>
              <w:spacing w:after="0"/>
              <w:rPr>
                <w:sz w:val="20"/>
                <w:szCs w:val="20"/>
                <w:color w:val="auto"/>
              </w:rPr>
            </w:pPr>
            <w:r>
              <w:rPr>
                <w:rFonts w:ascii="Calibri" w:cs="Calibri" w:eastAsia="Calibri" w:hAnsi="Calibri"/>
                <w:sz w:val="17"/>
                <w:szCs w:val="17"/>
                <w:color w:val="auto"/>
              </w:rPr>
              <w:t>the results of which are available on the Sustainability page of our website at www.exlservice.com/about/sustainability</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60" w:type="dxa"/>
            <w:vAlign w:val="bottom"/>
            <w:tcBorders>
              <w:left w:val="single" w:sz="8" w:color="B2B2B2"/>
              <w:bottom w:val="single" w:sz="8" w:color="B2B2B2"/>
            </w:tcBorders>
          </w:tcPr>
          <w:p>
            <w:pPr>
              <w:spacing w:after="0"/>
              <w:rPr>
                <w:sz w:val="23"/>
                <w:szCs w:val="23"/>
                <w:color w:val="auto"/>
              </w:rPr>
            </w:pPr>
          </w:p>
        </w:tc>
        <w:tc>
          <w:tcPr>
            <w:tcW w:w="1420" w:type="dxa"/>
            <w:vAlign w:val="bottom"/>
            <w:tcBorders>
              <w:bottom w:val="single" w:sz="8" w:color="B2B2B2"/>
            </w:tcBorders>
          </w:tcPr>
          <w:p>
            <w:pPr>
              <w:spacing w:after="0"/>
              <w:rPr>
                <w:sz w:val="23"/>
                <w:szCs w:val="23"/>
                <w:color w:val="auto"/>
              </w:rPr>
            </w:pPr>
          </w:p>
        </w:tc>
        <w:tc>
          <w:tcPr>
            <w:tcW w:w="8940" w:type="dxa"/>
            <w:vAlign w:val="bottom"/>
            <w:tcBorders>
              <w:bottom w:val="single" w:sz="8" w:color="B2B2B2"/>
              <w:right w:val="single" w:sz="8" w:color="B2B2B2"/>
            </w:tcBorders>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0" w:type="dxa"/>
            <w:vAlign w:val="bottom"/>
          </w:tcPr>
          <w:p>
            <w:pPr>
              <w:spacing w:after="0" w:line="117" w:lineRule="exact"/>
              <w:rPr>
                <w:sz w:val="20"/>
                <w:szCs w:val="20"/>
                <w:color w:val="auto"/>
              </w:rPr>
            </w:pPr>
            <w:r>
              <w:rPr>
                <w:rFonts w:ascii="Calibri" w:cs="Calibri" w:eastAsia="Calibri" w:hAnsi="Calibri"/>
                <w:sz w:val="10"/>
                <w:szCs w:val="10"/>
                <w:color w:val="auto"/>
              </w:rPr>
              <w:t> </w:t>
            </w:r>
          </w:p>
        </w:tc>
        <w:tc>
          <w:tcPr>
            <w:tcW w:w="1420" w:type="dxa"/>
            <w:vAlign w:val="bottom"/>
          </w:tcPr>
          <w:p>
            <w:pPr>
              <w:ind w:left="1220"/>
              <w:spacing w:after="0" w:line="117" w:lineRule="exact"/>
              <w:rPr>
                <w:sz w:val="20"/>
                <w:szCs w:val="20"/>
                <w:color w:val="auto"/>
              </w:rPr>
            </w:pPr>
            <w:r>
              <w:rPr>
                <w:rFonts w:ascii="Calibri" w:cs="Calibri" w:eastAsia="Calibri" w:hAnsi="Calibri"/>
                <w:sz w:val="10"/>
                <w:szCs w:val="10"/>
                <w:color w:val="auto"/>
              </w:rPr>
              <w:t> </w:t>
            </w: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3810</wp:posOffset>
            </wp:positionV>
            <wp:extent cx="6748780" cy="9417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48780" cy="941705"/>
                    </a:xfrm>
                    <a:prstGeom prst="rect">
                      <a:avLst/>
                    </a:prstGeom>
                    <a:noFill/>
                  </pic:spPr>
                </pic:pic>
              </a:graphicData>
            </a:graphic>
          </wp:anchor>
        </w:drawing>
      </w:r>
    </w:p>
    <w:p>
      <w:pPr>
        <w:spacing w:after="0" w:line="29" w:lineRule="exact"/>
        <w:rPr>
          <w:sz w:val="20"/>
          <w:szCs w:val="20"/>
          <w:color w:val="auto"/>
        </w:rPr>
      </w:pPr>
    </w:p>
    <w:p>
      <w:pPr>
        <w:ind w:left="1820"/>
        <w:spacing w:after="0"/>
        <w:rPr>
          <w:sz w:val="20"/>
          <w:szCs w:val="20"/>
          <w:color w:val="auto"/>
        </w:rPr>
      </w:pPr>
      <w:r>
        <w:rPr>
          <w:rFonts w:ascii="Calibri" w:cs="Calibri" w:eastAsia="Calibri" w:hAnsi="Calibri"/>
          <w:sz w:val="17"/>
          <w:szCs w:val="17"/>
          <w:color w:val="auto"/>
        </w:rPr>
        <w:t>Contnued to actvely promote Company-sponsored community engagement by our employees, including through:</w:t>
      </w:r>
    </w:p>
    <w:tbl>
      <w:tblPr>
        <w:tblLayout w:type="fixed"/>
        <w:tblInd w:w="840" w:type="dxa"/>
        <w:tblCellMar>
          <w:top w:w="0" w:type="dxa"/>
          <w:left w:w="0" w:type="dxa"/>
          <w:bottom w:w="0" w:type="dxa"/>
          <w:right w:w="0" w:type="dxa"/>
        </w:tblCellMar>
      </w:tblPr>
      <w:tr>
        <w:trPr>
          <w:trHeight w:val="325"/>
        </w:trPr>
        <w:tc>
          <w:tcPr>
            <w:tcW w:w="600" w:type="dxa"/>
            <w:vAlign w:val="bottom"/>
            <w:vMerge w:val="restart"/>
          </w:tcPr>
          <w:p>
            <w:pPr>
              <w:jc w:val="right"/>
              <w:ind w:right="135"/>
              <w:spacing w:after="0" w:line="490" w:lineRule="exact"/>
              <w:rPr>
                <w:sz w:val="20"/>
                <w:szCs w:val="20"/>
                <w:color w:val="auto"/>
              </w:rPr>
            </w:pPr>
            <w:r>
              <w:rPr>
                <w:rFonts w:ascii="Calibri" w:cs="Calibri" w:eastAsia="Calibri" w:hAnsi="Calibri"/>
                <w:sz w:val="45"/>
                <w:szCs w:val="45"/>
                <w:b w:val="1"/>
                <w:bCs w:val="1"/>
                <w:color w:val="FB4E0B"/>
                <w:w w:val="96"/>
              </w:rPr>
              <w:t>4</w:t>
            </w:r>
          </w:p>
        </w:tc>
        <w:tc>
          <w:tcPr>
            <w:tcW w:w="580" w:type="dxa"/>
            <w:vAlign w:val="bottom"/>
          </w:tcPr>
          <w:p>
            <w:pPr>
              <w:ind w:left="380"/>
              <w:spacing w:after="0"/>
              <w:rPr>
                <w:sz w:val="20"/>
                <w:szCs w:val="20"/>
                <w:color w:val="auto"/>
              </w:rPr>
            </w:pPr>
            <w:r>
              <w:rPr>
                <w:rFonts w:ascii="Calibri" w:cs="Calibri" w:eastAsia="Calibri" w:hAnsi="Calibri"/>
                <w:sz w:val="17"/>
                <w:szCs w:val="17"/>
                <w:color w:val="auto"/>
                <w:w w:val="70"/>
              </w:rPr>
              <w:t>• </w:t>
            </w:r>
          </w:p>
        </w:tc>
        <w:tc>
          <w:tcPr>
            <w:tcW w:w="8880" w:type="dxa"/>
            <w:vAlign w:val="bottom"/>
          </w:tcPr>
          <w:p>
            <w:pPr>
              <w:ind w:left="60"/>
              <w:spacing w:after="0"/>
              <w:rPr>
                <w:sz w:val="20"/>
                <w:szCs w:val="20"/>
                <w:color w:val="auto"/>
              </w:rPr>
            </w:pPr>
            <w:r>
              <w:rPr>
                <w:rFonts w:ascii="Calibri" w:cs="Calibri" w:eastAsia="Calibri" w:hAnsi="Calibri"/>
                <w:sz w:val="17"/>
                <w:szCs w:val="17"/>
                <w:color w:val="auto"/>
                <w:w w:val="99"/>
              </w:rPr>
              <w:t> Engaging more than 19,000 volunteers overall in 2023, who contributed more than 37,000 hours of their tme to our community</w:t>
            </w:r>
          </w:p>
        </w:tc>
        <w:tc>
          <w:tcPr>
            <w:tcW w:w="0" w:type="dxa"/>
            <w:vAlign w:val="bottom"/>
          </w:tcPr>
          <w:p>
            <w:pPr>
              <w:spacing w:after="0"/>
              <w:rPr>
                <w:sz w:val="1"/>
                <w:szCs w:val="1"/>
                <w:color w:val="auto"/>
              </w:rPr>
            </w:pPr>
          </w:p>
        </w:tc>
      </w:tr>
      <w:tr>
        <w:trPr>
          <w:trHeight w:val="166"/>
        </w:trPr>
        <w:tc>
          <w:tcPr>
            <w:tcW w:w="6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880" w:type="dxa"/>
            <w:vAlign w:val="bottom"/>
            <w:vMerge w:val="restart"/>
          </w:tcPr>
          <w:p>
            <w:pPr>
              <w:ind w:left="120"/>
              <w:spacing w:after="0"/>
              <w:rPr>
                <w:sz w:val="20"/>
                <w:szCs w:val="20"/>
                <w:color w:val="auto"/>
              </w:rPr>
            </w:pPr>
            <w:r>
              <w:rPr>
                <w:rFonts w:ascii="Calibri" w:cs="Calibri" w:eastAsia="Calibri" w:hAnsi="Calibri"/>
                <w:sz w:val="17"/>
                <w:szCs w:val="17"/>
                <w:color w:val="auto"/>
              </w:rPr>
              <w:t>engagement initatves around the globe</w:t>
            </w:r>
          </w:p>
        </w:tc>
        <w:tc>
          <w:tcPr>
            <w:tcW w:w="0" w:type="dxa"/>
            <w:vAlign w:val="bottom"/>
          </w:tcPr>
          <w:p>
            <w:pPr>
              <w:spacing w:after="0"/>
              <w:rPr>
                <w:sz w:val="1"/>
                <w:szCs w:val="1"/>
                <w:color w:val="auto"/>
              </w:rPr>
            </w:pPr>
          </w:p>
        </w:tc>
      </w:tr>
      <w:tr>
        <w:trPr>
          <w:trHeight w:val="42"/>
        </w:trPr>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600" w:type="dxa"/>
            <w:vAlign w:val="bottom"/>
          </w:tcPr>
          <w:p>
            <w:pPr>
              <w:spacing w:after="0"/>
              <w:rPr>
                <w:sz w:val="18"/>
                <w:szCs w:val="18"/>
                <w:color w:val="auto"/>
              </w:rPr>
            </w:pPr>
          </w:p>
        </w:tc>
        <w:tc>
          <w:tcPr>
            <w:tcW w:w="580" w:type="dxa"/>
            <w:vAlign w:val="bottom"/>
          </w:tcPr>
          <w:p>
            <w:pPr>
              <w:ind w:left="380"/>
              <w:spacing w:after="0"/>
              <w:rPr>
                <w:sz w:val="20"/>
                <w:szCs w:val="20"/>
                <w:color w:val="auto"/>
              </w:rPr>
            </w:pPr>
            <w:r>
              <w:rPr>
                <w:rFonts w:ascii="Calibri" w:cs="Calibri" w:eastAsia="Calibri" w:hAnsi="Calibri"/>
                <w:sz w:val="17"/>
                <w:szCs w:val="17"/>
                <w:color w:val="auto"/>
                <w:w w:val="70"/>
              </w:rPr>
              <w:t>• </w:t>
            </w:r>
          </w:p>
        </w:tc>
        <w:tc>
          <w:tcPr>
            <w:tcW w:w="8880" w:type="dxa"/>
            <w:vAlign w:val="bottom"/>
          </w:tcPr>
          <w:p>
            <w:pPr>
              <w:ind w:left="60"/>
              <w:spacing w:after="0"/>
              <w:rPr>
                <w:sz w:val="20"/>
                <w:szCs w:val="20"/>
                <w:color w:val="auto"/>
              </w:rPr>
            </w:pPr>
            <w:r>
              <w:rPr>
                <w:rFonts w:ascii="Calibri" w:cs="Calibri" w:eastAsia="Calibri" w:hAnsi="Calibri"/>
                <w:sz w:val="17"/>
                <w:szCs w:val="17"/>
                <w:color w:val="auto"/>
              </w:rPr>
              <w:t> Bringing local relevance to our global community engagement initatves through our CSR champion teams comprised of</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700" w:type="dxa"/>
            <w:vAlign w:val="bottom"/>
          </w:tcPr>
          <w:p>
            <w:pPr>
              <w:spacing w:after="0"/>
              <w:rPr>
                <w:sz w:val="18"/>
                <w:szCs w:val="18"/>
                <w:color w:val="auto"/>
              </w:rPr>
            </w:pPr>
          </w:p>
        </w:tc>
        <w:tc>
          <w:tcPr>
            <w:tcW w:w="9920" w:type="dxa"/>
            <w:vAlign w:val="bottom"/>
            <w:gridSpan w:val="2"/>
          </w:tcPr>
          <w:p>
            <w:pPr>
              <w:ind w:left="1120"/>
              <w:spacing w:after="0"/>
              <w:rPr>
                <w:sz w:val="20"/>
                <w:szCs w:val="20"/>
                <w:color w:val="auto"/>
              </w:rPr>
            </w:pPr>
            <w:r>
              <w:rPr>
                <w:rFonts w:ascii="Calibri" w:cs="Calibri" w:eastAsia="Calibri" w:hAnsi="Calibri"/>
                <w:sz w:val="17"/>
                <w:szCs w:val="17"/>
                <w:color w:val="auto"/>
              </w:rPr>
              <w:t>employee volunteers, who own local-level community engagement actvites and drive partcipaton within their home regions</w:t>
            </w:r>
          </w:p>
        </w:tc>
        <w:tc>
          <w:tcPr>
            <w:tcW w:w="0" w:type="dxa"/>
            <w:vAlign w:val="bottom"/>
          </w:tcPr>
          <w:p>
            <w:pPr>
              <w:spacing w:after="0"/>
              <w:rPr>
                <w:sz w:val="1"/>
                <w:szCs w:val="1"/>
                <w:color w:val="auto"/>
              </w:rPr>
            </w:pPr>
          </w:p>
        </w:tc>
      </w:tr>
      <w:tr>
        <w:trPr>
          <w:trHeight w:val="270"/>
        </w:trPr>
        <w:tc>
          <w:tcPr>
            <w:tcW w:w="700" w:type="dxa"/>
            <w:vAlign w:val="bottom"/>
            <w:tcBorders>
              <w:bottom w:val="single" w:sz="8" w:color="B2B2B2"/>
            </w:tcBorders>
          </w:tcPr>
          <w:p>
            <w:pPr>
              <w:spacing w:after="0"/>
              <w:rPr>
                <w:sz w:val="23"/>
                <w:szCs w:val="23"/>
                <w:color w:val="auto"/>
              </w:rPr>
            </w:pPr>
          </w:p>
        </w:tc>
        <w:tc>
          <w:tcPr>
            <w:tcW w:w="5560" w:type="dxa"/>
            <w:vAlign w:val="bottom"/>
            <w:tcBorders>
              <w:bottom w:val="single" w:sz="8" w:color="B2B2B2"/>
            </w:tcBorders>
          </w:tcPr>
          <w:p>
            <w:pPr>
              <w:spacing w:after="0"/>
              <w:rPr>
                <w:sz w:val="23"/>
                <w:szCs w:val="23"/>
                <w:color w:val="auto"/>
              </w:rPr>
            </w:pPr>
          </w:p>
        </w:tc>
        <w:tc>
          <w:tcPr>
            <w:tcW w:w="4360" w:type="dxa"/>
            <w:vAlign w:val="bottom"/>
            <w:tcBorders>
              <w:bottom w:val="single" w:sz="8" w:color="B2B2B2"/>
            </w:tcBorders>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700" w:type="dxa"/>
            <w:vAlign w:val="bottom"/>
            <w:vMerge w:val="restart"/>
          </w:tcPr>
          <w:p>
            <w:pPr>
              <w:ind w:left="80"/>
              <w:spacing w:after="0"/>
              <w:rPr>
                <w:sz w:val="20"/>
                <w:szCs w:val="20"/>
                <w:color w:val="auto"/>
              </w:rPr>
            </w:pPr>
            <w:r>
              <w:rPr>
                <w:rFonts w:ascii="Calibri" w:cs="Calibri" w:eastAsia="Calibri" w:hAnsi="Calibri"/>
                <w:sz w:val="17"/>
                <w:szCs w:val="17"/>
                <w:b w:val="1"/>
                <w:bCs w:val="1"/>
                <w:color w:val="auto"/>
              </w:rPr>
              <w:t xml:space="preserve">44    </w:t>
            </w:r>
            <w:r>
              <w:rPr>
                <w:rFonts w:ascii="Calibri" w:cs="Calibri" w:eastAsia="Calibri" w:hAnsi="Calibri"/>
                <w:sz w:val="27"/>
                <w:szCs w:val="27"/>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36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70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Calibri" w:cs="Calibri" w:eastAsia="Calibri" w:hAnsi="Calibri"/>
                <w:sz w:val="14"/>
                <w:szCs w:val="14"/>
                <w:b w:val="1"/>
                <w:bCs w:val="1"/>
                <w:color w:val="005071"/>
                <w:w w:val="96"/>
              </w:rPr>
              <w:t>Sustainability</w:t>
            </w:r>
          </w:p>
        </w:tc>
        <w:tc>
          <w:tcPr>
            <w:tcW w:w="0" w:type="dxa"/>
            <w:vAlign w:val="bottom"/>
          </w:tcPr>
          <w:p>
            <w:pPr>
              <w:spacing w:after="0"/>
              <w:rPr>
                <w:sz w:val="1"/>
                <w:szCs w:val="1"/>
                <w:color w:val="auto"/>
              </w:rPr>
            </w:pPr>
          </w:p>
        </w:tc>
      </w:tr>
      <w:tr>
        <w:trPr>
          <w:trHeight w:val="742"/>
        </w:trPr>
        <w:tc>
          <w:tcPr>
            <w:tcW w:w="9700" w:type="dxa"/>
            <w:vAlign w:val="bottom"/>
            <w:gridSpan w:val="2"/>
          </w:tcPr>
          <w:p>
            <w:pPr>
              <w:spacing w:after="0"/>
              <w:rPr>
                <w:sz w:val="20"/>
                <w:szCs w:val="20"/>
                <w:color w:val="auto"/>
              </w:rPr>
            </w:pPr>
            <w:r>
              <w:rPr>
                <w:rFonts w:ascii="Calibri" w:cs="Calibri" w:eastAsia="Calibri" w:hAnsi="Calibri"/>
                <w:sz w:val="24"/>
                <w:szCs w:val="24"/>
                <w:color w:val="005071"/>
              </w:rPr>
              <w:t>Community engagement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9700" w:type="dxa"/>
            <w:vAlign w:val="bottom"/>
            <w:gridSpan w:val="2"/>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0"/>
                <w:szCs w:val="20"/>
                <w:color w:val="auto"/>
              </w:rPr>
            </w:pPr>
            <w:r>
              <w:rPr>
                <w:rFonts w:ascii="Calibri" w:cs="Calibri" w:eastAsia="Calibri" w:hAnsi="Calibri"/>
                <w:sz w:val="17"/>
                <w:szCs w:val="17"/>
                <w:color w:val="auto"/>
              </w:rPr>
              <w:t> </w:t>
            </w:r>
          </w:p>
        </w:tc>
        <w:tc>
          <w:tcPr>
            <w:tcW w:w="9480" w:type="dxa"/>
            <w:vAlign w:val="bottom"/>
            <w:vMerge w:val="restart"/>
            <w:shd w:val="clear" w:color="auto" w:fill="DCF3FA"/>
          </w:tcPr>
          <w:p>
            <w:pPr>
              <w:ind w:left="120"/>
              <w:spacing w:after="0"/>
              <w:rPr>
                <w:sz w:val="20"/>
                <w:szCs w:val="20"/>
                <w:color w:val="auto"/>
              </w:rPr>
            </w:pPr>
            <w:r>
              <w:rPr>
                <w:rFonts w:ascii="Calibri" w:cs="Calibri" w:eastAsia="Calibri" w:hAnsi="Calibri"/>
                <w:sz w:val="17"/>
                <w:szCs w:val="17"/>
                <w:color w:val="auto"/>
              </w:rPr>
              <w:t>EXL is focused on empowering our employees to assist the members of the communites in which we live and work to develop market-</w:t>
            </w:r>
          </w:p>
        </w:tc>
        <w:tc>
          <w:tcPr>
            <w:tcW w:w="920" w:type="dxa"/>
            <w:vAlign w:val="bottom"/>
            <w:shd w:val="clear" w:color="auto" w:fill="DCF3FA"/>
          </w:tcPr>
          <w:p>
            <w:pPr>
              <w:ind w:left="4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220" w:type="dxa"/>
            <w:vAlign w:val="bottom"/>
          </w:tcPr>
          <w:p>
            <w:pPr>
              <w:spacing w:after="0"/>
              <w:rPr>
                <w:sz w:val="10"/>
                <w:szCs w:val="10"/>
                <w:color w:val="auto"/>
              </w:rPr>
            </w:pPr>
          </w:p>
        </w:tc>
        <w:tc>
          <w:tcPr>
            <w:tcW w:w="9480" w:type="dxa"/>
            <w:vAlign w:val="bottom"/>
            <w:vMerge w:val="continue"/>
            <w:shd w:val="clear" w:color="auto" w:fill="DCF3FA"/>
          </w:tcPr>
          <w:p>
            <w:pPr>
              <w:spacing w:after="0"/>
              <w:rPr>
                <w:sz w:val="10"/>
                <w:szCs w:val="10"/>
                <w:color w:val="auto"/>
              </w:rPr>
            </w:pPr>
          </w:p>
        </w:tc>
        <w:tc>
          <w:tcPr>
            <w:tcW w:w="920" w:type="dxa"/>
            <w:vAlign w:val="bottom"/>
            <w:shd w:val="clear" w:color="auto" w:fill="DCF3FA"/>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9480" w:type="dxa"/>
            <w:vAlign w:val="bottom"/>
            <w:shd w:val="clear" w:color="auto" w:fill="DCF3FA"/>
          </w:tcPr>
          <w:p>
            <w:pPr>
              <w:ind w:left="120"/>
              <w:spacing w:after="0"/>
              <w:rPr>
                <w:sz w:val="20"/>
                <w:szCs w:val="20"/>
                <w:color w:val="auto"/>
              </w:rPr>
            </w:pPr>
            <w:r>
              <w:rPr>
                <w:rFonts w:ascii="Calibri" w:cs="Calibri" w:eastAsia="Calibri" w:hAnsi="Calibri"/>
                <w:sz w:val="17"/>
                <w:szCs w:val="17"/>
                <w:color w:val="auto"/>
              </w:rPr>
              <w:t>relevant skills. We provide programming on skills development for adults and children within our communites:</w:t>
            </w:r>
          </w:p>
        </w:tc>
        <w:tc>
          <w:tcPr>
            <w:tcW w:w="920" w:type="dxa"/>
            <w:vAlign w:val="bottom"/>
            <w:shd w:val="clear" w:color="auto" w:fill="DCF3FA"/>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9480" w:type="dxa"/>
            <w:vAlign w:val="bottom"/>
            <w:shd w:val="clear" w:color="auto" w:fill="DCF3FA"/>
          </w:tcPr>
          <w:p>
            <w:pPr>
              <w:spacing w:after="0"/>
              <w:rPr>
                <w:sz w:val="23"/>
                <w:szCs w:val="23"/>
                <w:color w:val="auto"/>
              </w:rPr>
            </w:pPr>
          </w:p>
        </w:tc>
        <w:tc>
          <w:tcPr>
            <w:tcW w:w="920" w:type="dxa"/>
            <w:vAlign w:val="bottom"/>
            <w:shd w:val="clear" w:color="auto" w:fill="DCF3FA"/>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-536575</wp:posOffset>
            </wp:positionV>
            <wp:extent cx="140335" cy="38080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0335" cy="3808095"/>
                    </a:xfrm>
                    <a:prstGeom prst="rect">
                      <a:avLst/>
                    </a:prstGeom>
                    <a:noFill/>
                  </pic:spPr>
                </pic:pic>
              </a:graphicData>
            </a:graphic>
          </wp:anchor>
        </w:drawing>
        <w:drawing>
          <wp:anchor simplePos="0" relativeHeight="251657728" behindDoc="1" locked="0" layoutInCell="0" allowOverlap="1">
            <wp:simplePos x="0" y="0"/>
            <wp:positionH relativeFrom="column">
              <wp:posOffset>3455670</wp:posOffset>
            </wp:positionH>
            <wp:positionV relativeFrom="paragraph">
              <wp:posOffset>0</wp:posOffset>
            </wp:positionV>
            <wp:extent cx="198120" cy="32715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98120" cy="327152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0</wp:posOffset>
            </wp:positionV>
            <wp:extent cx="198120" cy="32715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98120" cy="327152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ind w:left="1000"/>
        <w:spacing w:after="0" w:line="230" w:lineRule="auto"/>
        <w:rPr>
          <w:sz w:val="20"/>
          <w:szCs w:val="20"/>
          <w:color w:val="auto"/>
        </w:rPr>
      </w:pPr>
      <w:r>
        <w:rPr>
          <w:rFonts w:ascii="Calibri" w:cs="Calibri" w:eastAsia="Calibri" w:hAnsi="Calibri"/>
          <w:sz w:val="10"/>
          <w:szCs w:val="10"/>
          <w:color w:val="auto"/>
        </w:rPr>
        <w:t> </w:t>
      </w:r>
    </w:p>
    <w:p>
      <w:pPr>
        <w:ind w:left="1000"/>
        <w:spacing w:after="0" w:line="222" w:lineRule="auto"/>
        <w:rPr>
          <w:sz w:val="20"/>
          <w:szCs w:val="20"/>
          <w:color w:val="auto"/>
        </w:rPr>
      </w:pPr>
      <w:r>
        <w:rPr>
          <w:rFonts w:ascii="Calibri" w:cs="Calibri" w:eastAsia="Calibri" w:hAnsi="Calibri"/>
          <w:sz w:val="19"/>
          <w:szCs w:val="19"/>
          <w:b w:val="1"/>
          <w:bCs w:val="1"/>
          <w:color w:val="FB4E0B"/>
        </w:rPr>
        <w:t>Skills to Win Initatve</w:t>
      </w:r>
    </w:p>
    <w:p>
      <w:pPr>
        <w:spacing w:after="0" w:line="148" w:lineRule="exact"/>
        <w:rPr>
          <w:sz w:val="20"/>
          <w:szCs w:val="20"/>
          <w:color w:val="auto"/>
        </w:rPr>
      </w:pPr>
    </w:p>
    <w:p>
      <w:pPr>
        <w:ind w:left="1000" w:right="360"/>
        <w:spacing w:after="0" w:line="236" w:lineRule="auto"/>
        <w:rPr>
          <w:sz w:val="20"/>
          <w:szCs w:val="20"/>
          <w:color w:val="auto"/>
        </w:rPr>
      </w:pPr>
      <w:r>
        <w:rPr>
          <w:rFonts w:ascii="Calibri" w:cs="Calibri" w:eastAsia="Calibri" w:hAnsi="Calibri"/>
          <w:sz w:val="14"/>
          <w:szCs w:val="14"/>
          <w:color w:val="auto"/>
        </w:rPr>
        <w:t>Skills to Win focuses on equipping people in our communites with the skills that the market demands. We provide training on employability skills for back-ofce roles, fnance and accountng, and data and analytcs and digital capabilites, as well as life and general workplace skills. A porton of the Skills to Win Programming is delivered in person, and a porton is delivered online.</w:t>
      </w:r>
    </w:p>
    <w:p>
      <w:pPr>
        <w:spacing w:after="0" w:line="123" w:lineRule="exact"/>
        <w:rPr>
          <w:sz w:val="20"/>
          <w:szCs w:val="20"/>
          <w:color w:val="auto"/>
        </w:rPr>
      </w:pPr>
    </w:p>
    <w:p>
      <w:pPr>
        <w:ind w:left="1000" w:right="420"/>
        <w:spacing w:after="0" w:line="236" w:lineRule="auto"/>
        <w:rPr>
          <w:sz w:val="20"/>
          <w:szCs w:val="20"/>
          <w:color w:val="auto"/>
        </w:rPr>
      </w:pPr>
      <w:r>
        <w:rPr>
          <w:rFonts w:ascii="Calibri" w:cs="Calibri" w:eastAsia="Calibri" w:hAnsi="Calibri"/>
          <w:sz w:val="14"/>
          <w:szCs w:val="14"/>
          <w:color w:val="auto"/>
        </w:rPr>
        <w:t>In 2023, we contnued to scale the Skills to Win Initatve, reaching 400 more individual benefciaries than we reached in the prior year. Skills to Win is opening new doors for employment and earnings for partcipants in the United States, the Philippines, India, the United Kingdom and South Africa.</w:t>
      </w:r>
    </w:p>
    <w:p>
      <w:pPr>
        <w:spacing w:after="0" w:line="122" w:lineRule="exact"/>
        <w:rPr>
          <w:sz w:val="20"/>
          <w:szCs w:val="20"/>
          <w:color w:val="auto"/>
        </w:rPr>
      </w:pPr>
    </w:p>
    <w:p>
      <w:pPr>
        <w:ind w:left="1000" w:right="420"/>
        <w:spacing w:after="0" w:line="237" w:lineRule="auto"/>
        <w:rPr>
          <w:sz w:val="20"/>
          <w:szCs w:val="20"/>
          <w:color w:val="auto"/>
        </w:rPr>
      </w:pPr>
      <w:r>
        <w:rPr>
          <w:rFonts w:ascii="Calibri" w:cs="Calibri" w:eastAsia="Calibri" w:hAnsi="Calibri"/>
          <w:sz w:val="14"/>
          <w:szCs w:val="14"/>
          <w:color w:val="auto"/>
        </w:rPr>
        <w:t>Over the past six years, we have contnued to evolve this initatve to refect new and emerging skills and strengthen our portolio of courses and actvites ofered through Skills to Win. In 2022, we created a new focus area for our Skills to Win Initatve to target bringing STEM skills-and in partcular, coding skills- to girls, women and non-binary people in our communites, which we further expanded in 2023. We currently partcipate in coding skills and awareness programming in India, the Philippines, South Africa and the United Kingdom through partnerships with organizatons and insttutons in each of those locatons.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FB4E0B"/>
        </w:rPr>
        <w:t>Educaton as a Foundaton Initatve</w:t>
      </w:r>
    </w:p>
    <w:p>
      <w:pPr>
        <w:spacing w:after="0" w:line="147" w:lineRule="exact"/>
        <w:rPr>
          <w:sz w:val="20"/>
          <w:szCs w:val="20"/>
          <w:color w:val="auto"/>
        </w:rPr>
      </w:pPr>
    </w:p>
    <w:p>
      <w:pPr>
        <w:ind w:right="680"/>
        <w:spacing w:after="0" w:line="236" w:lineRule="auto"/>
        <w:rPr>
          <w:sz w:val="20"/>
          <w:szCs w:val="20"/>
          <w:color w:val="auto"/>
        </w:rPr>
      </w:pPr>
      <w:r>
        <w:rPr>
          <w:rFonts w:ascii="Calibri" w:cs="Calibri" w:eastAsia="Calibri" w:hAnsi="Calibri"/>
          <w:sz w:val="14"/>
          <w:szCs w:val="14"/>
          <w:color w:val="auto"/>
        </w:rPr>
        <w:t>Educaton as a Foundaton provides school-aged children with a foundaton in data and analytcs skills, as well as extracurricular actvites such as art, music, ftness, and languages and life skills, all of which will enable them to positon themselves as future leaders. We use a blend of online and in person learning platorms, and have expanded the role of our students’ parents as co-educators.</w:t>
      </w:r>
    </w:p>
    <w:p>
      <w:pPr>
        <w:spacing w:after="0" w:line="123" w:lineRule="exact"/>
        <w:rPr>
          <w:sz w:val="20"/>
          <w:szCs w:val="20"/>
          <w:color w:val="auto"/>
        </w:rPr>
      </w:pPr>
    </w:p>
    <w:p>
      <w:pPr>
        <w:ind w:right="660"/>
        <w:spacing w:after="0" w:line="257" w:lineRule="auto"/>
        <w:rPr>
          <w:sz w:val="20"/>
          <w:szCs w:val="20"/>
          <w:color w:val="auto"/>
        </w:rPr>
      </w:pPr>
      <w:r>
        <w:rPr>
          <w:rFonts w:ascii="Calibri" w:cs="Calibri" w:eastAsia="Calibri" w:hAnsi="Calibri"/>
          <w:sz w:val="13"/>
          <w:szCs w:val="13"/>
          <w:color w:val="auto"/>
        </w:rPr>
        <w:t>Over the past two years, we have also added a new focus in our content on the physical and mental wellbeing of our students and their families. For example, in 2023, we collaborated with our non-proft partner organizatons and afliated schools in India to reintegrate into the educaton system female students who had previously exited formal schooling, through the delivery of educaton on specifc skills, including mental wellness and personal hygiene, as well as direct educatonal skills.</w:t>
      </w:r>
    </w:p>
    <w:p>
      <w:pPr>
        <w:spacing w:after="0" w:line="111" w:lineRule="exact"/>
        <w:rPr>
          <w:sz w:val="20"/>
          <w:szCs w:val="20"/>
          <w:color w:val="auto"/>
        </w:rPr>
      </w:pPr>
    </w:p>
    <w:p>
      <w:pPr>
        <w:ind w:right="660"/>
        <w:spacing w:after="0" w:line="236" w:lineRule="auto"/>
        <w:rPr>
          <w:sz w:val="20"/>
          <w:szCs w:val="20"/>
          <w:color w:val="auto"/>
        </w:rPr>
      </w:pPr>
      <w:r>
        <w:rPr>
          <w:rFonts w:ascii="Calibri" w:cs="Calibri" w:eastAsia="Calibri" w:hAnsi="Calibri"/>
          <w:sz w:val="14"/>
          <w:szCs w:val="14"/>
          <w:color w:val="auto"/>
        </w:rPr>
        <w:t>Like our Skills to Win Initatve, in 2023, we were able to contnue to scale this program, in part as a result of our use of a hybrid in-classroom and virtual format, to reach more than 8,000 more students than we had in the prior year.</w:t>
      </w:r>
    </w:p>
    <w:p>
      <w:pPr>
        <w:spacing w:after="0" w:line="708" w:lineRule="exact"/>
        <w:rPr>
          <w:sz w:val="20"/>
          <w:szCs w:val="20"/>
          <w:color w:val="auto"/>
        </w:rPr>
      </w:pPr>
    </w:p>
    <w:p>
      <w:pPr>
        <w:sectPr>
          <w:pgSz w:w="11900" w:h="16838" w:orient="portrait"/>
          <w:cols w:equalWidth="0" w:num="2">
            <w:col w:w="5460" w:space="720"/>
            <w:col w:w="4760"/>
          </w:cols>
          <w:pgMar w:left="320" w:top="471" w:right="639" w:bottom="1440" w:gutter="0" w:footer="0" w:header="0"/>
          <w:type w:val="continuous"/>
        </w:sectPr>
      </w:pPr>
    </w:p>
    <w:p>
      <w:pPr>
        <w:spacing w:after="0" w:line="26" w:lineRule="exact"/>
        <w:rPr>
          <w:sz w:val="20"/>
          <w:szCs w:val="20"/>
          <w:color w:val="auto"/>
        </w:rPr>
      </w:pPr>
    </w:p>
    <w:tbl>
      <w:tblPr>
        <w:tblLayout w:type="fixed"/>
        <w:tblInd w:w="540" w:type="dxa"/>
        <w:tblCellMar>
          <w:top w:w="0" w:type="dxa"/>
          <w:left w:w="0" w:type="dxa"/>
          <w:bottom w:w="0" w:type="dxa"/>
          <w:right w:w="0" w:type="dxa"/>
        </w:tblCellMar>
      </w:tblPr>
      <w:tr>
        <w:trPr>
          <w:trHeight w:val="285"/>
        </w:trPr>
        <w:tc>
          <w:tcPr>
            <w:tcW w:w="4900" w:type="dxa"/>
            <w:vAlign w:val="bottom"/>
            <w:shd w:val="clear" w:color="auto" w:fill="FDA685"/>
          </w:tcPr>
          <w:p>
            <w:pPr>
              <w:jc w:val="center"/>
              <w:ind w:left="62"/>
              <w:spacing w:after="0"/>
              <w:rPr>
                <w:sz w:val="20"/>
                <w:szCs w:val="20"/>
                <w:color w:val="auto"/>
              </w:rPr>
            </w:pPr>
            <w:r>
              <w:rPr>
                <w:rFonts w:ascii="Calibri" w:cs="Calibri" w:eastAsia="Calibri" w:hAnsi="Calibri"/>
                <w:sz w:val="16"/>
                <w:szCs w:val="16"/>
                <w:b w:val="1"/>
                <w:bCs w:val="1"/>
                <w:color w:val="auto"/>
                <w:w w:val="97"/>
              </w:rPr>
              <w:t>In 2023, we brought this program to more than 3,800 people in</w:t>
            </w:r>
          </w:p>
        </w:tc>
        <w:tc>
          <w:tcPr>
            <w:tcW w:w="320" w:type="dxa"/>
            <w:vAlign w:val="bottom"/>
          </w:tcPr>
          <w:p>
            <w:pPr>
              <w:spacing w:after="0"/>
              <w:rPr>
                <w:sz w:val="24"/>
                <w:szCs w:val="24"/>
                <w:color w:val="auto"/>
              </w:rPr>
            </w:pPr>
          </w:p>
        </w:tc>
        <w:tc>
          <w:tcPr>
            <w:tcW w:w="4860" w:type="dxa"/>
            <w:vAlign w:val="bottom"/>
            <w:shd w:val="clear" w:color="auto" w:fill="FDA685"/>
          </w:tcPr>
          <w:p>
            <w:pPr>
              <w:jc w:val="center"/>
              <w:ind w:left="22"/>
              <w:spacing w:after="0"/>
              <w:rPr>
                <w:sz w:val="20"/>
                <w:szCs w:val="20"/>
                <w:color w:val="auto"/>
              </w:rPr>
            </w:pPr>
            <w:r>
              <w:rPr>
                <w:rFonts w:ascii="Calibri" w:cs="Calibri" w:eastAsia="Calibri" w:hAnsi="Calibri"/>
                <w:sz w:val="16"/>
                <w:szCs w:val="16"/>
                <w:b w:val="1"/>
                <w:bCs w:val="1"/>
                <w:color w:val="auto"/>
                <w:w w:val="97"/>
              </w:rPr>
              <w:t>In 2023, we brought this program to more than 19,200 students</w:t>
            </w:r>
          </w:p>
        </w:tc>
      </w:tr>
      <w:tr>
        <w:trPr>
          <w:trHeight w:val="195"/>
        </w:trPr>
        <w:tc>
          <w:tcPr>
            <w:tcW w:w="4900" w:type="dxa"/>
            <w:vAlign w:val="bottom"/>
            <w:shd w:val="clear" w:color="auto" w:fill="FDA685"/>
          </w:tcPr>
          <w:p>
            <w:pPr>
              <w:jc w:val="center"/>
              <w:ind w:left="62"/>
              <w:spacing w:after="0"/>
              <w:rPr>
                <w:sz w:val="20"/>
                <w:szCs w:val="20"/>
                <w:color w:val="auto"/>
              </w:rPr>
            </w:pPr>
            <w:r>
              <w:rPr>
                <w:rFonts w:ascii="Calibri" w:cs="Calibri" w:eastAsia="Calibri" w:hAnsi="Calibri"/>
                <w:sz w:val="16"/>
                <w:szCs w:val="16"/>
                <w:b w:val="1"/>
                <w:bCs w:val="1"/>
                <w:color w:val="auto"/>
                <w:w w:val="99"/>
              </w:rPr>
              <w:t>our communites across the globe.</w:t>
            </w:r>
          </w:p>
        </w:tc>
        <w:tc>
          <w:tcPr>
            <w:tcW w:w="320" w:type="dxa"/>
            <w:vAlign w:val="bottom"/>
          </w:tcPr>
          <w:p>
            <w:pPr>
              <w:spacing w:after="0"/>
              <w:rPr>
                <w:sz w:val="16"/>
                <w:szCs w:val="16"/>
                <w:color w:val="auto"/>
              </w:rPr>
            </w:pPr>
          </w:p>
        </w:tc>
        <w:tc>
          <w:tcPr>
            <w:tcW w:w="4860" w:type="dxa"/>
            <w:vAlign w:val="bottom"/>
            <w:shd w:val="clear" w:color="auto" w:fill="FDA685"/>
          </w:tcPr>
          <w:p>
            <w:pPr>
              <w:jc w:val="center"/>
              <w:ind w:left="22"/>
              <w:spacing w:after="0"/>
              <w:rPr>
                <w:sz w:val="20"/>
                <w:szCs w:val="20"/>
                <w:color w:val="auto"/>
              </w:rPr>
            </w:pPr>
            <w:r>
              <w:rPr>
                <w:rFonts w:ascii="Calibri" w:cs="Calibri" w:eastAsia="Calibri" w:hAnsi="Calibri"/>
                <w:sz w:val="16"/>
                <w:szCs w:val="16"/>
                <w:b w:val="1"/>
                <w:bCs w:val="1"/>
                <w:color w:val="auto"/>
                <w:w w:val="95"/>
              </w:rPr>
              <w:t>worldwide.</w:t>
            </w:r>
          </w:p>
        </w:tc>
      </w:tr>
      <w:tr>
        <w:trPr>
          <w:trHeight w:val="157"/>
        </w:trPr>
        <w:tc>
          <w:tcPr>
            <w:tcW w:w="4900" w:type="dxa"/>
            <w:vAlign w:val="bottom"/>
            <w:shd w:val="clear" w:color="auto" w:fill="FDA685"/>
          </w:tcPr>
          <w:p>
            <w:pPr>
              <w:spacing w:after="0"/>
              <w:rPr>
                <w:sz w:val="13"/>
                <w:szCs w:val="13"/>
                <w:color w:val="auto"/>
              </w:rPr>
            </w:pPr>
          </w:p>
        </w:tc>
        <w:tc>
          <w:tcPr>
            <w:tcW w:w="320" w:type="dxa"/>
            <w:vAlign w:val="bottom"/>
          </w:tcPr>
          <w:p>
            <w:pPr>
              <w:spacing w:after="0"/>
              <w:rPr>
                <w:sz w:val="13"/>
                <w:szCs w:val="13"/>
                <w:color w:val="auto"/>
              </w:rPr>
            </w:pPr>
          </w:p>
        </w:tc>
        <w:tc>
          <w:tcPr>
            <w:tcW w:w="4860" w:type="dxa"/>
            <w:vAlign w:val="bottom"/>
            <w:shd w:val="clear" w:color="auto" w:fill="FDA685"/>
          </w:tcPr>
          <w:p>
            <w:pPr>
              <w:spacing w:after="0"/>
              <w:rPr>
                <w:sz w:val="13"/>
                <w:szCs w:val="13"/>
                <w:color w:val="auto"/>
              </w:rPr>
            </w:pPr>
          </w:p>
        </w:tc>
      </w:tr>
      <w:tr>
        <w:trPr>
          <w:trHeight w:val="195"/>
        </w:trPr>
        <w:tc>
          <w:tcPr>
            <w:tcW w:w="4900" w:type="dxa"/>
            <w:vAlign w:val="bottom"/>
            <w:shd w:val="clear" w:color="auto" w:fill="DCF3FA"/>
          </w:tcPr>
          <w:p>
            <w:pPr>
              <w:spacing w:after="0"/>
              <w:rPr>
                <w:sz w:val="16"/>
                <w:szCs w:val="16"/>
                <w:color w:val="auto"/>
              </w:rPr>
            </w:pPr>
          </w:p>
        </w:tc>
        <w:tc>
          <w:tcPr>
            <w:tcW w:w="320" w:type="dxa"/>
            <w:vAlign w:val="bottom"/>
          </w:tcPr>
          <w:p>
            <w:pPr>
              <w:spacing w:after="0"/>
              <w:rPr>
                <w:sz w:val="16"/>
                <w:szCs w:val="16"/>
                <w:color w:val="auto"/>
              </w:rPr>
            </w:pPr>
          </w:p>
        </w:tc>
        <w:tc>
          <w:tcPr>
            <w:tcW w:w="4860" w:type="dxa"/>
            <w:vAlign w:val="bottom"/>
            <w:shd w:val="clear" w:color="auto" w:fill="DCF3FA"/>
          </w:tcPr>
          <w:p>
            <w:pPr>
              <w:spacing w:after="0"/>
              <w:rPr>
                <w:sz w:val="16"/>
                <w:szCs w:val="16"/>
                <w:color w:val="auto"/>
              </w:rPr>
            </w:pPr>
          </w:p>
        </w:tc>
      </w:tr>
    </w:tbl>
    <w:p>
      <w:pPr>
        <w:spacing w:after="0" w:line="200" w:lineRule="exact"/>
        <w:rPr>
          <w:sz w:val="20"/>
          <w:szCs w:val="20"/>
          <w:color w:val="auto"/>
        </w:rPr>
      </w:pPr>
    </w:p>
    <w:p>
      <w:pPr>
        <w:spacing w:after="0" w:line="299"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Our employees are an integral part of our community strategy. They share their skills and experience working on advanced digital technologies through volunteering and partcipate in charitable eforts – either through fnancial or in-kind donatons. We support our employees’ charitable eforts by enabling payroll giving and/or recurring donatons and providing company matching. Our use of virtual volunteering has made partcipaton in our community engagement programming even easier for our employees, and has enabled us to reach more people through our programming.</w:t>
      </w:r>
    </w:p>
    <w:p>
      <w:pPr>
        <w:spacing w:after="0" w:line="200" w:lineRule="exact"/>
        <w:rPr>
          <w:sz w:val="20"/>
          <w:szCs w:val="20"/>
          <w:color w:val="auto"/>
        </w:rPr>
      </w:pPr>
    </w:p>
    <w:p>
      <w:pPr>
        <w:spacing w:after="0" w:line="323"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We seek to increase engagement across our organizaton in our community initatves. We hold an annual awards ceremony to recognize our employee volunteers for their contributons. In 2023, we hosted geography-specifc trainings for certain of our employees who we appointed to be our local “CSR champions.” Our CSR champions assist us in driving interest and partcipaton across our employee base in our community engagement programming and enabling our global initatves to refect local maters.</w:t>
      </w:r>
    </w:p>
    <w:p>
      <w:pPr>
        <w:spacing w:after="0" w:line="200" w:lineRule="exact"/>
        <w:rPr>
          <w:sz w:val="20"/>
          <w:szCs w:val="20"/>
          <w:color w:val="auto"/>
        </w:rPr>
      </w:pPr>
    </w:p>
    <w:p>
      <w:pPr>
        <w:spacing w:after="0" w:line="323"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We also organize and take part on an organizatonal level in fundraising and in-kind donaton initatves. In 2023, we hosted employee fundraisers for several causes, including to provide meals to individuals afected by the February 2023 earthquake in Turkey and Syria and support humanitarian eforts by providing critcal aid, medical care, and supplies to the afected people and their families due to Israel-Hamas confict. At the end of 2023, more than 4,500 EXL employees in the Philippines partcipated in a donaton drive to provide essentals like clothing and shoes, canned goods and books to their communites.</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We are proud to report that in 2023, more than 19,000 EXL employees partcipated in our CSR actvites by donatng their tme or resources.</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45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73545" cy="69557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73545" cy="695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46 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1" w:right="7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Sustainability</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Human rights and sustainable supply chain</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Human rights</w:t>
      </w:r>
    </w:p>
    <w:p>
      <w:pPr>
        <w:spacing w:after="0" w:line="219" w:lineRule="exact"/>
        <w:rPr>
          <w:sz w:val="20"/>
          <w:szCs w:val="20"/>
          <w:color w:val="auto"/>
        </w:rPr>
      </w:pPr>
    </w:p>
    <w:p>
      <w:pPr>
        <w:ind w:left="320" w:right="320"/>
        <w:spacing w:after="0" w:line="239" w:lineRule="auto"/>
        <w:rPr>
          <w:sz w:val="20"/>
          <w:szCs w:val="20"/>
          <w:color w:val="auto"/>
        </w:rPr>
      </w:pPr>
      <w:r>
        <w:rPr>
          <w:rFonts w:ascii="Calibri" w:cs="Calibri" w:eastAsia="Calibri" w:hAnsi="Calibri"/>
          <w:sz w:val="17"/>
          <w:szCs w:val="17"/>
          <w:color w:val="auto"/>
        </w:rPr>
        <w:t>Our Human Rights Policy details our commitment to human rights and our zero tolerance for workplace harassment and discriminaton and preventng forced labor and trafcking and other abuses.</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Sustainable supply chain</w:t>
      </w:r>
    </w:p>
    <w:p>
      <w:pPr>
        <w:spacing w:after="0" w:line="219"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To ensure that our suppliers’ business conduct aligns with our expectatons, we collect background informaton from our new suppliers on their policies and performance relatng to economic and environmental, data privacy, and labor rights maters. We ask our suppliers to atest to their compliance with our Supplier Standards of Conduct, which set out commitments relatng to creatng a more sustainable and responsible world through addressing human rights, labor rights and environmental issues. We generally maintain the right to review our suppliers’ practces at onboarding and throughout our engagement.</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seek to procure our materials from local suppliers, to the extent practcable.</w:t>
      </w:r>
    </w:p>
    <w:p>
      <w:pPr>
        <w:spacing w:after="0" w:line="210"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Our supplier diversity programs encourage the engagement of suppliers of diverse backgrounds, including, without limitaton, suppliers owned by people belonging to minority groups, women, the LGBTQ+ community, and veterans, specially-abled people, and small business enterprises.</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Supportng and developing our people</w:t>
      </w:r>
    </w:p>
    <w:p>
      <w:pPr>
        <w:spacing w:after="0" w:line="218"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Our people are our primary assets and our workforce stands out as our primary diferentator, critcal to delivering the data-driven solutons that propel our business forward and support our long-term strategic growth. At EXL, we prioritze the acquisiton, development, and engagement of critcal talent with sophistcated skills and expertse who can help us to deliver for our clients and evolve with their evolving needs. We are dedicated to developing our employees’ success through fostering engagement, ofering comprehensive workforce training, and promotng contnuous capability development. We embrace a diversity of perspectves and experiences and emphasize a fair and inclusive culture rooted in our core values. We regularly conduct employee surveys to monitor our employee satsfacton and engagement, as further described below and employ people analytcs in our talent management processes to optmize our delivery of our talent acquisiton and development strategy. On an annual basis, our Compensaton and Talent Management Commitee previews, and then our full board reviews, a comprehensive human capital strategic review prepared by management.</w:t>
      </w:r>
    </w:p>
    <w:p>
      <w:pPr>
        <w:spacing w:after="0" w:line="299"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47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348"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Headquartered in New York, we are made up of approximately 54,160 professionals as of December 31, 2023, with more than 50 ofces spanning six contnents.</w:t>
      </w:r>
    </w:p>
    <w:p>
      <w:pPr>
        <w:spacing w:after="0" w:line="294" w:lineRule="exact"/>
        <w:rPr>
          <w:sz w:val="20"/>
          <w:szCs w:val="20"/>
          <w:color w:val="auto"/>
        </w:rPr>
      </w:pPr>
    </w:p>
    <w:p>
      <w:pPr>
        <w:jc w:val="center"/>
        <w:ind w:right="-439"/>
        <w:spacing w:after="0"/>
        <w:rPr>
          <w:sz w:val="20"/>
          <w:szCs w:val="20"/>
          <w:color w:val="auto"/>
        </w:rPr>
      </w:pPr>
      <w:r>
        <w:rPr>
          <w:rFonts w:ascii="Calibri" w:cs="Calibri" w:eastAsia="Calibri" w:hAnsi="Calibri"/>
          <w:sz w:val="35"/>
          <w:szCs w:val="35"/>
          <w:b w:val="1"/>
          <w:bCs w:val="1"/>
          <w:color w:val="FB4E0B"/>
        </w:rPr>
        <w:t>EXL locatons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102235</wp:posOffset>
            </wp:positionV>
            <wp:extent cx="5774055" cy="32715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774055" cy="327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48 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1" w:right="7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160"/>
        <w:spacing w:after="0"/>
        <w:rPr>
          <w:sz w:val="20"/>
          <w:szCs w:val="20"/>
          <w:color w:val="auto"/>
        </w:rPr>
      </w:pPr>
      <w:r>
        <w:rPr>
          <w:rFonts w:ascii="Calibri" w:cs="Calibri" w:eastAsia="Calibri" w:hAnsi="Calibri"/>
          <w:sz w:val="13"/>
          <w:szCs w:val="13"/>
          <w:b w:val="1"/>
          <w:bCs w:val="1"/>
          <w:color w:val="005071"/>
        </w:rPr>
        <w:t>Sustainability</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Diversity, equity and inclusion</w:t>
      </w:r>
    </w:p>
    <w:p>
      <w:pPr>
        <w:spacing w:after="0" w:line="115"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Diversity, equity and inclusion (“DEI”) is a focus at EXL, as we believe that our employees’ diversity of perspectve and experience are key to our ability to innovate on a global scale, in line with our long-term corporate strategy. We believe that creatng a diverse and inclusive environment is the responsibility of all of our people managers, but the overall governance of our DEI program is led by our human resources leadership team, together with our Diversity and Inclusion Council, and is ultmately overseen by our board. Our Diversity and Inclusion Council, which consists of a global, diverse mix of leaders, provides input and helps set directon on key DEI priorites and actons, conducts periodic reviews of the progress of our program and provides executon leadership for specifc initatves. The following are select key diversity data points as of December 31, 2023*:</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549"/>
        </w:trPr>
        <w:tc>
          <w:tcPr>
            <w:tcW w:w="1620" w:type="dxa"/>
            <w:vAlign w:val="bottom"/>
          </w:tcPr>
          <w:p>
            <w:pPr>
              <w:jc w:val="center"/>
              <w:ind w:right="413"/>
              <w:spacing w:after="0"/>
              <w:rPr>
                <w:sz w:val="20"/>
                <w:szCs w:val="20"/>
                <w:color w:val="auto"/>
              </w:rPr>
            </w:pPr>
            <w:r>
              <w:rPr>
                <w:rFonts w:ascii="Calibri" w:cs="Calibri" w:eastAsia="Calibri" w:hAnsi="Calibri"/>
                <w:sz w:val="45"/>
                <w:szCs w:val="45"/>
                <w:b w:val="1"/>
                <w:bCs w:val="1"/>
                <w:color w:val="auto"/>
              </w:rPr>
              <w:t>43%</w:t>
            </w:r>
          </w:p>
        </w:tc>
        <w:tc>
          <w:tcPr>
            <w:tcW w:w="2200" w:type="dxa"/>
            <w:vAlign w:val="bottom"/>
          </w:tcPr>
          <w:p>
            <w:pPr>
              <w:jc w:val="center"/>
              <w:ind w:left="25"/>
              <w:spacing w:after="0"/>
              <w:rPr>
                <w:sz w:val="20"/>
                <w:szCs w:val="20"/>
                <w:color w:val="auto"/>
              </w:rPr>
            </w:pPr>
            <w:r>
              <w:rPr>
                <w:rFonts w:ascii="Calibri" w:cs="Calibri" w:eastAsia="Calibri" w:hAnsi="Calibri"/>
                <w:sz w:val="45"/>
                <w:szCs w:val="45"/>
                <w:b w:val="1"/>
                <w:bCs w:val="1"/>
                <w:color w:val="auto"/>
                <w:w w:val="99"/>
              </w:rPr>
              <w:t>23%</w:t>
            </w:r>
          </w:p>
        </w:tc>
        <w:tc>
          <w:tcPr>
            <w:tcW w:w="2200" w:type="dxa"/>
            <w:vAlign w:val="bottom"/>
          </w:tcPr>
          <w:p>
            <w:pPr>
              <w:jc w:val="center"/>
              <w:spacing w:after="0"/>
              <w:rPr>
                <w:sz w:val="20"/>
                <w:szCs w:val="20"/>
                <w:color w:val="auto"/>
              </w:rPr>
            </w:pPr>
            <w:r>
              <w:rPr>
                <w:rFonts w:ascii="Calibri" w:cs="Calibri" w:eastAsia="Calibri" w:hAnsi="Calibri"/>
                <w:sz w:val="45"/>
                <w:szCs w:val="45"/>
                <w:b w:val="1"/>
                <w:bCs w:val="1"/>
                <w:color w:val="auto"/>
                <w:w w:val="99"/>
              </w:rPr>
              <w:t>24%</w:t>
            </w:r>
          </w:p>
        </w:tc>
        <w:tc>
          <w:tcPr>
            <w:tcW w:w="1960" w:type="dxa"/>
            <w:vAlign w:val="bottom"/>
          </w:tcPr>
          <w:p>
            <w:pPr>
              <w:jc w:val="center"/>
              <w:spacing w:after="0"/>
              <w:rPr>
                <w:sz w:val="20"/>
                <w:szCs w:val="20"/>
                <w:color w:val="auto"/>
              </w:rPr>
            </w:pPr>
            <w:r>
              <w:rPr>
                <w:rFonts w:ascii="Calibri" w:cs="Calibri" w:eastAsia="Calibri" w:hAnsi="Calibri"/>
                <w:sz w:val="45"/>
                <w:szCs w:val="45"/>
                <w:b w:val="1"/>
                <w:bCs w:val="1"/>
                <w:color w:val="auto"/>
              </w:rPr>
              <w:t>52%</w:t>
            </w:r>
          </w:p>
        </w:tc>
        <w:tc>
          <w:tcPr>
            <w:tcW w:w="1680" w:type="dxa"/>
            <w:vAlign w:val="bottom"/>
          </w:tcPr>
          <w:p>
            <w:pPr>
              <w:jc w:val="center"/>
              <w:ind w:left="265"/>
              <w:spacing w:after="0"/>
              <w:rPr>
                <w:sz w:val="20"/>
                <w:szCs w:val="20"/>
                <w:color w:val="auto"/>
              </w:rPr>
            </w:pPr>
            <w:r>
              <w:rPr>
                <w:rFonts w:ascii="Calibri" w:cs="Calibri" w:eastAsia="Calibri" w:hAnsi="Calibri"/>
                <w:sz w:val="45"/>
                <w:szCs w:val="45"/>
                <w:b w:val="1"/>
                <w:bCs w:val="1"/>
                <w:color w:val="auto"/>
                <w:w w:val="99"/>
              </w:rPr>
              <w:t>52%</w:t>
            </w:r>
          </w:p>
        </w:tc>
      </w:tr>
      <w:tr>
        <w:trPr>
          <w:trHeight w:val="329"/>
        </w:trPr>
        <w:tc>
          <w:tcPr>
            <w:tcW w:w="1620" w:type="dxa"/>
            <w:vAlign w:val="bottom"/>
          </w:tcPr>
          <w:p>
            <w:pPr>
              <w:jc w:val="center"/>
              <w:ind w:right="413"/>
              <w:spacing w:after="0"/>
              <w:rPr>
                <w:sz w:val="20"/>
                <w:szCs w:val="20"/>
                <w:color w:val="auto"/>
              </w:rPr>
            </w:pPr>
            <w:r>
              <w:rPr>
                <w:rFonts w:ascii="Calibri" w:cs="Calibri" w:eastAsia="Calibri" w:hAnsi="Calibri"/>
                <w:sz w:val="16"/>
                <w:szCs w:val="16"/>
                <w:b w:val="1"/>
                <w:bCs w:val="1"/>
                <w:color w:val="auto"/>
                <w:w w:val="96"/>
              </w:rPr>
              <w:t>Gender Diversity</w:t>
            </w:r>
          </w:p>
        </w:tc>
        <w:tc>
          <w:tcPr>
            <w:tcW w:w="2200" w:type="dxa"/>
            <w:vAlign w:val="bottom"/>
          </w:tcPr>
          <w:p>
            <w:pPr>
              <w:jc w:val="center"/>
              <w:ind w:left="5"/>
              <w:spacing w:after="0"/>
              <w:rPr>
                <w:sz w:val="20"/>
                <w:szCs w:val="20"/>
                <w:color w:val="auto"/>
              </w:rPr>
            </w:pPr>
            <w:r>
              <w:rPr>
                <w:rFonts w:ascii="Calibri" w:cs="Calibri" w:eastAsia="Calibri" w:hAnsi="Calibri"/>
                <w:sz w:val="16"/>
                <w:szCs w:val="16"/>
                <w:b w:val="1"/>
                <w:bCs w:val="1"/>
                <w:color w:val="auto"/>
                <w:w w:val="96"/>
              </w:rPr>
              <w:t>Gender Diversity</w:t>
            </w:r>
          </w:p>
        </w:tc>
        <w:tc>
          <w:tcPr>
            <w:tcW w:w="2200" w:type="dxa"/>
            <w:vAlign w:val="bottom"/>
          </w:tcPr>
          <w:p>
            <w:pPr>
              <w:jc w:val="center"/>
              <w:spacing w:after="0"/>
              <w:rPr>
                <w:sz w:val="20"/>
                <w:szCs w:val="20"/>
                <w:color w:val="auto"/>
              </w:rPr>
            </w:pPr>
            <w:r>
              <w:rPr>
                <w:rFonts w:ascii="Calibri" w:cs="Calibri" w:eastAsia="Calibri" w:hAnsi="Calibri"/>
                <w:sz w:val="16"/>
                <w:szCs w:val="16"/>
                <w:b w:val="1"/>
                <w:bCs w:val="1"/>
                <w:color w:val="auto"/>
                <w:w w:val="96"/>
              </w:rPr>
              <w:t>Gender Diversity</w:t>
            </w:r>
          </w:p>
        </w:tc>
        <w:tc>
          <w:tcPr>
            <w:tcW w:w="1960" w:type="dxa"/>
            <w:vAlign w:val="bottom"/>
          </w:tcPr>
          <w:p>
            <w:pPr>
              <w:jc w:val="center"/>
              <w:spacing w:after="0"/>
              <w:rPr>
                <w:sz w:val="20"/>
                <w:szCs w:val="20"/>
                <w:color w:val="auto"/>
              </w:rPr>
            </w:pPr>
            <w:r>
              <w:rPr>
                <w:rFonts w:ascii="Calibri" w:cs="Calibri" w:eastAsia="Calibri" w:hAnsi="Calibri"/>
                <w:sz w:val="16"/>
                <w:szCs w:val="16"/>
                <w:b w:val="1"/>
                <w:bCs w:val="1"/>
                <w:color w:val="auto"/>
                <w:w w:val="95"/>
              </w:rPr>
              <w:t>Racial and Ethnic</w:t>
            </w:r>
          </w:p>
        </w:tc>
        <w:tc>
          <w:tcPr>
            <w:tcW w:w="1680" w:type="dxa"/>
            <w:vAlign w:val="bottom"/>
          </w:tcPr>
          <w:p>
            <w:pPr>
              <w:jc w:val="center"/>
              <w:ind w:left="265"/>
              <w:spacing w:after="0"/>
              <w:rPr>
                <w:sz w:val="20"/>
                <w:szCs w:val="20"/>
                <w:color w:val="auto"/>
              </w:rPr>
            </w:pPr>
            <w:r>
              <w:rPr>
                <w:rFonts w:ascii="Calibri" w:cs="Calibri" w:eastAsia="Calibri" w:hAnsi="Calibri"/>
                <w:sz w:val="16"/>
                <w:szCs w:val="16"/>
                <w:b w:val="1"/>
                <w:bCs w:val="1"/>
                <w:color w:val="auto"/>
                <w:w w:val="96"/>
              </w:rPr>
              <w:t>Racial and</w:t>
            </w:r>
          </w:p>
        </w:tc>
      </w:tr>
      <w:tr>
        <w:trPr>
          <w:trHeight w:val="195"/>
        </w:trPr>
        <w:tc>
          <w:tcPr>
            <w:tcW w:w="1620" w:type="dxa"/>
            <w:vAlign w:val="bottom"/>
          </w:tcPr>
          <w:p>
            <w:pPr>
              <w:jc w:val="center"/>
              <w:ind w:right="413"/>
              <w:spacing w:after="0"/>
              <w:rPr>
                <w:sz w:val="20"/>
                <w:szCs w:val="20"/>
                <w:color w:val="auto"/>
              </w:rPr>
            </w:pPr>
            <w:r>
              <w:rPr>
                <w:rFonts w:ascii="Calibri" w:cs="Calibri" w:eastAsia="Calibri" w:hAnsi="Calibri"/>
                <w:sz w:val="16"/>
                <w:szCs w:val="16"/>
                <w:b w:val="1"/>
                <w:bCs w:val="1"/>
                <w:color w:val="auto"/>
                <w:w w:val="95"/>
              </w:rPr>
              <w:t>Company-wide</w:t>
            </w:r>
          </w:p>
        </w:tc>
        <w:tc>
          <w:tcPr>
            <w:tcW w:w="2200" w:type="dxa"/>
            <w:vAlign w:val="bottom"/>
          </w:tcPr>
          <w:p>
            <w:pPr>
              <w:jc w:val="center"/>
              <w:ind w:left="5"/>
              <w:spacing w:after="0"/>
              <w:rPr>
                <w:sz w:val="20"/>
                <w:szCs w:val="20"/>
                <w:color w:val="auto"/>
              </w:rPr>
            </w:pPr>
            <w:r>
              <w:rPr>
                <w:rFonts w:ascii="Calibri" w:cs="Calibri" w:eastAsia="Calibri" w:hAnsi="Calibri"/>
                <w:sz w:val="16"/>
                <w:szCs w:val="16"/>
                <w:b w:val="1"/>
                <w:bCs w:val="1"/>
                <w:color w:val="auto"/>
                <w:w w:val="97"/>
              </w:rPr>
              <w:t>Company-wide Vice</w:t>
            </w:r>
          </w:p>
        </w:tc>
        <w:tc>
          <w:tcPr>
            <w:tcW w:w="2200" w:type="dxa"/>
            <w:vAlign w:val="bottom"/>
          </w:tcPr>
          <w:p>
            <w:pPr>
              <w:jc w:val="center"/>
              <w:spacing w:after="0"/>
              <w:rPr>
                <w:sz w:val="20"/>
                <w:szCs w:val="20"/>
                <w:color w:val="auto"/>
              </w:rPr>
            </w:pPr>
            <w:r>
              <w:rPr>
                <w:rFonts w:ascii="Calibri" w:cs="Calibri" w:eastAsia="Calibri" w:hAnsi="Calibri"/>
                <w:sz w:val="16"/>
                <w:szCs w:val="16"/>
                <w:b w:val="1"/>
                <w:bCs w:val="1"/>
                <w:color w:val="auto"/>
                <w:w w:val="97"/>
              </w:rPr>
              <w:t>Senior Management</w:t>
            </w:r>
          </w:p>
        </w:tc>
        <w:tc>
          <w:tcPr>
            <w:tcW w:w="1960" w:type="dxa"/>
            <w:vAlign w:val="bottom"/>
          </w:tcPr>
          <w:p>
            <w:pPr>
              <w:jc w:val="center"/>
              <w:spacing w:after="0"/>
              <w:rPr>
                <w:sz w:val="20"/>
                <w:szCs w:val="20"/>
                <w:color w:val="auto"/>
              </w:rPr>
            </w:pPr>
            <w:r>
              <w:rPr>
                <w:rFonts w:ascii="Calibri" w:cs="Calibri" w:eastAsia="Calibri" w:hAnsi="Calibri"/>
                <w:sz w:val="16"/>
                <w:szCs w:val="16"/>
                <w:b w:val="1"/>
                <w:bCs w:val="1"/>
                <w:color w:val="auto"/>
                <w:w w:val="95"/>
              </w:rPr>
              <w:t>Diversity</w:t>
            </w:r>
          </w:p>
        </w:tc>
        <w:tc>
          <w:tcPr>
            <w:tcW w:w="1680" w:type="dxa"/>
            <w:vAlign w:val="bottom"/>
          </w:tcPr>
          <w:p>
            <w:pPr>
              <w:jc w:val="center"/>
              <w:ind w:left="265"/>
              <w:spacing w:after="0"/>
              <w:rPr>
                <w:sz w:val="20"/>
                <w:szCs w:val="20"/>
                <w:color w:val="auto"/>
              </w:rPr>
            </w:pPr>
            <w:r>
              <w:rPr>
                <w:rFonts w:ascii="Calibri" w:cs="Calibri" w:eastAsia="Calibri" w:hAnsi="Calibri"/>
                <w:sz w:val="16"/>
                <w:szCs w:val="16"/>
                <w:b w:val="1"/>
                <w:bCs w:val="1"/>
                <w:color w:val="auto"/>
                <w:w w:val="98"/>
              </w:rPr>
              <w:t>Ethnic Diversity</w:t>
            </w:r>
          </w:p>
        </w:tc>
      </w:tr>
      <w:tr>
        <w:trPr>
          <w:trHeight w:val="195"/>
        </w:trPr>
        <w:tc>
          <w:tcPr>
            <w:tcW w:w="1620" w:type="dxa"/>
            <w:vAlign w:val="bottom"/>
          </w:tcPr>
          <w:p>
            <w:pPr>
              <w:spacing w:after="0"/>
              <w:rPr>
                <w:sz w:val="16"/>
                <w:szCs w:val="16"/>
                <w:color w:val="auto"/>
              </w:rPr>
            </w:pPr>
          </w:p>
        </w:tc>
        <w:tc>
          <w:tcPr>
            <w:tcW w:w="2200" w:type="dxa"/>
            <w:vAlign w:val="bottom"/>
          </w:tcPr>
          <w:p>
            <w:pPr>
              <w:jc w:val="center"/>
              <w:ind w:left="5"/>
              <w:spacing w:after="0"/>
              <w:rPr>
                <w:sz w:val="20"/>
                <w:szCs w:val="20"/>
                <w:color w:val="auto"/>
              </w:rPr>
            </w:pPr>
            <w:r>
              <w:rPr>
                <w:rFonts w:ascii="Calibri" w:cs="Calibri" w:eastAsia="Calibri" w:hAnsi="Calibri"/>
                <w:sz w:val="16"/>
                <w:szCs w:val="16"/>
                <w:b w:val="1"/>
                <w:bCs w:val="1"/>
                <w:color w:val="auto"/>
                <w:w w:val="97"/>
              </w:rPr>
              <w:t>President and Up</w:t>
            </w:r>
          </w:p>
        </w:tc>
        <w:tc>
          <w:tcPr>
            <w:tcW w:w="22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Calibri" w:cs="Calibri" w:eastAsia="Calibri" w:hAnsi="Calibri"/>
                <w:sz w:val="16"/>
                <w:szCs w:val="16"/>
                <w:b w:val="1"/>
                <w:bCs w:val="1"/>
                <w:color w:val="auto"/>
                <w:w w:val="97"/>
              </w:rPr>
              <w:t>U.S. Employees</w:t>
            </w:r>
          </w:p>
        </w:tc>
        <w:tc>
          <w:tcPr>
            <w:tcW w:w="1680" w:type="dxa"/>
            <w:vAlign w:val="bottom"/>
          </w:tcPr>
          <w:p>
            <w:pPr>
              <w:jc w:val="center"/>
              <w:ind w:left="265"/>
              <w:spacing w:after="0"/>
              <w:rPr>
                <w:sz w:val="20"/>
                <w:szCs w:val="20"/>
                <w:color w:val="auto"/>
              </w:rPr>
            </w:pPr>
            <w:r>
              <w:rPr>
                <w:rFonts w:ascii="Calibri" w:cs="Calibri" w:eastAsia="Calibri" w:hAnsi="Calibri"/>
                <w:sz w:val="16"/>
                <w:szCs w:val="16"/>
                <w:b w:val="1"/>
                <w:bCs w:val="1"/>
                <w:color w:val="auto"/>
                <w:w w:val="96"/>
              </w:rPr>
              <w:t>Senior Management</w:t>
            </w:r>
          </w:p>
        </w:tc>
      </w:tr>
    </w:tbl>
    <w:p>
      <w:pPr>
        <w:spacing w:after="0" w:line="214" w:lineRule="exact"/>
        <w:rPr>
          <w:sz w:val="20"/>
          <w:szCs w:val="20"/>
          <w:color w:val="auto"/>
        </w:rPr>
      </w:pPr>
    </w:p>
    <w:p>
      <w:pPr>
        <w:jc w:val="both"/>
        <w:ind w:left="320" w:right="80"/>
        <w:spacing w:after="0" w:line="239" w:lineRule="auto"/>
        <w:rPr>
          <w:sz w:val="20"/>
          <w:szCs w:val="20"/>
          <w:color w:val="auto"/>
        </w:rPr>
      </w:pPr>
      <w:r>
        <w:rPr>
          <w:rFonts w:ascii="Calibri" w:cs="Calibri" w:eastAsia="Calibri" w:hAnsi="Calibri"/>
          <w:sz w:val="17"/>
          <w:szCs w:val="17"/>
          <w:color w:val="auto"/>
        </w:rPr>
        <w:t>*Senior Management includes members of our Executve Commitee and Operatng Commitee. U.S. Employees includes diversity data as self-reported by employees. Our DEI philosophy aims to create a fair and inclusive work environment that harnesses the power of diversity to drive organizatonal success. We focus on each element of our DEI strategy as follows:</w:t>
      </w:r>
    </w:p>
    <w:p>
      <w:pPr>
        <w:spacing w:after="0" w:line="240" w:lineRule="exact"/>
        <w:rPr>
          <w:sz w:val="20"/>
          <w:szCs w:val="20"/>
          <w:color w:val="auto"/>
        </w:rPr>
      </w:pPr>
    </w:p>
    <w:tbl>
      <w:tblPr>
        <w:tblLayout w:type="fixed"/>
        <w:tblInd w:w="330" w:type="dxa"/>
        <w:tblCellMar>
          <w:top w:w="0" w:type="dxa"/>
          <w:left w:w="0" w:type="dxa"/>
          <w:bottom w:w="0" w:type="dxa"/>
          <w:right w:w="0" w:type="dxa"/>
        </w:tblCellMar>
      </w:tblPr>
      <w:tr>
        <w:trPr>
          <w:trHeight w:val="200"/>
        </w:trPr>
        <w:tc>
          <w:tcPr>
            <w:tcW w:w="1000" w:type="dxa"/>
            <w:vAlign w:val="bottom"/>
            <w:tcBorders>
              <w:top w:val="single" w:sz="8" w:color="auto"/>
              <w:left w:val="single" w:sz="8" w:color="auto"/>
              <w:right w:val="single" w:sz="8" w:color="auto"/>
            </w:tcBorders>
            <w:shd w:val="clear" w:color="auto" w:fill="F2F2F2"/>
          </w:tcPr>
          <w:p>
            <w:pPr>
              <w:spacing w:after="0"/>
              <w:rPr>
                <w:sz w:val="17"/>
                <w:szCs w:val="17"/>
                <w:color w:val="auto"/>
              </w:rPr>
            </w:pPr>
          </w:p>
        </w:tc>
        <w:tc>
          <w:tcPr>
            <w:tcW w:w="9640" w:type="dxa"/>
            <w:vAlign w:val="bottom"/>
            <w:tcBorders>
              <w:top w:val="single" w:sz="8" w:color="auto"/>
              <w:right w:val="single" w:sz="8" w:color="auto"/>
            </w:tcBorders>
            <w:gridSpan w:val="2"/>
            <w:shd w:val="clear" w:color="auto" w:fill="DCF3FA"/>
          </w:tcPr>
          <w:p>
            <w:pPr>
              <w:ind w:left="380"/>
              <w:spacing w:after="0" w:line="200" w:lineRule="exact"/>
              <w:rPr>
                <w:sz w:val="20"/>
                <w:szCs w:val="20"/>
                <w:color w:val="auto"/>
              </w:rPr>
            </w:pPr>
            <w:r>
              <w:rPr>
                <w:rFonts w:ascii="Calibri" w:cs="Calibri" w:eastAsia="Calibri" w:hAnsi="Calibri"/>
                <w:sz w:val="17"/>
                <w:szCs w:val="17"/>
                <w:b w:val="1"/>
                <w:bCs w:val="1"/>
                <w:color w:val="auto"/>
              </w:rPr>
              <w:t xml:space="preserve">Diversity: </w:t>
            </w:r>
            <w:r>
              <w:rPr>
                <w:rFonts w:ascii="Calibri" w:cs="Calibri" w:eastAsia="Calibri" w:hAnsi="Calibri"/>
                <w:sz w:val="17"/>
                <w:szCs w:val="17"/>
                <w:color w:val="auto"/>
              </w:rPr>
              <w:t>We strive to create a workplace that is representatve of the diversity in the communites where we work in and clients that</w:t>
            </w:r>
          </w:p>
        </w:tc>
        <w:tc>
          <w:tcPr>
            <w:tcW w:w="0" w:type="dxa"/>
            <w:vAlign w:val="bottom"/>
          </w:tcPr>
          <w:p>
            <w:pPr>
              <w:spacing w:after="0"/>
              <w:rPr>
                <w:sz w:val="1"/>
                <w:szCs w:val="1"/>
                <w:color w:val="auto"/>
              </w:rPr>
            </w:pPr>
          </w:p>
        </w:tc>
      </w:tr>
      <w:tr>
        <w:trPr>
          <w:trHeight w:val="206"/>
        </w:trPr>
        <w:tc>
          <w:tcPr>
            <w:tcW w:w="1000" w:type="dxa"/>
            <w:vAlign w:val="bottom"/>
            <w:tcBorders>
              <w:left w:val="single" w:sz="8" w:color="auto"/>
              <w:right w:val="single" w:sz="8" w:color="auto"/>
            </w:tcBorders>
            <w:vMerge w:val="restart"/>
            <w:shd w:val="clear" w:color="auto" w:fill="F2F2F2"/>
          </w:tcPr>
          <w:p>
            <w:pPr>
              <w:jc w:val="center"/>
              <w:spacing w:after="0"/>
              <w:rPr>
                <w:sz w:val="20"/>
                <w:szCs w:val="20"/>
                <w:color w:val="auto"/>
              </w:rPr>
            </w:pPr>
            <w:r>
              <w:rPr>
                <w:rFonts w:ascii="Calibri" w:cs="Calibri" w:eastAsia="Calibri" w:hAnsi="Calibri"/>
                <w:sz w:val="45"/>
                <w:szCs w:val="45"/>
                <w:b w:val="1"/>
                <w:bCs w:val="1"/>
                <w:color w:val="FB4E0B"/>
                <w:w w:val="75"/>
              </w:rPr>
              <w:t>  D  </w:t>
            </w:r>
          </w:p>
        </w:tc>
        <w:tc>
          <w:tcPr>
            <w:tcW w:w="9640" w:type="dxa"/>
            <w:vAlign w:val="bottom"/>
            <w:tcBorders>
              <w:right w:val="single" w:sz="8" w:color="auto"/>
            </w:tcBorders>
            <w:gridSpan w:val="2"/>
            <w:shd w:val="clear" w:color="auto" w:fill="DCF3FA"/>
          </w:tcPr>
          <w:p>
            <w:pPr>
              <w:ind w:left="380"/>
              <w:spacing w:after="0" w:line="206" w:lineRule="exact"/>
              <w:rPr>
                <w:sz w:val="20"/>
                <w:szCs w:val="20"/>
                <w:color w:val="auto"/>
              </w:rPr>
            </w:pPr>
            <w:r>
              <w:rPr>
                <w:rFonts w:ascii="Calibri" w:cs="Calibri" w:eastAsia="Calibri" w:hAnsi="Calibri"/>
                <w:sz w:val="17"/>
                <w:szCs w:val="17"/>
                <w:color w:val="auto"/>
              </w:rPr>
              <w:t>we serve.</w:t>
            </w:r>
          </w:p>
        </w:tc>
        <w:tc>
          <w:tcPr>
            <w:tcW w:w="0" w:type="dxa"/>
            <w:vAlign w:val="bottom"/>
          </w:tcPr>
          <w:p>
            <w:pPr>
              <w:spacing w:after="0"/>
              <w:rPr>
                <w:sz w:val="1"/>
                <w:szCs w:val="1"/>
                <w:color w:val="auto"/>
              </w:rPr>
            </w:pPr>
          </w:p>
        </w:tc>
      </w:tr>
      <w:tr>
        <w:trPr>
          <w:trHeight w:val="325"/>
        </w:trPr>
        <w:tc>
          <w:tcPr>
            <w:tcW w:w="1000" w:type="dxa"/>
            <w:vAlign w:val="bottom"/>
            <w:tcBorders>
              <w:left w:val="single" w:sz="8" w:color="auto"/>
              <w:right w:val="single" w:sz="8" w:color="auto"/>
            </w:tcBorders>
            <w:vMerge w:val="continue"/>
            <w:shd w:val="clear" w:color="auto" w:fill="F2F2F2"/>
          </w:tcPr>
          <w:p>
            <w:pPr>
              <w:spacing w:after="0"/>
              <w:rPr>
                <w:sz w:val="24"/>
                <w:szCs w:val="24"/>
                <w:color w:val="auto"/>
              </w:rPr>
            </w:pPr>
          </w:p>
        </w:tc>
        <w:tc>
          <w:tcPr>
            <w:tcW w:w="580" w:type="dxa"/>
            <w:vAlign w:val="bottom"/>
            <w:shd w:val="clear" w:color="auto" w:fill="DCF3FA"/>
          </w:tcPr>
          <w:p>
            <w:pPr>
              <w:ind w:left="380"/>
              <w:spacing w:after="0"/>
              <w:rPr>
                <w:sz w:val="20"/>
                <w:szCs w:val="20"/>
                <w:color w:val="auto"/>
              </w:rPr>
            </w:pPr>
            <w:r>
              <w:rPr>
                <w:rFonts w:ascii="Calibri" w:cs="Calibri" w:eastAsia="Calibri" w:hAnsi="Calibri"/>
                <w:sz w:val="17"/>
                <w:szCs w:val="17"/>
                <w:color w:val="auto"/>
                <w:w w:val="70"/>
              </w:rPr>
              <w:t>• </w:t>
            </w:r>
          </w:p>
        </w:tc>
        <w:tc>
          <w:tcPr>
            <w:tcW w:w="9060" w:type="dxa"/>
            <w:vAlign w:val="bottom"/>
            <w:tcBorders>
              <w:right w:val="single" w:sz="8" w:color="auto"/>
            </w:tcBorders>
            <w:shd w:val="clear" w:color="auto" w:fill="DCF3FA"/>
          </w:tcPr>
          <w:p>
            <w:pPr>
              <w:ind w:left="60"/>
              <w:spacing w:after="0"/>
              <w:rPr>
                <w:sz w:val="20"/>
                <w:szCs w:val="20"/>
                <w:color w:val="auto"/>
              </w:rPr>
            </w:pPr>
            <w:r>
              <w:rPr>
                <w:rFonts w:ascii="Calibri" w:cs="Calibri" w:eastAsia="Calibri" w:hAnsi="Calibri"/>
                <w:sz w:val="17"/>
                <w:szCs w:val="17"/>
                <w:color w:val="auto"/>
              </w:rPr>
              <w:t> Focus on hiring channels that drive more diverse talent pools</w:t>
            </w:r>
          </w:p>
        </w:tc>
        <w:tc>
          <w:tcPr>
            <w:tcW w:w="0" w:type="dxa"/>
            <w:vAlign w:val="bottom"/>
          </w:tcPr>
          <w:p>
            <w:pPr>
              <w:spacing w:after="0"/>
              <w:rPr>
                <w:sz w:val="1"/>
                <w:szCs w:val="1"/>
                <w:color w:val="auto"/>
              </w:rPr>
            </w:pPr>
          </w:p>
        </w:tc>
      </w:tr>
      <w:tr>
        <w:trPr>
          <w:trHeight w:val="208"/>
        </w:trPr>
        <w:tc>
          <w:tcPr>
            <w:tcW w:w="1000" w:type="dxa"/>
            <w:vAlign w:val="bottom"/>
            <w:tcBorders>
              <w:left w:val="single" w:sz="8" w:color="auto"/>
              <w:right w:val="single" w:sz="8" w:color="auto"/>
            </w:tcBorders>
            <w:vMerge w:val="continue"/>
            <w:shd w:val="clear" w:color="auto" w:fill="F2F2F2"/>
          </w:tcPr>
          <w:p>
            <w:pPr>
              <w:spacing w:after="0"/>
              <w:rPr>
                <w:sz w:val="18"/>
                <w:szCs w:val="18"/>
                <w:color w:val="auto"/>
              </w:rPr>
            </w:pPr>
          </w:p>
        </w:tc>
        <w:tc>
          <w:tcPr>
            <w:tcW w:w="580" w:type="dxa"/>
            <w:vAlign w:val="bottom"/>
            <w:shd w:val="clear" w:color="auto" w:fill="DCF3FA"/>
          </w:tcPr>
          <w:p>
            <w:pPr>
              <w:ind w:left="380"/>
              <w:spacing w:after="0"/>
              <w:rPr>
                <w:sz w:val="20"/>
                <w:szCs w:val="20"/>
                <w:color w:val="auto"/>
              </w:rPr>
            </w:pPr>
            <w:r>
              <w:rPr>
                <w:rFonts w:ascii="Calibri" w:cs="Calibri" w:eastAsia="Calibri" w:hAnsi="Calibri"/>
                <w:sz w:val="17"/>
                <w:szCs w:val="17"/>
                <w:color w:val="auto"/>
                <w:w w:val="70"/>
              </w:rPr>
              <w:t>• </w:t>
            </w:r>
          </w:p>
        </w:tc>
        <w:tc>
          <w:tcPr>
            <w:tcW w:w="9060" w:type="dxa"/>
            <w:vAlign w:val="bottom"/>
            <w:tcBorders>
              <w:right w:val="single" w:sz="8" w:color="auto"/>
            </w:tcBorders>
            <w:shd w:val="clear" w:color="auto" w:fill="DCF3FA"/>
          </w:tcPr>
          <w:p>
            <w:pPr>
              <w:ind w:left="60"/>
              <w:spacing w:after="0"/>
              <w:rPr>
                <w:sz w:val="20"/>
                <w:szCs w:val="20"/>
                <w:color w:val="auto"/>
              </w:rPr>
            </w:pPr>
            <w:r>
              <w:rPr>
                <w:rFonts w:ascii="Calibri" w:cs="Calibri" w:eastAsia="Calibri" w:hAnsi="Calibri"/>
                <w:sz w:val="17"/>
                <w:szCs w:val="17"/>
                <w:color w:val="auto"/>
              </w:rPr>
              <w:t> Concerted eforts to build diverse hiring slates for senior leadership roles both internally and externally</w:t>
            </w:r>
          </w:p>
        </w:tc>
        <w:tc>
          <w:tcPr>
            <w:tcW w:w="0" w:type="dxa"/>
            <w:vAlign w:val="bottom"/>
          </w:tcPr>
          <w:p>
            <w:pPr>
              <w:spacing w:after="0"/>
              <w:rPr>
                <w:sz w:val="1"/>
                <w:szCs w:val="1"/>
                <w:color w:val="auto"/>
              </w:rPr>
            </w:pPr>
          </w:p>
        </w:tc>
      </w:tr>
      <w:tr>
        <w:trPr>
          <w:trHeight w:val="208"/>
        </w:trPr>
        <w:tc>
          <w:tcPr>
            <w:tcW w:w="1000" w:type="dxa"/>
            <w:vAlign w:val="bottom"/>
            <w:tcBorders>
              <w:left w:val="single" w:sz="8" w:color="auto"/>
              <w:right w:val="single" w:sz="8" w:color="auto"/>
            </w:tcBorders>
            <w:shd w:val="clear" w:color="auto" w:fill="F2F2F2"/>
          </w:tcPr>
          <w:p>
            <w:pPr>
              <w:spacing w:after="0"/>
              <w:rPr>
                <w:sz w:val="18"/>
                <w:szCs w:val="18"/>
                <w:color w:val="auto"/>
              </w:rPr>
            </w:pPr>
          </w:p>
        </w:tc>
        <w:tc>
          <w:tcPr>
            <w:tcW w:w="580" w:type="dxa"/>
            <w:vAlign w:val="bottom"/>
            <w:shd w:val="clear" w:color="auto" w:fill="DCF3FA"/>
          </w:tcPr>
          <w:p>
            <w:pPr>
              <w:ind w:left="380"/>
              <w:spacing w:after="0"/>
              <w:rPr>
                <w:sz w:val="20"/>
                <w:szCs w:val="20"/>
                <w:color w:val="auto"/>
              </w:rPr>
            </w:pPr>
            <w:r>
              <w:rPr>
                <w:rFonts w:ascii="Calibri" w:cs="Calibri" w:eastAsia="Calibri" w:hAnsi="Calibri"/>
                <w:sz w:val="17"/>
                <w:szCs w:val="17"/>
                <w:color w:val="auto"/>
                <w:w w:val="70"/>
              </w:rPr>
              <w:t>• </w:t>
            </w:r>
          </w:p>
        </w:tc>
        <w:tc>
          <w:tcPr>
            <w:tcW w:w="9060" w:type="dxa"/>
            <w:vAlign w:val="bottom"/>
            <w:tcBorders>
              <w:right w:val="single" w:sz="8" w:color="auto"/>
            </w:tcBorders>
            <w:shd w:val="clear" w:color="auto" w:fill="DCF3FA"/>
          </w:tcPr>
          <w:p>
            <w:pPr>
              <w:ind w:left="60"/>
              <w:spacing w:after="0"/>
              <w:rPr>
                <w:sz w:val="20"/>
                <w:szCs w:val="20"/>
                <w:color w:val="auto"/>
              </w:rPr>
            </w:pPr>
            <w:r>
              <w:rPr>
                <w:rFonts w:ascii="Calibri" w:cs="Calibri" w:eastAsia="Calibri" w:hAnsi="Calibri"/>
                <w:sz w:val="17"/>
                <w:szCs w:val="17"/>
                <w:color w:val="auto"/>
              </w:rPr>
              <w:t> Training programs to raise awareness and promote diversity and inclusion through in-person workshops, virtual sessions and</w:t>
            </w:r>
          </w:p>
        </w:tc>
        <w:tc>
          <w:tcPr>
            <w:tcW w:w="0" w:type="dxa"/>
            <w:vAlign w:val="bottom"/>
          </w:tcPr>
          <w:p>
            <w:pPr>
              <w:spacing w:after="0"/>
              <w:rPr>
                <w:sz w:val="1"/>
                <w:szCs w:val="1"/>
                <w:color w:val="auto"/>
              </w:rPr>
            </w:pPr>
          </w:p>
        </w:tc>
      </w:tr>
      <w:tr>
        <w:trPr>
          <w:trHeight w:val="249"/>
        </w:trPr>
        <w:tc>
          <w:tcPr>
            <w:tcW w:w="1000" w:type="dxa"/>
            <w:vAlign w:val="bottom"/>
            <w:tcBorders>
              <w:left w:val="single" w:sz="8" w:color="auto"/>
              <w:bottom w:val="single" w:sz="8" w:color="F2F2F2"/>
              <w:right w:val="single" w:sz="8" w:color="auto"/>
            </w:tcBorders>
            <w:shd w:val="clear" w:color="auto" w:fill="F2F2F2"/>
          </w:tcPr>
          <w:p>
            <w:pPr>
              <w:spacing w:after="0"/>
              <w:rPr>
                <w:sz w:val="21"/>
                <w:szCs w:val="21"/>
                <w:color w:val="auto"/>
              </w:rPr>
            </w:pPr>
          </w:p>
        </w:tc>
        <w:tc>
          <w:tcPr>
            <w:tcW w:w="580" w:type="dxa"/>
            <w:vAlign w:val="bottom"/>
            <w:tcBorders>
              <w:bottom w:val="single" w:sz="8" w:color="DCF3FA"/>
            </w:tcBorders>
            <w:shd w:val="clear" w:color="auto" w:fill="DCF3FA"/>
          </w:tcPr>
          <w:p>
            <w:pPr>
              <w:spacing w:after="0"/>
              <w:rPr>
                <w:sz w:val="21"/>
                <w:szCs w:val="21"/>
                <w:color w:val="auto"/>
              </w:rPr>
            </w:pPr>
          </w:p>
        </w:tc>
        <w:tc>
          <w:tcPr>
            <w:tcW w:w="9060" w:type="dxa"/>
            <w:vAlign w:val="bottom"/>
            <w:tcBorders>
              <w:bottom w:val="single" w:sz="8" w:color="DCF3FA"/>
              <w:right w:val="single" w:sz="8" w:color="auto"/>
            </w:tcBorders>
            <w:shd w:val="clear" w:color="auto" w:fill="DCF3FA"/>
          </w:tcPr>
          <w:p>
            <w:pPr>
              <w:ind w:left="120"/>
              <w:spacing w:after="0"/>
              <w:rPr>
                <w:sz w:val="20"/>
                <w:szCs w:val="20"/>
                <w:color w:val="auto"/>
              </w:rPr>
            </w:pPr>
            <w:r>
              <w:rPr>
                <w:rFonts w:ascii="Calibri" w:cs="Calibri" w:eastAsia="Calibri" w:hAnsi="Calibri"/>
                <w:sz w:val="17"/>
                <w:szCs w:val="17"/>
                <w:color w:val="auto"/>
              </w:rPr>
              <w:t>e-learning opportunites</w:t>
            </w:r>
          </w:p>
        </w:tc>
        <w:tc>
          <w:tcPr>
            <w:tcW w:w="0" w:type="dxa"/>
            <w:vAlign w:val="bottom"/>
          </w:tcPr>
          <w:p>
            <w:pPr>
              <w:spacing w:after="0"/>
              <w:rPr>
                <w:sz w:val="1"/>
                <w:szCs w:val="1"/>
                <w:color w:val="auto"/>
              </w:rPr>
            </w:pPr>
          </w:p>
        </w:tc>
      </w:tr>
      <w:tr>
        <w:trPr>
          <w:trHeight w:val="180"/>
        </w:trPr>
        <w:tc>
          <w:tcPr>
            <w:tcW w:w="1000" w:type="dxa"/>
            <w:vAlign w:val="bottom"/>
            <w:tcBorders>
              <w:top w:val="single" w:sz="8" w:color="auto"/>
              <w:left w:val="single" w:sz="8" w:color="auto"/>
              <w:right w:val="single" w:sz="8" w:color="auto"/>
            </w:tcBorders>
            <w:shd w:val="clear" w:color="auto" w:fill="F2F2F2"/>
          </w:tcPr>
          <w:p>
            <w:pPr>
              <w:spacing w:after="0"/>
              <w:rPr>
                <w:sz w:val="15"/>
                <w:szCs w:val="15"/>
                <w:color w:val="auto"/>
              </w:rPr>
            </w:pPr>
          </w:p>
        </w:tc>
        <w:tc>
          <w:tcPr>
            <w:tcW w:w="9640" w:type="dxa"/>
            <w:vAlign w:val="bottom"/>
            <w:tcBorders>
              <w:top w:val="single" w:sz="8" w:color="auto"/>
              <w:right w:val="single" w:sz="8" w:color="auto"/>
            </w:tcBorders>
            <w:gridSpan w:val="2"/>
            <w:shd w:val="clear" w:color="auto" w:fill="DCF3FA"/>
          </w:tcPr>
          <w:p>
            <w:pPr>
              <w:ind w:left="380"/>
              <w:spacing w:after="0" w:line="180" w:lineRule="exact"/>
              <w:rPr>
                <w:sz w:val="20"/>
                <w:szCs w:val="20"/>
                <w:color w:val="auto"/>
              </w:rPr>
            </w:pPr>
            <w:r>
              <w:rPr>
                <w:rFonts w:ascii="Calibri" w:cs="Calibri" w:eastAsia="Calibri" w:hAnsi="Calibri"/>
                <w:sz w:val="17"/>
                <w:szCs w:val="17"/>
                <w:b w:val="1"/>
                <w:bCs w:val="1"/>
                <w:color w:val="auto"/>
              </w:rPr>
              <w:t xml:space="preserve">Equity: </w:t>
            </w:r>
            <w:r>
              <w:rPr>
                <w:rFonts w:ascii="Calibri" w:cs="Calibri" w:eastAsia="Calibri" w:hAnsi="Calibri"/>
                <w:sz w:val="17"/>
                <w:szCs w:val="17"/>
                <w:color w:val="auto"/>
              </w:rPr>
              <w:t>We strive to create a workplace with a level playing feld where employees collaborate efectvely and can reach their full</w:t>
            </w:r>
          </w:p>
        </w:tc>
        <w:tc>
          <w:tcPr>
            <w:tcW w:w="0" w:type="dxa"/>
            <w:vAlign w:val="bottom"/>
          </w:tcPr>
          <w:p>
            <w:pPr>
              <w:spacing w:after="0"/>
              <w:rPr>
                <w:sz w:val="1"/>
                <w:szCs w:val="1"/>
                <w:color w:val="auto"/>
              </w:rPr>
            </w:pPr>
          </w:p>
        </w:tc>
      </w:tr>
      <w:tr>
        <w:trPr>
          <w:trHeight w:val="206"/>
        </w:trPr>
        <w:tc>
          <w:tcPr>
            <w:tcW w:w="1000" w:type="dxa"/>
            <w:vAlign w:val="bottom"/>
            <w:tcBorders>
              <w:left w:val="single" w:sz="8" w:color="auto"/>
              <w:right w:val="single" w:sz="8" w:color="auto"/>
            </w:tcBorders>
            <w:vMerge w:val="restart"/>
            <w:shd w:val="clear" w:color="auto" w:fill="F2F2F2"/>
          </w:tcPr>
          <w:p>
            <w:pPr>
              <w:jc w:val="center"/>
              <w:spacing w:after="0" w:line="534" w:lineRule="exact"/>
              <w:rPr>
                <w:sz w:val="20"/>
                <w:szCs w:val="20"/>
                <w:color w:val="auto"/>
              </w:rPr>
            </w:pPr>
            <w:r>
              <w:rPr>
                <w:rFonts w:ascii="Calibri" w:cs="Calibri" w:eastAsia="Calibri" w:hAnsi="Calibri"/>
                <w:sz w:val="45"/>
                <w:szCs w:val="45"/>
                <w:b w:val="1"/>
                <w:bCs w:val="1"/>
                <w:color w:val="FB4E0B"/>
                <w:w w:val="74"/>
              </w:rPr>
              <w:t>  E  </w:t>
            </w:r>
          </w:p>
        </w:tc>
        <w:tc>
          <w:tcPr>
            <w:tcW w:w="9640" w:type="dxa"/>
            <w:vAlign w:val="bottom"/>
            <w:tcBorders>
              <w:right w:val="single" w:sz="8" w:color="auto"/>
            </w:tcBorders>
            <w:gridSpan w:val="2"/>
            <w:shd w:val="clear" w:color="auto" w:fill="DCF3FA"/>
          </w:tcPr>
          <w:p>
            <w:pPr>
              <w:ind w:left="380"/>
              <w:spacing w:after="0" w:line="206" w:lineRule="exact"/>
              <w:rPr>
                <w:sz w:val="20"/>
                <w:szCs w:val="20"/>
                <w:color w:val="auto"/>
              </w:rPr>
            </w:pPr>
            <w:r>
              <w:rPr>
                <w:rFonts w:ascii="Calibri" w:cs="Calibri" w:eastAsia="Calibri" w:hAnsi="Calibri"/>
                <w:sz w:val="17"/>
                <w:szCs w:val="17"/>
                <w:color w:val="auto"/>
              </w:rPr>
              <w:t>potental.</w:t>
            </w:r>
          </w:p>
        </w:tc>
        <w:tc>
          <w:tcPr>
            <w:tcW w:w="0" w:type="dxa"/>
            <w:vAlign w:val="bottom"/>
          </w:tcPr>
          <w:p>
            <w:pPr>
              <w:spacing w:after="0"/>
              <w:rPr>
                <w:sz w:val="1"/>
                <w:szCs w:val="1"/>
                <w:color w:val="auto"/>
              </w:rPr>
            </w:pPr>
          </w:p>
        </w:tc>
      </w:tr>
      <w:tr>
        <w:trPr>
          <w:trHeight w:val="327"/>
        </w:trPr>
        <w:tc>
          <w:tcPr>
            <w:tcW w:w="1000" w:type="dxa"/>
            <w:vAlign w:val="bottom"/>
            <w:tcBorders>
              <w:left w:val="single" w:sz="8" w:color="auto"/>
              <w:right w:val="single" w:sz="8" w:color="auto"/>
            </w:tcBorders>
            <w:vMerge w:val="continue"/>
            <w:shd w:val="clear" w:color="auto" w:fill="F2F2F2"/>
          </w:tcPr>
          <w:p>
            <w:pPr>
              <w:spacing w:after="0"/>
              <w:rPr>
                <w:sz w:val="24"/>
                <w:szCs w:val="24"/>
                <w:color w:val="auto"/>
              </w:rPr>
            </w:pPr>
          </w:p>
        </w:tc>
        <w:tc>
          <w:tcPr>
            <w:tcW w:w="580" w:type="dxa"/>
            <w:vAlign w:val="bottom"/>
            <w:shd w:val="clear" w:color="auto" w:fill="DCF3FA"/>
          </w:tcPr>
          <w:p>
            <w:pPr>
              <w:ind w:left="380"/>
              <w:spacing w:after="0"/>
              <w:rPr>
                <w:sz w:val="20"/>
                <w:szCs w:val="20"/>
                <w:color w:val="auto"/>
              </w:rPr>
            </w:pPr>
            <w:r>
              <w:rPr>
                <w:rFonts w:ascii="Calibri" w:cs="Calibri" w:eastAsia="Calibri" w:hAnsi="Calibri"/>
                <w:sz w:val="17"/>
                <w:szCs w:val="17"/>
                <w:color w:val="auto"/>
                <w:w w:val="70"/>
              </w:rPr>
              <w:t>• </w:t>
            </w:r>
          </w:p>
        </w:tc>
        <w:tc>
          <w:tcPr>
            <w:tcW w:w="9060" w:type="dxa"/>
            <w:vAlign w:val="bottom"/>
            <w:tcBorders>
              <w:right w:val="single" w:sz="8" w:color="auto"/>
            </w:tcBorders>
            <w:shd w:val="clear" w:color="auto" w:fill="DCF3FA"/>
          </w:tcPr>
          <w:p>
            <w:pPr>
              <w:ind w:left="60"/>
              <w:spacing w:after="0"/>
              <w:rPr>
                <w:sz w:val="20"/>
                <w:szCs w:val="20"/>
                <w:color w:val="auto"/>
              </w:rPr>
            </w:pPr>
            <w:r>
              <w:rPr>
                <w:rFonts w:ascii="Calibri" w:cs="Calibri" w:eastAsia="Calibri" w:hAnsi="Calibri"/>
                <w:sz w:val="17"/>
                <w:szCs w:val="17"/>
                <w:color w:val="auto"/>
              </w:rPr>
              <w:t> Annual pay equity study conducted internally or through a third-party consultant to review pay variatons among our employees</w:t>
            </w:r>
          </w:p>
        </w:tc>
        <w:tc>
          <w:tcPr>
            <w:tcW w:w="0" w:type="dxa"/>
            <w:vAlign w:val="bottom"/>
          </w:tcPr>
          <w:p>
            <w:pPr>
              <w:spacing w:after="0"/>
              <w:rPr>
                <w:sz w:val="1"/>
                <w:szCs w:val="1"/>
                <w:color w:val="auto"/>
              </w:rPr>
            </w:pPr>
          </w:p>
        </w:tc>
      </w:tr>
      <w:tr>
        <w:trPr>
          <w:trHeight w:val="206"/>
        </w:trPr>
        <w:tc>
          <w:tcPr>
            <w:tcW w:w="1000" w:type="dxa"/>
            <w:vAlign w:val="bottom"/>
            <w:tcBorders>
              <w:left w:val="single" w:sz="8" w:color="auto"/>
              <w:right w:val="single" w:sz="8" w:color="auto"/>
            </w:tcBorders>
            <w:shd w:val="clear" w:color="auto" w:fill="F2F2F2"/>
          </w:tcPr>
          <w:p>
            <w:pPr>
              <w:spacing w:after="0"/>
              <w:rPr>
                <w:sz w:val="17"/>
                <w:szCs w:val="17"/>
                <w:color w:val="auto"/>
              </w:rPr>
            </w:pPr>
          </w:p>
        </w:tc>
        <w:tc>
          <w:tcPr>
            <w:tcW w:w="580" w:type="dxa"/>
            <w:vAlign w:val="bottom"/>
            <w:shd w:val="clear" w:color="auto" w:fill="DCF3FA"/>
          </w:tcPr>
          <w:p>
            <w:pPr>
              <w:spacing w:after="0"/>
              <w:rPr>
                <w:sz w:val="17"/>
                <w:szCs w:val="17"/>
                <w:color w:val="auto"/>
              </w:rPr>
            </w:pPr>
          </w:p>
        </w:tc>
        <w:tc>
          <w:tcPr>
            <w:tcW w:w="9060" w:type="dxa"/>
            <w:vAlign w:val="bottom"/>
            <w:tcBorders>
              <w:right w:val="single" w:sz="8" w:color="auto"/>
            </w:tcBorders>
            <w:shd w:val="clear" w:color="auto" w:fill="DCF3FA"/>
          </w:tcPr>
          <w:p>
            <w:pPr>
              <w:ind w:left="120"/>
              <w:spacing w:after="0" w:line="206" w:lineRule="exact"/>
              <w:rPr>
                <w:sz w:val="20"/>
                <w:szCs w:val="20"/>
                <w:color w:val="auto"/>
              </w:rPr>
            </w:pPr>
            <w:r>
              <w:rPr>
                <w:rFonts w:ascii="Calibri" w:cs="Calibri" w:eastAsia="Calibri" w:hAnsi="Calibri"/>
                <w:sz w:val="17"/>
                <w:szCs w:val="17"/>
                <w:color w:val="auto"/>
              </w:rPr>
              <w:t>and identfy any gaps. Our assessments have not revealed any systematc pay inequity to date.</w:t>
            </w:r>
          </w:p>
        </w:tc>
        <w:tc>
          <w:tcPr>
            <w:tcW w:w="0" w:type="dxa"/>
            <w:vAlign w:val="bottom"/>
          </w:tcPr>
          <w:p>
            <w:pPr>
              <w:spacing w:after="0"/>
              <w:rPr>
                <w:sz w:val="1"/>
                <w:szCs w:val="1"/>
                <w:color w:val="auto"/>
              </w:rPr>
            </w:pPr>
          </w:p>
        </w:tc>
      </w:tr>
      <w:tr>
        <w:trPr>
          <w:trHeight w:val="249"/>
        </w:trPr>
        <w:tc>
          <w:tcPr>
            <w:tcW w:w="1000" w:type="dxa"/>
            <w:vAlign w:val="bottom"/>
            <w:tcBorders>
              <w:left w:val="single" w:sz="8" w:color="auto"/>
              <w:bottom w:val="single" w:sz="8" w:color="F2F2F2"/>
              <w:right w:val="single" w:sz="8" w:color="auto"/>
            </w:tcBorders>
            <w:shd w:val="clear" w:color="auto" w:fill="F2F2F2"/>
          </w:tcPr>
          <w:p>
            <w:pPr>
              <w:spacing w:after="0"/>
              <w:rPr>
                <w:sz w:val="21"/>
                <w:szCs w:val="21"/>
                <w:color w:val="auto"/>
              </w:rPr>
            </w:pPr>
          </w:p>
        </w:tc>
        <w:tc>
          <w:tcPr>
            <w:tcW w:w="580" w:type="dxa"/>
            <w:vAlign w:val="bottom"/>
            <w:tcBorders>
              <w:bottom w:val="single" w:sz="8" w:color="DCF3FA"/>
            </w:tcBorders>
            <w:shd w:val="clear" w:color="auto" w:fill="DCF3FA"/>
          </w:tcPr>
          <w:p>
            <w:pPr>
              <w:ind w:left="380"/>
              <w:spacing w:after="0"/>
              <w:rPr>
                <w:sz w:val="20"/>
                <w:szCs w:val="20"/>
                <w:color w:val="auto"/>
              </w:rPr>
            </w:pPr>
            <w:r>
              <w:rPr>
                <w:rFonts w:ascii="Calibri" w:cs="Calibri" w:eastAsia="Calibri" w:hAnsi="Calibri"/>
                <w:sz w:val="17"/>
                <w:szCs w:val="17"/>
                <w:color w:val="auto"/>
                <w:w w:val="70"/>
              </w:rPr>
              <w:t>• </w:t>
            </w:r>
          </w:p>
        </w:tc>
        <w:tc>
          <w:tcPr>
            <w:tcW w:w="9060" w:type="dxa"/>
            <w:vAlign w:val="bottom"/>
            <w:tcBorders>
              <w:bottom w:val="single" w:sz="8" w:color="DCF3FA"/>
              <w:right w:val="single" w:sz="8" w:color="auto"/>
            </w:tcBorders>
            <w:shd w:val="clear" w:color="auto" w:fill="DCF3FA"/>
          </w:tcPr>
          <w:p>
            <w:pPr>
              <w:ind w:left="60"/>
              <w:spacing w:after="0"/>
              <w:rPr>
                <w:sz w:val="20"/>
                <w:szCs w:val="20"/>
                <w:color w:val="auto"/>
              </w:rPr>
            </w:pPr>
            <w:r>
              <w:rPr>
                <w:rFonts w:ascii="Calibri" w:cs="Calibri" w:eastAsia="Calibri" w:hAnsi="Calibri"/>
                <w:sz w:val="17"/>
                <w:szCs w:val="17"/>
                <w:color w:val="auto"/>
              </w:rPr>
              <w:t> Development programs aimed to accelerate the professional development of women at mid-management levels</w:t>
            </w:r>
          </w:p>
        </w:tc>
        <w:tc>
          <w:tcPr>
            <w:tcW w:w="0" w:type="dxa"/>
            <w:vAlign w:val="bottom"/>
          </w:tcPr>
          <w:p>
            <w:pPr>
              <w:spacing w:after="0"/>
              <w:rPr>
                <w:sz w:val="1"/>
                <w:szCs w:val="1"/>
                <w:color w:val="auto"/>
              </w:rPr>
            </w:pPr>
          </w:p>
        </w:tc>
      </w:tr>
      <w:tr>
        <w:trPr>
          <w:trHeight w:val="180"/>
        </w:trPr>
        <w:tc>
          <w:tcPr>
            <w:tcW w:w="1000" w:type="dxa"/>
            <w:vAlign w:val="bottom"/>
            <w:tcBorders>
              <w:top w:val="single" w:sz="8" w:color="auto"/>
              <w:left w:val="single" w:sz="8" w:color="auto"/>
              <w:right w:val="single" w:sz="8" w:color="auto"/>
            </w:tcBorders>
            <w:shd w:val="clear" w:color="auto" w:fill="F2F2F2"/>
          </w:tcPr>
          <w:p>
            <w:pPr>
              <w:spacing w:after="0"/>
              <w:rPr>
                <w:sz w:val="15"/>
                <w:szCs w:val="15"/>
                <w:color w:val="auto"/>
              </w:rPr>
            </w:pPr>
          </w:p>
        </w:tc>
        <w:tc>
          <w:tcPr>
            <w:tcW w:w="9640" w:type="dxa"/>
            <w:vAlign w:val="bottom"/>
            <w:tcBorders>
              <w:top w:val="single" w:sz="8" w:color="auto"/>
              <w:right w:val="single" w:sz="8" w:color="auto"/>
            </w:tcBorders>
            <w:gridSpan w:val="2"/>
            <w:shd w:val="clear" w:color="auto" w:fill="DCF3FA"/>
          </w:tcPr>
          <w:p>
            <w:pPr>
              <w:ind w:left="380"/>
              <w:spacing w:after="0" w:line="180" w:lineRule="exact"/>
              <w:rPr>
                <w:sz w:val="20"/>
                <w:szCs w:val="20"/>
                <w:color w:val="auto"/>
              </w:rPr>
            </w:pPr>
            <w:r>
              <w:rPr>
                <w:rFonts w:ascii="Calibri" w:cs="Calibri" w:eastAsia="Calibri" w:hAnsi="Calibri"/>
                <w:sz w:val="17"/>
                <w:szCs w:val="17"/>
                <w:b w:val="1"/>
                <w:bCs w:val="1"/>
                <w:color w:val="auto"/>
              </w:rPr>
              <w:t xml:space="preserve">Inclusion: </w:t>
            </w:r>
            <w:r>
              <w:rPr>
                <w:rFonts w:ascii="Calibri" w:cs="Calibri" w:eastAsia="Calibri" w:hAnsi="Calibri"/>
                <w:sz w:val="17"/>
                <w:szCs w:val="17"/>
                <w:color w:val="auto"/>
              </w:rPr>
              <w:t>We strive to create a workplace where employees are accepted and supported, feel that they can be themselves and are</w:t>
            </w:r>
          </w:p>
        </w:tc>
        <w:tc>
          <w:tcPr>
            <w:tcW w:w="0" w:type="dxa"/>
            <w:vAlign w:val="bottom"/>
          </w:tcPr>
          <w:p>
            <w:pPr>
              <w:spacing w:after="0"/>
              <w:rPr>
                <w:sz w:val="1"/>
                <w:szCs w:val="1"/>
                <w:color w:val="auto"/>
              </w:rPr>
            </w:pPr>
          </w:p>
        </w:tc>
      </w:tr>
      <w:tr>
        <w:trPr>
          <w:trHeight w:val="206"/>
        </w:trPr>
        <w:tc>
          <w:tcPr>
            <w:tcW w:w="1000" w:type="dxa"/>
            <w:vAlign w:val="bottom"/>
            <w:tcBorders>
              <w:left w:val="single" w:sz="8" w:color="auto"/>
              <w:right w:val="single" w:sz="8" w:color="auto"/>
            </w:tcBorders>
            <w:shd w:val="clear" w:color="auto" w:fill="F2F2F2"/>
          </w:tcPr>
          <w:p>
            <w:pPr>
              <w:spacing w:after="0"/>
              <w:rPr>
                <w:sz w:val="17"/>
                <w:szCs w:val="17"/>
                <w:color w:val="auto"/>
              </w:rPr>
            </w:pPr>
          </w:p>
        </w:tc>
        <w:tc>
          <w:tcPr>
            <w:tcW w:w="9640" w:type="dxa"/>
            <w:vAlign w:val="bottom"/>
            <w:tcBorders>
              <w:right w:val="single" w:sz="8" w:color="auto"/>
            </w:tcBorders>
            <w:gridSpan w:val="2"/>
            <w:shd w:val="clear" w:color="auto" w:fill="DCF3FA"/>
          </w:tcPr>
          <w:p>
            <w:pPr>
              <w:ind w:left="380"/>
              <w:spacing w:after="0" w:line="206" w:lineRule="exact"/>
              <w:rPr>
                <w:sz w:val="20"/>
                <w:szCs w:val="20"/>
                <w:color w:val="auto"/>
              </w:rPr>
            </w:pPr>
            <w:r>
              <w:rPr>
                <w:rFonts w:ascii="Calibri" w:cs="Calibri" w:eastAsia="Calibri" w:hAnsi="Calibri"/>
                <w:sz w:val="17"/>
                <w:szCs w:val="17"/>
                <w:color w:val="auto"/>
              </w:rPr>
              <w:t>ofered opportunites to build allyship and community, which drives more innovaton and creatvity.</w:t>
            </w:r>
          </w:p>
        </w:tc>
        <w:tc>
          <w:tcPr>
            <w:tcW w:w="0" w:type="dxa"/>
            <w:vAlign w:val="bottom"/>
          </w:tcPr>
          <w:p>
            <w:pPr>
              <w:spacing w:after="0"/>
              <w:rPr>
                <w:sz w:val="1"/>
                <w:szCs w:val="1"/>
                <w:color w:val="auto"/>
              </w:rPr>
            </w:pPr>
          </w:p>
        </w:tc>
      </w:tr>
      <w:tr>
        <w:trPr>
          <w:trHeight w:val="325"/>
        </w:trPr>
        <w:tc>
          <w:tcPr>
            <w:tcW w:w="1000" w:type="dxa"/>
            <w:vAlign w:val="bottom"/>
            <w:tcBorders>
              <w:left w:val="single" w:sz="8" w:color="auto"/>
              <w:right w:val="single" w:sz="8" w:color="auto"/>
            </w:tcBorders>
            <w:vMerge w:val="restart"/>
            <w:shd w:val="clear" w:color="auto" w:fill="F2F2F2"/>
          </w:tcPr>
          <w:p>
            <w:pPr>
              <w:jc w:val="center"/>
              <w:spacing w:after="0" w:line="534" w:lineRule="exact"/>
              <w:rPr>
                <w:sz w:val="20"/>
                <w:szCs w:val="20"/>
                <w:color w:val="auto"/>
              </w:rPr>
            </w:pPr>
            <w:r>
              <w:rPr>
                <w:rFonts w:ascii="Calibri" w:cs="Calibri" w:eastAsia="Calibri" w:hAnsi="Calibri"/>
                <w:sz w:val="45"/>
                <w:szCs w:val="45"/>
                <w:b w:val="1"/>
                <w:bCs w:val="1"/>
                <w:color w:val="FB4E0B"/>
                <w:w w:val="70"/>
              </w:rPr>
              <w:t>  I  </w:t>
            </w:r>
          </w:p>
        </w:tc>
        <w:tc>
          <w:tcPr>
            <w:tcW w:w="580" w:type="dxa"/>
            <w:vAlign w:val="bottom"/>
            <w:shd w:val="clear" w:color="auto" w:fill="DCF3FA"/>
          </w:tcPr>
          <w:p>
            <w:pPr>
              <w:ind w:left="380"/>
              <w:spacing w:after="0"/>
              <w:rPr>
                <w:sz w:val="20"/>
                <w:szCs w:val="20"/>
                <w:color w:val="auto"/>
              </w:rPr>
            </w:pPr>
            <w:r>
              <w:rPr>
                <w:rFonts w:ascii="Calibri" w:cs="Calibri" w:eastAsia="Calibri" w:hAnsi="Calibri"/>
                <w:sz w:val="17"/>
                <w:szCs w:val="17"/>
                <w:color w:val="auto"/>
                <w:w w:val="70"/>
              </w:rPr>
              <w:t>• </w:t>
            </w:r>
          </w:p>
        </w:tc>
        <w:tc>
          <w:tcPr>
            <w:tcW w:w="9060" w:type="dxa"/>
            <w:vAlign w:val="bottom"/>
            <w:tcBorders>
              <w:right w:val="single" w:sz="8" w:color="auto"/>
            </w:tcBorders>
            <w:shd w:val="clear" w:color="auto" w:fill="DCF3FA"/>
          </w:tcPr>
          <w:p>
            <w:pPr>
              <w:ind w:left="60"/>
              <w:spacing w:after="0"/>
              <w:rPr>
                <w:sz w:val="20"/>
                <w:szCs w:val="20"/>
                <w:color w:val="auto"/>
              </w:rPr>
            </w:pPr>
            <w:r>
              <w:rPr>
                <w:rFonts w:ascii="Calibri" w:cs="Calibri" w:eastAsia="Calibri" w:hAnsi="Calibri"/>
                <w:sz w:val="17"/>
                <w:szCs w:val="17"/>
                <w:color w:val="auto"/>
              </w:rPr>
              <w:t> Women@EXL employee resource group, which provides opportunites for networking and mentoring to further career</w:t>
            </w: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right w:val="single" w:sz="8" w:color="auto"/>
            </w:tcBorders>
            <w:vMerge w:val="continue"/>
            <w:shd w:val="clear" w:color="auto" w:fill="F2F2F2"/>
          </w:tcPr>
          <w:p>
            <w:pPr>
              <w:spacing w:after="0"/>
              <w:rPr>
                <w:sz w:val="18"/>
                <w:szCs w:val="18"/>
                <w:color w:val="auto"/>
              </w:rPr>
            </w:pPr>
          </w:p>
        </w:tc>
        <w:tc>
          <w:tcPr>
            <w:tcW w:w="580" w:type="dxa"/>
            <w:vAlign w:val="bottom"/>
            <w:shd w:val="clear" w:color="auto" w:fill="DCF3FA"/>
          </w:tcPr>
          <w:p>
            <w:pPr>
              <w:spacing w:after="0"/>
              <w:rPr>
                <w:sz w:val="18"/>
                <w:szCs w:val="18"/>
                <w:color w:val="auto"/>
              </w:rPr>
            </w:pPr>
          </w:p>
        </w:tc>
        <w:tc>
          <w:tcPr>
            <w:tcW w:w="9060" w:type="dxa"/>
            <w:vAlign w:val="bottom"/>
            <w:tcBorders>
              <w:right w:val="single" w:sz="8" w:color="auto"/>
            </w:tcBorders>
            <w:shd w:val="clear" w:color="auto" w:fill="DCF3FA"/>
          </w:tcPr>
          <w:p>
            <w:pPr>
              <w:ind w:left="120"/>
              <w:spacing w:after="0"/>
              <w:rPr>
                <w:sz w:val="20"/>
                <w:szCs w:val="20"/>
                <w:color w:val="auto"/>
              </w:rPr>
            </w:pPr>
            <w:r>
              <w:rPr>
                <w:rFonts w:ascii="Calibri" w:cs="Calibri" w:eastAsia="Calibri" w:hAnsi="Calibri"/>
                <w:sz w:val="17"/>
                <w:szCs w:val="17"/>
                <w:color w:val="auto"/>
              </w:rPr>
              <w:t>development, support and empower women at EXL</w:t>
            </w:r>
          </w:p>
        </w:tc>
        <w:tc>
          <w:tcPr>
            <w:tcW w:w="0" w:type="dxa"/>
            <w:vAlign w:val="bottom"/>
          </w:tcPr>
          <w:p>
            <w:pPr>
              <w:spacing w:after="0"/>
              <w:rPr>
                <w:sz w:val="1"/>
                <w:szCs w:val="1"/>
                <w:color w:val="auto"/>
              </w:rPr>
            </w:pPr>
          </w:p>
        </w:tc>
      </w:tr>
      <w:tr>
        <w:trPr>
          <w:trHeight w:val="206"/>
        </w:trPr>
        <w:tc>
          <w:tcPr>
            <w:tcW w:w="1000" w:type="dxa"/>
            <w:vAlign w:val="bottom"/>
            <w:tcBorders>
              <w:left w:val="single" w:sz="8" w:color="auto"/>
              <w:right w:val="single" w:sz="8" w:color="auto"/>
            </w:tcBorders>
            <w:shd w:val="clear" w:color="auto" w:fill="F2F2F2"/>
          </w:tcPr>
          <w:p>
            <w:pPr>
              <w:spacing w:after="0"/>
              <w:rPr>
                <w:sz w:val="17"/>
                <w:szCs w:val="17"/>
                <w:color w:val="auto"/>
              </w:rPr>
            </w:pPr>
          </w:p>
        </w:tc>
        <w:tc>
          <w:tcPr>
            <w:tcW w:w="580" w:type="dxa"/>
            <w:vAlign w:val="bottom"/>
            <w:shd w:val="clear" w:color="auto" w:fill="DCF3FA"/>
          </w:tcPr>
          <w:p>
            <w:pPr>
              <w:ind w:left="380"/>
              <w:spacing w:after="0" w:line="206" w:lineRule="exact"/>
              <w:rPr>
                <w:sz w:val="20"/>
                <w:szCs w:val="20"/>
                <w:color w:val="auto"/>
              </w:rPr>
            </w:pPr>
            <w:r>
              <w:rPr>
                <w:rFonts w:ascii="Calibri" w:cs="Calibri" w:eastAsia="Calibri" w:hAnsi="Calibri"/>
                <w:sz w:val="17"/>
                <w:szCs w:val="17"/>
                <w:color w:val="auto"/>
                <w:w w:val="70"/>
              </w:rPr>
              <w:t>• </w:t>
            </w:r>
          </w:p>
        </w:tc>
        <w:tc>
          <w:tcPr>
            <w:tcW w:w="9060" w:type="dxa"/>
            <w:vAlign w:val="bottom"/>
            <w:tcBorders>
              <w:right w:val="single" w:sz="8" w:color="auto"/>
            </w:tcBorders>
            <w:shd w:val="clear" w:color="auto" w:fill="DCF3FA"/>
          </w:tcPr>
          <w:p>
            <w:pPr>
              <w:ind w:left="60"/>
              <w:spacing w:after="0" w:line="206" w:lineRule="exact"/>
              <w:rPr>
                <w:sz w:val="20"/>
                <w:szCs w:val="20"/>
                <w:color w:val="auto"/>
              </w:rPr>
            </w:pPr>
            <w:r>
              <w:rPr>
                <w:rFonts w:ascii="Calibri" w:cs="Calibri" w:eastAsia="Calibri" w:hAnsi="Calibri"/>
                <w:sz w:val="17"/>
                <w:szCs w:val="17"/>
                <w:color w:val="auto"/>
                <w:w w:val="99"/>
              </w:rPr>
              <w:t> LGBTQ+ employee resource group, which fosters an environment where employees feel uplifed, safe, included and valued as part</w:t>
            </w:r>
          </w:p>
        </w:tc>
        <w:tc>
          <w:tcPr>
            <w:tcW w:w="0" w:type="dxa"/>
            <w:vAlign w:val="bottom"/>
          </w:tcPr>
          <w:p>
            <w:pPr>
              <w:spacing w:after="0"/>
              <w:rPr>
                <w:sz w:val="1"/>
                <w:szCs w:val="1"/>
                <w:color w:val="auto"/>
              </w:rPr>
            </w:pPr>
          </w:p>
        </w:tc>
      </w:tr>
      <w:tr>
        <w:trPr>
          <w:trHeight w:val="208"/>
        </w:trPr>
        <w:tc>
          <w:tcPr>
            <w:tcW w:w="1000" w:type="dxa"/>
            <w:vAlign w:val="bottom"/>
            <w:tcBorders>
              <w:left w:val="single" w:sz="8" w:color="auto"/>
              <w:right w:val="single" w:sz="8" w:color="auto"/>
            </w:tcBorders>
            <w:shd w:val="clear" w:color="auto" w:fill="F2F2F2"/>
          </w:tcPr>
          <w:p>
            <w:pPr>
              <w:spacing w:after="0"/>
              <w:rPr>
                <w:sz w:val="18"/>
                <w:szCs w:val="18"/>
                <w:color w:val="auto"/>
              </w:rPr>
            </w:pPr>
          </w:p>
        </w:tc>
        <w:tc>
          <w:tcPr>
            <w:tcW w:w="580" w:type="dxa"/>
            <w:vAlign w:val="bottom"/>
            <w:shd w:val="clear" w:color="auto" w:fill="DCF3FA"/>
          </w:tcPr>
          <w:p>
            <w:pPr>
              <w:spacing w:after="0"/>
              <w:rPr>
                <w:sz w:val="18"/>
                <w:szCs w:val="18"/>
                <w:color w:val="auto"/>
              </w:rPr>
            </w:pPr>
          </w:p>
        </w:tc>
        <w:tc>
          <w:tcPr>
            <w:tcW w:w="9060" w:type="dxa"/>
            <w:vAlign w:val="bottom"/>
            <w:tcBorders>
              <w:right w:val="single" w:sz="8" w:color="auto"/>
            </w:tcBorders>
            <w:shd w:val="clear" w:color="auto" w:fill="DCF3FA"/>
          </w:tcPr>
          <w:p>
            <w:pPr>
              <w:ind w:left="120"/>
              <w:spacing w:after="0"/>
              <w:rPr>
                <w:sz w:val="20"/>
                <w:szCs w:val="20"/>
                <w:color w:val="auto"/>
              </w:rPr>
            </w:pPr>
            <w:r>
              <w:rPr>
                <w:rFonts w:ascii="Calibri" w:cs="Calibri" w:eastAsia="Calibri" w:hAnsi="Calibri"/>
                <w:sz w:val="17"/>
                <w:szCs w:val="17"/>
                <w:color w:val="auto"/>
              </w:rPr>
              <w:t>of the EXL community</w:t>
            </w:r>
          </w:p>
        </w:tc>
        <w:tc>
          <w:tcPr>
            <w:tcW w:w="0" w:type="dxa"/>
            <w:vAlign w:val="bottom"/>
          </w:tcPr>
          <w:p>
            <w:pPr>
              <w:spacing w:after="0"/>
              <w:rPr>
                <w:sz w:val="1"/>
                <w:szCs w:val="1"/>
                <w:color w:val="auto"/>
              </w:rPr>
            </w:pPr>
          </w:p>
        </w:tc>
      </w:tr>
      <w:tr>
        <w:trPr>
          <w:trHeight w:val="224"/>
        </w:trPr>
        <w:tc>
          <w:tcPr>
            <w:tcW w:w="1000" w:type="dxa"/>
            <w:vAlign w:val="bottom"/>
            <w:tcBorders>
              <w:left w:val="single" w:sz="8" w:color="auto"/>
              <w:bottom w:val="single" w:sz="8" w:color="F2F2F2"/>
              <w:right w:val="single" w:sz="8" w:color="auto"/>
            </w:tcBorders>
            <w:shd w:val="clear" w:color="auto" w:fill="F2F2F2"/>
          </w:tcPr>
          <w:p>
            <w:pPr>
              <w:spacing w:after="0"/>
              <w:rPr>
                <w:sz w:val="19"/>
                <w:szCs w:val="19"/>
                <w:color w:val="auto"/>
              </w:rPr>
            </w:pPr>
          </w:p>
        </w:tc>
        <w:tc>
          <w:tcPr>
            <w:tcW w:w="580" w:type="dxa"/>
            <w:vAlign w:val="bottom"/>
            <w:tcBorders>
              <w:bottom w:val="single" w:sz="8" w:color="DCF3FA"/>
            </w:tcBorders>
            <w:shd w:val="clear" w:color="auto" w:fill="DCF3FA"/>
          </w:tcPr>
          <w:p>
            <w:pPr>
              <w:ind w:left="380"/>
              <w:spacing w:after="0"/>
              <w:rPr>
                <w:sz w:val="20"/>
                <w:szCs w:val="20"/>
                <w:color w:val="auto"/>
              </w:rPr>
            </w:pPr>
            <w:r>
              <w:rPr>
                <w:rFonts w:ascii="Calibri" w:cs="Calibri" w:eastAsia="Calibri" w:hAnsi="Calibri"/>
                <w:sz w:val="17"/>
                <w:szCs w:val="17"/>
                <w:color w:val="auto"/>
                <w:w w:val="70"/>
              </w:rPr>
              <w:t>• </w:t>
            </w:r>
          </w:p>
        </w:tc>
        <w:tc>
          <w:tcPr>
            <w:tcW w:w="9060" w:type="dxa"/>
            <w:vAlign w:val="bottom"/>
            <w:tcBorders>
              <w:bottom w:val="single" w:sz="8" w:color="DCF3FA"/>
              <w:right w:val="single" w:sz="8" w:color="auto"/>
            </w:tcBorders>
            <w:shd w:val="clear" w:color="auto" w:fill="DCF3FA"/>
          </w:tcPr>
          <w:p>
            <w:pPr>
              <w:ind w:left="60"/>
              <w:spacing w:after="0"/>
              <w:rPr>
                <w:sz w:val="20"/>
                <w:szCs w:val="20"/>
                <w:color w:val="auto"/>
              </w:rPr>
            </w:pPr>
            <w:r>
              <w:rPr>
                <w:rFonts w:ascii="Calibri" w:cs="Calibri" w:eastAsia="Calibri" w:hAnsi="Calibri"/>
                <w:sz w:val="17"/>
                <w:szCs w:val="17"/>
                <w:color w:val="auto"/>
              </w:rPr>
              <w:t> Diversity and inclusion sentment measured through employee engagement pulse surveys</w:t>
            </w: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49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Talent recruitment, development and retenton</w:t>
      </w:r>
    </w:p>
    <w:p>
      <w:pPr>
        <w:sectPr>
          <w:pgSz w:w="11900" w:h="16838" w:orient="portrait"/>
          <w:cols w:equalWidth="0" w:num="1">
            <w:col w:w="10880"/>
          </w:cols>
          <w:pgMar w:left="320" w:top="471" w:right="699" w:bottom="1440" w:gutter="0" w:footer="0" w:header="0"/>
        </w:sectPr>
      </w:pPr>
    </w:p>
    <w:p>
      <w:pPr>
        <w:spacing w:after="0" w:line="24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1677035" cy="30397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677035" cy="3039745"/>
                    </a:xfrm>
                    <a:prstGeom prst="rect">
                      <a:avLst/>
                    </a:prstGeom>
                    <a:noFill/>
                  </pic:spPr>
                </pic:pic>
              </a:graphicData>
            </a:graphic>
          </wp:anchor>
        </w:drawing>
      </w:r>
    </w:p>
    <w:p>
      <w:pPr>
        <w:spacing w:after="0" w:line="46" w:lineRule="exact"/>
        <w:rPr>
          <w:sz w:val="20"/>
          <w:szCs w:val="20"/>
          <w:color w:val="auto"/>
        </w:rPr>
      </w:pPr>
    </w:p>
    <w:p>
      <w:pPr>
        <w:ind w:left="740"/>
        <w:spacing w:after="0"/>
        <w:rPr>
          <w:sz w:val="20"/>
          <w:szCs w:val="20"/>
          <w:color w:val="auto"/>
        </w:rPr>
      </w:pPr>
      <w:r>
        <w:rPr>
          <w:rFonts w:ascii="Calibri" w:cs="Calibri" w:eastAsia="Calibri" w:hAnsi="Calibri"/>
          <w:sz w:val="17"/>
          <w:szCs w:val="17"/>
          <w:b w:val="1"/>
          <w:bCs w:val="1"/>
          <w:color w:val="FFFFFF"/>
        </w:rPr>
        <w:t>Talent-frst</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b w:val="1"/>
          <w:bCs w:val="1"/>
          <w:color w:val="FFFFFF"/>
        </w:rPr>
        <w:t>mindset for our</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b w:val="1"/>
          <w:bCs w:val="1"/>
          <w:color w:val="FFFFFF"/>
        </w:rPr>
        <w:t>multfaceted talent needs</w:t>
      </w:r>
    </w:p>
    <w:p>
      <w:pPr>
        <w:spacing w:after="0" w:line="145"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We view talent as a diferentator for our Company’s compettve advantage and, under the leadership of our board and senior executves, are commited to a talent-frst mindset. Our talent model is based on building a distributed workforce for our multfaceted talent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950595</wp:posOffset>
            </wp:positionV>
            <wp:extent cx="1635760" cy="1238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635760" cy="123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FFFFFF"/>
        </w:rPr>
        <w:t>Integrated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-290195</wp:posOffset>
            </wp:positionV>
            <wp:extent cx="6633210" cy="30397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633210" cy="3039745"/>
                    </a:xfrm>
                    <a:prstGeom prst="rect">
                      <a:avLst/>
                    </a:prstGeom>
                    <a:noFill/>
                  </pic:spPr>
                </pic:pic>
              </a:graphicData>
            </a:graphic>
          </wp:anchor>
        </w:drawing>
      </w:r>
    </w:p>
    <w:p>
      <w:pPr>
        <w:spacing w:after="0"/>
        <w:rPr>
          <w:sz w:val="20"/>
          <w:szCs w:val="20"/>
          <w:color w:val="auto"/>
        </w:rPr>
      </w:pPr>
      <w:r>
        <w:rPr>
          <w:rFonts w:ascii="Calibri" w:cs="Calibri" w:eastAsia="Calibri" w:hAnsi="Calibri"/>
          <w:sz w:val="17"/>
          <w:szCs w:val="17"/>
          <w:b w:val="1"/>
          <w:bCs w:val="1"/>
          <w:color w:val="FFFFFF"/>
        </w:rPr>
        <w:t>management</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FFFFFF"/>
        </w:rPr>
        <w:t>framework</w:t>
      </w:r>
    </w:p>
    <w:p>
      <w:pPr>
        <w:spacing w:after="0" w:line="145" w:lineRule="exact"/>
        <w:rPr>
          <w:sz w:val="20"/>
          <w:szCs w:val="20"/>
          <w:color w:val="auto"/>
        </w:rPr>
      </w:pPr>
    </w:p>
    <w:p>
      <w:pPr>
        <w:spacing w:after="0"/>
        <w:rPr>
          <w:sz w:val="20"/>
          <w:szCs w:val="20"/>
          <w:color w:val="auto"/>
        </w:rPr>
      </w:pPr>
      <w:r>
        <w:rPr>
          <w:rFonts w:ascii="Calibri" w:cs="Calibri" w:eastAsia="Calibri" w:hAnsi="Calibri"/>
          <w:sz w:val="17"/>
          <w:szCs w:val="17"/>
          <w:color w:val="auto"/>
        </w:rPr>
        <w:t>We maintain an integrated talent management framework, employing actve collaboraton between our recruitment, capability development and human resource functons. We use data, technology, including an AI-driven infrastructure, and business insights to help us create a global talent network and stay ahead of the dynamic talent economy, while building a future ready workforce.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FFFFFF"/>
        </w:rPr>
        <w:t>Actve role for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-224155</wp:posOffset>
            </wp:positionV>
            <wp:extent cx="1776095" cy="29076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76095" cy="2907665"/>
                    </a:xfrm>
                    <a:prstGeom prst="rect">
                      <a:avLst/>
                    </a:prstGeom>
                    <a:noFill/>
                  </pic:spPr>
                </pic:pic>
              </a:graphicData>
            </a:graphic>
          </wp:anchor>
        </w:drawing>
      </w:r>
    </w:p>
    <w:p>
      <w:pPr>
        <w:spacing w:after="0"/>
        <w:rPr>
          <w:sz w:val="20"/>
          <w:szCs w:val="20"/>
          <w:color w:val="auto"/>
        </w:rPr>
      </w:pPr>
      <w:r>
        <w:rPr>
          <w:rFonts w:ascii="Calibri" w:cs="Calibri" w:eastAsia="Calibri" w:hAnsi="Calibri"/>
          <w:sz w:val="17"/>
          <w:szCs w:val="17"/>
          <w:b w:val="1"/>
          <w:bCs w:val="1"/>
          <w:color w:val="FFFFFF"/>
        </w:rPr>
        <w:t>leadership</w:t>
      </w:r>
    </w:p>
    <w:p>
      <w:pPr>
        <w:spacing w:after="0" w:line="249" w:lineRule="exact"/>
        <w:rPr>
          <w:sz w:val="20"/>
          <w:szCs w:val="20"/>
          <w:color w:val="auto"/>
        </w:rPr>
      </w:pPr>
    </w:p>
    <w:p>
      <w:pPr>
        <w:spacing w:after="0"/>
        <w:rPr>
          <w:sz w:val="20"/>
          <w:szCs w:val="20"/>
          <w:color w:val="auto"/>
        </w:rPr>
      </w:pPr>
      <w:r>
        <w:rPr>
          <w:rFonts w:ascii="Calibri" w:cs="Calibri" w:eastAsia="Calibri" w:hAnsi="Calibri"/>
          <w:sz w:val="17"/>
          <w:szCs w:val="17"/>
          <w:color w:val="auto"/>
        </w:rPr>
        <w:t>Our senior leadership team and board play a critcal role in defning our talent priorites to align with our strategic vision for each of our business units, as well as with our clients’ priorites.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40"/>
        <w:spacing w:after="0" w:line="239" w:lineRule="auto"/>
        <w:rPr>
          <w:sz w:val="20"/>
          <w:szCs w:val="20"/>
          <w:color w:val="auto"/>
        </w:rPr>
      </w:pPr>
      <w:r>
        <w:rPr>
          <w:rFonts w:ascii="Calibri" w:cs="Calibri" w:eastAsia="Calibri" w:hAnsi="Calibri"/>
          <w:sz w:val="17"/>
          <w:szCs w:val="17"/>
          <w:b w:val="1"/>
          <w:bCs w:val="1"/>
          <w:color w:val="FFFFFF"/>
        </w:rPr>
        <w:t>Contnuous employee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-488315</wp:posOffset>
            </wp:positionV>
            <wp:extent cx="1677035" cy="30397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677035" cy="3039745"/>
                    </a:xfrm>
                    <a:prstGeom prst="rect">
                      <a:avLst/>
                    </a:prstGeom>
                    <a:noFill/>
                  </pic:spPr>
                </pic:pic>
              </a:graphicData>
            </a:graphic>
          </wp:anchor>
        </w:drawing>
      </w:r>
    </w:p>
    <w:p>
      <w:pPr>
        <w:spacing w:after="0" w:line="230" w:lineRule="exact"/>
        <w:rPr>
          <w:sz w:val="20"/>
          <w:szCs w:val="20"/>
          <w:color w:val="auto"/>
        </w:rPr>
      </w:pPr>
    </w:p>
    <w:p>
      <w:pPr>
        <w:ind w:right="60"/>
        <w:spacing w:after="0"/>
        <w:rPr>
          <w:sz w:val="20"/>
          <w:szCs w:val="20"/>
          <w:color w:val="auto"/>
        </w:rPr>
      </w:pPr>
      <w:r>
        <w:rPr>
          <w:rFonts w:ascii="Calibri" w:cs="Calibri" w:eastAsia="Calibri" w:hAnsi="Calibri"/>
          <w:sz w:val="17"/>
          <w:szCs w:val="17"/>
          <w:color w:val="auto"/>
        </w:rPr>
        <w:t>From the tme they join EXL, we focus on developing our employees by promotng opportunites for large-scale upskilling and reskilling, while fostering a learning environment conducive to individual skill-building and career advancement. We build role-specifc capabilites in our employees to be able to place the right people in the right roles. We maintain rigorous promoton standards, and compettve compensaton packages that include incentve-based compensaton.</w:t>
      </w:r>
    </w:p>
    <w:p>
      <w:pPr>
        <w:spacing w:after="0" w:line="200" w:lineRule="exact"/>
        <w:rPr>
          <w:sz w:val="20"/>
          <w:szCs w:val="20"/>
          <w:color w:val="auto"/>
        </w:rPr>
      </w:pPr>
    </w:p>
    <w:p>
      <w:pPr>
        <w:sectPr>
          <w:pgSz w:w="11900" w:h="16838" w:orient="portrait"/>
          <w:cols w:equalWidth="0" w:num="4">
            <w:col w:w="2960" w:space="200"/>
            <w:col w:w="2320" w:space="480"/>
            <w:col w:w="2320" w:space="220"/>
            <w:col w:w="2380"/>
          </w:cols>
          <w:pgMar w:left="320" w:top="471" w:right="699" w:bottom="1440" w:gutter="0" w:footer="0" w:header="0"/>
          <w:type w:val="continuous"/>
        </w:sectPr>
      </w:pPr>
    </w:p>
    <w:p>
      <w:pPr>
        <w:spacing w:after="0" w:line="22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capability development framework is focused on developing our employees’ digital and industry knowledge and leadership as a means to develop our talent internally. We achieve this through our learning academies, and through partnerships with industry organizatons, insttutes, business schools and consultng frms. We use a learning management system, reNew, that permits our employees to engage in self-directed learning by partcipatng in collaboratve trainings that are personalized to their interests and positons and are delivered virtually from any locaton, at any tme. We also maintain a learning marketplace that provides employees with regularly updated best-in-class digital trainings and certfcatons.</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Academies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168910</wp:posOffset>
            </wp:positionV>
            <wp:extent cx="6773545" cy="14541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73545" cy="1454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50 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Sustainability</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2023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168910</wp:posOffset>
            </wp:positionV>
            <wp:extent cx="5724525" cy="3436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724525" cy="343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51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Employee engagement and communicaton</w:t>
      </w:r>
    </w:p>
    <w:p>
      <w:pPr>
        <w:spacing w:after="0" w:line="21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consider communicaton and engagement with our approximately 54,000 employees distributed throughout more than 50 ofces worldwide to be important to our ability to promote our ONE EXL culture that prioritzes inclusivity and collaboraton, especially following our adopton of a hybrid operatng model with our employees working remotely and in-ofce. We contnued to rely on, and improve, our digital communicaton and collaboraton platorms and mult-channel approach to keeping our employees informed. In partcular, we engage with our employees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163830</wp:posOffset>
            </wp:positionV>
            <wp:extent cx="4055745" cy="10655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055745" cy="1065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Benefts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168910</wp:posOffset>
            </wp:positionV>
            <wp:extent cx="5749290" cy="28663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749290" cy="286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52 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1" w:right="7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Sustainability</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Employee health, safety and wellbeing</w:t>
      </w:r>
    </w:p>
    <w:p>
      <w:pPr>
        <w:spacing w:after="0" w:line="115"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Because our people are so important to us, we have always viewed employee health, safety and wellbeing as one of our top commitments. EXL has a well-defned Health and Safety Management System that is certfed to ISO 45001:2018. In 2023, we received a Five Star Ratng from the Britsh Safety Council for best practces in occupatonal health and safety in our United Kingdom and India centers. We periodically provide trainings on health and safety to our employees, suppliers and partners. In 2023, health and safety training e-module was mandatory for all of our employees. We also conduct a risk assessment every six months with the aim of minimizing risk in the workplace. We have received a number of recognitons and awards for our eforts in employee health and safety, detailed below under “Sustainability achievements, certfcatons and awards” on page 55. We also have a number of initatves to promote our employees’ wellbeing: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1341120</wp:posOffset>
            </wp:positionH>
            <wp:positionV relativeFrom="paragraph">
              <wp:posOffset>90170</wp:posOffset>
            </wp:positionV>
            <wp:extent cx="4469130" cy="28333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469130" cy="283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53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Cybersecurity at EXL</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We are commited to protectng the confdentality, integrity, availability and privacy of the informaton assets of our clients and their customers, as well as our employees, vendors and any other third partes, that are shared with us and for which we are responsible. We maintain a comprehensive informaton and cybersecurity and data privacy program, based on defned policies processes and practces to safeguard the security, confdentality, integrity, availability and protecton of this informaton that we aim to contnually strengthen in order to mitgate material vulnerabilites and the impact of cyber incidents and comply with applicable privacy laws and regulatons.</w:t>
      </w:r>
    </w:p>
    <w:p>
      <w:pPr>
        <w:spacing w:after="0" w:line="211" w:lineRule="exact"/>
        <w:rPr>
          <w:sz w:val="20"/>
          <w:szCs w:val="20"/>
          <w:color w:val="auto"/>
        </w:rPr>
      </w:pPr>
    </w:p>
    <w:p>
      <w:pPr>
        <w:ind w:left="320" w:right="480"/>
        <w:spacing w:after="0" w:line="239" w:lineRule="auto"/>
        <w:rPr>
          <w:sz w:val="20"/>
          <w:szCs w:val="20"/>
          <w:color w:val="auto"/>
        </w:rPr>
      </w:pPr>
      <w:r>
        <w:rPr>
          <w:rFonts w:ascii="Calibri" w:cs="Calibri" w:eastAsia="Calibri" w:hAnsi="Calibri"/>
          <w:sz w:val="17"/>
          <w:szCs w:val="17"/>
          <w:color w:val="auto"/>
        </w:rPr>
        <w:t>For more informaton on our cybersecurity risk management, please see “Cybersecurity risk management” on page 40. For more informaton on our informaton security and data privacy procedures, please refer to the 2023 Form 10-K, Item 1C.</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Responsible artfcial intelligence</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seek to ensure that our use of AI in our business and operatons is ethical and trustworthy and that its development and applicaton is based on the principles of fairness, security, reliability, transparency, accountability, and privacy. We have a centralized, cross-functonal AI Governance Commitee that is led by the General Counsel and Chief Informaton Ofcer and supported by our corporate compliance team, and engineering, digital, analytcs and applicable business leads, which oversees AI projects. Pursuant to our AI Governance Policy, for each new deployment of AI, we assess the AI model against the principles of trustworthy AI described above. Our AI Governance Policy also provides guidelines on general use, regulatory compliance, data privacy and security, best practces for front-end and back-end development and human oversight. Our use of AI and management of its risks is reported to the board and the Audit Commitee from tme to tme. See “Artfcial intelligence risk management” on page 41.</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54 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Sustainability</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Sustainability achievements, certfcatons and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333375</wp:posOffset>
            </wp:positionV>
            <wp:extent cx="6740525" cy="545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40525" cy="54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Health and safety management system</w:t>
      </w:r>
      <w:r>
        <w:rPr>
          <w:rFonts w:ascii="Calibri" w:cs="Calibri" w:eastAsia="Calibri" w:hAnsi="Calibri"/>
          <w:sz w:val="17"/>
          <w:szCs w:val="17"/>
          <w:color w:val="auto"/>
        </w:rPr>
        <w:t>,</w:t>
      </w:r>
      <w:r>
        <w:rPr>
          <w:rFonts w:ascii="Calibri" w:cs="Calibri" w:eastAsia="Calibri" w:hAnsi="Calibri"/>
          <w:sz w:val="17"/>
          <w:szCs w:val="17"/>
          <w:b w:val="1"/>
          <w:bCs w:val="1"/>
          <w:color w:val="auto"/>
        </w:rPr>
        <w:t xml:space="preserve"> 100% of our delivery centers </w:t>
      </w:r>
      <w:r>
        <w:rPr>
          <w:rFonts w:ascii="Calibri" w:cs="Calibri" w:eastAsia="Calibri" w:hAnsi="Calibri"/>
          <w:sz w:val="17"/>
          <w:szCs w:val="17"/>
          <w:color w:val="auto"/>
        </w:rPr>
        <w:t>as of December 31, 2023, are certfed to</w:t>
      </w:r>
    </w:p>
    <w:p>
      <w:pPr>
        <w:spacing w:after="0" w:line="1"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ISO 45001:2018</w:t>
      </w:r>
      <w:r>
        <w:rPr>
          <w:rFonts w:ascii="Calibri" w:cs="Calibri" w:eastAsia="Calibri" w:hAnsi="Calibri"/>
          <w:sz w:val="17"/>
          <w:szCs w:val="17"/>
          <w:color w:val="auto"/>
        </w:rPr>
        <w:t>, meetng internatonal standards for occupatonal health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245745</wp:posOffset>
            </wp:positionV>
            <wp:extent cx="6740525" cy="5207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740525" cy="52070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 xml:space="preserve">100% our delivery centers </w:t>
      </w:r>
      <w:r>
        <w:rPr>
          <w:rFonts w:ascii="Calibri" w:cs="Calibri" w:eastAsia="Calibri" w:hAnsi="Calibri"/>
          <w:sz w:val="17"/>
          <w:szCs w:val="17"/>
          <w:color w:val="auto"/>
        </w:rPr>
        <w:t>worldwide are</w:t>
      </w:r>
      <w:r>
        <w:rPr>
          <w:rFonts w:ascii="Calibri" w:cs="Calibri" w:eastAsia="Calibri" w:hAnsi="Calibri"/>
          <w:sz w:val="17"/>
          <w:szCs w:val="17"/>
          <w:b w:val="1"/>
          <w:bCs w:val="1"/>
          <w:color w:val="auto"/>
        </w:rPr>
        <w:t xml:space="preserve"> ISO 14001:2015 </w:t>
      </w:r>
      <w:r>
        <w:rPr>
          <w:rFonts w:ascii="Calibri" w:cs="Calibri" w:eastAsia="Calibri" w:hAnsi="Calibri"/>
          <w:sz w:val="17"/>
          <w:szCs w:val="17"/>
          <w:color w:val="auto"/>
        </w:rPr>
        <w:t>certfed, meetng internatonal standards for</w:t>
      </w:r>
    </w:p>
    <w:p>
      <w:pPr>
        <w:spacing w:after="0" w:line="1"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color w:val="auto"/>
        </w:rPr>
        <w:t>efectve environmental management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220980</wp:posOffset>
            </wp:positionV>
            <wp:extent cx="6740525" cy="916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40525" cy="91694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ind w:right="5020"/>
        <w:spacing w:after="0"/>
        <w:rPr>
          <w:sz w:val="20"/>
          <w:szCs w:val="20"/>
          <w:color w:val="auto"/>
        </w:rPr>
      </w:pPr>
      <w:r>
        <w:rPr>
          <w:rFonts w:ascii="Calibri" w:cs="Calibri" w:eastAsia="Calibri" w:hAnsi="Calibri"/>
          <w:sz w:val="17"/>
          <w:szCs w:val="17"/>
          <w:b w:val="1"/>
          <w:bCs w:val="1"/>
          <w:color w:val="auto"/>
        </w:rPr>
        <w:t>Reportng pursuant to SASB Sofware</w:t>
      </w:r>
    </w:p>
    <w:p>
      <w:pPr>
        <w:jc w:val="center"/>
        <w:ind w:right="5020"/>
        <w:spacing w:after="0" w:line="183" w:lineRule="auto"/>
        <w:rPr>
          <w:sz w:val="20"/>
          <w:szCs w:val="20"/>
          <w:color w:val="auto"/>
        </w:rPr>
      </w:pPr>
      <w:r>
        <w:rPr>
          <w:rFonts w:ascii="Calibri" w:cs="Calibri" w:eastAsia="Calibri" w:hAnsi="Calibri"/>
          <w:sz w:val="15"/>
          <w:szCs w:val="15"/>
          <w:b w:val="1"/>
          <w:bCs w:val="1"/>
          <w:color w:val="auto"/>
        </w:rPr>
        <w:t>and IT Services Standards (2018), 2021 GRI</w:t>
      </w:r>
    </w:p>
    <w:p>
      <w:pPr>
        <w:ind w:left="8020"/>
        <w:spacing w:after="0" w:line="186" w:lineRule="auto"/>
        <w:rPr>
          <w:sz w:val="20"/>
          <w:szCs w:val="20"/>
          <w:color w:val="auto"/>
        </w:rPr>
      </w:pPr>
      <w:r>
        <w:rPr>
          <w:rFonts w:ascii="Calibri" w:cs="Calibri" w:eastAsia="Calibri" w:hAnsi="Calibri"/>
          <w:sz w:val="11"/>
          <w:szCs w:val="11"/>
          <w:b w:val="1"/>
          <w:bCs w:val="1"/>
          <w:color w:val="auto"/>
        </w:rPr>
        <w:t>Partcipant</w:t>
      </w:r>
    </w:p>
    <w:p>
      <w:pPr>
        <w:ind w:left="2100"/>
        <w:spacing w:after="0" w:line="187" w:lineRule="auto"/>
        <w:rPr>
          <w:sz w:val="20"/>
          <w:szCs w:val="20"/>
          <w:color w:val="auto"/>
        </w:rPr>
      </w:pPr>
      <w:r>
        <w:rPr>
          <w:rFonts w:ascii="Calibri" w:cs="Calibri" w:eastAsia="Calibri" w:hAnsi="Calibri"/>
          <w:sz w:val="11"/>
          <w:szCs w:val="11"/>
          <w:b w:val="1"/>
          <w:bCs w:val="1"/>
          <w:color w:val="auto"/>
        </w:rPr>
        <w:t>Standards, TCFD and the</w:t>
      </w:r>
    </w:p>
    <w:p>
      <w:pPr>
        <w:ind w:left="7300"/>
        <w:spacing w:after="0" w:line="186" w:lineRule="auto"/>
        <w:rPr>
          <w:sz w:val="20"/>
          <w:szCs w:val="20"/>
          <w:color w:val="auto"/>
        </w:rPr>
      </w:pPr>
      <w:r>
        <w:rPr>
          <w:rFonts w:ascii="Calibri" w:cs="Calibri" w:eastAsia="Calibri" w:hAnsi="Calibri"/>
          <w:sz w:val="11"/>
          <w:szCs w:val="11"/>
          <w:b w:val="1"/>
          <w:bCs w:val="1"/>
          <w:color w:val="auto"/>
        </w:rPr>
        <w:t>United Natons Global Compact</w:t>
      </w:r>
    </w:p>
    <w:p>
      <w:pPr>
        <w:jc w:val="center"/>
        <w:ind w:right="5020"/>
        <w:spacing w:after="0" w:line="199" w:lineRule="auto"/>
        <w:rPr>
          <w:sz w:val="20"/>
          <w:szCs w:val="20"/>
          <w:color w:val="auto"/>
        </w:rPr>
      </w:pPr>
      <w:r>
        <w:rPr>
          <w:rFonts w:ascii="Calibri" w:cs="Calibri" w:eastAsia="Calibri" w:hAnsi="Calibri"/>
          <w:sz w:val="17"/>
          <w:szCs w:val="17"/>
          <w:b w:val="1"/>
          <w:bCs w:val="1"/>
          <w:color w:val="auto"/>
        </w:rPr>
        <w:t>United Natons Sustainable</w:t>
      </w:r>
    </w:p>
    <w:p>
      <w:pPr>
        <w:spacing w:after="0" w:line="1" w:lineRule="exact"/>
        <w:rPr>
          <w:sz w:val="20"/>
          <w:szCs w:val="20"/>
          <w:color w:val="auto"/>
        </w:rPr>
      </w:pPr>
    </w:p>
    <w:p>
      <w:pPr>
        <w:jc w:val="center"/>
        <w:ind w:right="5020"/>
        <w:spacing w:after="0"/>
        <w:rPr>
          <w:sz w:val="20"/>
          <w:szCs w:val="20"/>
          <w:color w:val="auto"/>
        </w:rPr>
      </w:pPr>
      <w:r>
        <w:rPr>
          <w:rFonts w:ascii="Calibri" w:cs="Calibri" w:eastAsia="Calibri" w:hAnsi="Calibri"/>
          <w:sz w:val="17"/>
          <w:szCs w:val="17"/>
          <w:b w:val="1"/>
          <w:bCs w:val="1"/>
          <w:color w:val="auto"/>
        </w:rPr>
        <w:t>Development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220980</wp:posOffset>
            </wp:positionV>
            <wp:extent cx="6740525" cy="387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740525" cy="38798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620"/>
        <w:spacing w:after="0"/>
        <w:rPr>
          <w:sz w:val="20"/>
          <w:szCs w:val="20"/>
          <w:color w:val="auto"/>
        </w:rPr>
      </w:pPr>
      <w:r>
        <w:rPr>
          <w:rFonts w:ascii="Calibri" w:cs="Calibri" w:eastAsia="Calibri" w:hAnsi="Calibri"/>
          <w:sz w:val="17"/>
          <w:szCs w:val="17"/>
          <w:b w:val="1"/>
          <w:bCs w:val="1"/>
          <w:color w:val="auto"/>
        </w:rPr>
        <w:t xml:space="preserve">Partcipant in the CDP’s Climate Change disclosure program </w:t>
      </w:r>
      <w:r>
        <w:rPr>
          <w:rFonts w:ascii="Calibri" w:cs="Calibri" w:eastAsia="Calibri" w:hAnsi="Calibri"/>
          <w:sz w:val="17"/>
          <w:szCs w:val="17"/>
          <w:color w:val="auto"/>
        </w:rPr>
        <w:t>with respect to GHG emissions and climate change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443865</wp:posOffset>
            </wp:positionV>
            <wp:extent cx="5815330" cy="26600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815330" cy="266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55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Sustainability scorecard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168275</wp:posOffset>
            </wp:positionV>
            <wp:extent cx="3964940" cy="41802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964940" cy="418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Environmental, social and governance maters and pay-for-performance at EXL</w:t>
      </w:r>
    </w:p>
    <w:p>
      <w:pPr>
        <w:spacing w:after="0" w:line="114" w:lineRule="exact"/>
        <w:rPr>
          <w:sz w:val="20"/>
          <w:szCs w:val="20"/>
          <w:color w:val="auto"/>
        </w:rPr>
      </w:pPr>
    </w:p>
    <w:p>
      <w:pPr>
        <w:ind w:left="320" w:right="240"/>
        <w:spacing w:after="0" w:line="239" w:lineRule="auto"/>
        <w:rPr>
          <w:sz w:val="20"/>
          <w:szCs w:val="20"/>
          <w:color w:val="auto"/>
        </w:rPr>
      </w:pPr>
      <w:r>
        <w:rPr>
          <w:rFonts w:ascii="Calibri" w:cs="Calibri" w:eastAsia="Calibri" w:hAnsi="Calibri"/>
          <w:sz w:val="17"/>
          <w:szCs w:val="17"/>
          <w:color w:val="auto"/>
        </w:rPr>
        <w:t>A porton of our CEO’s total compensaton is ted to the achievement of specifc performance goals relatng to ESG maters. For more informaton, see “Detailed review of compensaton components – Annual incentves – Determinaton of individual performance measure achievement” on page 75.</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Sustainability oversight</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more informaton on our oversight of sustainability and ESG-related maters and risks, see “Sustainability risk management” on page 41.</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Learn more about sustainability and environmental, social and governance maters at EXL</w:t>
      </w:r>
    </w:p>
    <w:p>
      <w:pPr>
        <w:spacing w:after="0" w:line="114" w:lineRule="exact"/>
        <w:rPr>
          <w:sz w:val="20"/>
          <w:szCs w:val="20"/>
          <w:color w:val="auto"/>
        </w:rPr>
      </w:pPr>
    </w:p>
    <w:p>
      <w:pPr>
        <w:ind w:left="320" w:right="260"/>
        <w:spacing w:after="0" w:line="268" w:lineRule="auto"/>
        <w:rPr>
          <w:sz w:val="20"/>
          <w:szCs w:val="20"/>
          <w:color w:val="auto"/>
        </w:rPr>
      </w:pPr>
      <w:r>
        <w:rPr>
          <w:rFonts w:ascii="Calibri" w:cs="Calibri" w:eastAsia="Calibri" w:hAnsi="Calibri"/>
          <w:sz w:val="16"/>
          <w:szCs w:val="16"/>
          <w:color w:val="auto"/>
        </w:rPr>
        <w:t>Please visit www.exlservice.com/about/sustainability to learn more about our eforts toward sustainability and the impacts we are making on our communites and the environment. Informaton on our website referred to in this Proxy Statement does not consttute a part of this Proxy Statement.</w:t>
      </w:r>
    </w:p>
    <w:p>
      <w:pPr>
        <w:spacing w:after="0" w:line="105"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56 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1" w:right="7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Executve Commitee</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Our Executve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173355</wp:posOffset>
            </wp:positionV>
            <wp:extent cx="4064000" cy="2800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064000" cy="280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right="400"/>
        <w:spacing w:after="0"/>
        <w:rPr>
          <w:sz w:val="20"/>
          <w:szCs w:val="20"/>
          <w:color w:val="auto"/>
        </w:rPr>
      </w:pPr>
      <w:r>
        <w:rPr>
          <w:rFonts w:ascii="Calibri" w:cs="Calibri" w:eastAsia="Calibri" w:hAnsi="Calibri"/>
          <w:sz w:val="17"/>
          <w:szCs w:val="17"/>
          <w:color w:val="auto"/>
        </w:rPr>
        <w:t>From back lef: Vivek Jetley, President of EXL and Business Head, Analytcs, Vikas Bhalla, President of EXL and Business Head, Insurance, Anita Mahon, Executve Vice President and Business Head, Healthcare, Narasimha Kini, Executve Vice President and Business Head, Emerging Business, Maurizio Nicolelli, Executve Vice President and Chief Financial Ofcer, Pamela Harrison, Executve Vice President and Chief Human Resources Ofcer, Ajay Ayyappan, Executve Vice President, General Counsel and Corporate Secretary</w:t>
      </w:r>
    </w:p>
    <w:p>
      <w:pPr>
        <w:spacing w:after="0" w:line="211" w:lineRule="exact"/>
        <w:rPr>
          <w:sz w:val="20"/>
          <w:szCs w:val="20"/>
          <w:color w:val="auto"/>
        </w:rPr>
      </w:pPr>
    </w:p>
    <w:p>
      <w:pPr>
        <w:ind w:left="320" w:right="280"/>
        <w:spacing w:after="0" w:line="239" w:lineRule="auto"/>
        <w:rPr>
          <w:sz w:val="20"/>
          <w:szCs w:val="20"/>
          <w:color w:val="auto"/>
        </w:rPr>
      </w:pPr>
      <w:r>
        <w:rPr>
          <w:rFonts w:ascii="Calibri" w:cs="Calibri" w:eastAsia="Calibri" w:hAnsi="Calibri"/>
          <w:sz w:val="17"/>
          <w:szCs w:val="17"/>
          <w:color w:val="auto"/>
        </w:rPr>
        <w:t>From front lef: Andy Logani, Executve Vice President and Chief Digital Ofcer, Vishal Chhibbar, Executve Vice President and Chief Growth and Strategy Ofcer, Rohit Kapoor, Chair and CEO, Baljinder Singh, Executve Vice President, Global Chief Informaton Ofcer, and Head of Enterprise Digital Transformaton</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57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Executve Commitee</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Executve Commitee biographies</w:t>
      </w:r>
    </w:p>
    <w:p>
      <w:pPr>
        <w:spacing w:after="0" w:line="218" w:lineRule="exact"/>
        <w:rPr>
          <w:sz w:val="20"/>
          <w:szCs w:val="20"/>
          <w:color w:val="auto"/>
        </w:rPr>
      </w:pPr>
    </w:p>
    <w:p>
      <w:pPr>
        <w:jc w:val="both"/>
        <w:ind w:left="320" w:right="360"/>
        <w:spacing w:after="0" w:line="239" w:lineRule="auto"/>
        <w:rPr>
          <w:sz w:val="20"/>
          <w:szCs w:val="20"/>
          <w:color w:val="auto"/>
        </w:rPr>
      </w:pPr>
      <w:r>
        <w:rPr>
          <w:rFonts w:ascii="Calibri" w:cs="Calibri" w:eastAsia="Calibri" w:hAnsi="Calibri"/>
          <w:sz w:val="17"/>
          <w:szCs w:val="17"/>
          <w:color w:val="auto"/>
        </w:rPr>
        <w:t>The following are biographies for each of the members of our Executve Commitee. Of the members of our Executve Commitee, Rohit Kapoor, Ajay Ayyappan, Vikas Bhalla, Vishal Chhibbar, Pamela Harrison, Vivek Jetley, Narasimha Kini, Anita Mahon and Maurizio Nicolelli are considered executve ofcers.</w:t>
      </w:r>
    </w:p>
    <w:p>
      <w:pPr>
        <w:spacing w:after="0" w:line="237" w:lineRule="exact"/>
        <w:rPr>
          <w:sz w:val="20"/>
          <w:szCs w:val="20"/>
          <w:color w:val="auto"/>
        </w:rPr>
      </w:pPr>
    </w:p>
    <w:p>
      <w:pPr>
        <w:ind w:left="1820"/>
        <w:spacing w:after="0"/>
        <w:tabs>
          <w:tab w:leader="none" w:pos="3480" w:val="left"/>
          <w:tab w:leader="none" w:pos="3720" w:val="left"/>
        </w:tabs>
        <w:rPr>
          <w:sz w:val="20"/>
          <w:szCs w:val="20"/>
          <w:color w:val="auto"/>
        </w:rPr>
      </w:pPr>
      <w:r>
        <w:rPr>
          <w:rFonts w:ascii="Calibri" w:cs="Calibri" w:eastAsia="Calibri" w:hAnsi="Calibri"/>
          <w:sz w:val="17"/>
          <w:szCs w:val="17"/>
          <w:b w:val="1"/>
          <w:bCs w:val="1"/>
          <w:color w:val="auto"/>
        </w:rPr>
        <w:t xml:space="preserve">Rohit Kapoor </w:t>
      </w:r>
      <w:r>
        <w:rPr>
          <w:rFonts w:ascii="Calibri" w:cs="Calibri" w:eastAsia="Calibri" w:hAnsi="Calibri"/>
          <w:sz w:val="17"/>
          <w:szCs w:val="17"/>
          <w:color w:val="auto"/>
        </w:rPr>
        <w:t xml:space="preserve">(age 59)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6"/>
          <w:szCs w:val="16"/>
          <w:b w:val="1"/>
          <w:bCs w:val="1"/>
          <w:i w:val="1"/>
          <w:iCs w:val="1"/>
          <w:color w:val="auto"/>
        </w:rPr>
        <w:t>Chair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1820"/>
        <w:spacing w:after="0"/>
        <w:rPr>
          <w:sz w:val="20"/>
          <w:szCs w:val="20"/>
          <w:color w:val="auto"/>
        </w:rPr>
      </w:pPr>
      <w:r>
        <w:rPr>
          <w:rFonts w:ascii="Calibri" w:cs="Calibri" w:eastAsia="Calibri" w:hAnsi="Calibri"/>
          <w:sz w:val="17"/>
          <w:szCs w:val="17"/>
          <w:color w:val="auto"/>
        </w:rPr>
        <w:t>See secton enttled “Our board of directors”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820"/>
        <w:spacing w:after="0"/>
        <w:tabs>
          <w:tab w:leader="none" w:pos="3600" w:val="left"/>
          <w:tab w:leader="none" w:pos="3860" w:val="left"/>
        </w:tabs>
        <w:rPr>
          <w:sz w:val="20"/>
          <w:szCs w:val="20"/>
          <w:color w:val="auto"/>
        </w:rPr>
      </w:pPr>
      <w:r>
        <w:rPr>
          <w:rFonts w:ascii="Calibri" w:cs="Calibri" w:eastAsia="Calibri" w:hAnsi="Calibri"/>
          <w:sz w:val="17"/>
          <w:szCs w:val="17"/>
          <w:b w:val="1"/>
          <w:bCs w:val="1"/>
          <w:color w:val="auto"/>
        </w:rPr>
        <w:t xml:space="preserve">Ajay Ayyappan </w:t>
      </w:r>
      <w:r>
        <w:rPr>
          <w:rFonts w:ascii="Calibri" w:cs="Calibri" w:eastAsia="Calibri" w:hAnsi="Calibri"/>
          <w:sz w:val="17"/>
          <w:szCs w:val="17"/>
          <w:color w:val="auto"/>
        </w:rPr>
        <w:t xml:space="preserve">(age 46)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6"/>
          <w:szCs w:val="16"/>
          <w:b w:val="1"/>
          <w:bCs w:val="1"/>
          <w:i w:val="1"/>
          <w:iCs w:val="1"/>
          <w:color w:val="auto"/>
        </w:rPr>
        <w:t>Executve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1820" w:right="120"/>
        <w:spacing w:after="0" w:line="259" w:lineRule="auto"/>
        <w:rPr>
          <w:sz w:val="20"/>
          <w:szCs w:val="20"/>
          <w:color w:val="auto"/>
        </w:rPr>
      </w:pPr>
      <w:r>
        <w:rPr>
          <w:rFonts w:ascii="Calibri" w:cs="Calibri" w:eastAsia="Calibri" w:hAnsi="Calibri"/>
          <w:sz w:val="16"/>
          <w:szCs w:val="16"/>
          <w:color w:val="auto"/>
        </w:rPr>
        <w:t>Mr. Ayyappan has served as our Executve Vice President, General Counsel and Corporate Secretary since February 2023. He previously served as our Senior Vice President, General Counsel and Corporate Secretary (December 2018 to February 2023), our Vice President, Actng General Counsel and Corporate Secretary (August 2018 to December 2018), our Vice President, Deputy General Counsel and Assistant Secretary (April 2014 to August 2018) and our Vice President and Assistant General Counsel (March 2007 to March 2014). Prior to joining us, Mr. Ayyappan was a corporate associate at the law frm, Morgan, Lewis &amp; Bockius LLP.</w:t>
      </w:r>
    </w:p>
    <w:p>
      <w:pPr>
        <w:spacing w:after="0" w:line="311" w:lineRule="exact"/>
        <w:rPr>
          <w:sz w:val="20"/>
          <w:szCs w:val="20"/>
          <w:color w:val="auto"/>
        </w:rPr>
      </w:pPr>
    </w:p>
    <w:p>
      <w:pPr>
        <w:ind w:left="1820"/>
        <w:spacing w:after="0"/>
        <w:tabs>
          <w:tab w:leader="none" w:pos="3400" w:val="left"/>
          <w:tab w:leader="none" w:pos="3660" w:val="left"/>
        </w:tabs>
        <w:rPr>
          <w:sz w:val="20"/>
          <w:szCs w:val="20"/>
          <w:color w:val="auto"/>
        </w:rPr>
      </w:pPr>
      <w:r>
        <w:rPr>
          <w:rFonts w:ascii="Calibri" w:cs="Calibri" w:eastAsia="Calibri" w:hAnsi="Calibri"/>
          <w:sz w:val="17"/>
          <w:szCs w:val="17"/>
          <w:b w:val="1"/>
          <w:bCs w:val="1"/>
          <w:color w:val="auto"/>
        </w:rPr>
        <w:t xml:space="preserve">Vikas Bhalla </w:t>
      </w:r>
      <w:r>
        <w:rPr>
          <w:rFonts w:ascii="Calibri" w:cs="Calibri" w:eastAsia="Calibri" w:hAnsi="Calibri"/>
          <w:sz w:val="17"/>
          <w:szCs w:val="17"/>
          <w:color w:val="auto"/>
        </w:rPr>
        <w:t xml:space="preserve">(age 52)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6"/>
          <w:szCs w:val="16"/>
          <w:b w:val="1"/>
          <w:bCs w:val="1"/>
          <w:i w:val="1"/>
          <w:iCs w:val="1"/>
          <w:color w:val="auto"/>
        </w:rPr>
        <w:t>President of EXL and Business Head,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jc w:val="both"/>
        <w:ind w:left="1820" w:right="200"/>
        <w:spacing w:after="0"/>
        <w:rPr>
          <w:sz w:val="20"/>
          <w:szCs w:val="20"/>
          <w:color w:val="auto"/>
        </w:rPr>
      </w:pPr>
      <w:r>
        <w:rPr>
          <w:rFonts w:ascii="Calibri" w:cs="Calibri" w:eastAsia="Calibri" w:hAnsi="Calibri"/>
          <w:sz w:val="17"/>
          <w:szCs w:val="17"/>
          <w:color w:val="auto"/>
        </w:rPr>
        <w:t>Mr. Bhalla has served as our President of EXL and Business Head, Insurance since April 2024 and previously as our Executve Vice President and Business Head, Insurance since January 2014 and as our Head of Outsourcing since November 2009. He previously served as Vice President, Operatons of EXL India (June 2006 to October 2009), as Vice President, Migratons, Quality and Process Excellence of EXL India (April 2002 to June 2006) and as Director, Quality Initatves of EXL India (May 2001 to March 2002). From May 1998 to May 2001, Mr. Bhalla served in various capacites at General Electric, including as the Quality Leader and E-Business Leader for GE Plastcs India. Mr. Bhalla is based in India.</w:t>
      </w:r>
    </w:p>
    <w:p>
      <w:pPr>
        <w:spacing w:after="0" w:line="328" w:lineRule="exact"/>
        <w:rPr>
          <w:sz w:val="20"/>
          <w:szCs w:val="20"/>
          <w:color w:val="auto"/>
        </w:rPr>
      </w:pPr>
    </w:p>
    <w:p>
      <w:pPr>
        <w:ind w:left="1820"/>
        <w:spacing w:after="0"/>
        <w:tabs>
          <w:tab w:leader="none" w:pos="3660" w:val="left"/>
          <w:tab w:leader="none" w:pos="3920" w:val="left"/>
        </w:tabs>
        <w:rPr>
          <w:sz w:val="20"/>
          <w:szCs w:val="20"/>
          <w:color w:val="auto"/>
        </w:rPr>
      </w:pPr>
      <w:r>
        <w:rPr>
          <w:rFonts w:ascii="Calibri" w:cs="Calibri" w:eastAsia="Calibri" w:hAnsi="Calibri"/>
          <w:sz w:val="17"/>
          <w:szCs w:val="17"/>
          <w:b w:val="1"/>
          <w:bCs w:val="1"/>
          <w:color w:val="auto"/>
        </w:rPr>
        <w:t xml:space="preserve">Vishal Chhibbar </w:t>
      </w:r>
      <w:r>
        <w:rPr>
          <w:rFonts w:ascii="Calibri" w:cs="Calibri" w:eastAsia="Calibri" w:hAnsi="Calibri"/>
          <w:sz w:val="17"/>
          <w:szCs w:val="17"/>
          <w:color w:val="auto"/>
        </w:rPr>
        <w:t xml:space="preserve">(age 56)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7"/>
          <w:szCs w:val="17"/>
          <w:b w:val="1"/>
          <w:bCs w:val="1"/>
          <w:i w:val="1"/>
          <w:iCs w:val="1"/>
          <w:color w:val="auto"/>
        </w:rPr>
        <w:t>Executve Vice President and Chief Growth and Strategy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208"/>
        </w:trPr>
        <w:tc>
          <w:tcPr>
            <w:tcW w:w="620" w:type="dxa"/>
            <w:vAlign w:val="bottom"/>
          </w:tcPr>
          <w:p>
            <w:pPr>
              <w:spacing w:after="0"/>
              <w:rPr>
                <w:sz w:val="18"/>
                <w:szCs w:val="18"/>
                <w:color w:val="auto"/>
              </w:rPr>
            </w:pPr>
          </w:p>
        </w:tc>
        <w:tc>
          <w:tcPr>
            <w:tcW w:w="9820" w:type="dxa"/>
            <w:vAlign w:val="bottom"/>
            <w:gridSpan w:val="2"/>
          </w:tcPr>
          <w:p>
            <w:pPr>
              <w:ind w:left="800"/>
              <w:spacing w:after="0"/>
              <w:rPr>
                <w:sz w:val="20"/>
                <w:szCs w:val="20"/>
                <w:color w:val="auto"/>
              </w:rPr>
            </w:pPr>
            <w:r>
              <w:rPr>
                <w:rFonts w:ascii="Calibri" w:cs="Calibri" w:eastAsia="Calibri" w:hAnsi="Calibri"/>
                <w:sz w:val="17"/>
                <w:szCs w:val="17"/>
                <w:color w:val="auto"/>
              </w:rPr>
              <w:t>Mr. Chhibbar has served as our Executve Vice President and Chief Growth and Strategy Ofcer since July 2023. Mr. Chhibbar was</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560" w:type="dxa"/>
            <w:vAlign w:val="bottom"/>
          </w:tcPr>
          <w:p>
            <w:pPr>
              <w:ind w:left="800"/>
              <w:spacing w:after="0"/>
              <w:rPr>
                <w:sz w:val="20"/>
                <w:szCs w:val="20"/>
                <w:color w:val="auto"/>
              </w:rPr>
            </w:pPr>
            <w:r>
              <w:rPr>
                <w:rFonts w:ascii="Calibri" w:cs="Calibri" w:eastAsia="Calibri" w:hAnsi="Calibri"/>
                <w:sz w:val="17"/>
                <w:szCs w:val="17"/>
                <w:color w:val="auto"/>
              </w:rPr>
              <w:t>EXL’s chief fnancial ofcer from 2009 – 2019, and also previously served as the head of Finance and Accountng at EXL. Between</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820" w:type="dxa"/>
            <w:vAlign w:val="bottom"/>
            <w:gridSpan w:val="2"/>
          </w:tcPr>
          <w:p>
            <w:pPr>
              <w:ind w:left="800"/>
              <w:spacing w:after="0"/>
              <w:rPr>
                <w:sz w:val="20"/>
                <w:szCs w:val="20"/>
                <w:color w:val="auto"/>
              </w:rPr>
            </w:pPr>
            <w:r>
              <w:rPr>
                <w:rFonts w:ascii="Calibri" w:cs="Calibri" w:eastAsia="Calibri" w:hAnsi="Calibri"/>
                <w:sz w:val="17"/>
                <w:szCs w:val="17"/>
                <w:color w:val="auto"/>
              </w:rPr>
              <w:t>2019 and his return to EXL as chief fnancial ofcer at Brillio and president and chief fnancial ofcer of EPIQ. Mr. Chhibbar has also</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560" w:type="dxa"/>
            <w:vAlign w:val="bottom"/>
          </w:tcPr>
          <w:p>
            <w:pPr>
              <w:ind w:left="800"/>
              <w:spacing w:after="0"/>
              <w:rPr>
                <w:sz w:val="20"/>
                <w:szCs w:val="20"/>
                <w:color w:val="auto"/>
              </w:rPr>
            </w:pPr>
            <w:r>
              <w:rPr>
                <w:rFonts w:ascii="Calibri" w:cs="Calibri" w:eastAsia="Calibri" w:hAnsi="Calibri"/>
                <w:sz w:val="17"/>
                <w:szCs w:val="17"/>
                <w:color w:val="auto"/>
              </w:rPr>
              <w:t>served in various fnancial leadership roles across companies such as GE Capital, American Express Bank and Xerox.</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6"/>
        </w:trPr>
        <w:tc>
          <w:tcPr>
            <w:tcW w:w="620" w:type="dxa"/>
            <w:vAlign w:val="bottom"/>
          </w:tcPr>
          <w:p>
            <w:pPr>
              <w:spacing w:after="0"/>
              <w:rPr>
                <w:sz w:val="24"/>
                <w:szCs w:val="24"/>
                <w:color w:val="auto"/>
              </w:rPr>
            </w:pPr>
          </w:p>
        </w:tc>
        <w:tc>
          <w:tcPr>
            <w:tcW w:w="9560" w:type="dxa"/>
            <w:vAlign w:val="bottom"/>
          </w:tcPr>
          <w:p>
            <w:pPr>
              <w:ind w:left="800"/>
              <w:spacing w:after="0"/>
              <w:rPr>
                <w:sz w:val="20"/>
                <w:szCs w:val="20"/>
                <w:color w:val="auto"/>
              </w:rPr>
            </w:pPr>
            <w:r>
              <w:rPr>
                <w:rFonts w:ascii="Calibri" w:cs="Calibri" w:eastAsia="Calibri" w:hAnsi="Calibri"/>
                <w:sz w:val="17"/>
                <w:szCs w:val="17"/>
                <w:b w:val="1"/>
                <w:bCs w:val="1"/>
                <w:color w:val="auto"/>
              </w:rPr>
              <w:t xml:space="preserve">Pamela Harrison </w:t>
            </w:r>
            <w:r>
              <w:rPr>
                <w:rFonts w:ascii="Calibri" w:cs="Calibri" w:eastAsia="Calibri" w:hAnsi="Calibri"/>
                <w:sz w:val="17"/>
                <w:szCs w:val="17"/>
                <w:color w:val="auto"/>
              </w:rPr>
              <w:t xml:space="preserve">(age 59) </w:t>
            </w:r>
            <w:r>
              <w:rPr>
                <w:rFonts w:ascii="Calibri" w:cs="Calibri" w:eastAsia="Calibri" w:hAnsi="Calibri"/>
                <w:sz w:val="17"/>
                <w:szCs w:val="17"/>
                <w:b w:val="1"/>
                <w:bCs w:val="1"/>
                <w:color w:val="auto"/>
              </w:rPr>
              <w:t xml:space="preserve">  </w:t>
            </w:r>
            <w:r>
              <w:rPr>
                <w:rFonts w:ascii="Calibri" w:cs="Calibri" w:eastAsia="Calibri" w:hAnsi="Calibri"/>
                <w:sz w:val="17"/>
                <w:szCs w:val="17"/>
                <w:color w:val="FB4E0B"/>
              </w:rPr>
              <w:t>|</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 xml:space="preserve">  </w:t>
            </w:r>
            <w:r>
              <w:rPr>
                <w:rFonts w:ascii="Calibri" w:cs="Calibri" w:eastAsia="Calibri" w:hAnsi="Calibri"/>
                <w:sz w:val="17"/>
                <w:szCs w:val="17"/>
                <w:b w:val="1"/>
                <w:bCs w:val="1"/>
                <w:i w:val="1"/>
                <w:iCs w:val="1"/>
                <w:color w:val="auto"/>
              </w:rPr>
              <w:t>Executve Vice President and Chief Human Resources Ofcer</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820" w:type="dxa"/>
            <w:vAlign w:val="bottom"/>
            <w:gridSpan w:val="2"/>
          </w:tcPr>
          <w:p>
            <w:pPr>
              <w:ind w:left="800"/>
              <w:spacing w:after="0"/>
              <w:rPr>
                <w:sz w:val="20"/>
                <w:szCs w:val="20"/>
                <w:color w:val="auto"/>
              </w:rPr>
            </w:pPr>
            <w:r>
              <w:rPr>
                <w:rFonts w:ascii="Calibri" w:cs="Calibri" w:eastAsia="Calibri" w:hAnsi="Calibri"/>
                <w:sz w:val="17"/>
                <w:szCs w:val="17"/>
                <w:color w:val="auto"/>
              </w:rPr>
              <w:t>Ms. Harrison has served as our Executve Vice President and Chief Human Resources Ofcers since June 2023. She previously served</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560" w:type="dxa"/>
            <w:vAlign w:val="bottom"/>
          </w:tcPr>
          <w:p>
            <w:pPr>
              <w:ind w:left="800"/>
              <w:spacing w:after="0"/>
              <w:rPr>
                <w:sz w:val="20"/>
                <w:szCs w:val="20"/>
                <w:color w:val="auto"/>
              </w:rPr>
            </w:pPr>
            <w:r>
              <w:rPr>
                <w:rFonts w:ascii="Calibri" w:cs="Calibri" w:eastAsia="Calibri" w:hAnsi="Calibri"/>
                <w:sz w:val="17"/>
                <w:szCs w:val="17"/>
                <w:color w:val="auto"/>
              </w:rPr>
              <w:t>as executve vice president of human resources at Genworth Financial, and as a director of human resources of business</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560" w:type="dxa"/>
            <w:vAlign w:val="bottom"/>
          </w:tcPr>
          <w:p>
            <w:pPr>
              <w:ind w:left="800"/>
              <w:spacing w:after="0"/>
              <w:rPr>
                <w:sz w:val="20"/>
                <w:szCs w:val="20"/>
                <w:color w:val="auto"/>
              </w:rPr>
            </w:pPr>
            <w:r>
              <w:rPr>
                <w:rFonts w:ascii="Calibri" w:cs="Calibri" w:eastAsia="Calibri" w:hAnsi="Calibri"/>
                <w:sz w:val="17"/>
                <w:szCs w:val="17"/>
                <w:color w:val="auto"/>
              </w:rPr>
              <w:t>transformaton at Latham &amp; Watkins LLP.</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5"/>
        </w:trPr>
        <w:tc>
          <w:tcPr>
            <w:tcW w:w="620" w:type="dxa"/>
            <w:vAlign w:val="bottom"/>
            <w:vMerge w:val="restart"/>
          </w:tcPr>
          <w:p>
            <w:pPr>
              <w:spacing w:after="0"/>
              <w:rPr>
                <w:sz w:val="20"/>
                <w:szCs w:val="20"/>
                <w:color w:val="auto"/>
              </w:rPr>
            </w:pPr>
            <w:r>
              <w:rPr>
                <w:rFonts w:ascii="Calibri" w:cs="Calibri" w:eastAsia="Calibri" w:hAnsi="Calibri"/>
                <w:sz w:val="17"/>
                <w:szCs w:val="17"/>
                <w:b w:val="1"/>
                <w:bCs w:val="1"/>
                <w:color w:val="auto"/>
              </w:rPr>
              <w:t xml:space="preserve">58    </w:t>
            </w:r>
            <w:r>
              <w:rPr>
                <w:rFonts w:ascii="Calibri" w:cs="Calibri" w:eastAsia="Calibri" w:hAnsi="Calibri"/>
                <w:sz w:val="27"/>
                <w:szCs w:val="27"/>
                <w:b w:val="1"/>
                <w:bCs w:val="1"/>
                <w:color w:val="FB4E0B"/>
              </w:rPr>
              <w:t>/</w:t>
            </w:r>
          </w:p>
        </w:tc>
        <w:tc>
          <w:tcPr>
            <w:tcW w:w="9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620" w:type="dxa"/>
            <w:vAlign w:val="bottom"/>
            <w:vMerge w:val="continue"/>
          </w:tcPr>
          <w:p>
            <w:pPr>
              <w:spacing w:after="0"/>
              <w:rPr>
                <w:sz w:val="10"/>
                <w:szCs w:val="10"/>
                <w:color w:val="auto"/>
              </w:rPr>
            </w:pPr>
          </w:p>
        </w:tc>
        <w:tc>
          <w:tcPr>
            <w:tcW w:w="95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-1042035</wp:posOffset>
            </wp:positionV>
            <wp:extent cx="760095" cy="7600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sectPr>
          <w:pgSz w:w="11900" w:h="16838" w:orient="portrait"/>
          <w:cols w:equalWidth="0" w:num="1">
            <w:col w:w="10840"/>
          </w:cols>
          <w:pgMar w:left="320" w:top="471" w:right="7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1259840</wp:posOffset>
            </wp:positionV>
            <wp:extent cx="760095" cy="7600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0095" cy="76009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2226310</wp:posOffset>
            </wp:positionV>
            <wp:extent cx="760095" cy="7600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0095" cy="76009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3184525</wp:posOffset>
            </wp:positionV>
            <wp:extent cx="760095" cy="7600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0095" cy="76009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4142740</wp:posOffset>
            </wp:positionV>
            <wp:extent cx="760095" cy="7600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0095" cy="76009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5274310</wp:posOffset>
            </wp:positionV>
            <wp:extent cx="760095" cy="7600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0095" cy="76009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6232525</wp:posOffset>
            </wp:positionV>
            <wp:extent cx="760095" cy="7600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spacing w:after="0"/>
        <w:tabs>
          <w:tab w:leader="none" w:pos="46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4"/>
          <w:szCs w:val="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Executve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-1558925</wp:posOffset>
            </wp:positionH>
            <wp:positionV relativeFrom="paragraph">
              <wp:posOffset>-1358900</wp:posOffset>
            </wp:positionV>
            <wp:extent cx="7179310" cy="539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-1348105</wp:posOffset>
            </wp:positionH>
            <wp:positionV relativeFrom="paragraph">
              <wp:posOffset>-822325</wp:posOffset>
            </wp:positionV>
            <wp:extent cx="6773545" cy="6362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327" w:lineRule="exact"/>
        <w:rPr>
          <w:sz w:val="20"/>
          <w:szCs w:val="20"/>
          <w:color w:val="auto"/>
        </w:rPr>
      </w:pPr>
    </w:p>
    <w:p>
      <w:pPr>
        <w:spacing w:after="0"/>
        <w:tabs>
          <w:tab w:leader="none" w:pos="1580" w:val="left"/>
          <w:tab w:leader="none" w:pos="1840" w:val="left"/>
        </w:tabs>
        <w:rPr>
          <w:sz w:val="20"/>
          <w:szCs w:val="20"/>
          <w:color w:val="auto"/>
        </w:rPr>
      </w:pPr>
      <w:r>
        <w:rPr>
          <w:rFonts w:ascii="Calibri" w:cs="Calibri" w:eastAsia="Calibri" w:hAnsi="Calibri"/>
          <w:sz w:val="17"/>
          <w:szCs w:val="17"/>
          <w:b w:val="1"/>
          <w:bCs w:val="1"/>
          <w:color w:val="auto"/>
        </w:rPr>
        <w:t xml:space="preserve">Vivek Jetley </w:t>
      </w:r>
      <w:r>
        <w:rPr>
          <w:rFonts w:ascii="Calibri" w:cs="Calibri" w:eastAsia="Calibri" w:hAnsi="Calibri"/>
          <w:sz w:val="17"/>
          <w:szCs w:val="17"/>
          <w:color w:val="auto"/>
        </w:rPr>
        <w:t xml:space="preserve">(age 49)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7"/>
          <w:szCs w:val="17"/>
          <w:b w:val="1"/>
          <w:bCs w:val="1"/>
          <w:i w:val="1"/>
          <w:iCs w:val="1"/>
          <w:color w:val="auto"/>
        </w:rPr>
        <w:t>President of EXL and Business Head, Analytcs</w:t>
      </w:r>
    </w:p>
    <w:p>
      <w:pPr>
        <w:spacing w:after="0" w:line="2" w:lineRule="exact"/>
        <w:rPr>
          <w:sz w:val="20"/>
          <w:szCs w:val="20"/>
          <w:color w:val="auto"/>
        </w:rPr>
      </w:pPr>
    </w:p>
    <w:p>
      <w:pPr>
        <w:ind w:right="80"/>
        <w:spacing w:after="0"/>
        <w:rPr>
          <w:sz w:val="20"/>
          <w:szCs w:val="20"/>
          <w:color w:val="auto"/>
        </w:rPr>
      </w:pPr>
      <w:r>
        <w:rPr>
          <w:rFonts w:ascii="Calibri" w:cs="Calibri" w:eastAsia="Calibri" w:hAnsi="Calibri"/>
          <w:sz w:val="17"/>
          <w:szCs w:val="17"/>
          <w:color w:val="auto"/>
        </w:rPr>
        <w:t>Mr. Jetley has served as our President of EXL and Business Head, Analytcs since April 2024 and previously as our Executve Vice President and Business Head, Analytcs since January 2020. He previously served in various leadership roles with us, including heading enterprise strategy and setng up a strategic deal team. Mr. Jetley has been with EXL since 2006. Prior to joining us, Mr. Jetley was a Partner at Inducts.</w:t>
      </w:r>
    </w:p>
    <w:p>
      <w:pPr>
        <w:spacing w:after="0" w:line="200" w:lineRule="exact"/>
        <w:rPr>
          <w:sz w:val="20"/>
          <w:szCs w:val="20"/>
          <w:color w:val="auto"/>
        </w:rPr>
      </w:pPr>
    </w:p>
    <w:p>
      <w:pPr>
        <w:spacing w:after="0" w:line="282" w:lineRule="exact"/>
        <w:rPr>
          <w:sz w:val="20"/>
          <w:szCs w:val="20"/>
          <w:color w:val="auto"/>
        </w:rPr>
      </w:pPr>
    </w:p>
    <w:p>
      <w:pPr>
        <w:spacing w:after="0"/>
        <w:tabs>
          <w:tab w:leader="none" w:pos="1820" w:val="left"/>
          <w:tab w:leader="none" w:pos="2060" w:val="left"/>
        </w:tabs>
        <w:rPr>
          <w:sz w:val="20"/>
          <w:szCs w:val="20"/>
          <w:color w:val="auto"/>
        </w:rPr>
      </w:pPr>
      <w:r>
        <w:rPr>
          <w:rFonts w:ascii="Calibri" w:cs="Calibri" w:eastAsia="Calibri" w:hAnsi="Calibri"/>
          <w:sz w:val="17"/>
          <w:szCs w:val="17"/>
          <w:b w:val="1"/>
          <w:bCs w:val="1"/>
          <w:color w:val="auto"/>
        </w:rPr>
        <w:t xml:space="preserve">Narasimha Kini </w:t>
      </w:r>
      <w:r>
        <w:rPr>
          <w:rFonts w:ascii="Calibri" w:cs="Calibri" w:eastAsia="Calibri" w:hAnsi="Calibri"/>
          <w:sz w:val="17"/>
          <w:szCs w:val="17"/>
          <w:color w:val="auto"/>
        </w:rPr>
        <w:t xml:space="preserve">(age 55)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7"/>
          <w:szCs w:val="17"/>
          <w:b w:val="1"/>
          <w:bCs w:val="1"/>
          <w:i w:val="1"/>
          <w:iCs w:val="1"/>
          <w:color w:val="auto"/>
        </w:rPr>
        <w:t>Executve Vice President and Business Head, Emerging Business</w:t>
      </w:r>
    </w:p>
    <w:p>
      <w:pPr>
        <w:spacing w:after="0" w:line="2" w:lineRule="exact"/>
        <w:rPr>
          <w:sz w:val="20"/>
          <w:szCs w:val="20"/>
          <w:color w:val="auto"/>
        </w:rPr>
      </w:pPr>
    </w:p>
    <w:p>
      <w:pPr>
        <w:ind w:right="540"/>
        <w:spacing w:after="0" w:line="239" w:lineRule="auto"/>
        <w:rPr>
          <w:sz w:val="20"/>
          <w:szCs w:val="20"/>
          <w:color w:val="auto"/>
        </w:rPr>
      </w:pPr>
      <w:r>
        <w:rPr>
          <w:rFonts w:ascii="Calibri" w:cs="Calibri" w:eastAsia="Calibri" w:hAnsi="Calibri"/>
          <w:sz w:val="17"/>
          <w:szCs w:val="17"/>
          <w:color w:val="auto"/>
        </w:rPr>
        <w:t>Mr. Kini has served as our Executve Vice President and Business Head, Emerging Business since October 2021. He previously served in several leadership roles with us, including in our strategic initatves and fnance and accountng services. Mr. Kini has been with EXL since 2001. Prior to joining us, Mr. Kini was a Finance Leader at Willis Faber.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2240" w:val="left"/>
          <w:tab w:leader="none" w:pos="2500" w:val="left"/>
        </w:tabs>
        <w:rPr>
          <w:sz w:val="20"/>
          <w:szCs w:val="20"/>
          <w:color w:val="auto"/>
        </w:rPr>
      </w:pPr>
      <w:r>
        <w:rPr>
          <w:rFonts w:ascii="Calibri" w:cs="Calibri" w:eastAsia="Calibri" w:hAnsi="Calibri"/>
          <w:sz w:val="17"/>
          <w:szCs w:val="17"/>
          <w:b w:val="1"/>
          <w:bCs w:val="1"/>
          <w:color w:val="auto"/>
        </w:rPr>
        <w:t xml:space="preserve">Anand “Andy” Logani </w:t>
      </w:r>
      <w:r>
        <w:rPr>
          <w:rFonts w:ascii="Calibri" w:cs="Calibri" w:eastAsia="Calibri" w:hAnsi="Calibri"/>
          <w:sz w:val="17"/>
          <w:szCs w:val="17"/>
          <w:color w:val="auto"/>
        </w:rPr>
        <w:t xml:space="preserve">(age 47)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7"/>
          <w:szCs w:val="17"/>
          <w:b w:val="1"/>
          <w:bCs w:val="1"/>
          <w:i w:val="1"/>
          <w:iCs w:val="1"/>
          <w:color w:val="auto"/>
        </w:rPr>
        <w:t>Executve Vice President and Chief Digital Ofcer</w:t>
      </w:r>
    </w:p>
    <w:p>
      <w:pPr>
        <w:spacing w:after="0" w:line="2" w:lineRule="exact"/>
        <w:rPr>
          <w:sz w:val="20"/>
          <w:szCs w:val="20"/>
          <w:color w:val="auto"/>
        </w:rPr>
      </w:pPr>
    </w:p>
    <w:p>
      <w:pPr>
        <w:ind w:right="20"/>
        <w:spacing w:after="0" w:line="239" w:lineRule="auto"/>
        <w:rPr>
          <w:sz w:val="20"/>
          <w:szCs w:val="20"/>
          <w:color w:val="auto"/>
        </w:rPr>
      </w:pPr>
      <w:r>
        <w:rPr>
          <w:rFonts w:ascii="Calibri" w:cs="Calibri" w:eastAsia="Calibri" w:hAnsi="Calibri"/>
          <w:sz w:val="17"/>
          <w:szCs w:val="17"/>
          <w:color w:val="auto"/>
        </w:rPr>
        <w:t>Mr. Logani has served as our Executve Vice President and Chief Digital Ofcer since January 2024. Since joining EXL in 2001, he has served in various leadership positons with us, including as Chief Digital Ofcer and as our Global Head of Life &amp; Annuity Insurance business. Prior to joining us, Mr. Logani was a member of the strategic sales team at Kuehne &amp; Nagel.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680" w:val="left"/>
          <w:tab w:leader="none" w:pos="1920" w:val="left"/>
        </w:tabs>
        <w:rPr>
          <w:sz w:val="20"/>
          <w:szCs w:val="20"/>
          <w:color w:val="auto"/>
        </w:rPr>
      </w:pPr>
      <w:r>
        <w:rPr>
          <w:rFonts w:ascii="Calibri" w:cs="Calibri" w:eastAsia="Calibri" w:hAnsi="Calibri"/>
          <w:sz w:val="17"/>
          <w:szCs w:val="17"/>
          <w:b w:val="1"/>
          <w:bCs w:val="1"/>
          <w:color w:val="auto"/>
        </w:rPr>
        <w:t xml:space="preserve">Anita Mahon </w:t>
      </w:r>
      <w:r>
        <w:rPr>
          <w:rFonts w:ascii="Calibri" w:cs="Calibri" w:eastAsia="Calibri" w:hAnsi="Calibri"/>
          <w:sz w:val="17"/>
          <w:szCs w:val="17"/>
          <w:color w:val="auto"/>
        </w:rPr>
        <w:t>(age 55)</w:t>
      </w:r>
      <w:r>
        <w:rPr>
          <w:rFonts w:ascii="Calibri" w:cs="Calibri" w:eastAsia="Calibri" w:hAnsi="Calibri"/>
          <w:sz w:val="17"/>
          <w:szCs w:val="17"/>
          <w:b w:val="1"/>
          <w:bCs w:val="1"/>
          <w:i w:val="1"/>
          <w:iCs w:val="1"/>
          <w:color w:val="auto"/>
        </w:rPr>
        <w:t xml:space="preserve">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b w:val="1"/>
          <w:bCs w:val="1"/>
          <w:i w:val="1"/>
          <w:iCs w:val="1"/>
          <w:color w:val="000000"/>
        </w:rPr>
        <w:t xml:space="preserve"> </w:t>
      </w:r>
      <w:r>
        <w:rPr>
          <w:sz w:val="20"/>
          <w:szCs w:val="20"/>
          <w:color w:val="auto"/>
        </w:rPr>
        <w:tab/>
      </w:r>
      <w:r>
        <w:rPr>
          <w:rFonts w:ascii="Calibri" w:cs="Calibri" w:eastAsia="Calibri" w:hAnsi="Calibri"/>
          <w:sz w:val="17"/>
          <w:szCs w:val="17"/>
          <w:b w:val="1"/>
          <w:bCs w:val="1"/>
          <w:i w:val="1"/>
          <w:iCs w:val="1"/>
          <w:color w:val="auto"/>
        </w:rPr>
        <w:t>Executve Vice President and Business Head, Healthcare</w:t>
      </w:r>
    </w:p>
    <w:p>
      <w:pPr>
        <w:spacing w:after="0" w:line="2" w:lineRule="exact"/>
        <w:rPr>
          <w:sz w:val="20"/>
          <w:szCs w:val="20"/>
          <w:color w:val="auto"/>
        </w:rPr>
      </w:pPr>
    </w:p>
    <w:p>
      <w:pPr>
        <w:ind w:right="100"/>
        <w:spacing w:after="0"/>
        <w:rPr>
          <w:sz w:val="20"/>
          <w:szCs w:val="20"/>
          <w:color w:val="auto"/>
        </w:rPr>
      </w:pPr>
      <w:r>
        <w:rPr>
          <w:rFonts w:ascii="Calibri" w:cs="Calibri" w:eastAsia="Calibri" w:hAnsi="Calibri"/>
          <w:sz w:val="17"/>
          <w:szCs w:val="17"/>
          <w:color w:val="auto"/>
        </w:rPr>
        <w:t>Ms. Mahon has served as our Executve Vice President and Business Head, Healthcare since May 2022, and previously served as our Executve Vice President and Chief Growth Ofcer (March 2020 to May 2022). Prior to joining us, Ms. Mahon served as Vice President, Data, Strategy &amp; Portolio Ofcer at IBM Watson Health, a business unit focused on developing cognitve and data-driven technologies to advance health. Ms. Mahon joined IBM in 2016 through its acquisiton of Truven Health Analytcs, a healthcare informaton and analytcs business, where she served as Chief Strategy Ofcer. Prior to Truven, she held other leadership roles that placed her at the intersecton of strategy, technology and analytcs.</w:t>
      </w:r>
    </w:p>
    <w:p>
      <w:pPr>
        <w:spacing w:after="0" w:line="328" w:lineRule="exact"/>
        <w:rPr>
          <w:sz w:val="20"/>
          <w:szCs w:val="20"/>
          <w:color w:val="auto"/>
        </w:rPr>
      </w:pPr>
    </w:p>
    <w:p>
      <w:pPr>
        <w:spacing w:after="0"/>
        <w:tabs>
          <w:tab w:leader="none" w:pos="1980" w:val="left"/>
          <w:tab w:leader="none" w:pos="2240" w:val="left"/>
        </w:tabs>
        <w:rPr>
          <w:sz w:val="20"/>
          <w:szCs w:val="20"/>
          <w:color w:val="auto"/>
        </w:rPr>
      </w:pPr>
      <w:r>
        <w:rPr>
          <w:rFonts w:ascii="Calibri" w:cs="Calibri" w:eastAsia="Calibri" w:hAnsi="Calibri"/>
          <w:sz w:val="17"/>
          <w:szCs w:val="17"/>
          <w:b w:val="1"/>
          <w:bCs w:val="1"/>
          <w:color w:val="auto"/>
        </w:rPr>
        <w:t xml:space="preserve">Maurizio Nicolelli </w:t>
      </w:r>
      <w:r>
        <w:rPr>
          <w:rFonts w:ascii="Calibri" w:cs="Calibri" w:eastAsia="Calibri" w:hAnsi="Calibri"/>
          <w:sz w:val="17"/>
          <w:szCs w:val="17"/>
          <w:color w:val="auto"/>
        </w:rPr>
        <w:t xml:space="preserve">(age 55)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7"/>
          <w:szCs w:val="17"/>
          <w:b w:val="1"/>
          <w:bCs w:val="1"/>
          <w:i w:val="1"/>
          <w:iCs w:val="1"/>
          <w:color w:val="auto"/>
        </w:rPr>
        <w:t>Executve Vice President and Chief Financial Ofcer</w:t>
      </w:r>
    </w:p>
    <w:p>
      <w:pPr>
        <w:spacing w:after="0" w:line="2" w:lineRule="exact"/>
        <w:rPr>
          <w:sz w:val="20"/>
          <w:szCs w:val="20"/>
          <w:color w:val="auto"/>
        </w:rPr>
      </w:pPr>
    </w:p>
    <w:p>
      <w:pPr>
        <w:ind w:right="120"/>
        <w:spacing w:after="0"/>
        <w:rPr>
          <w:sz w:val="20"/>
          <w:szCs w:val="20"/>
          <w:color w:val="auto"/>
        </w:rPr>
      </w:pPr>
      <w:r>
        <w:rPr>
          <w:rFonts w:ascii="Calibri" w:cs="Calibri" w:eastAsia="Calibri" w:hAnsi="Calibri"/>
          <w:sz w:val="17"/>
          <w:szCs w:val="17"/>
          <w:color w:val="auto"/>
        </w:rPr>
        <w:t>Mr. Nicolelli has served as our Executve Vice President and Chief Financial Ofcer since February 2020. Prior to joining the Company, Mr. Nicolelli served as Senior Vice President and Chief Financial Ofcer of Casa Systems beginning in 2019. He previously served 23 years at FactSet Research Systems, where he was Senior Vice President, Principal and Chief Financial Ofcer from 2009 to 2018.</w:t>
      </w:r>
    </w:p>
    <w:p>
      <w:pPr>
        <w:spacing w:after="0" w:line="200" w:lineRule="exact"/>
        <w:rPr>
          <w:sz w:val="20"/>
          <w:szCs w:val="20"/>
          <w:color w:val="auto"/>
        </w:rPr>
      </w:pPr>
    </w:p>
    <w:p>
      <w:pPr>
        <w:spacing w:after="0" w:line="271" w:lineRule="exact"/>
        <w:rPr>
          <w:sz w:val="20"/>
          <w:szCs w:val="20"/>
          <w:color w:val="auto"/>
        </w:rPr>
      </w:pPr>
    </w:p>
    <w:p>
      <w:pPr>
        <w:ind w:right="240"/>
        <w:spacing w:after="0" w:line="239" w:lineRule="auto"/>
        <w:rPr>
          <w:sz w:val="20"/>
          <w:szCs w:val="20"/>
          <w:color w:val="auto"/>
        </w:rPr>
      </w:pPr>
      <w:r>
        <w:rPr>
          <w:rFonts w:ascii="Calibri" w:cs="Calibri" w:eastAsia="Calibri" w:hAnsi="Calibri"/>
          <w:sz w:val="17"/>
          <w:szCs w:val="17"/>
          <w:b w:val="1"/>
          <w:bCs w:val="1"/>
          <w:color w:val="auto"/>
        </w:rPr>
        <w:t xml:space="preserve">Baljinder Singh </w:t>
      </w:r>
      <w:r>
        <w:rPr>
          <w:rFonts w:ascii="Calibri" w:cs="Calibri" w:eastAsia="Calibri" w:hAnsi="Calibri"/>
          <w:sz w:val="17"/>
          <w:szCs w:val="17"/>
          <w:color w:val="auto"/>
        </w:rPr>
        <w:t xml:space="preserve">(age 51) </w:t>
      </w:r>
      <w:r>
        <w:rPr>
          <w:rFonts w:ascii="Calibri" w:cs="Calibri" w:eastAsia="Calibri" w:hAnsi="Calibri"/>
          <w:sz w:val="17"/>
          <w:szCs w:val="17"/>
          <w:b w:val="1"/>
          <w:bCs w:val="1"/>
          <w:color w:val="auto"/>
        </w:rPr>
        <w:t xml:space="preserve"> </w:t>
      </w:r>
      <w:r>
        <w:rPr>
          <w:rFonts w:ascii="Calibri" w:cs="Calibri" w:eastAsia="Calibri" w:hAnsi="Calibri"/>
          <w:sz w:val="17"/>
          <w:szCs w:val="17"/>
          <w:color w:val="FB4E0B"/>
        </w:rPr>
        <w:t>|</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 xml:space="preserve"> </w:t>
      </w:r>
      <w:r>
        <w:rPr>
          <w:rFonts w:ascii="Calibri" w:cs="Calibri" w:eastAsia="Calibri" w:hAnsi="Calibri"/>
          <w:sz w:val="17"/>
          <w:szCs w:val="17"/>
          <w:b w:val="1"/>
          <w:bCs w:val="1"/>
          <w:i w:val="1"/>
          <w:iCs w:val="1"/>
          <w:color w:val="auto"/>
        </w:rPr>
        <w:t>Executve Vice President, Global Chief Informaton Ofcer, and Head of Enterprise Digital</w:t>
      </w:r>
      <w:r>
        <w:rPr>
          <w:rFonts w:ascii="Calibri" w:cs="Calibri" w:eastAsia="Calibri" w:hAnsi="Calibri"/>
          <w:sz w:val="17"/>
          <w:szCs w:val="17"/>
          <w:b w:val="1"/>
          <w:bCs w:val="1"/>
          <w:color w:val="auto"/>
        </w:rPr>
        <w:t xml:space="preserve"> </w:t>
      </w:r>
      <w:r>
        <w:rPr>
          <w:rFonts w:ascii="Calibri" w:cs="Calibri" w:eastAsia="Calibri" w:hAnsi="Calibri"/>
          <w:sz w:val="17"/>
          <w:szCs w:val="17"/>
          <w:b w:val="1"/>
          <w:bCs w:val="1"/>
          <w:i w:val="1"/>
          <w:iCs w:val="1"/>
          <w:color w:val="auto"/>
        </w:rPr>
        <w:t>Transformaton</w:t>
      </w:r>
    </w:p>
    <w:p>
      <w:pPr>
        <w:spacing w:after="0" w:line="3" w:lineRule="exact"/>
        <w:rPr>
          <w:sz w:val="20"/>
          <w:szCs w:val="20"/>
          <w:color w:val="auto"/>
        </w:rPr>
      </w:pPr>
    </w:p>
    <w:p>
      <w:pPr>
        <w:ind w:right="60"/>
        <w:spacing w:after="0"/>
        <w:rPr>
          <w:sz w:val="20"/>
          <w:szCs w:val="20"/>
          <w:color w:val="auto"/>
        </w:rPr>
      </w:pPr>
      <w:r>
        <w:rPr>
          <w:rFonts w:ascii="Calibri" w:cs="Calibri" w:eastAsia="Calibri" w:hAnsi="Calibri"/>
          <w:sz w:val="17"/>
          <w:szCs w:val="17"/>
          <w:color w:val="auto"/>
        </w:rPr>
        <w:t>Mr. Singh has served as our Executve Vice President and Global Chief Informaton Ofcer since January 2024. Mr. Singh has been with EXL for more than 24 years, joining us as part of the founding leadership team. He has held several leadership roles at EXL across technology, transformaton, digital solutons, platorms development, and informaton security. He is based in India.</w:t>
      </w:r>
    </w:p>
    <w:p>
      <w:pPr>
        <w:spacing w:after="0" w:line="309" w:lineRule="exact"/>
        <w:rPr>
          <w:sz w:val="20"/>
          <w:szCs w:val="20"/>
          <w:color w:val="auto"/>
        </w:rPr>
      </w:pPr>
    </w:p>
    <w:p>
      <w:pPr>
        <w:ind w:left="6180"/>
        <w:spacing w:after="0"/>
        <w:tabs>
          <w:tab w:leader="none" w:pos="7780" w:val="left"/>
        </w:tabs>
        <w:rPr>
          <w:sz w:val="20"/>
          <w:szCs w:val="20"/>
          <w:color w:val="auto"/>
        </w:rPr>
      </w:pPr>
      <w:r>
        <w:rPr>
          <w:rFonts w:ascii="Calibri" w:cs="Calibri" w:eastAsia="Calibri" w:hAnsi="Calibri"/>
          <w:sz w:val="13"/>
          <w:szCs w:val="13"/>
          <w:color w:val="auto"/>
        </w:rPr>
        <w:t>EXL 2024 Proxy Statement </w:t>
      </w:r>
      <w:r>
        <w:rPr>
          <w:sz w:val="20"/>
          <w:szCs w:val="20"/>
          <w:color w:val="auto"/>
        </w:rPr>
        <w:tab/>
      </w: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59</w:t>
      </w:r>
    </w:p>
    <w:p>
      <w:pPr>
        <w:sectPr>
          <w:pgSz w:w="11900" w:h="16838" w:orient="portrait"/>
          <w:cols w:equalWidth="0" w:num="2">
            <w:col w:w="1720" w:space="720"/>
            <w:col w:w="8500"/>
          </w:cols>
          <w:pgMar w:left="320" w:top="471" w:right="6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Executve compensaton</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Compensaton Discussion and Analysis</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Table of Contents</w:t>
      </w:r>
    </w:p>
    <w:p>
      <w:pPr>
        <w:spacing w:after="0" w:line="214"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7780" w:type="dxa"/>
            <w:vAlign w:val="bottom"/>
            <w:gridSpan w:val="32"/>
          </w:tcPr>
          <w:p>
            <w:pPr>
              <w:spacing w:after="0"/>
              <w:rPr>
                <w:sz w:val="20"/>
                <w:szCs w:val="20"/>
                <w:color w:val="auto"/>
              </w:rPr>
            </w:pPr>
            <w:r>
              <w:rPr>
                <w:rFonts w:ascii="Calibri" w:cs="Calibri" w:eastAsia="Calibri" w:hAnsi="Calibri"/>
                <w:sz w:val="16"/>
                <w:szCs w:val="16"/>
                <w:b w:val="1"/>
                <w:bCs w:val="1"/>
                <w:color w:val="0000EE"/>
              </w:rPr>
              <w:t>Named executve ofcers</w:t>
            </w: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61</w:t>
            </w:r>
          </w:p>
        </w:tc>
      </w:tr>
      <w:tr>
        <w:trPr>
          <w:trHeight w:val="279"/>
        </w:trPr>
        <w:tc>
          <w:tcPr>
            <w:tcW w:w="1260" w:type="dxa"/>
            <w:vAlign w:val="bottom"/>
            <w:tcBorders>
              <w:top w:val="single" w:sz="8" w:color="0000EE"/>
              <w:bottom w:val="single" w:sz="8" w:color="0000EE"/>
            </w:tcBorders>
            <w:gridSpan w:val="5"/>
          </w:tcPr>
          <w:p>
            <w:pPr>
              <w:spacing w:after="0"/>
              <w:rPr>
                <w:sz w:val="20"/>
                <w:szCs w:val="20"/>
                <w:color w:val="auto"/>
              </w:rPr>
            </w:pPr>
            <w:r>
              <w:rPr>
                <w:rFonts w:ascii="Calibri" w:cs="Calibri" w:eastAsia="Calibri" w:hAnsi="Calibri"/>
                <w:sz w:val="16"/>
                <w:szCs w:val="16"/>
                <w:b w:val="1"/>
                <w:bCs w:val="1"/>
                <w:color w:val="0000EE"/>
                <w:w w:val="98"/>
              </w:rPr>
              <w:t>Executve summary</w:t>
            </w:r>
          </w:p>
        </w:tc>
        <w:tc>
          <w:tcPr>
            <w:tcW w:w="360" w:type="dxa"/>
            <w:vAlign w:val="bottom"/>
            <w:tcBorders>
              <w:top w:val="single" w:sz="8" w:color="0000EE"/>
            </w:tcBorders>
            <w:gridSpan w:val="6"/>
          </w:tcPr>
          <w:p>
            <w:pPr>
              <w:spacing w:after="0"/>
              <w:rPr>
                <w:sz w:val="24"/>
                <w:szCs w:val="24"/>
                <w:color w:val="auto"/>
              </w:rPr>
            </w:pPr>
          </w:p>
        </w:tc>
        <w:tc>
          <w:tcPr>
            <w:tcW w:w="6160" w:type="dxa"/>
            <w:vAlign w:val="bottom"/>
            <w:gridSpan w:val="21"/>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61</w:t>
            </w:r>
          </w:p>
        </w:tc>
      </w:tr>
      <w:tr>
        <w:trPr>
          <w:trHeight w:val="279"/>
        </w:trPr>
        <w:tc>
          <w:tcPr>
            <w:tcW w:w="160" w:type="dxa"/>
            <w:vAlign w:val="bottom"/>
          </w:tcPr>
          <w:p>
            <w:pPr>
              <w:spacing w:after="0"/>
              <w:rPr>
                <w:sz w:val="24"/>
                <w:szCs w:val="24"/>
                <w:color w:val="auto"/>
              </w:rPr>
            </w:pPr>
          </w:p>
        </w:tc>
        <w:tc>
          <w:tcPr>
            <w:tcW w:w="2820" w:type="dxa"/>
            <w:vAlign w:val="bottom"/>
            <w:tcBorders>
              <w:bottom w:val="single" w:sz="8" w:color="0000EE"/>
            </w:tcBorders>
            <w:gridSpan w:val="19"/>
          </w:tcPr>
          <w:p>
            <w:pPr>
              <w:spacing w:after="0"/>
              <w:rPr>
                <w:sz w:val="20"/>
                <w:szCs w:val="20"/>
                <w:color w:val="auto"/>
              </w:rPr>
            </w:pPr>
            <w:r>
              <w:rPr>
                <w:rFonts w:ascii="Calibri" w:cs="Calibri" w:eastAsia="Calibri" w:hAnsi="Calibri"/>
                <w:sz w:val="16"/>
                <w:szCs w:val="16"/>
                <w:color w:val="0000EE"/>
                <w:w w:val="98"/>
              </w:rPr>
              <w:t>Select 2023 fnancial and business highlights</w:t>
            </w:r>
          </w:p>
        </w:tc>
        <w:tc>
          <w:tcPr>
            <w:tcW w:w="4800" w:type="dxa"/>
            <w:vAlign w:val="bottom"/>
            <w:gridSpan w:val="12"/>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color w:val="auto"/>
              </w:rPr>
              <w:t>61</w:t>
            </w:r>
          </w:p>
        </w:tc>
      </w:tr>
      <w:tr>
        <w:trPr>
          <w:trHeight w:val="279"/>
        </w:trPr>
        <w:tc>
          <w:tcPr>
            <w:tcW w:w="160" w:type="dxa"/>
            <w:vAlign w:val="bottom"/>
          </w:tcPr>
          <w:p>
            <w:pPr>
              <w:spacing w:after="0"/>
              <w:rPr>
                <w:sz w:val="24"/>
                <w:szCs w:val="24"/>
                <w:color w:val="auto"/>
              </w:rPr>
            </w:pPr>
          </w:p>
        </w:tc>
        <w:tc>
          <w:tcPr>
            <w:tcW w:w="7620" w:type="dxa"/>
            <w:vAlign w:val="bottom"/>
            <w:gridSpan w:val="31"/>
          </w:tcPr>
          <w:p>
            <w:pPr>
              <w:spacing w:after="0"/>
              <w:rPr>
                <w:sz w:val="20"/>
                <w:szCs w:val="20"/>
                <w:color w:val="auto"/>
              </w:rPr>
            </w:pPr>
            <w:r>
              <w:rPr>
                <w:rFonts w:ascii="Calibri" w:cs="Calibri" w:eastAsia="Calibri" w:hAnsi="Calibri"/>
                <w:sz w:val="16"/>
                <w:szCs w:val="16"/>
                <w:color w:val="0000EE"/>
              </w:rPr>
              <w:t>Total stockholder return</w:t>
            </w:r>
          </w:p>
        </w:tc>
        <w:tc>
          <w:tcPr>
            <w:tcW w:w="2800" w:type="dxa"/>
            <w:vAlign w:val="bottom"/>
          </w:tcPr>
          <w:p>
            <w:pPr>
              <w:jc w:val="right"/>
              <w:spacing w:after="0"/>
              <w:rPr>
                <w:sz w:val="20"/>
                <w:szCs w:val="20"/>
                <w:color w:val="auto"/>
              </w:rPr>
            </w:pPr>
            <w:r>
              <w:rPr>
                <w:rFonts w:ascii="Calibri" w:cs="Calibri" w:eastAsia="Calibri" w:hAnsi="Calibri"/>
                <w:sz w:val="16"/>
                <w:szCs w:val="16"/>
                <w:color w:val="auto"/>
              </w:rPr>
              <w:t>5</w:t>
            </w:r>
          </w:p>
        </w:tc>
      </w:tr>
      <w:tr>
        <w:trPr>
          <w:trHeight w:val="20"/>
        </w:trPr>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7620" w:type="dxa"/>
            <w:vAlign w:val="bottom"/>
            <w:gridSpan w:val="31"/>
          </w:tcPr>
          <w:p>
            <w:pPr>
              <w:spacing w:after="0"/>
              <w:rPr>
                <w:sz w:val="20"/>
                <w:szCs w:val="20"/>
                <w:color w:val="auto"/>
              </w:rPr>
            </w:pPr>
            <w:r>
              <w:rPr>
                <w:rFonts w:ascii="Calibri" w:cs="Calibri" w:eastAsia="Calibri" w:hAnsi="Calibri"/>
                <w:sz w:val="16"/>
                <w:szCs w:val="16"/>
                <w:color w:val="0000EE"/>
              </w:rPr>
              <w:t>Awards and industry recogniton</w:t>
            </w:r>
          </w:p>
        </w:tc>
        <w:tc>
          <w:tcPr>
            <w:tcW w:w="2800" w:type="dxa"/>
            <w:vAlign w:val="bottom"/>
          </w:tcPr>
          <w:p>
            <w:pPr>
              <w:jc w:val="right"/>
              <w:spacing w:after="0"/>
              <w:rPr>
                <w:sz w:val="20"/>
                <w:szCs w:val="20"/>
                <w:color w:val="auto"/>
              </w:rPr>
            </w:pPr>
            <w:r>
              <w:rPr>
                <w:rFonts w:ascii="Calibri" w:cs="Calibri" w:eastAsia="Calibri" w:hAnsi="Calibri"/>
                <w:sz w:val="16"/>
                <w:szCs w:val="16"/>
                <w:color w:val="auto"/>
              </w:rPr>
              <w:t>62</w:t>
            </w:r>
          </w:p>
        </w:tc>
      </w:tr>
      <w:tr>
        <w:trPr>
          <w:trHeight w:val="279"/>
        </w:trPr>
        <w:tc>
          <w:tcPr>
            <w:tcW w:w="160" w:type="dxa"/>
            <w:vAlign w:val="bottom"/>
          </w:tcPr>
          <w:p>
            <w:pPr>
              <w:spacing w:after="0"/>
              <w:rPr>
                <w:sz w:val="24"/>
                <w:szCs w:val="24"/>
                <w:color w:val="auto"/>
              </w:rPr>
            </w:pPr>
          </w:p>
        </w:tc>
        <w:tc>
          <w:tcPr>
            <w:tcW w:w="2060" w:type="dxa"/>
            <w:vAlign w:val="bottom"/>
            <w:tcBorders>
              <w:top w:val="single" w:sz="8" w:color="0000EE"/>
            </w:tcBorders>
            <w:gridSpan w:val="14"/>
          </w:tcPr>
          <w:p>
            <w:pPr>
              <w:spacing w:after="0"/>
              <w:rPr>
                <w:sz w:val="20"/>
                <w:szCs w:val="20"/>
                <w:color w:val="auto"/>
              </w:rPr>
            </w:pPr>
            <w:r>
              <w:rPr>
                <w:rFonts w:ascii="Calibri" w:cs="Calibri" w:eastAsia="Calibri" w:hAnsi="Calibri"/>
                <w:sz w:val="16"/>
                <w:szCs w:val="16"/>
                <w:color w:val="0000EE"/>
              </w:rPr>
              <w:t>Clients and operatons</w:t>
            </w:r>
          </w:p>
        </w:tc>
        <w:tc>
          <w:tcPr>
            <w:tcW w:w="5560" w:type="dxa"/>
            <w:vAlign w:val="bottom"/>
            <w:gridSpan w:val="17"/>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color w:val="auto"/>
              </w:rPr>
              <w:t>63</w:t>
            </w:r>
          </w:p>
        </w:tc>
      </w:tr>
      <w:tr>
        <w:trPr>
          <w:trHeight w:val="20"/>
        </w:trPr>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7620" w:type="dxa"/>
            <w:vAlign w:val="bottom"/>
            <w:gridSpan w:val="31"/>
          </w:tcPr>
          <w:p>
            <w:pPr>
              <w:spacing w:after="0"/>
              <w:rPr>
                <w:sz w:val="20"/>
                <w:szCs w:val="20"/>
                <w:color w:val="auto"/>
              </w:rPr>
            </w:pPr>
            <w:r>
              <w:rPr>
                <w:rFonts w:ascii="Calibri" w:cs="Calibri" w:eastAsia="Calibri" w:hAnsi="Calibri"/>
                <w:sz w:val="16"/>
                <w:szCs w:val="16"/>
                <w:color w:val="0000EE"/>
              </w:rPr>
              <w:t>Summary of key compensaton consideratons &amp; decisions in 2023</w:t>
            </w:r>
          </w:p>
        </w:tc>
        <w:tc>
          <w:tcPr>
            <w:tcW w:w="2800" w:type="dxa"/>
            <w:vAlign w:val="bottom"/>
          </w:tcPr>
          <w:p>
            <w:pPr>
              <w:jc w:val="right"/>
              <w:spacing w:after="0"/>
              <w:rPr>
                <w:sz w:val="20"/>
                <w:szCs w:val="20"/>
                <w:color w:val="auto"/>
              </w:rPr>
            </w:pPr>
            <w:r>
              <w:rPr>
                <w:rFonts w:ascii="Calibri" w:cs="Calibri" w:eastAsia="Calibri" w:hAnsi="Calibri"/>
                <w:sz w:val="16"/>
                <w:szCs w:val="16"/>
                <w:color w:val="auto"/>
              </w:rPr>
              <w:t>63</w:t>
            </w:r>
          </w:p>
        </w:tc>
      </w:tr>
      <w:tr>
        <w:trPr>
          <w:trHeight w:val="279"/>
        </w:trPr>
        <w:tc>
          <w:tcPr>
            <w:tcW w:w="16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7"/>
          </w:tcPr>
          <w:p>
            <w:pPr>
              <w:spacing w:after="0"/>
              <w:rPr>
                <w:sz w:val="20"/>
                <w:szCs w:val="20"/>
                <w:color w:val="auto"/>
              </w:rPr>
            </w:pPr>
            <w:r>
              <w:rPr>
                <w:rFonts w:ascii="Calibri" w:cs="Calibri" w:eastAsia="Calibri" w:hAnsi="Calibri"/>
                <w:sz w:val="16"/>
                <w:szCs w:val="16"/>
                <w:color w:val="0000EE"/>
                <w:w w:val="95"/>
              </w:rPr>
              <w:t>Pay-for-performance</w:t>
            </w:r>
          </w:p>
        </w:tc>
        <w:tc>
          <w:tcPr>
            <w:tcW w:w="2860" w:type="dxa"/>
            <w:vAlign w:val="bottom"/>
            <w:tcBorders>
              <w:top w:val="single" w:sz="8" w:color="0000EE"/>
            </w:tcBorders>
            <w:gridSpan w:val="22"/>
          </w:tcPr>
          <w:p>
            <w:pPr>
              <w:spacing w:after="0"/>
              <w:rPr>
                <w:sz w:val="24"/>
                <w:szCs w:val="24"/>
                <w:color w:val="auto"/>
              </w:rPr>
            </w:pPr>
          </w:p>
        </w:tc>
        <w:tc>
          <w:tcPr>
            <w:tcW w:w="3440" w:type="dxa"/>
            <w:vAlign w:val="bottom"/>
            <w:gridSpan w:val="2"/>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color w:val="auto"/>
              </w:rPr>
              <w:t>63</w:t>
            </w:r>
          </w:p>
        </w:tc>
      </w:tr>
      <w:tr>
        <w:trPr>
          <w:trHeight w:val="279"/>
        </w:trPr>
        <w:tc>
          <w:tcPr>
            <w:tcW w:w="7780" w:type="dxa"/>
            <w:vAlign w:val="bottom"/>
            <w:gridSpan w:val="32"/>
          </w:tcPr>
          <w:p>
            <w:pPr>
              <w:spacing w:after="0"/>
              <w:rPr>
                <w:sz w:val="20"/>
                <w:szCs w:val="20"/>
                <w:color w:val="auto"/>
              </w:rPr>
            </w:pPr>
            <w:r>
              <w:rPr>
                <w:rFonts w:ascii="Calibri" w:cs="Calibri" w:eastAsia="Calibri" w:hAnsi="Calibri"/>
                <w:sz w:val="16"/>
                <w:szCs w:val="16"/>
                <w:b w:val="1"/>
                <w:bCs w:val="1"/>
                <w:color w:val="0000EE"/>
              </w:rPr>
              <w:t>Executve compensaton program, practces and policies</w:t>
            </w: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65</w:t>
            </w:r>
          </w:p>
        </w:tc>
      </w:tr>
      <w:tr>
        <w:trPr>
          <w:trHeight w:val="279"/>
        </w:trPr>
        <w:tc>
          <w:tcPr>
            <w:tcW w:w="3400" w:type="dxa"/>
            <w:vAlign w:val="bottom"/>
            <w:tcBorders>
              <w:top w:val="single" w:sz="8" w:color="0000EE"/>
              <w:bottom w:val="single" w:sz="8" w:color="0000EE"/>
            </w:tcBorders>
            <w:gridSpan w:val="25"/>
          </w:tcPr>
          <w:p>
            <w:pPr>
              <w:spacing w:after="0"/>
              <w:rPr>
                <w:sz w:val="20"/>
                <w:szCs w:val="20"/>
                <w:color w:val="auto"/>
              </w:rPr>
            </w:pPr>
            <w:r>
              <w:rPr>
                <w:rFonts w:ascii="Calibri" w:cs="Calibri" w:eastAsia="Calibri" w:hAnsi="Calibri"/>
                <w:sz w:val="16"/>
                <w:szCs w:val="16"/>
                <w:b w:val="1"/>
                <w:bCs w:val="1"/>
                <w:color w:val="0000EE"/>
                <w:w w:val="97"/>
              </w:rPr>
              <w:t>Overview of compensaton policies and philosophies</w:t>
            </w:r>
          </w:p>
        </w:tc>
        <w:tc>
          <w:tcPr>
            <w:tcW w:w="200" w:type="dxa"/>
            <w:vAlign w:val="bottom"/>
            <w:tcBorders>
              <w:top w:val="single" w:sz="8" w:color="0000EE"/>
            </w:tcBorders>
            <w:gridSpan w:val="2"/>
          </w:tcPr>
          <w:p>
            <w:pPr>
              <w:spacing w:after="0"/>
              <w:rPr>
                <w:sz w:val="24"/>
                <w:szCs w:val="24"/>
                <w:color w:val="auto"/>
              </w:rPr>
            </w:pPr>
          </w:p>
        </w:tc>
        <w:tc>
          <w:tcPr>
            <w:tcW w:w="4180" w:type="dxa"/>
            <w:vAlign w:val="bottom"/>
            <w:gridSpan w:val="5"/>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67</w:t>
            </w:r>
          </w:p>
        </w:tc>
      </w:tr>
      <w:tr>
        <w:trPr>
          <w:trHeight w:val="279"/>
        </w:trPr>
        <w:tc>
          <w:tcPr>
            <w:tcW w:w="7780" w:type="dxa"/>
            <w:vAlign w:val="bottom"/>
            <w:gridSpan w:val="32"/>
          </w:tcPr>
          <w:p>
            <w:pPr>
              <w:spacing w:after="0"/>
              <w:rPr>
                <w:sz w:val="20"/>
                <w:szCs w:val="20"/>
                <w:color w:val="auto"/>
              </w:rPr>
            </w:pPr>
            <w:r>
              <w:rPr>
                <w:rFonts w:ascii="Calibri" w:cs="Calibri" w:eastAsia="Calibri" w:hAnsi="Calibri"/>
                <w:sz w:val="16"/>
                <w:szCs w:val="16"/>
                <w:b w:val="1"/>
                <w:bCs w:val="1"/>
                <w:color w:val="0000EE"/>
              </w:rPr>
              <w:t>Compensaton process: roles and responsibilites</w:t>
            </w: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68</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79"/>
        </w:trPr>
        <w:tc>
          <w:tcPr>
            <w:tcW w:w="7780" w:type="dxa"/>
            <w:vAlign w:val="bottom"/>
            <w:gridSpan w:val="32"/>
          </w:tcPr>
          <w:p>
            <w:pPr>
              <w:spacing w:after="0"/>
              <w:rPr>
                <w:sz w:val="20"/>
                <w:szCs w:val="20"/>
                <w:color w:val="auto"/>
              </w:rPr>
            </w:pPr>
            <w:r>
              <w:rPr>
                <w:rFonts w:ascii="Calibri" w:cs="Calibri" w:eastAsia="Calibri" w:hAnsi="Calibri"/>
                <w:sz w:val="16"/>
                <w:szCs w:val="16"/>
                <w:b w:val="1"/>
                <w:bCs w:val="1"/>
                <w:color w:val="0000EE"/>
              </w:rPr>
              <w:t>Components of executve compensaton for 2023</w:t>
            </w: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70</w:t>
            </w:r>
          </w:p>
        </w:tc>
      </w:tr>
      <w:tr>
        <w:trPr>
          <w:trHeight w:val="279"/>
        </w:trPr>
        <w:tc>
          <w:tcPr>
            <w:tcW w:w="2980" w:type="dxa"/>
            <w:vAlign w:val="bottom"/>
            <w:tcBorders>
              <w:top w:val="single" w:sz="8" w:color="0000EE"/>
              <w:bottom w:val="single" w:sz="8" w:color="0000EE"/>
            </w:tcBorders>
            <w:gridSpan w:val="20"/>
          </w:tcPr>
          <w:p>
            <w:pPr>
              <w:spacing w:after="0"/>
              <w:rPr>
                <w:sz w:val="20"/>
                <w:szCs w:val="20"/>
                <w:color w:val="auto"/>
              </w:rPr>
            </w:pPr>
            <w:r>
              <w:rPr>
                <w:rFonts w:ascii="Calibri" w:cs="Calibri" w:eastAsia="Calibri" w:hAnsi="Calibri"/>
                <w:sz w:val="16"/>
                <w:szCs w:val="16"/>
                <w:b w:val="1"/>
                <w:bCs w:val="1"/>
                <w:color w:val="0000EE"/>
                <w:w w:val="97"/>
              </w:rPr>
              <w:t>Detailed review of compensaton components</w:t>
            </w:r>
          </w:p>
        </w:tc>
        <w:tc>
          <w:tcPr>
            <w:tcW w:w="180" w:type="dxa"/>
            <w:vAlign w:val="bottom"/>
            <w:tcBorders>
              <w:top w:val="single" w:sz="8" w:color="0000EE"/>
            </w:tcBorders>
            <w:gridSpan w:val="2"/>
          </w:tcPr>
          <w:p>
            <w:pPr>
              <w:spacing w:after="0"/>
              <w:rPr>
                <w:sz w:val="24"/>
                <w:szCs w:val="24"/>
                <w:color w:val="auto"/>
              </w:rPr>
            </w:pPr>
          </w:p>
        </w:tc>
        <w:tc>
          <w:tcPr>
            <w:tcW w:w="4620" w:type="dxa"/>
            <w:vAlign w:val="bottom"/>
            <w:gridSpan w:val="10"/>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71</w:t>
            </w:r>
          </w:p>
        </w:tc>
      </w:tr>
      <w:tr>
        <w:trPr>
          <w:trHeight w:val="279"/>
        </w:trPr>
        <w:tc>
          <w:tcPr>
            <w:tcW w:w="160" w:type="dxa"/>
            <w:vAlign w:val="bottom"/>
          </w:tcPr>
          <w:p>
            <w:pPr>
              <w:spacing w:after="0"/>
              <w:rPr>
                <w:sz w:val="24"/>
                <w:szCs w:val="24"/>
                <w:color w:val="auto"/>
              </w:rPr>
            </w:pPr>
          </w:p>
        </w:tc>
        <w:tc>
          <w:tcPr>
            <w:tcW w:w="720" w:type="dxa"/>
            <w:vAlign w:val="bottom"/>
            <w:tcBorders>
              <w:bottom w:val="single" w:sz="8" w:color="0000EE"/>
            </w:tcBorders>
            <w:gridSpan w:val="2"/>
          </w:tcPr>
          <w:p>
            <w:pPr>
              <w:spacing w:after="0"/>
              <w:rPr>
                <w:sz w:val="20"/>
                <w:szCs w:val="20"/>
                <w:color w:val="auto"/>
              </w:rPr>
            </w:pPr>
            <w:r>
              <w:rPr>
                <w:rFonts w:ascii="Calibri" w:cs="Calibri" w:eastAsia="Calibri" w:hAnsi="Calibri"/>
                <w:sz w:val="16"/>
                <w:szCs w:val="16"/>
                <w:color w:val="0000EE"/>
                <w:w w:val="96"/>
              </w:rPr>
              <w:t>Base salary</w:t>
            </w:r>
          </w:p>
        </w:tc>
        <w:tc>
          <w:tcPr>
            <w:tcW w:w="6900" w:type="dxa"/>
            <w:vAlign w:val="bottom"/>
            <w:gridSpan w:val="29"/>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color w:val="auto"/>
              </w:rPr>
              <w:t>71</w:t>
            </w:r>
          </w:p>
        </w:tc>
      </w:tr>
      <w:tr>
        <w:trPr>
          <w:trHeight w:val="279"/>
        </w:trPr>
        <w:tc>
          <w:tcPr>
            <w:tcW w:w="160" w:type="dxa"/>
            <w:vAlign w:val="bottom"/>
          </w:tcPr>
          <w:p>
            <w:pPr>
              <w:spacing w:after="0"/>
              <w:rPr>
                <w:sz w:val="24"/>
                <w:szCs w:val="24"/>
                <w:color w:val="auto"/>
              </w:rPr>
            </w:pPr>
          </w:p>
        </w:tc>
        <w:tc>
          <w:tcPr>
            <w:tcW w:w="7620" w:type="dxa"/>
            <w:vAlign w:val="bottom"/>
            <w:gridSpan w:val="31"/>
          </w:tcPr>
          <w:p>
            <w:pPr>
              <w:spacing w:after="0"/>
              <w:rPr>
                <w:sz w:val="20"/>
                <w:szCs w:val="20"/>
                <w:color w:val="auto"/>
              </w:rPr>
            </w:pPr>
            <w:r>
              <w:rPr>
                <w:rFonts w:ascii="Calibri" w:cs="Calibri" w:eastAsia="Calibri" w:hAnsi="Calibri"/>
                <w:sz w:val="16"/>
                <w:szCs w:val="16"/>
                <w:color w:val="0000EE"/>
              </w:rPr>
              <w:t>Annual incentves</w:t>
            </w:r>
          </w:p>
        </w:tc>
        <w:tc>
          <w:tcPr>
            <w:tcW w:w="2800" w:type="dxa"/>
            <w:vAlign w:val="bottom"/>
          </w:tcPr>
          <w:p>
            <w:pPr>
              <w:jc w:val="right"/>
              <w:spacing w:after="0"/>
              <w:rPr>
                <w:sz w:val="20"/>
                <w:szCs w:val="20"/>
                <w:color w:val="auto"/>
              </w:rPr>
            </w:pPr>
            <w:r>
              <w:rPr>
                <w:rFonts w:ascii="Calibri" w:cs="Calibri" w:eastAsia="Calibri" w:hAnsi="Calibri"/>
                <w:sz w:val="16"/>
                <w:szCs w:val="16"/>
                <w:color w:val="auto"/>
              </w:rPr>
              <w:t>72</w:t>
            </w:r>
          </w:p>
        </w:tc>
      </w:tr>
      <w:tr>
        <w:trPr>
          <w:trHeight w:val="20"/>
        </w:trPr>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1780" w:type="dxa"/>
            <w:vAlign w:val="bottom"/>
            <w:tcBorders>
              <w:bottom w:val="single" w:sz="8" w:color="0000EE"/>
            </w:tcBorders>
            <w:gridSpan w:val="12"/>
          </w:tcPr>
          <w:p>
            <w:pPr>
              <w:spacing w:after="0"/>
              <w:rPr>
                <w:sz w:val="20"/>
                <w:szCs w:val="20"/>
                <w:color w:val="auto"/>
              </w:rPr>
            </w:pPr>
            <w:r>
              <w:rPr>
                <w:rFonts w:ascii="Calibri" w:cs="Calibri" w:eastAsia="Calibri" w:hAnsi="Calibri"/>
                <w:sz w:val="16"/>
                <w:szCs w:val="16"/>
                <w:color w:val="0000EE"/>
                <w:w w:val="98"/>
              </w:rPr>
              <w:t>Long-term equity incentves</w:t>
            </w:r>
          </w:p>
        </w:tc>
        <w:tc>
          <w:tcPr>
            <w:tcW w:w="5840" w:type="dxa"/>
            <w:vAlign w:val="bottom"/>
            <w:gridSpan w:val="19"/>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color w:val="auto"/>
              </w:rPr>
              <w:t>76</w:t>
            </w:r>
          </w:p>
        </w:tc>
      </w:tr>
      <w:tr>
        <w:trPr>
          <w:trHeight w:val="279"/>
        </w:trPr>
        <w:tc>
          <w:tcPr>
            <w:tcW w:w="7780" w:type="dxa"/>
            <w:vAlign w:val="bottom"/>
            <w:gridSpan w:val="32"/>
          </w:tcPr>
          <w:p>
            <w:pPr>
              <w:spacing w:after="0"/>
              <w:rPr>
                <w:sz w:val="20"/>
                <w:szCs w:val="20"/>
                <w:color w:val="auto"/>
              </w:rPr>
            </w:pPr>
            <w:r>
              <w:rPr>
                <w:rFonts w:ascii="Calibri" w:cs="Calibri" w:eastAsia="Calibri" w:hAnsi="Calibri"/>
                <w:sz w:val="16"/>
                <w:szCs w:val="16"/>
                <w:b w:val="1"/>
                <w:bCs w:val="1"/>
                <w:color w:val="0000EE"/>
              </w:rPr>
              <w:t>Fiscal year 2023 awards</w:t>
            </w:r>
          </w:p>
        </w:tc>
        <w:tc>
          <w:tcPr>
            <w:tcW w:w="2800" w:type="dxa"/>
            <w:vAlign w:val="bottom"/>
          </w:tcPr>
          <w:p>
            <w:pPr>
              <w:spacing w:after="0"/>
              <w:rPr>
                <w:sz w:val="24"/>
                <w:szCs w:val="24"/>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79"/>
        </w:trPr>
        <w:tc>
          <w:tcPr>
            <w:tcW w:w="7780" w:type="dxa"/>
            <w:vAlign w:val="bottom"/>
            <w:gridSpan w:val="32"/>
          </w:tcPr>
          <w:p>
            <w:pPr>
              <w:spacing w:after="0"/>
              <w:rPr>
                <w:sz w:val="20"/>
                <w:szCs w:val="20"/>
                <w:color w:val="auto"/>
              </w:rPr>
            </w:pPr>
            <w:r>
              <w:rPr>
                <w:rFonts w:ascii="Calibri" w:cs="Calibri" w:eastAsia="Calibri" w:hAnsi="Calibri"/>
                <w:sz w:val="16"/>
                <w:szCs w:val="16"/>
                <w:b w:val="1"/>
                <w:bCs w:val="1"/>
                <w:color w:val="0000EE"/>
              </w:rPr>
              <w:t>Payout of awards granted in prior fscal years</w:t>
            </w: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80</w:t>
            </w:r>
          </w:p>
        </w:tc>
      </w:tr>
      <w:tr>
        <w:trPr>
          <w:trHeight w:val="279"/>
        </w:trPr>
        <w:tc>
          <w:tcPr>
            <w:tcW w:w="1580" w:type="dxa"/>
            <w:vAlign w:val="bottom"/>
            <w:tcBorders>
              <w:top w:val="single" w:sz="8" w:color="0000EE"/>
              <w:bottom w:val="single" w:sz="8" w:color="0000EE"/>
            </w:tcBorders>
            <w:gridSpan w:val="10"/>
          </w:tcPr>
          <w:p>
            <w:pPr>
              <w:spacing w:after="0"/>
              <w:rPr>
                <w:sz w:val="20"/>
                <w:szCs w:val="20"/>
                <w:color w:val="auto"/>
              </w:rPr>
            </w:pPr>
            <w:r>
              <w:rPr>
                <w:rFonts w:ascii="Calibri" w:cs="Calibri" w:eastAsia="Calibri" w:hAnsi="Calibri"/>
                <w:sz w:val="16"/>
                <w:szCs w:val="16"/>
                <w:b w:val="1"/>
                <w:bCs w:val="1"/>
                <w:color w:val="0000EE"/>
                <w:w w:val="98"/>
              </w:rPr>
              <w:t>Benefts and perquisites</w:t>
            </w:r>
          </w:p>
        </w:tc>
        <w:tc>
          <w:tcPr>
            <w:tcW w:w="1320" w:type="dxa"/>
            <w:vAlign w:val="bottom"/>
            <w:tcBorders>
              <w:top w:val="single" w:sz="8" w:color="0000EE"/>
            </w:tcBorders>
            <w:gridSpan w:val="9"/>
          </w:tcPr>
          <w:p>
            <w:pPr>
              <w:spacing w:after="0"/>
              <w:rPr>
                <w:sz w:val="24"/>
                <w:szCs w:val="24"/>
                <w:color w:val="auto"/>
              </w:rPr>
            </w:pPr>
          </w:p>
        </w:tc>
        <w:tc>
          <w:tcPr>
            <w:tcW w:w="4880" w:type="dxa"/>
            <w:vAlign w:val="bottom"/>
            <w:gridSpan w:val="13"/>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80</w:t>
            </w:r>
          </w:p>
        </w:tc>
      </w:tr>
      <w:tr>
        <w:trPr>
          <w:trHeight w:val="279"/>
        </w:trPr>
        <w:tc>
          <w:tcPr>
            <w:tcW w:w="7780" w:type="dxa"/>
            <w:vAlign w:val="bottom"/>
            <w:gridSpan w:val="32"/>
          </w:tcPr>
          <w:p>
            <w:pPr>
              <w:spacing w:after="0"/>
              <w:rPr>
                <w:sz w:val="20"/>
                <w:szCs w:val="20"/>
                <w:color w:val="auto"/>
              </w:rPr>
            </w:pPr>
            <w:r>
              <w:rPr>
                <w:rFonts w:ascii="Calibri" w:cs="Calibri" w:eastAsia="Calibri" w:hAnsi="Calibri"/>
                <w:sz w:val="16"/>
                <w:szCs w:val="16"/>
                <w:b w:val="1"/>
                <w:bCs w:val="1"/>
                <w:color w:val="0000EE"/>
              </w:rPr>
              <w:t>Clawback Policy</w:t>
            </w: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80</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79"/>
        </w:trPr>
        <w:tc>
          <w:tcPr>
            <w:tcW w:w="7780" w:type="dxa"/>
            <w:vAlign w:val="bottom"/>
            <w:gridSpan w:val="32"/>
          </w:tcPr>
          <w:p>
            <w:pPr>
              <w:spacing w:after="0"/>
              <w:rPr>
                <w:sz w:val="20"/>
                <w:szCs w:val="20"/>
                <w:color w:val="auto"/>
              </w:rPr>
            </w:pPr>
            <w:r>
              <w:rPr>
                <w:rFonts w:ascii="Calibri" w:cs="Calibri" w:eastAsia="Calibri" w:hAnsi="Calibri"/>
                <w:sz w:val="16"/>
                <w:szCs w:val="16"/>
                <w:b w:val="1"/>
                <w:bCs w:val="1"/>
                <w:color w:val="0000EE"/>
              </w:rPr>
              <w:t>Stock Ownership Policy</w:t>
            </w: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81</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79"/>
        </w:trPr>
        <w:tc>
          <w:tcPr>
            <w:tcW w:w="2020" w:type="dxa"/>
            <w:vAlign w:val="bottom"/>
            <w:tcBorders>
              <w:bottom w:val="single" w:sz="8" w:color="0000EE"/>
            </w:tcBorders>
            <w:gridSpan w:val="14"/>
          </w:tcPr>
          <w:p>
            <w:pPr>
              <w:spacing w:after="0"/>
              <w:rPr>
                <w:sz w:val="20"/>
                <w:szCs w:val="20"/>
                <w:color w:val="auto"/>
              </w:rPr>
            </w:pPr>
            <w:r>
              <w:rPr>
                <w:rFonts w:ascii="Calibri" w:cs="Calibri" w:eastAsia="Calibri" w:hAnsi="Calibri"/>
                <w:sz w:val="16"/>
                <w:szCs w:val="16"/>
                <w:b w:val="1"/>
                <w:bCs w:val="1"/>
                <w:color w:val="0000EE"/>
                <w:w w:val="98"/>
              </w:rPr>
              <w:t>Risk and compensaton policies</w:t>
            </w:r>
          </w:p>
        </w:tc>
        <w:tc>
          <w:tcPr>
            <w:tcW w:w="5760" w:type="dxa"/>
            <w:vAlign w:val="bottom"/>
            <w:gridSpan w:val="18"/>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81</w:t>
            </w:r>
          </w:p>
        </w:tc>
      </w:tr>
      <w:tr>
        <w:trPr>
          <w:trHeight w:val="279"/>
        </w:trPr>
        <w:tc>
          <w:tcPr>
            <w:tcW w:w="2680" w:type="dxa"/>
            <w:vAlign w:val="bottom"/>
            <w:tcBorders>
              <w:bottom w:val="single" w:sz="8" w:color="0000EE"/>
            </w:tcBorders>
            <w:gridSpan w:val="17"/>
          </w:tcPr>
          <w:p>
            <w:pPr>
              <w:spacing w:after="0"/>
              <w:rPr>
                <w:sz w:val="20"/>
                <w:szCs w:val="20"/>
                <w:color w:val="auto"/>
              </w:rPr>
            </w:pPr>
            <w:r>
              <w:rPr>
                <w:rFonts w:ascii="Calibri" w:cs="Calibri" w:eastAsia="Calibri" w:hAnsi="Calibri"/>
                <w:sz w:val="16"/>
                <w:szCs w:val="16"/>
                <w:b w:val="1"/>
                <w:bCs w:val="1"/>
                <w:color w:val="0000EE"/>
                <w:w w:val="97"/>
              </w:rPr>
              <w:t>Severance and change-in-control benefts</w:t>
            </w:r>
          </w:p>
        </w:tc>
        <w:tc>
          <w:tcPr>
            <w:tcW w:w="5100" w:type="dxa"/>
            <w:vAlign w:val="bottom"/>
            <w:gridSpan w:val="15"/>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81</w:t>
            </w:r>
          </w:p>
        </w:tc>
      </w:tr>
      <w:tr>
        <w:trPr>
          <w:trHeight w:val="279"/>
        </w:trPr>
        <w:tc>
          <w:tcPr>
            <w:tcW w:w="3780" w:type="dxa"/>
            <w:vAlign w:val="bottom"/>
            <w:tcBorders>
              <w:bottom w:val="single" w:sz="8" w:color="0000EE"/>
            </w:tcBorders>
            <w:gridSpan w:val="29"/>
          </w:tcPr>
          <w:p>
            <w:pPr>
              <w:spacing w:after="0"/>
              <w:rPr>
                <w:sz w:val="20"/>
                <w:szCs w:val="20"/>
                <w:color w:val="auto"/>
              </w:rPr>
            </w:pPr>
            <w:r>
              <w:rPr>
                <w:rFonts w:ascii="Calibri" w:cs="Calibri" w:eastAsia="Calibri" w:hAnsi="Calibri"/>
                <w:sz w:val="16"/>
                <w:szCs w:val="16"/>
                <w:b w:val="1"/>
                <w:bCs w:val="1"/>
                <w:color w:val="0000EE"/>
                <w:w w:val="98"/>
              </w:rPr>
              <w:t>Compensaton and Talent Management Commitee Report</w:t>
            </w:r>
          </w:p>
        </w:tc>
        <w:tc>
          <w:tcPr>
            <w:tcW w:w="4000" w:type="dxa"/>
            <w:vAlign w:val="bottom"/>
            <w:gridSpan w:val="3"/>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83</w:t>
            </w:r>
          </w:p>
        </w:tc>
      </w:tr>
      <w:tr>
        <w:trPr>
          <w:trHeight w:val="279"/>
        </w:trPr>
        <w:tc>
          <w:tcPr>
            <w:tcW w:w="3200" w:type="dxa"/>
            <w:vAlign w:val="bottom"/>
            <w:tcBorders>
              <w:bottom w:val="single" w:sz="8" w:color="0000EE"/>
            </w:tcBorders>
            <w:gridSpan w:val="23"/>
          </w:tcPr>
          <w:p>
            <w:pPr>
              <w:spacing w:after="0"/>
              <w:rPr>
                <w:sz w:val="20"/>
                <w:szCs w:val="20"/>
                <w:color w:val="auto"/>
              </w:rPr>
            </w:pPr>
            <w:r>
              <w:rPr>
                <w:rFonts w:ascii="Calibri" w:cs="Calibri" w:eastAsia="Calibri" w:hAnsi="Calibri"/>
                <w:sz w:val="16"/>
                <w:szCs w:val="16"/>
                <w:b w:val="1"/>
                <w:bCs w:val="1"/>
                <w:color w:val="0000EE"/>
                <w:w w:val="99"/>
              </w:rPr>
              <w:t>Summary compensaton table for fscal year 2023</w:t>
            </w:r>
          </w:p>
        </w:tc>
        <w:tc>
          <w:tcPr>
            <w:tcW w:w="4580" w:type="dxa"/>
            <w:vAlign w:val="bottom"/>
            <w:gridSpan w:val="9"/>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84</w:t>
            </w:r>
          </w:p>
        </w:tc>
      </w:tr>
      <w:tr>
        <w:trPr>
          <w:trHeight w:val="279"/>
        </w:trPr>
        <w:tc>
          <w:tcPr>
            <w:tcW w:w="7780" w:type="dxa"/>
            <w:vAlign w:val="bottom"/>
            <w:gridSpan w:val="32"/>
          </w:tcPr>
          <w:p>
            <w:pPr>
              <w:spacing w:after="0"/>
              <w:rPr>
                <w:sz w:val="20"/>
                <w:szCs w:val="20"/>
                <w:color w:val="auto"/>
              </w:rPr>
            </w:pPr>
            <w:r>
              <w:rPr>
                <w:rFonts w:ascii="Calibri" w:cs="Calibri" w:eastAsia="Calibri" w:hAnsi="Calibri"/>
                <w:sz w:val="16"/>
                <w:szCs w:val="16"/>
                <w:b w:val="1"/>
                <w:bCs w:val="1"/>
                <w:color w:val="0000EE"/>
              </w:rPr>
              <w:t>Grants of plan-based awards table for fscal year 2023</w:t>
            </w: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86</w:t>
            </w:r>
          </w:p>
        </w:tc>
      </w:tr>
      <w:tr>
        <w:trPr>
          <w:trHeight w:val="279"/>
        </w:trPr>
        <w:tc>
          <w:tcPr>
            <w:tcW w:w="1940" w:type="dxa"/>
            <w:vAlign w:val="bottom"/>
            <w:tcBorders>
              <w:top w:val="single" w:sz="8" w:color="0000EE"/>
              <w:bottom w:val="single" w:sz="8" w:color="0000EE"/>
            </w:tcBorders>
            <w:gridSpan w:val="13"/>
          </w:tcPr>
          <w:p>
            <w:pPr>
              <w:spacing w:after="0"/>
              <w:rPr>
                <w:sz w:val="20"/>
                <w:szCs w:val="20"/>
                <w:color w:val="auto"/>
              </w:rPr>
            </w:pPr>
            <w:r>
              <w:rPr>
                <w:rFonts w:ascii="Calibri" w:cs="Calibri" w:eastAsia="Calibri" w:hAnsi="Calibri"/>
                <w:sz w:val="16"/>
                <w:szCs w:val="16"/>
                <w:b w:val="1"/>
                <w:bCs w:val="1"/>
                <w:color w:val="0000EE"/>
                <w:w w:val="95"/>
              </w:rPr>
              <w:t>NEO Employment agreements</w:t>
            </w:r>
          </w:p>
        </w:tc>
        <w:tc>
          <w:tcPr>
            <w:tcW w:w="1520" w:type="dxa"/>
            <w:vAlign w:val="bottom"/>
            <w:tcBorders>
              <w:top w:val="single" w:sz="8" w:color="0000EE"/>
            </w:tcBorders>
            <w:gridSpan w:val="13"/>
          </w:tcPr>
          <w:p>
            <w:pPr>
              <w:spacing w:after="0"/>
              <w:rPr>
                <w:sz w:val="24"/>
                <w:szCs w:val="24"/>
                <w:color w:val="auto"/>
              </w:rPr>
            </w:pPr>
          </w:p>
        </w:tc>
        <w:tc>
          <w:tcPr>
            <w:tcW w:w="4320" w:type="dxa"/>
            <w:vAlign w:val="bottom"/>
            <w:gridSpan w:val="6"/>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87</w:t>
            </w:r>
          </w:p>
        </w:tc>
      </w:tr>
      <w:tr>
        <w:trPr>
          <w:trHeight w:val="279"/>
        </w:trPr>
        <w:tc>
          <w:tcPr>
            <w:tcW w:w="3240" w:type="dxa"/>
            <w:vAlign w:val="bottom"/>
            <w:tcBorders>
              <w:bottom w:val="single" w:sz="8" w:color="0000EE"/>
            </w:tcBorders>
            <w:gridSpan w:val="24"/>
          </w:tcPr>
          <w:p>
            <w:pPr>
              <w:spacing w:after="0"/>
              <w:rPr>
                <w:sz w:val="20"/>
                <w:szCs w:val="20"/>
                <w:color w:val="auto"/>
              </w:rPr>
            </w:pPr>
            <w:r>
              <w:rPr>
                <w:rFonts w:ascii="Calibri" w:cs="Calibri" w:eastAsia="Calibri" w:hAnsi="Calibri"/>
                <w:sz w:val="16"/>
                <w:szCs w:val="16"/>
                <w:b w:val="1"/>
                <w:bCs w:val="1"/>
                <w:color w:val="0000EE"/>
                <w:w w:val="97"/>
              </w:rPr>
              <w:t>Outstanding equity awards at fscal 2023 year-end</w:t>
            </w:r>
          </w:p>
        </w:tc>
        <w:tc>
          <w:tcPr>
            <w:tcW w:w="4540" w:type="dxa"/>
            <w:vAlign w:val="bottom"/>
            <w:gridSpan w:val="8"/>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88</w:t>
            </w:r>
          </w:p>
        </w:tc>
      </w:tr>
      <w:tr>
        <w:trPr>
          <w:trHeight w:val="279"/>
        </w:trPr>
        <w:tc>
          <w:tcPr>
            <w:tcW w:w="7780" w:type="dxa"/>
            <w:vAlign w:val="bottom"/>
            <w:gridSpan w:val="32"/>
          </w:tcPr>
          <w:p>
            <w:pPr>
              <w:spacing w:after="0"/>
              <w:rPr>
                <w:sz w:val="20"/>
                <w:szCs w:val="20"/>
                <w:color w:val="auto"/>
              </w:rPr>
            </w:pPr>
            <w:r>
              <w:rPr>
                <w:rFonts w:ascii="Calibri" w:cs="Calibri" w:eastAsia="Calibri" w:hAnsi="Calibri"/>
                <w:sz w:val="16"/>
                <w:szCs w:val="16"/>
                <w:b w:val="1"/>
                <w:bCs w:val="1"/>
                <w:color w:val="0000EE"/>
              </w:rPr>
              <w:t>Opton exercises and stock vested during fscal year 2023</w:t>
            </w: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90</w:t>
            </w:r>
          </w:p>
        </w:tc>
      </w:tr>
      <w:tr>
        <w:trPr>
          <w:trHeight w:val="279"/>
        </w:trPr>
        <w:tc>
          <w:tcPr>
            <w:tcW w:w="3660" w:type="dxa"/>
            <w:vAlign w:val="bottom"/>
            <w:tcBorders>
              <w:top w:val="single" w:sz="8" w:color="0000EE"/>
            </w:tcBorders>
            <w:gridSpan w:val="28"/>
          </w:tcPr>
          <w:p>
            <w:pPr>
              <w:spacing w:after="0"/>
              <w:rPr>
                <w:sz w:val="20"/>
                <w:szCs w:val="20"/>
                <w:color w:val="auto"/>
              </w:rPr>
            </w:pPr>
            <w:r>
              <w:rPr>
                <w:rFonts w:ascii="Calibri" w:cs="Calibri" w:eastAsia="Calibri" w:hAnsi="Calibri"/>
                <w:sz w:val="16"/>
                <w:szCs w:val="16"/>
                <w:b w:val="1"/>
                <w:bCs w:val="1"/>
                <w:color w:val="0000EE"/>
              </w:rPr>
              <w:t>Pension benefts for fscal year 2023</w:t>
            </w:r>
          </w:p>
        </w:tc>
        <w:tc>
          <w:tcPr>
            <w:tcW w:w="4120" w:type="dxa"/>
            <w:vAlign w:val="bottom"/>
            <w:gridSpan w:val="4"/>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90</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920" w:type="dxa"/>
            <w:vAlign w:val="bottom"/>
            <w:gridSpan w:val="9"/>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00" w:type="dxa"/>
            <w:vAlign w:val="bottom"/>
            <w:gridSpan w:val="1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79"/>
        </w:trPr>
        <w:tc>
          <w:tcPr>
            <w:tcW w:w="7780" w:type="dxa"/>
            <w:vAlign w:val="bottom"/>
            <w:gridSpan w:val="32"/>
          </w:tcPr>
          <w:p>
            <w:pPr>
              <w:spacing w:after="0"/>
              <w:rPr>
                <w:sz w:val="20"/>
                <w:szCs w:val="20"/>
                <w:color w:val="auto"/>
              </w:rPr>
            </w:pPr>
            <w:r>
              <w:rPr>
                <w:rFonts w:ascii="Calibri" w:cs="Calibri" w:eastAsia="Calibri" w:hAnsi="Calibri"/>
                <w:sz w:val="16"/>
                <w:szCs w:val="16"/>
                <w:b w:val="1"/>
                <w:bCs w:val="1"/>
                <w:color w:val="0000EE"/>
              </w:rPr>
              <w:t>Potental payments upon terminaton or change in control at fscal 2023 year-end</w:t>
            </w: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90</w:t>
            </w:r>
          </w:p>
        </w:tc>
      </w:tr>
      <w:tr>
        <w:trPr>
          <w:trHeight w:val="279"/>
        </w:trPr>
        <w:tc>
          <w:tcPr>
            <w:tcW w:w="5240" w:type="dxa"/>
            <w:vAlign w:val="bottom"/>
            <w:tcBorders>
              <w:top w:val="single" w:sz="8" w:color="0000EE"/>
            </w:tcBorders>
            <w:gridSpan w:val="31"/>
          </w:tcPr>
          <w:p>
            <w:pPr>
              <w:spacing w:after="0"/>
              <w:rPr>
                <w:sz w:val="20"/>
                <w:szCs w:val="20"/>
                <w:color w:val="auto"/>
              </w:rPr>
            </w:pPr>
            <w:r>
              <w:rPr>
                <w:rFonts w:ascii="Calibri" w:cs="Calibri" w:eastAsia="Calibri" w:hAnsi="Calibri"/>
                <w:sz w:val="16"/>
                <w:szCs w:val="16"/>
                <w:b w:val="1"/>
                <w:bCs w:val="1"/>
                <w:color w:val="0000EE"/>
              </w:rPr>
              <w:t>Certain defned terms</w:t>
            </w:r>
          </w:p>
        </w:tc>
        <w:tc>
          <w:tcPr>
            <w:tcW w:w="254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98</w:t>
            </w:r>
          </w:p>
        </w:tc>
      </w:tr>
      <w:tr>
        <w:trPr>
          <w:trHeight w:val="279"/>
        </w:trPr>
        <w:tc>
          <w:tcPr>
            <w:tcW w:w="1400" w:type="dxa"/>
            <w:vAlign w:val="bottom"/>
            <w:tcBorders>
              <w:top w:val="single" w:sz="8" w:color="0000EE"/>
            </w:tcBorders>
            <w:gridSpan w:val="7"/>
          </w:tcPr>
          <w:p>
            <w:pPr>
              <w:spacing w:after="0"/>
              <w:rPr>
                <w:sz w:val="20"/>
                <w:szCs w:val="20"/>
                <w:color w:val="auto"/>
              </w:rPr>
            </w:pPr>
            <w:r>
              <w:rPr>
                <w:rFonts w:ascii="Calibri" w:cs="Calibri" w:eastAsia="Calibri" w:hAnsi="Calibri"/>
                <w:sz w:val="16"/>
                <w:szCs w:val="16"/>
                <w:b w:val="1"/>
                <w:bCs w:val="1"/>
                <w:color w:val="0000EE"/>
              </w:rPr>
              <w:t>CEO pay rato</w:t>
            </w:r>
          </w:p>
        </w:tc>
        <w:tc>
          <w:tcPr>
            <w:tcW w:w="6380" w:type="dxa"/>
            <w:vAlign w:val="bottom"/>
            <w:gridSpan w:val="25"/>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99</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1880" w:type="dxa"/>
            <w:vAlign w:val="bottom"/>
            <w:gridSpan w:val="16"/>
          </w:tcPr>
          <w:p>
            <w:pPr>
              <w:spacing w:after="0" w:line="20" w:lineRule="exact"/>
              <w:rPr>
                <w:sz w:val="1"/>
                <w:szCs w:val="1"/>
                <w:color w:val="auto"/>
              </w:rPr>
            </w:pPr>
          </w:p>
        </w:tc>
        <w:tc>
          <w:tcPr>
            <w:tcW w:w="5040" w:type="dxa"/>
            <w:vAlign w:val="bottom"/>
            <w:gridSpan w:val="14"/>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79"/>
        </w:trPr>
        <w:tc>
          <w:tcPr>
            <w:tcW w:w="2740" w:type="dxa"/>
            <w:vAlign w:val="bottom"/>
            <w:tcBorders>
              <w:bottom w:val="single" w:sz="8" w:color="0000EE"/>
            </w:tcBorders>
            <w:gridSpan w:val="18"/>
          </w:tcPr>
          <w:p>
            <w:pPr>
              <w:spacing w:after="0"/>
              <w:rPr>
                <w:sz w:val="20"/>
                <w:szCs w:val="20"/>
                <w:color w:val="auto"/>
              </w:rPr>
            </w:pPr>
            <w:r>
              <w:rPr>
                <w:rFonts w:ascii="Calibri" w:cs="Calibri" w:eastAsia="Calibri" w:hAnsi="Calibri"/>
                <w:sz w:val="16"/>
                <w:szCs w:val="16"/>
                <w:b w:val="1"/>
                <w:bCs w:val="1"/>
                <w:color w:val="0000EE"/>
                <w:w w:val="99"/>
              </w:rPr>
              <w:t>Director compensaton for fscal year 2023</w:t>
            </w:r>
          </w:p>
        </w:tc>
        <w:tc>
          <w:tcPr>
            <w:tcW w:w="5040" w:type="dxa"/>
            <w:vAlign w:val="bottom"/>
            <w:gridSpan w:val="14"/>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103</w:t>
            </w:r>
          </w:p>
        </w:tc>
      </w:tr>
    </w:tbl>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60 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1" w:right="6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Named Executve Ofcers</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As determined in accordance with SEC rules, our named executve ofcers (“NEOs”) for 2023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163195</wp:posOffset>
            </wp:positionV>
            <wp:extent cx="760095" cy="7600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auto"/>
        </w:rPr>
        <w:t>Rohit Kapoor, our Chair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394335</wp:posOffset>
            </wp:positionV>
            <wp:extent cx="760095" cy="7600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auto"/>
        </w:rPr>
        <w:t xml:space="preserve">Maurizio Nicolelli, </w:t>
      </w:r>
      <w:r>
        <w:rPr>
          <w:rFonts w:ascii="Calibri" w:cs="Calibri" w:eastAsia="Calibri" w:hAnsi="Calibri"/>
          <w:sz w:val="17"/>
          <w:szCs w:val="17"/>
          <w:color w:val="auto"/>
        </w:rPr>
        <w:t>our Executve Vice President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394335</wp:posOffset>
            </wp:positionV>
            <wp:extent cx="760095" cy="7600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auto"/>
        </w:rPr>
        <w:t xml:space="preserve">Vikas Bhalla, </w:t>
      </w:r>
      <w:r>
        <w:rPr>
          <w:rFonts w:ascii="Calibri" w:cs="Calibri" w:eastAsia="Calibri" w:hAnsi="Calibri"/>
          <w:sz w:val="17"/>
          <w:szCs w:val="17"/>
          <w:color w:val="auto"/>
        </w:rPr>
        <w:t>our President of EXL and Business Head,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394335</wp:posOffset>
            </wp:positionV>
            <wp:extent cx="760095" cy="7600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auto"/>
        </w:rPr>
        <w:t xml:space="preserve">Vivek Jetley, </w:t>
      </w:r>
      <w:r>
        <w:rPr>
          <w:rFonts w:ascii="Calibri" w:cs="Calibri" w:eastAsia="Calibri" w:hAnsi="Calibri"/>
          <w:sz w:val="17"/>
          <w:szCs w:val="17"/>
          <w:color w:val="auto"/>
        </w:rPr>
        <w:t>our President of EXL and Business Head, Analytcs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394335</wp:posOffset>
            </wp:positionV>
            <wp:extent cx="760095" cy="7600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auto"/>
        </w:rPr>
        <w:t xml:space="preserve">Anita Mahon, </w:t>
      </w:r>
      <w:r>
        <w:rPr>
          <w:rFonts w:ascii="Calibri" w:cs="Calibri" w:eastAsia="Calibri" w:hAnsi="Calibri"/>
          <w:sz w:val="17"/>
          <w:szCs w:val="17"/>
          <w:color w:val="auto"/>
        </w:rPr>
        <w:t>our Executve Vice President and Business Head, Healthcare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Executve summary</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Select 2023 fnancial and business highlights</w:t>
      </w:r>
    </w:p>
    <w:p>
      <w:pPr>
        <w:spacing w:after="0" w:line="128" w:lineRule="exact"/>
        <w:rPr>
          <w:sz w:val="20"/>
          <w:szCs w:val="20"/>
          <w:color w:val="auto"/>
        </w:rPr>
      </w:pPr>
    </w:p>
    <w:p>
      <w:pPr>
        <w:ind w:left="1140" w:right="360" w:hanging="407"/>
        <w:spacing w:after="0" w:line="239" w:lineRule="auto"/>
        <w:tabs>
          <w:tab w:leader="none" w:pos="1140"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Our annual revenues increased 15.5% from $1.41 billion in fscal year 2022 to $1.63 billion in fscal year 2023. Analytcs revenue increased 12.6% and digital operatons and solutons revenue increased 17.9%.</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We improved our net income atributable to stockholders by 29.1% from $143.0 million in fscal year 2022 to $184.6 million in fscal year 2023.</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Our diluted EPS increased from $0.85 in fscal year 2022 to $1.10 in fscal year 2023, an increase of 29.4%.</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We added approximately 8,500 employees to our global workforce, mainly in our delivery centers.</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61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8" w:lineRule="exact"/>
        <w:rPr>
          <w:sz w:val="20"/>
          <w:szCs w:val="20"/>
          <w:color w:val="auto"/>
        </w:rPr>
      </w:pPr>
    </w:p>
    <w:p>
      <w:pPr>
        <w:ind w:left="1140" w:right="640" w:hanging="407"/>
        <w:spacing w:after="0" w:line="239" w:lineRule="auto"/>
        <w:tabs>
          <w:tab w:leader="none" w:pos="1140"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In 2023, we returned capital to stockholders by repurchasing $125.4 million of shares. The Company’s board of directors authorized a $300 million common stock repurchase program beginning January 1, 2022, which was replaced by a subsequently authorized new $500 million common stock repurchase program beginning March 1, 2024.</w:t>
      </w:r>
    </w:p>
    <w:p>
      <w:pPr>
        <w:spacing w:after="0" w:line="121" w:lineRule="exact"/>
        <w:rPr>
          <w:rFonts w:ascii="Calibri" w:cs="Calibri" w:eastAsia="Calibri" w:hAnsi="Calibri"/>
          <w:sz w:val="17"/>
          <w:szCs w:val="17"/>
          <w:color w:val="auto"/>
        </w:rPr>
      </w:pPr>
    </w:p>
    <w:p>
      <w:pPr>
        <w:ind w:left="1140" w:hanging="407"/>
        <w:spacing w:after="0" w:line="239" w:lineRule="auto"/>
        <w:tabs>
          <w:tab w:leader="none" w:pos="1140"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As of December 31, 2023, our 1-year TSR was -9.0% which was lower than our comparator groups; however, on a longer-term basis, our 3- and 5-year TSR of 81.2% and 193.1% far exceeded our comparator groups and refect our long-term growth expectatons and performance.</w:t>
      </w:r>
    </w:p>
    <w:p>
      <w:pPr>
        <w:spacing w:after="0" w:line="20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Awards and industry recogniton</w:t>
      </w:r>
    </w:p>
    <w:p>
      <w:pPr>
        <w:spacing w:after="0" w:line="127" w:lineRule="exact"/>
        <w:rPr>
          <w:sz w:val="20"/>
          <w:szCs w:val="20"/>
          <w:color w:val="auto"/>
        </w:rPr>
      </w:pPr>
    </w:p>
    <w:p>
      <w:pPr>
        <w:ind w:left="1140" w:hanging="407"/>
        <w:spacing w:after="0"/>
        <w:tabs>
          <w:tab w:leader="none" w:pos="1140"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Our people are our primary assets, and they contnue to be recognized across the industry.</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As in prior years, we contnued to receive numerous industry recognitons and awards, including:</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 xml:space="preserve">Leader in the Everest Group </w:t>
      </w:r>
      <w:r>
        <w:rPr>
          <w:rFonts w:ascii="Calibri" w:cs="Calibri" w:eastAsia="Calibri" w:hAnsi="Calibri"/>
          <w:sz w:val="16"/>
          <w:szCs w:val="16"/>
          <w:i w:val="1"/>
          <w:iCs w:val="1"/>
          <w:color w:val="auto"/>
        </w:rPr>
        <w:t>Advanced Analytcs and Insights Services PEAK Matrix® Assessment 2023</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 xml:space="preserve">–Major Player in the </w:t>
      </w:r>
      <w:r>
        <w:rPr>
          <w:rFonts w:ascii="Calibri" w:cs="Calibri" w:eastAsia="Calibri" w:hAnsi="Calibri"/>
          <w:sz w:val="17"/>
          <w:szCs w:val="17"/>
          <w:i w:val="1"/>
          <w:iCs w:val="1"/>
          <w:color w:val="auto"/>
        </w:rPr>
        <w:t>IDC MarketScape for Artfcial Intelligence Services 2023</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 xml:space="preserve">Leader in the Everest Group </w:t>
      </w:r>
      <w:r>
        <w:rPr>
          <w:rFonts w:ascii="Calibri" w:cs="Calibri" w:eastAsia="Calibri" w:hAnsi="Calibri"/>
          <w:sz w:val="16"/>
          <w:szCs w:val="16"/>
          <w:i w:val="1"/>
          <w:iCs w:val="1"/>
          <w:color w:val="auto"/>
        </w:rPr>
        <w:t>Property &amp; Casualty Insurance BPS PEAK Matrix® Assessment 2023</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 xml:space="preserve">Leader and Star Performer in the Everest Group </w:t>
      </w:r>
      <w:r>
        <w:rPr>
          <w:rFonts w:ascii="Calibri" w:cs="Calibri" w:eastAsia="Calibri" w:hAnsi="Calibri"/>
          <w:sz w:val="16"/>
          <w:szCs w:val="16"/>
          <w:i w:val="1"/>
          <w:iCs w:val="1"/>
          <w:color w:val="auto"/>
        </w:rPr>
        <w:t>Life and Annuites Insurance BPS and TPA PEAK Matrix® Assessment 2023</w:t>
      </w:r>
    </w:p>
    <w:p>
      <w:pPr>
        <w:spacing w:after="0" w:line="119" w:lineRule="exact"/>
        <w:rPr>
          <w:rFonts w:ascii="Calibri" w:cs="Calibri" w:eastAsia="Calibri" w:hAnsi="Calibri"/>
          <w:sz w:val="17"/>
          <w:szCs w:val="17"/>
          <w:color w:val="auto"/>
        </w:rPr>
      </w:pPr>
    </w:p>
    <w:p>
      <w:pPr>
        <w:ind w:left="1580" w:right="380" w:hanging="416"/>
        <w:spacing w:after="0" w:line="239" w:lineRule="auto"/>
        <w:rPr>
          <w:rFonts w:ascii="Calibri" w:cs="Calibri" w:eastAsia="Calibri" w:hAnsi="Calibri"/>
          <w:sz w:val="17"/>
          <w:szCs w:val="17"/>
          <w:color w:val="auto"/>
        </w:rPr>
      </w:pPr>
      <w:r>
        <w:rPr>
          <w:rFonts w:ascii="Calibri" w:cs="Calibri" w:eastAsia="Calibri" w:hAnsi="Calibri"/>
          <w:sz w:val="17"/>
          <w:szCs w:val="17"/>
          <w:color w:val="auto"/>
        </w:rPr>
        <w:t xml:space="preserve">–Leader in the </w:t>
      </w:r>
      <w:r>
        <w:rPr>
          <w:rFonts w:ascii="Calibri" w:cs="Calibri" w:eastAsia="Calibri" w:hAnsi="Calibri"/>
          <w:sz w:val="17"/>
          <w:szCs w:val="17"/>
          <w:i w:val="1"/>
          <w:iCs w:val="1"/>
          <w:color w:val="auto"/>
        </w:rPr>
        <w:t>ISG Provider Lens</w:t>
      </w:r>
      <w:r>
        <w:rPr>
          <w:rFonts w:ascii="Calibri" w:cs="Calibri" w:eastAsia="Calibri" w:hAnsi="Calibri"/>
          <w:sz w:val="13"/>
          <w:szCs w:val="13"/>
          <w:i w:val="1"/>
          <w:iCs w:val="1"/>
          <w:color w:val="auto"/>
        </w:rPr>
        <w:t>™</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for Insurance Services 2023: U.S. — Property &amp; Casualty Insurance BPO Services, Life &amp; Retrement</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Insurance BPO Services and Life &amp; Retrement TPA Services and UK — Property &amp; Casualty Insurance BPO Services</w:t>
      </w:r>
    </w:p>
    <w:p>
      <w:pPr>
        <w:spacing w:after="0" w:line="120" w:lineRule="exact"/>
        <w:rPr>
          <w:rFonts w:ascii="Calibri" w:cs="Calibri" w:eastAsia="Calibri" w:hAnsi="Calibri"/>
          <w:sz w:val="17"/>
          <w:szCs w:val="17"/>
          <w:color w:val="auto"/>
        </w:rPr>
      </w:pPr>
    </w:p>
    <w:p>
      <w:pPr>
        <w:ind w:left="1580" w:right="340" w:hanging="416"/>
        <w:spacing w:after="0" w:line="239" w:lineRule="auto"/>
        <w:rPr>
          <w:rFonts w:ascii="Calibri" w:cs="Calibri" w:eastAsia="Calibri" w:hAnsi="Calibri"/>
          <w:sz w:val="17"/>
          <w:szCs w:val="17"/>
          <w:color w:val="auto"/>
        </w:rPr>
      </w:pPr>
      <w:r>
        <w:rPr>
          <w:rFonts w:ascii="Calibri" w:cs="Calibri" w:eastAsia="Calibri" w:hAnsi="Calibri"/>
          <w:sz w:val="17"/>
          <w:szCs w:val="17"/>
          <w:color w:val="auto"/>
        </w:rPr>
        <w:t xml:space="preserve">–Earned the 2023 XCelent Award for Individual Life Insurance Policy Administraton, and </w:t>
      </w:r>
      <w:r>
        <w:rPr>
          <w:rFonts w:ascii="Calibri" w:cs="Calibri" w:eastAsia="Calibri" w:hAnsi="Calibri"/>
          <w:sz w:val="17"/>
          <w:szCs w:val="17"/>
          <w:i w:val="1"/>
          <w:iCs w:val="1"/>
          <w:color w:val="auto"/>
        </w:rPr>
        <w:t>recognized as a “Luminary” in Celent’s 2023</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Individual Life Report</w:t>
      </w:r>
    </w:p>
    <w:p>
      <w:pPr>
        <w:spacing w:after="0" w:line="118"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 xml:space="preserve">Leader in the Everest Group </w:t>
      </w:r>
      <w:r>
        <w:rPr>
          <w:rFonts w:ascii="Calibri" w:cs="Calibri" w:eastAsia="Calibri" w:hAnsi="Calibri"/>
          <w:sz w:val="16"/>
          <w:szCs w:val="16"/>
          <w:i w:val="1"/>
          <w:iCs w:val="1"/>
          <w:color w:val="auto"/>
        </w:rPr>
        <w:t>Clinical and Care Management Operatons Services PEAK Matrix® Assessment 2023</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 xml:space="preserve">Leader in the Everest Group </w:t>
      </w:r>
      <w:r>
        <w:rPr>
          <w:rFonts w:ascii="Calibri" w:cs="Calibri" w:eastAsia="Calibri" w:hAnsi="Calibri"/>
          <w:sz w:val="16"/>
          <w:szCs w:val="16"/>
          <w:i w:val="1"/>
          <w:iCs w:val="1"/>
          <w:color w:val="auto"/>
        </w:rPr>
        <w:t>Healthcare Data and Analytcs Services PEAK Matrix® Assessment 2023</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 xml:space="preserve">Leader in </w:t>
      </w:r>
      <w:r>
        <w:rPr>
          <w:rFonts w:ascii="Calibri" w:cs="Calibri" w:eastAsia="Calibri" w:hAnsi="Calibri"/>
          <w:sz w:val="16"/>
          <w:szCs w:val="16"/>
          <w:i w:val="1"/>
          <w:iCs w:val="1"/>
          <w:color w:val="auto"/>
        </w:rPr>
        <w:t>ISG Provider Lens</w:t>
      </w:r>
      <w:r>
        <w:rPr>
          <w:rFonts w:ascii="Calibri" w:cs="Calibri" w:eastAsia="Calibri" w:hAnsi="Calibri"/>
          <w:sz w:val="12"/>
          <w:szCs w:val="12"/>
          <w:i w:val="1"/>
          <w:iCs w:val="1"/>
          <w:color w:val="auto"/>
        </w:rPr>
        <w:t>™</w:t>
      </w:r>
      <w:r>
        <w:rPr>
          <w:rFonts w:ascii="Calibri" w:cs="Calibri" w:eastAsia="Calibri" w:hAnsi="Calibri"/>
          <w:sz w:val="16"/>
          <w:szCs w:val="16"/>
          <w:color w:val="auto"/>
        </w:rPr>
        <w:t xml:space="preserve"> </w:t>
      </w:r>
      <w:r>
        <w:rPr>
          <w:rFonts w:ascii="Calibri" w:cs="Calibri" w:eastAsia="Calibri" w:hAnsi="Calibri"/>
          <w:sz w:val="16"/>
          <w:szCs w:val="16"/>
          <w:i w:val="1"/>
          <w:iCs w:val="1"/>
          <w:color w:val="auto"/>
        </w:rPr>
        <w:t>Healthcare Digital Services 2023</w:t>
      </w:r>
      <w:r>
        <w:rPr>
          <w:rFonts w:ascii="Calibri" w:cs="Calibri" w:eastAsia="Calibri" w:hAnsi="Calibri"/>
          <w:sz w:val="16"/>
          <w:szCs w:val="16"/>
          <w:color w:val="auto"/>
        </w:rPr>
        <w:t xml:space="preserve"> for Payer Digital Transformaton Services</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 xml:space="preserve">Leader in the 2023 Gartner® </w:t>
      </w:r>
      <w:r>
        <w:rPr>
          <w:rFonts w:ascii="Calibri" w:cs="Calibri" w:eastAsia="Calibri" w:hAnsi="Calibri"/>
          <w:sz w:val="16"/>
          <w:szCs w:val="16"/>
          <w:i w:val="1"/>
          <w:iCs w:val="1"/>
          <w:color w:val="auto"/>
        </w:rPr>
        <w:t>Magic Quadrant</w:t>
      </w:r>
      <w:r>
        <w:rPr>
          <w:rFonts w:ascii="Calibri" w:cs="Calibri" w:eastAsia="Calibri" w:hAnsi="Calibri"/>
          <w:sz w:val="12"/>
          <w:szCs w:val="12"/>
          <w:i w:val="1"/>
          <w:iCs w:val="1"/>
          <w:color w:val="auto"/>
        </w:rPr>
        <w:t>™</w:t>
      </w:r>
      <w:r>
        <w:rPr>
          <w:rFonts w:ascii="Calibri" w:cs="Calibri" w:eastAsia="Calibri" w:hAnsi="Calibri"/>
          <w:sz w:val="16"/>
          <w:szCs w:val="16"/>
          <w:color w:val="auto"/>
        </w:rPr>
        <w:t xml:space="preserve"> </w:t>
      </w:r>
      <w:r>
        <w:rPr>
          <w:rFonts w:ascii="Calibri" w:cs="Calibri" w:eastAsia="Calibri" w:hAnsi="Calibri"/>
          <w:sz w:val="16"/>
          <w:szCs w:val="16"/>
          <w:i w:val="1"/>
          <w:iCs w:val="1"/>
          <w:color w:val="auto"/>
        </w:rPr>
        <w:t>for Finance and Accountng Business Process Outsourcing</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Leader in ISG Provider Lens</w:t>
      </w:r>
      <w:r>
        <w:rPr>
          <w:rFonts w:ascii="Calibri" w:cs="Calibri" w:eastAsia="Calibri" w:hAnsi="Calibri"/>
          <w:sz w:val="12"/>
          <w:szCs w:val="12"/>
          <w:color w:val="auto"/>
        </w:rPr>
        <w:t>™</w:t>
      </w:r>
      <w:r>
        <w:rPr>
          <w:rFonts w:ascii="Calibri" w:cs="Calibri" w:eastAsia="Calibri" w:hAnsi="Calibri"/>
          <w:sz w:val="16"/>
          <w:szCs w:val="16"/>
          <w:color w:val="auto"/>
        </w:rPr>
        <w:t xml:space="preserve"> Healthcare Digital Services 2023 for Payer Digital Transformaton Services</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Named to Forbes America’s Best Midsize Companies list 2023</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62 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1" w:right="6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Clients and operatons</w:t>
      </w:r>
    </w:p>
    <w:p>
      <w:pPr>
        <w:spacing w:after="0" w:line="127" w:lineRule="exact"/>
        <w:rPr>
          <w:sz w:val="20"/>
          <w:szCs w:val="20"/>
          <w:color w:val="auto"/>
        </w:rPr>
      </w:pPr>
    </w:p>
    <w:p>
      <w:pPr>
        <w:ind w:left="1140" w:hanging="407"/>
        <w:spacing w:after="0"/>
        <w:tabs>
          <w:tab w:leader="none" w:pos="114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In 2023, we won 63 new clients, adding to the 59 new clients we won in 2022.</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Summary of key compensaton consideratons &amp; decisions in 2023</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highlights the Compensaton and Talent Management Commitee’s key consideratons and compensaton decisions in 2023.</w:t>
      </w:r>
    </w:p>
    <w:p>
      <w:pPr>
        <w:spacing w:after="0" w:line="118"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040" w:type="dxa"/>
            <w:vAlign w:val="bottom"/>
          </w:tcPr>
          <w:p>
            <w:pPr>
              <w:spacing w:after="0"/>
              <w:rPr>
                <w:sz w:val="20"/>
                <w:szCs w:val="20"/>
                <w:color w:val="auto"/>
              </w:rPr>
            </w:pPr>
            <w:r>
              <w:rPr>
                <w:rFonts w:ascii="Calibri" w:cs="Calibri" w:eastAsia="Calibri" w:hAnsi="Calibri"/>
                <w:sz w:val="17"/>
                <w:szCs w:val="17"/>
                <w:b w:val="1"/>
                <w:bCs w:val="1"/>
                <w:color w:val="FB4E0B"/>
              </w:rPr>
              <w:t>  Items</w:t>
            </w:r>
          </w:p>
        </w:tc>
        <w:tc>
          <w:tcPr>
            <w:tcW w:w="8580" w:type="dxa"/>
            <w:vAlign w:val="bottom"/>
          </w:tcPr>
          <w:p>
            <w:pPr>
              <w:ind w:left="80"/>
              <w:spacing w:after="0"/>
              <w:rPr>
                <w:sz w:val="20"/>
                <w:szCs w:val="20"/>
                <w:color w:val="auto"/>
              </w:rPr>
            </w:pPr>
            <w:r>
              <w:rPr>
                <w:rFonts w:ascii="Calibri" w:cs="Calibri" w:eastAsia="Calibri" w:hAnsi="Calibri"/>
                <w:sz w:val="17"/>
                <w:szCs w:val="17"/>
                <w:b w:val="1"/>
                <w:bCs w:val="1"/>
                <w:color w:val="FB4E0B"/>
              </w:rPr>
              <w:t>Consideratons and decisions</w:t>
            </w:r>
          </w:p>
        </w:tc>
      </w:tr>
      <w:tr>
        <w:trPr>
          <w:trHeight w:val="29"/>
        </w:trPr>
        <w:tc>
          <w:tcPr>
            <w:tcW w:w="2040" w:type="dxa"/>
            <w:vAlign w:val="bottom"/>
            <w:tcBorders>
              <w:bottom w:val="single" w:sz="8" w:color="FB4E0B"/>
            </w:tcBorders>
          </w:tcPr>
          <w:p>
            <w:pPr>
              <w:spacing w:after="0"/>
              <w:rPr>
                <w:sz w:val="2"/>
                <w:szCs w:val="2"/>
                <w:color w:val="auto"/>
              </w:rPr>
            </w:pPr>
          </w:p>
        </w:tc>
        <w:tc>
          <w:tcPr>
            <w:tcW w:w="8580" w:type="dxa"/>
            <w:vAlign w:val="bottom"/>
            <w:tcBorders>
              <w:bottom w:val="single" w:sz="8" w:color="FB4E0B"/>
            </w:tcBorders>
          </w:tcPr>
          <w:p>
            <w:pPr>
              <w:spacing w:after="0"/>
              <w:rPr>
                <w:sz w:val="2"/>
                <w:szCs w:val="2"/>
                <w:color w:val="auto"/>
              </w:rPr>
            </w:pPr>
          </w:p>
        </w:tc>
      </w:tr>
      <w:tr>
        <w:trPr>
          <w:trHeight w:val="295"/>
        </w:trPr>
        <w:tc>
          <w:tcPr>
            <w:tcW w:w="20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Stockholder Input</w:t>
            </w:r>
          </w:p>
        </w:tc>
        <w:tc>
          <w:tcPr>
            <w:tcW w:w="8580" w:type="dxa"/>
            <w:vAlign w:val="bottom"/>
          </w:tcPr>
          <w:p>
            <w:pPr>
              <w:ind w:left="80"/>
              <w:spacing w:after="0"/>
              <w:rPr>
                <w:sz w:val="20"/>
                <w:szCs w:val="20"/>
                <w:color w:val="auto"/>
              </w:rPr>
            </w:pPr>
            <w:r>
              <w:rPr>
                <w:rFonts w:ascii="Calibri" w:cs="Calibri" w:eastAsia="Calibri" w:hAnsi="Calibri"/>
                <w:sz w:val="16"/>
                <w:szCs w:val="16"/>
                <w:color w:val="auto"/>
              </w:rPr>
              <w:t>Over 98% of our stockholders approved, on a non-binding basis (excluding broker non-votes), of our compensaton of our NEOs. In</w:t>
            </w:r>
          </w:p>
        </w:tc>
      </w:tr>
      <w:tr>
        <w:trPr>
          <w:trHeight w:val="18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line="185" w:lineRule="exact"/>
              <w:rPr>
                <w:sz w:val="20"/>
                <w:szCs w:val="20"/>
                <w:color w:val="auto"/>
              </w:rPr>
            </w:pPr>
            <w:r>
              <w:rPr>
                <w:rFonts w:ascii="Calibri" w:cs="Calibri" w:eastAsia="Calibri" w:hAnsi="Calibri"/>
                <w:sz w:val="16"/>
                <w:szCs w:val="16"/>
                <w:color w:val="auto"/>
              </w:rPr>
              <w:t>2023, we contnued to engage with our stockholders about our executve compensaton program, as described on page 65.</w:t>
            </w:r>
          </w:p>
        </w:tc>
      </w:tr>
      <w:tr>
        <w:trPr>
          <w:trHeight w:val="300"/>
        </w:trPr>
        <w:tc>
          <w:tcPr>
            <w:tcW w:w="204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r>
      <w:tr>
        <w:trPr>
          <w:trHeight w:val="230"/>
        </w:trPr>
        <w:tc>
          <w:tcPr>
            <w:tcW w:w="20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Base Salaries</w:t>
            </w:r>
          </w:p>
        </w:tc>
        <w:tc>
          <w:tcPr>
            <w:tcW w:w="8580" w:type="dxa"/>
            <w:vAlign w:val="bottom"/>
          </w:tcPr>
          <w:p>
            <w:pPr>
              <w:ind w:left="80"/>
              <w:spacing w:after="0"/>
              <w:rPr>
                <w:sz w:val="20"/>
                <w:szCs w:val="20"/>
                <w:color w:val="auto"/>
              </w:rPr>
            </w:pPr>
            <w:r>
              <w:rPr>
                <w:rFonts w:ascii="Calibri" w:cs="Calibri" w:eastAsia="Calibri" w:hAnsi="Calibri"/>
                <w:sz w:val="16"/>
                <w:szCs w:val="16"/>
                <w:color w:val="auto"/>
              </w:rPr>
              <w:t>Base salaries that became efectve on October 1, 2022 remained efectve for 2023. There were no additonal increases in 2023.</w:t>
            </w:r>
          </w:p>
        </w:tc>
      </w:tr>
      <w:tr>
        <w:trPr>
          <w:trHeight w:val="88"/>
        </w:trPr>
        <w:tc>
          <w:tcPr>
            <w:tcW w:w="2040" w:type="dxa"/>
            <w:vAlign w:val="bottom"/>
            <w:tcBorders>
              <w:bottom w:val="single" w:sz="8" w:color="auto"/>
              <w:right w:val="single" w:sz="8" w:color="auto"/>
            </w:tcBorders>
          </w:tcPr>
          <w:p>
            <w:pPr>
              <w:spacing w:after="0"/>
              <w:rPr>
                <w:sz w:val="7"/>
                <w:szCs w:val="7"/>
                <w:color w:val="auto"/>
              </w:rPr>
            </w:pPr>
          </w:p>
        </w:tc>
        <w:tc>
          <w:tcPr>
            <w:tcW w:w="8580" w:type="dxa"/>
            <w:vAlign w:val="bottom"/>
            <w:tcBorders>
              <w:bottom w:val="single" w:sz="8" w:color="auto"/>
            </w:tcBorders>
          </w:tcPr>
          <w:p>
            <w:pPr>
              <w:spacing w:after="0"/>
              <w:rPr>
                <w:sz w:val="7"/>
                <w:szCs w:val="7"/>
                <w:color w:val="auto"/>
              </w:rPr>
            </w:pPr>
          </w:p>
        </w:tc>
      </w:tr>
      <w:tr>
        <w:trPr>
          <w:trHeight w:val="223"/>
        </w:trPr>
        <w:tc>
          <w:tcPr>
            <w:tcW w:w="20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Annual Incentves</w:t>
            </w:r>
          </w:p>
        </w:tc>
        <w:tc>
          <w:tcPr>
            <w:tcW w:w="8580" w:type="dxa"/>
            <w:vAlign w:val="bottom"/>
          </w:tcPr>
          <w:p>
            <w:pPr>
              <w:ind w:left="80"/>
              <w:spacing w:after="0"/>
              <w:rPr>
                <w:sz w:val="20"/>
                <w:szCs w:val="20"/>
                <w:color w:val="auto"/>
              </w:rPr>
            </w:pPr>
            <w:r>
              <w:rPr>
                <w:rFonts w:ascii="Calibri" w:cs="Calibri" w:eastAsia="Calibri" w:hAnsi="Calibri"/>
                <w:sz w:val="16"/>
                <w:szCs w:val="16"/>
                <w:color w:val="auto"/>
                <w:w w:val="98"/>
              </w:rPr>
              <w:t>We contnued to base our annual incentves on achievement of Company goals (revenue and AOPM) and personal performance goals.</w:t>
            </w:r>
          </w:p>
        </w:tc>
      </w:tr>
      <w:tr>
        <w:trPr>
          <w:trHeight w:val="18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line="185" w:lineRule="exact"/>
              <w:rPr>
                <w:sz w:val="20"/>
                <w:szCs w:val="20"/>
                <w:color w:val="auto"/>
              </w:rPr>
            </w:pPr>
            <w:r>
              <w:rPr>
                <w:rFonts w:ascii="Calibri" w:cs="Calibri" w:eastAsia="Calibri" w:hAnsi="Calibri"/>
                <w:sz w:val="16"/>
                <w:szCs w:val="16"/>
                <w:color w:val="auto"/>
              </w:rPr>
              <w:t>In 2023, we delivered 100.6% of our revenue performance target and 101.4% of our AOPM target, resultng in annual incentve</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payout calculatons for our NEOs, ranging from 113% of target performance to 133% of target performance of the named executve</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ofcers.</w:t>
            </w:r>
          </w:p>
        </w:tc>
      </w:tr>
      <w:tr>
        <w:trPr>
          <w:trHeight w:val="92"/>
        </w:trPr>
        <w:tc>
          <w:tcPr>
            <w:tcW w:w="204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tcBorders>
          </w:tcPr>
          <w:p>
            <w:pPr>
              <w:spacing w:after="0"/>
              <w:rPr>
                <w:sz w:val="8"/>
                <w:szCs w:val="8"/>
                <w:color w:val="auto"/>
              </w:rPr>
            </w:pPr>
          </w:p>
        </w:tc>
      </w:tr>
      <w:tr>
        <w:trPr>
          <w:trHeight w:val="223"/>
        </w:trPr>
        <w:tc>
          <w:tcPr>
            <w:tcW w:w="20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Equity Incentves</w:t>
            </w:r>
          </w:p>
        </w:tc>
        <w:tc>
          <w:tcPr>
            <w:tcW w:w="8580" w:type="dxa"/>
            <w:vAlign w:val="bottom"/>
          </w:tcPr>
          <w:p>
            <w:pPr>
              <w:ind w:left="80"/>
              <w:spacing w:after="0"/>
              <w:rPr>
                <w:sz w:val="20"/>
                <w:szCs w:val="20"/>
                <w:color w:val="auto"/>
              </w:rPr>
            </w:pPr>
            <w:r>
              <w:rPr>
                <w:rFonts w:ascii="Calibri" w:cs="Calibri" w:eastAsia="Calibri" w:hAnsi="Calibri"/>
                <w:sz w:val="16"/>
                <w:szCs w:val="16"/>
                <w:color w:val="auto"/>
                <w:w w:val="98"/>
              </w:rPr>
              <w:t>In 2023, consistent with prior years, we granted tme-based and performance-based restricted stock units to our NEOs. Performance-</w:t>
            </w:r>
          </w:p>
        </w:tc>
      </w:tr>
      <w:tr>
        <w:trPr>
          <w:trHeight w:val="18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line="185" w:lineRule="exact"/>
              <w:rPr>
                <w:sz w:val="20"/>
                <w:szCs w:val="20"/>
                <w:color w:val="auto"/>
              </w:rPr>
            </w:pPr>
            <w:r>
              <w:rPr>
                <w:rFonts w:ascii="Calibri" w:cs="Calibri" w:eastAsia="Calibri" w:hAnsi="Calibri"/>
                <w:sz w:val="16"/>
                <w:szCs w:val="16"/>
                <w:color w:val="auto"/>
              </w:rPr>
              <w:t>based restricted stock units are linked to the achievement of cumulatve revenue and relatve TSR.</w:t>
            </w:r>
          </w:p>
        </w:tc>
      </w:tr>
      <w:tr>
        <w:trPr>
          <w:trHeight w:val="312"/>
        </w:trPr>
        <w:tc>
          <w:tcPr>
            <w:tcW w:w="2040" w:type="dxa"/>
            <w:vAlign w:val="bottom"/>
            <w:tcBorders>
              <w:right w:val="single" w:sz="8" w:color="auto"/>
            </w:tcBorders>
          </w:tcPr>
          <w:p>
            <w:pPr>
              <w:spacing w:after="0"/>
              <w:rPr>
                <w:sz w:val="24"/>
                <w:szCs w:val="24"/>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In additon, in 2023 we granted one-tme stock opton awards to a group of executves including our NEOs, other than the CEO.</w:t>
            </w:r>
          </w:p>
        </w:tc>
      </w:tr>
      <w:tr>
        <w:trPr>
          <w:trHeight w:val="312"/>
        </w:trPr>
        <w:tc>
          <w:tcPr>
            <w:tcW w:w="2040" w:type="dxa"/>
            <w:vAlign w:val="bottom"/>
            <w:tcBorders>
              <w:right w:val="single" w:sz="8" w:color="auto"/>
            </w:tcBorders>
          </w:tcPr>
          <w:p>
            <w:pPr>
              <w:spacing w:after="0"/>
              <w:rPr>
                <w:sz w:val="24"/>
                <w:szCs w:val="24"/>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Both the tme-based restricted stock units and stock optons vest ratably over four years based on contnued employment and the</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performance-based restricted stock units clif vest at the end of a three-year performance period based on our achievement of the</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performance metrics.</w:t>
            </w:r>
          </w:p>
        </w:tc>
      </w:tr>
      <w:tr>
        <w:trPr>
          <w:trHeight w:val="176"/>
        </w:trPr>
        <w:tc>
          <w:tcPr>
            <w:tcW w:w="2040" w:type="dxa"/>
            <w:vAlign w:val="bottom"/>
            <w:tcBorders>
              <w:bottom w:val="single" w:sz="8" w:color="FB4E0B"/>
              <w:right w:val="single" w:sz="8" w:color="auto"/>
            </w:tcBorders>
          </w:tcPr>
          <w:p>
            <w:pPr>
              <w:spacing w:after="0"/>
              <w:rPr>
                <w:sz w:val="15"/>
                <w:szCs w:val="15"/>
                <w:color w:val="auto"/>
              </w:rPr>
            </w:pPr>
          </w:p>
        </w:tc>
        <w:tc>
          <w:tcPr>
            <w:tcW w:w="8580" w:type="dxa"/>
            <w:vAlign w:val="bottom"/>
            <w:tcBorders>
              <w:bottom w:val="single" w:sz="8" w:color="FB4E0B"/>
            </w:tcBorders>
          </w:tcPr>
          <w:p>
            <w:pPr>
              <w:spacing w:after="0"/>
              <w:rPr>
                <w:sz w:val="15"/>
                <w:szCs w:val="15"/>
                <w:color w:val="auto"/>
              </w:rPr>
            </w:pPr>
          </w:p>
        </w:tc>
      </w:tr>
    </w:tbl>
    <w:p>
      <w:pPr>
        <w:spacing w:after="0" w:line="290"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Pay-for-performance</w:t>
      </w:r>
    </w:p>
    <w:p>
      <w:pPr>
        <w:spacing w:after="0" w:line="106"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Our executve compensaton philosophy is focused on pay-for-performance. In this regard, we link a signifcant porton of each NEO’s total compensaton to the achievement of specifed performance goals. This variable compensaton is “at-risk” and rewards performance and contributons to both short- and long-term fnancial performance.</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63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8" w:lineRule="exact"/>
        <w:rPr>
          <w:sz w:val="20"/>
          <w:szCs w:val="20"/>
          <w:color w:val="auto"/>
        </w:rPr>
      </w:pPr>
    </w:p>
    <w:p>
      <w:pPr>
        <w:ind w:left="320" w:right="260"/>
        <w:spacing w:after="0" w:line="239" w:lineRule="auto"/>
        <w:rPr>
          <w:sz w:val="20"/>
          <w:szCs w:val="20"/>
          <w:color w:val="auto"/>
        </w:rPr>
      </w:pPr>
      <w:r>
        <w:rPr>
          <w:rFonts w:ascii="Calibri" w:cs="Calibri" w:eastAsia="Calibri" w:hAnsi="Calibri"/>
          <w:sz w:val="17"/>
          <w:szCs w:val="17"/>
          <w:color w:val="auto"/>
        </w:rPr>
        <w:t>As illustrated by the following charts, the majority of compensaton that may be earned by our named executve ofcers is ted to the achievement of fnancial performance metrics (annual incentve awards and PRSUs) or fuctuates with the underlying value of our common stock (PRSUs, RSUs and optons).</w:t>
      </w:r>
    </w:p>
    <w:p>
      <w:pPr>
        <w:spacing w:after="0" w:line="230" w:lineRule="exact"/>
        <w:rPr>
          <w:sz w:val="20"/>
          <w:szCs w:val="20"/>
          <w:color w:val="auto"/>
        </w:rPr>
      </w:pPr>
    </w:p>
    <w:tbl>
      <w:tblPr>
        <w:tblLayout w:type="fixed"/>
        <w:tblInd w:w="2240" w:type="dxa"/>
        <w:tblCellMar>
          <w:top w:w="0" w:type="dxa"/>
          <w:left w:w="0" w:type="dxa"/>
          <w:bottom w:w="0" w:type="dxa"/>
          <w:right w:w="0" w:type="dxa"/>
        </w:tblCellMar>
      </w:tblPr>
      <w:tr>
        <w:trPr>
          <w:trHeight w:val="232"/>
        </w:trPr>
        <w:tc>
          <w:tcPr>
            <w:tcW w:w="3320" w:type="dxa"/>
            <w:vAlign w:val="bottom"/>
          </w:tcPr>
          <w:p>
            <w:pPr>
              <w:jc w:val="center"/>
              <w:ind w:right="1765"/>
              <w:spacing w:after="0"/>
              <w:rPr>
                <w:sz w:val="20"/>
                <w:szCs w:val="20"/>
                <w:color w:val="auto"/>
              </w:rPr>
            </w:pPr>
            <w:r>
              <w:rPr>
                <w:rFonts w:ascii="Calibri" w:cs="Calibri" w:eastAsia="Calibri" w:hAnsi="Calibri"/>
                <w:sz w:val="19"/>
                <w:szCs w:val="19"/>
                <w:b w:val="1"/>
                <w:bCs w:val="1"/>
                <w:color w:val="FB4E0B"/>
              </w:rPr>
              <w:t>Chair &amp; CEO</w:t>
            </w:r>
          </w:p>
        </w:tc>
        <w:tc>
          <w:tcPr>
            <w:tcW w:w="3720" w:type="dxa"/>
            <w:vAlign w:val="bottom"/>
          </w:tcPr>
          <w:p>
            <w:pPr>
              <w:jc w:val="center"/>
              <w:ind w:left="1758"/>
              <w:spacing w:after="0"/>
              <w:rPr>
                <w:sz w:val="20"/>
                <w:szCs w:val="20"/>
                <w:color w:val="auto"/>
              </w:rPr>
            </w:pPr>
            <w:r>
              <w:rPr>
                <w:rFonts w:ascii="Calibri" w:cs="Calibri" w:eastAsia="Calibri" w:hAnsi="Calibri"/>
                <w:sz w:val="19"/>
                <w:szCs w:val="19"/>
                <w:b w:val="1"/>
                <w:bCs w:val="1"/>
                <w:color w:val="FB4E0B"/>
              </w:rPr>
              <w:t>NEO compensaton mix</w:t>
            </w:r>
          </w:p>
        </w:tc>
      </w:tr>
      <w:tr>
        <w:trPr>
          <w:trHeight w:val="234"/>
        </w:trPr>
        <w:tc>
          <w:tcPr>
            <w:tcW w:w="3320" w:type="dxa"/>
            <w:vAlign w:val="bottom"/>
          </w:tcPr>
          <w:p>
            <w:pPr>
              <w:jc w:val="center"/>
              <w:ind w:right="1745"/>
              <w:spacing w:after="0"/>
              <w:rPr>
                <w:sz w:val="20"/>
                <w:szCs w:val="20"/>
                <w:color w:val="auto"/>
              </w:rPr>
            </w:pPr>
            <w:r>
              <w:rPr>
                <w:rFonts w:ascii="Calibri" w:cs="Calibri" w:eastAsia="Calibri" w:hAnsi="Calibri"/>
                <w:sz w:val="19"/>
                <w:szCs w:val="19"/>
                <w:b w:val="1"/>
                <w:bCs w:val="1"/>
                <w:color w:val="FB4E0B"/>
              </w:rPr>
              <w:t>compensaton mix</w:t>
            </w:r>
          </w:p>
        </w:tc>
        <w:tc>
          <w:tcPr>
            <w:tcW w:w="3720" w:type="dxa"/>
            <w:vAlign w:val="bottom"/>
          </w:tcPr>
          <w:p>
            <w:pPr>
              <w:jc w:val="center"/>
              <w:ind w:left="1758"/>
              <w:spacing w:after="0"/>
              <w:rPr>
                <w:sz w:val="20"/>
                <w:szCs w:val="20"/>
                <w:color w:val="auto"/>
              </w:rPr>
            </w:pPr>
            <w:r>
              <w:rPr>
                <w:rFonts w:ascii="Calibri" w:cs="Calibri" w:eastAsia="Calibri" w:hAnsi="Calibri"/>
                <w:sz w:val="14"/>
                <w:szCs w:val="14"/>
                <w:color w:val="auto"/>
                <w:w w:val="98"/>
              </w:rPr>
              <w:t>(Excluding Chair &amp;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177165</wp:posOffset>
            </wp:positionV>
            <wp:extent cx="4436110" cy="20732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436110" cy="207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Base salary also includes items included in “All Other Compensaton” in the Summary Compensaton Table on page 84.</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64 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1" w:right="7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Executve compensaton program, practces and policies</w:t>
      </w:r>
    </w:p>
    <w:p>
      <w:pPr>
        <w:spacing w:after="0" w:line="114" w:lineRule="exact"/>
        <w:rPr>
          <w:sz w:val="20"/>
          <w:szCs w:val="20"/>
          <w:color w:val="auto"/>
        </w:rPr>
      </w:pPr>
    </w:p>
    <w:p>
      <w:pPr>
        <w:ind w:left="320" w:right="220"/>
        <w:spacing w:after="0"/>
        <w:rPr>
          <w:sz w:val="20"/>
          <w:szCs w:val="20"/>
          <w:color w:val="auto"/>
        </w:rPr>
      </w:pPr>
      <w:r>
        <w:rPr>
          <w:rFonts w:ascii="Calibri" w:cs="Calibri" w:eastAsia="Calibri" w:hAnsi="Calibri"/>
          <w:sz w:val="17"/>
          <w:szCs w:val="17"/>
          <w:color w:val="auto"/>
        </w:rPr>
        <w:t>Our compensaton programs, practces and policies are reviewed and re-evaluated regularly and are subject to change from tme to tme in line with market best practces, including alignment of pay with performance. Our executve compensaton philosophy is aligned with our core values, focused on pay-for-performance and designed to refect appropriate governance practces aligned with the needs of our business. Listed below are some of the Company’s more signifcant practces and policies that were in efect during fscal year 2023, which were adopted to drive performance and to align our executves’ interests with those of our stockholders.</w:t>
      </w:r>
    </w:p>
    <w:p>
      <w:pPr>
        <w:spacing w:after="0" w:line="249"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5240" w:type="dxa"/>
            <w:vAlign w:val="bottom"/>
            <w:gridSpan w:val="2"/>
          </w:tcPr>
          <w:p>
            <w:pPr>
              <w:spacing w:after="0"/>
              <w:rPr>
                <w:sz w:val="20"/>
                <w:szCs w:val="20"/>
                <w:color w:val="auto"/>
              </w:rPr>
            </w:pPr>
            <w:r>
              <w:rPr>
                <w:rFonts w:ascii="Calibri" w:cs="Calibri" w:eastAsia="Calibri" w:hAnsi="Calibri"/>
                <w:sz w:val="17"/>
                <w:szCs w:val="17"/>
                <w:b w:val="1"/>
                <w:bCs w:val="1"/>
                <w:color w:val="FB4E0B"/>
              </w:rPr>
              <w:t>  What we do</w:t>
            </w:r>
          </w:p>
        </w:tc>
        <w:tc>
          <w:tcPr>
            <w:tcW w:w="5380" w:type="dxa"/>
            <w:vAlign w:val="bottom"/>
            <w:gridSpan w:val="2"/>
          </w:tcPr>
          <w:p>
            <w:pPr>
              <w:ind w:left="80"/>
              <w:spacing w:after="0"/>
              <w:rPr>
                <w:sz w:val="20"/>
                <w:szCs w:val="20"/>
                <w:color w:val="auto"/>
              </w:rPr>
            </w:pPr>
            <w:r>
              <w:rPr>
                <w:rFonts w:ascii="Calibri" w:cs="Calibri" w:eastAsia="Calibri" w:hAnsi="Calibri"/>
                <w:sz w:val="17"/>
                <w:szCs w:val="17"/>
                <w:b w:val="1"/>
                <w:bCs w:val="1"/>
                <w:color w:val="FB4E0B"/>
              </w:rPr>
              <w:t>  What we don’t do</w:t>
            </w:r>
          </w:p>
        </w:tc>
        <w:tc>
          <w:tcPr>
            <w:tcW w:w="0" w:type="dxa"/>
            <w:vAlign w:val="bottom"/>
          </w:tcPr>
          <w:p>
            <w:pPr>
              <w:spacing w:after="0"/>
              <w:rPr>
                <w:sz w:val="1"/>
                <w:szCs w:val="1"/>
                <w:color w:val="auto"/>
              </w:rPr>
            </w:pPr>
          </w:p>
        </w:tc>
      </w:tr>
      <w:tr>
        <w:trPr>
          <w:trHeight w:val="55"/>
        </w:trPr>
        <w:tc>
          <w:tcPr>
            <w:tcW w:w="540" w:type="dxa"/>
            <w:vAlign w:val="bottom"/>
            <w:tcBorders>
              <w:bottom w:val="single" w:sz="8" w:color="FB4E0B"/>
            </w:tcBorders>
          </w:tcPr>
          <w:p>
            <w:pPr>
              <w:spacing w:after="0"/>
              <w:rPr>
                <w:sz w:val="4"/>
                <w:szCs w:val="4"/>
                <w:color w:val="auto"/>
              </w:rPr>
            </w:pPr>
          </w:p>
        </w:tc>
        <w:tc>
          <w:tcPr>
            <w:tcW w:w="4700" w:type="dxa"/>
            <w:vAlign w:val="bottom"/>
            <w:tcBorders>
              <w:bottom w:val="single" w:sz="8" w:color="FB4E0B"/>
            </w:tcBorders>
          </w:tcPr>
          <w:p>
            <w:pPr>
              <w:spacing w:after="0"/>
              <w:rPr>
                <w:sz w:val="4"/>
                <w:szCs w:val="4"/>
                <w:color w:val="auto"/>
              </w:rPr>
            </w:pPr>
          </w:p>
        </w:tc>
        <w:tc>
          <w:tcPr>
            <w:tcW w:w="620" w:type="dxa"/>
            <w:vAlign w:val="bottom"/>
            <w:tcBorders>
              <w:bottom w:val="single" w:sz="8" w:color="FB4E0B"/>
            </w:tcBorders>
          </w:tcPr>
          <w:p>
            <w:pPr>
              <w:spacing w:after="0"/>
              <w:rPr>
                <w:sz w:val="4"/>
                <w:szCs w:val="4"/>
                <w:color w:val="auto"/>
              </w:rPr>
            </w:pPr>
          </w:p>
        </w:tc>
        <w:tc>
          <w:tcPr>
            <w:tcW w:w="4760" w:type="dxa"/>
            <w:vAlign w:val="bottom"/>
            <w:tcBorders>
              <w:bottom w:val="single" w:sz="8" w:color="FB4E0B"/>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54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w w:val="99"/>
              </w:rPr>
              <w:t xml:space="preserve">Align our executve pay with performance: </w:t>
            </w:r>
            <w:r>
              <w:rPr>
                <w:rFonts w:ascii="Calibri" w:cs="Calibri" w:eastAsia="Calibri" w:hAnsi="Calibri"/>
                <w:sz w:val="16"/>
                <w:szCs w:val="16"/>
                <w:color w:val="auto"/>
                <w:w w:val="99"/>
              </w:rPr>
              <w:t>We link a signifcant porton</w:t>
            </w:r>
          </w:p>
        </w:tc>
        <w:tc>
          <w:tcPr>
            <w:tcW w:w="620" w:type="dxa"/>
            <w:vAlign w:val="bottom"/>
            <w:tcBorders>
              <w:right w:val="single" w:sz="8" w:color="auto"/>
            </w:tcBorders>
          </w:tcPr>
          <w:p>
            <w:pPr>
              <w:spacing w:after="0"/>
              <w:rPr>
                <w:sz w:val="18"/>
                <w:szCs w:val="18"/>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opton repricing: </w:t>
            </w:r>
            <w:r>
              <w:rPr>
                <w:rFonts w:ascii="Calibri" w:cs="Calibri" w:eastAsia="Calibri" w:hAnsi="Calibri"/>
                <w:sz w:val="16"/>
                <w:szCs w:val="16"/>
                <w:color w:val="auto"/>
              </w:rPr>
              <w:t>We prohibit opton repricing without stockholder</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of each NEO’s total compensaton to the achievement of specifc</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approval.</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performance goals.</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Variable compensaton is “at-risk” and rewards performance and</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contributons to both short- and long-term fnancial performance.</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6"/>
        </w:trPr>
        <w:tc>
          <w:tcPr>
            <w:tcW w:w="540" w:type="dxa"/>
            <w:vAlign w:val="bottom"/>
            <w:tcBorders>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Use appropriate peer groups when establishing compensaton: </w:t>
            </w:r>
            <w:r>
              <w:rPr>
                <w:rFonts w:ascii="Calibri" w:cs="Calibri" w:eastAsia="Calibri" w:hAnsi="Calibri"/>
                <w:sz w:val="16"/>
                <w:szCs w:val="16"/>
                <w:color w:val="auto"/>
              </w:rPr>
              <w:t>We</w:t>
            </w:r>
          </w:p>
        </w:tc>
        <w:tc>
          <w:tcPr>
            <w:tcW w:w="620" w:type="dxa"/>
            <w:vAlign w:val="bottom"/>
            <w:tcBorders>
              <w:right w:val="single" w:sz="8" w:color="auto"/>
            </w:tcBorders>
          </w:tcPr>
          <w:p>
            <w:pPr>
              <w:spacing w:after="0"/>
              <w:rPr>
                <w:sz w:val="17"/>
                <w:szCs w:val="17"/>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opton backdatng or discountng: </w:t>
            </w:r>
            <w:r>
              <w:rPr>
                <w:rFonts w:ascii="Calibri" w:cs="Calibri" w:eastAsia="Calibri" w:hAnsi="Calibri"/>
                <w:sz w:val="16"/>
                <w:szCs w:val="16"/>
                <w:color w:val="auto"/>
              </w:rPr>
              <w:t>We prohibit opton backdatng and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8"/>
              </w:rPr>
              <w:t>established a peer group to help us review market practces and design</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discountng.</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 compettve compensaton program. The criteria for peer group</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selecton include, annual revenues, similarity in business model and</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strategic focus, scope of operatons, potental mobility of talent and</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industry alignment.</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We set compensaton of our executve ofcers at levels that we believe</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are appropriate relatve to the compensaton paid to similarly situated</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ofcers of our peers, giving consideraton to market and other factors.</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4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4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Ensure equity compensaton best practces: </w:t>
            </w:r>
            <w:r>
              <w:rPr>
                <w:rFonts w:ascii="Calibri" w:cs="Calibri" w:eastAsia="Calibri" w:hAnsi="Calibri"/>
                <w:sz w:val="16"/>
                <w:szCs w:val="16"/>
                <w:color w:val="auto"/>
              </w:rPr>
              <w:t>We design annual long-</w:t>
            </w:r>
          </w:p>
        </w:tc>
        <w:tc>
          <w:tcPr>
            <w:tcW w:w="620" w:type="dxa"/>
            <w:vAlign w:val="bottom"/>
            <w:tcBorders>
              <w:right w:val="single" w:sz="8" w:color="auto"/>
            </w:tcBorders>
          </w:tcPr>
          <w:p>
            <w:pPr>
              <w:spacing w:after="0"/>
              <w:rPr>
                <w:sz w:val="17"/>
                <w:szCs w:val="17"/>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excessive overhang or diluton: </w:t>
            </w:r>
            <w:r>
              <w:rPr>
                <w:rFonts w:ascii="Calibri" w:cs="Calibri" w:eastAsia="Calibri" w:hAnsi="Calibri"/>
                <w:sz w:val="16"/>
                <w:szCs w:val="16"/>
                <w:color w:val="auto"/>
              </w:rPr>
              <w:t>We do not have excessive overhang</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term equity incentves to encourage our executves to maintain a long-</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or diluton from equity grants.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term view of stockholder value creaton and to encourage retenton.</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Our standard annual restricted stock unit awards are granted on the</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basis of the executve’s prior year’s performance and are subject to</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tme or performance-based vestng conditons. A signifcant porton of</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such awards only pay out according to the achievement of Company</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performance goals covering a 3-year period.</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We hold dividends accrued under our equity awards, if any, untl the</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recipient vests in the underlying shares or units.</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4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4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90"/>
        </w:trPr>
        <w:tc>
          <w:tcPr>
            <w:tcW w:w="5240" w:type="dxa"/>
            <w:vAlign w:val="bottom"/>
            <w:gridSpan w:val="2"/>
          </w:tcPr>
          <w:p>
            <w:pPr>
              <w:spacing w:after="0"/>
              <w:rPr>
                <w:sz w:val="20"/>
                <w:szCs w:val="20"/>
                <w:color w:val="auto"/>
              </w:rPr>
            </w:pPr>
            <w:r>
              <w:rPr>
                <w:rFonts w:ascii="Calibri" w:cs="Calibri" w:eastAsia="Calibri" w:hAnsi="Calibri"/>
                <w:sz w:val="17"/>
                <w:szCs w:val="17"/>
                <w:color w:val="auto"/>
              </w:rPr>
              <w:t xml:space="preserve">    </w:t>
            </w:r>
          </w:p>
        </w:tc>
        <w:tc>
          <w:tcPr>
            <w:tcW w:w="620" w:type="dxa"/>
            <w:vAlign w:val="bottom"/>
          </w:tcPr>
          <w:p>
            <w:pPr>
              <w:spacing w:after="0"/>
              <w:rPr>
                <w:sz w:val="24"/>
                <w:szCs w:val="24"/>
                <w:color w:val="auto"/>
              </w:rPr>
            </w:pPr>
          </w:p>
        </w:tc>
        <w:tc>
          <w:tcPr>
            <w:tcW w:w="4760" w:type="dxa"/>
            <w:vAlign w:val="bottom"/>
            <w:vMerge w:val="restart"/>
          </w:tcPr>
          <w:p>
            <w:pPr>
              <w:ind w:left="2440"/>
              <w:spacing w:after="0"/>
              <w:rPr>
                <w:sz w:val="20"/>
                <w:szCs w:val="20"/>
                <w:color w:val="auto"/>
              </w:rPr>
            </w:pPr>
            <w:r>
              <w:rPr>
                <w:rFonts w:ascii="Calibri" w:cs="Calibri" w:eastAsia="Calibri" w:hAnsi="Calibri"/>
                <w:sz w:val="13"/>
                <w:szCs w:val="13"/>
                <w:color w:val="auto"/>
              </w:rPr>
              <w:t xml:space="preserve">EXL 2024 Proxy Statement    </w:t>
            </w:r>
            <w:r>
              <w:rPr>
                <w:rFonts w:ascii="Calibri" w:cs="Calibri" w:eastAsia="Calibri" w:hAnsi="Calibri"/>
                <w:sz w:val="27"/>
                <w:szCs w:val="27"/>
                <w:b w:val="1"/>
                <w:bCs w:val="1"/>
                <w:color w:val="FB4E0B"/>
              </w:rPr>
              <w:t>/</w:t>
            </w:r>
            <w:r>
              <w:rPr>
                <w:rFonts w:ascii="Calibri" w:cs="Calibri" w:eastAsia="Calibri" w:hAnsi="Calibri"/>
                <w:sz w:val="13"/>
                <w:szCs w:val="13"/>
                <w:color w:val="auto"/>
              </w:rPr>
              <w:t xml:space="preserve"> </w:t>
            </w:r>
            <w:r>
              <w:rPr>
                <w:rFonts w:ascii="Calibri" w:cs="Calibri" w:eastAsia="Calibri" w:hAnsi="Calibri"/>
                <w:sz w:val="17"/>
                <w:szCs w:val="17"/>
                <w:b w:val="1"/>
                <w:bCs w:val="1"/>
                <w:color w:val="auto"/>
              </w:rPr>
              <w:t xml:space="preserve">   65</w:t>
            </w:r>
          </w:p>
        </w:tc>
        <w:tc>
          <w:tcPr>
            <w:tcW w:w="0" w:type="dxa"/>
            <w:vAlign w:val="bottom"/>
          </w:tcPr>
          <w:p>
            <w:pPr>
              <w:spacing w:after="0"/>
              <w:rPr>
                <w:sz w:val="1"/>
                <w:szCs w:val="1"/>
                <w:color w:val="auto"/>
              </w:rPr>
            </w:pPr>
          </w:p>
        </w:tc>
      </w:tr>
      <w:tr>
        <w:trPr>
          <w:trHeight w:val="117"/>
        </w:trPr>
        <w:tc>
          <w:tcPr>
            <w:tcW w:w="54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-4519930</wp:posOffset>
            </wp:positionV>
            <wp:extent cx="173355" cy="1733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-4519930</wp:posOffset>
            </wp:positionV>
            <wp:extent cx="173355" cy="1733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-3248025</wp:posOffset>
            </wp:positionV>
            <wp:extent cx="173355" cy="1733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-3248025</wp:posOffset>
            </wp:positionV>
            <wp:extent cx="173355" cy="1733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-1868170</wp:posOffset>
            </wp:positionV>
            <wp:extent cx="173355" cy="1733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-1868170</wp:posOffset>
            </wp:positionV>
            <wp:extent cx="173355" cy="1733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73355" cy="17335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60"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5240" w:type="dxa"/>
            <w:vAlign w:val="bottom"/>
            <w:gridSpan w:val="2"/>
          </w:tcPr>
          <w:p>
            <w:pPr>
              <w:spacing w:after="0"/>
              <w:rPr>
                <w:sz w:val="20"/>
                <w:szCs w:val="20"/>
                <w:color w:val="auto"/>
              </w:rPr>
            </w:pPr>
            <w:r>
              <w:rPr>
                <w:rFonts w:ascii="Calibri" w:cs="Calibri" w:eastAsia="Calibri" w:hAnsi="Calibri"/>
                <w:sz w:val="17"/>
                <w:szCs w:val="17"/>
                <w:b w:val="1"/>
                <w:bCs w:val="1"/>
                <w:color w:val="FB4E0B"/>
              </w:rPr>
              <w:t>  What we do</w:t>
            </w:r>
          </w:p>
        </w:tc>
        <w:tc>
          <w:tcPr>
            <w:tcW w:w="5380" w:type="dxa"/>
            <w:vAlign w:val="bottom"/>
            <w:gridSpan w:val="2"/>
          </w:tcPr>
          <w:p>
            <w:pPr>
              <w:ind w:left="80"/>
              <w:spacing w:after="0"/>
              <w:rPr>
                <w:sz w:val="20"/>
                <w:szCs w:val="20"/>
                <w:color w:val="auto"/>
              </w:rPr>
            </w:pPr>
            <w:r>
              <w:rPr>
                <w:rFonts w:ascii="Calibri" w:cs="Calibri" w:eastAsia="Calibri" w:hAnsi="Calibri"/>
                <w:sz w:val="17"/>
                <w:szCs w:val="17"/>
                <w:b w:val="1"/>
                <w:bCs w:val="1"/>
                <w:color w:val="FB4E0B"/>
              </w:rPr>
              <w:t>  What we don’t do</w:t>
            </w:r>
          </w:p>
        </w:tc>
        <w:tc>
          <w:tcPr>
            <w:tcW w:w="0" w:type="dxa"/>
            <w:vAlign w:val="bottom"/>
          </w:tcPr>
          <w:p>
            <w:pPr>
              <w:spacing w:after="0"/>
              <w:rPr>
                <w:sz w:val="1"/>
                <w:szCs w:val="1"/>
                <w:color w:val="auto"/>
              </w:rPr>
            </w:pPr>
          </w:p>
        </w:tc>
      </w:tr>
      <w:tr>
        <w:trPr>
          <w:trHeight w:val="55"/>
        </w:trPr>
        <w:tc>
          <w:tcPr>
            <w:tcW w:w="540" w:type="dxa"/>
            <w:vAlign w:val="bottom"/>
            <w:tcBorders>
              <w:bottom w:val="single" w:sz="8" w:color="FB4E0B"/>
            </w:tcBorders>
          </w:tcPr>
          <w:p>
            <w:pPr>
              <w:spacing w:after="0"/>
              <w:rPr>
                <w:sz w:val="4"/>
                <w:szCs w:val="4"/>
                <w:color w:val="auto"/>
              </w:rPr>
            </w:pPr>
          </w:p>
        </w:tc>
        <w:tc>
          <w:tcPr>
            <w:tcW w:w="4700" w:type="dxa"/>
            <w:vAlign w:val="bottom"/>
            <w:tcBorders>
              <w:bottom w:val="single" w:sz="8" w:color="FB4E0B"/>
            </w:tcBorders>
          </w:tcPr>
          <w:p>
            <w:pPr>
              <w:spacing w:after="0"/>
              <w:rPr>
                <w:sz w:val="4"/>
                <w:szCs w:val="4"/>
                <w:color w:val="auto"/>
              </w:rPr>
            </w:pPr>
          </w:p>
        </w:tc>
        <w:tc>
          <w:tcPr>
            <w:tcW w:w="620" w:type="dxa"/>
            <w:vAlign w:val="bottom"/>
            <w:tcBorders>
              <w:bottom w:val="single" w:sz="8" w:color="FB4E0B"/>
            </w:tcBorders>
          </w:tcPr>
          <w:p>
            <w:pPr>
              <w:spacing w:after="0"/>
              <w:rPr>
                <w:sz w:val="4"/>
                <w:szCs w:val="4"/>
                <w:color w:val="auto"/>
              </w:rPr>
            </w:pPr>
          </w:p>
        </w:tc>
        <w:tc>
          <w:tcPr>
            <w:tcW w:w="4760" w:type="dxa"/>
            <w:vAlign w:val="bottom"/>
            <w:tcBorders>
              <w:bottom w:val="single" w:sz="8" w:color="FB4E0B"/>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54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Maintain an independent Compensaton and Talent Management</w:t>
            </w:r>
          </w:p>
        </w:tc>
        <w:tc>
          <w:tcPr>
            <w:tcW w:w="620" w:type="dxa"/>
            <w:vAlign w:val="bottom"/>
            <w:tcBorders>
              <w:right w:val="single" w:sz="8" w:color="auto"/>
            </w:tcBorders>
          </w:tcPr>
          <w:p>
            <w:pPr>
              <w:spacing w:after="0"/>
              <w:rPr>
                <w:sz w:val="18"/>
                <w:szCs w:val="18"/>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Limited perquisites: </w:t>
            </w:r>
            <w:r>
              <w:rPr>
                <w:rFonts w:ascii="Calibri" w:cs="Calibri" w:eastAsia="Calibri" w:hAnsi="Calibri"/>
                <w:sz w:val="16"/>
                <w:szCs w:val="16"/>
                <w:color w:val="auto"/>
              </w:rPr>
              <w:t>We provide our named executve ofcers with only</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Commitee and consultant: </w:t>
            </w:r>
            <w:r>
              <w:rPr>
                <w:rFonts w:ascii="Calibri" w:cs="Calibri" w:eastAsia="Calibri" w:hAnsi="Calibri"/>
                <w:sz w:val="16"/>
                <w:szCs w:val="16"/>
                <w:color w:val="auto"/>
              </w:rPr>
              <w:t>Compensaton decisions for our NEOs are</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limited perquisites and personal benefts that serve an important</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approved by a Compensaton and Talent Management Commitee</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business purpose in additon to the regular benefts ofered to all</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composed of non-employee independent directors.</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employees.</w:t>
            </w:r>
          </w:p>
        </w:tc>
        <w:tc>
          <w:tcPr>
            <w:tcW w:w="0" w:type="dxa"/>
            <w:vAlign w:val="bottom"/>
          </w:tcPr>
          <w:p>
            <w:pPr>
              <w:spacing w:after="0"/>
              <w:rPr>
                <w:sz w:val="1"/>
                <w:szCs w:val="1"/>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8"/>
              </w:rPr>
              <w:t>Our Compensaton and Talent Management Commitee is advised by an</w:t>
            </w:r>
          </w:p>
        </w:tc>
        <w:tc>
          <w:tcPr>
            <w:tcW w:w="620" w:type="dxa"/>
            <w:vAlign w:val="bottom"/>
            <w:tcBorders>
              <w:right w:val="single" w:sz="8" w:color="auto"/>
            </w:tcBorders>
          </w:tcPr>
          <w:p>
            <w:pPr>
              <w:spacing w:after="0"/>
              <w:rPr>
                <w:sz w:val="24"/>
                <w:szCs w:val="24"/>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We consider the perquisites and personal benefts that we ofer to our</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9"/>
              </w:rPr>
              <w:t>independent consultant who reports directly to the Compensaton and</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executves in India to be customary benefts which allow us to remain</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Talent Management Commitee and provides no other services to the</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compettve for top talent.</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Company or management.</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4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4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Mitgate risks: </w:t>
            </w:r>
            <w:r>
              <w:rPr>
                <w:rFonts w:ascii="Calibri" w:cs="Calibri" w:eastAsia="Calibri" w:hAnsi="Calibri"/>
                <w:sz w:val="16"/>
                <w:szCs w:val="16"/>
                <w:color w:val="auto"/>
              </w:rPr>
              <w:t>The mix and design of our compensaton programs</w:t>
            </w:r>
          </w:p>
        </w:tc>
        <w:tc>
          <w:tcPr>
            <w:tcW w:w="620" w:type="dxa"/>
            <w:vAlign w:val="bottom"/>
            <w:tcBorders>
              <w:right w:val="single" w:sz="8" w:color="auto"/>
            </w:tcBorders>
          </w:tcPr>
          <w:p>
            <w:pPr>
              <w:spacing w:after="0"/>
              <w:rPr>
                <w:sz w:val="17"/>
                <w:szCs w:val="17"/>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tax gross-ups: </w:t>
            </w:r>
            <w:r>
              <w:rPr>
                <w:rFonts w:ascii="Calibri" w:cs="Calibri" w:eastAsia="Calibri" w:hAnsi="Calibri"/>
                <w:sz w:val="16"/>
                <w:szCs w:val="16"/>
                <w:color w:val="auto"/>
              </w:rPr>
              <w:t>We do not provide gross-ups to any of our named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serves to mitgate operatonal, fnancial, legal, regulatory, strategic and</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executve ofcers for any excise taxes imposed with respect to</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reputatonal risks.</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w w:val="99"/>
              </w:rPr>
              <w:t>Secton 280G (change-in-control payments) or Secton 409A (nonqualifed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deferred compensaton) of the U.S. Internal Revenue Code of 1986, as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amended (which we refer to as the “Code”).</w:t>
            </w:r>
          </w:p>
        </w:tc>
        <w:tc>
          <w:tcPr>
            <w:tcW w:w="0" w:type="dxa"/>
            <w:vAlign w:val="bottom"/>
          </w:tcPr>
          <w:p>
            <w:pPr>
              <w:spacing w:after="0"/>
              <w:rPr>
                <w:sz w:val="1"/>
                <w:szCs w:val="1"/>
                <w:color w:val="auto"/>
              </w:rPr>
            </w:pPr>
          </w:p>
        </w:tc>
      </w:tr>
      <w:tr>
        <w:trPr>
          <w:trHeight w:val="274"/>
        </w:trPr>
        <w:tc>
          <w:tcPr>
            <w:tcW w:w="54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4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w w:val="99"/>
              </w:rPr>
              <w:t xml:space="preserve">Maintain a clawback policy: </w:t>
            </w:r>
            <w:r>
              <w:rPr>
                <w:rFonts w:ascii="Calibri" w:cs="Calibri" w:eastAsia="Calibri" w:hAnsi="Calibri"/>
                <w:sz w:val="16"/>
                <w:szCs w:val="16"/>
                <w:color w:val="auto"/>
                <w:w w:val="99"/>
              </w:rPr>
              <w:t>We updated our clawback policy in 2023,</w:t>
            </w:r>
          </w:p>
        </w:tc>
        <w:tc>
          <w:tcPr>
            <w:tcW w:w="620" w:type="dxa"/>
            <w:vAlign w:val="bottom"/>
            <w:tcBorders>
              <w:right w:val="single" w:sz="8" w:color="auto"/>
            </w:tcBorders>
          </w:tcPr>
          <w:p>
            <w:pPr>
              <w:spacing w:after="0"/>
              <w:rPr>
                <w:sz w:val="17"/>
                <w:szCs w:val="17"/>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hedging: </w:t>
            </w:r>
            <w:r>
              <w:rPr>
                <w:rFonts w:ascii="Calibri" w:cs="Calibri" w:eastAsia="Calibri" w:hAnsi="Calibri"/>
                <w:sz w:val="16"/>
                <w:szCs w:val="16"/>
                <w:color w:val="auto"/>
              </w:rPr>
              <w:t>We maintain a policy in which the following persons are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to bring it into compliance with the newly adopted NASDAQ listng</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prohibited from engaging in hedging transactons involving our shares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standards. In additon to mandatng recoupment of erroneously</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and other securites: our directors and their secretaries and other</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awarded incentve based compensaton in the event of a fnancial</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assistants; our executve ofcers and their secretaries and other</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7"/>
              </w:rPr>
              <w:t>restatement as required under the new listng standards, our policy also</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assistants; our employees in the accountng, fnance and legal</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allows for recoupment of compensaton in the event of an executve’s</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w w:val="98"/>
              </w:rPr>
              <w:t>departments; the members and permanent invitees of our operatng and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8"/>
              </w:rPr>
              <w:t>misconduct and covers both performance-based and tme-based equity</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executve commitees; and all of our vice president level 2 and 3 ofcers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awards.</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w w:val="99"/>
              </w:rPr>
              <w:t>(whom we refer to collectvely as “Reportng Persons”). For this purpose,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“hedging” refers to any strategy to ofset or reduce the risk of price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fuctuatons in our shares or other securites or to protect, in whole or in</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part, against declines in the value of our shares or other securites. This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prohibiton thus applies to all transactons in derivatve securites based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on our stock such as other securites, including puts, calls, swaps and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collar arrangements.</w:t>
            </w:r>
          </w:p>
        </w:tc>
        <w:tc>
          <w:tcPr>
            <w:tcW w:w="0" w:type="dxa"/>
            <w:vAlign w:val="bottom"/>
          </w:tcPr>
          <w:p>
            <w:pPr>
              <w:spacing w:after="0"/>
              <w:rPr>
                <w:sz w:val="1"/>
                <w:szCs w:val="1"/>
                <w:color w:val="auto"/>
              </w:rPr>
            </w:pPr>
          </w:p>
        </w:tc>
      </w:tr>
      <w:tr>
        <w:trPr>
          <w:trHeight w:val="274"/>
        </w:trPr>
        <w:tc>
          <w:tcPr>
            <w:tcW w:w="54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4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w w:val="98"/>
              </w:rPr>
              <w:t xml:space="preserve">Maintain a robust stock ownership policy: </w:t>
            </w:r>
            <w:r>
              <w:rPr>
                <w:rFonts w:ascii="Calibri" w:cs="Calibri" w:eastAsia="Calibri" w:hAnsi="Calibri"/>
                <w:sz w:val="16"/>
                <w:szCs w:val="16"/>
                <w:color w:val="auto"/>
                <w:w w:val="98"/>
              </w:rPr>
              <w:t>We maintain a robust stock</w:t>
            </w:r>
          </w:p>
        </w:tc>
        <w:tc>
          <w:tcPr>
            <w:tcW w:w="620" w:type="dxa"/>
            <w:vAlign w:val="bottom"/>
            <w:tcBorders>
              <w:right w:val="single" w:sz="8" w:color="auto"/>
            </w:tcBorders>
          </w:tcPr>
          <w:p>
            <w:pPr>
              <w:spacing w:after="0"/>
              <w:rPr>
                <w:sz w:val="17"/>
                <w:szCs w:val="17"/>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pledging: </w:t>
            </w:r>
            <w:r>
              <w:rPr>
                <w:rFonts w:ascii="Calibri" w:cs="Calibri" w:eastAsia="Calibri" w:hAnsi="Calibri"/>
                <w:sz w:val="16"/>
                <w:szCs w:val="16"/>
                <w:color w:val="auto"/>
              </w:rPr>
              <w:t>Under our policy mentoned above, Reportng Persons (as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ownership policy that requires each covered executve to maintain</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defned above) are only permited to pledge shares of our stock that</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aggregate stock ownership equal to at least two tmes his or her base</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exceed those required to be owned under our stock ownership policy</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salary (six tmes for the CEO). See page 71 for a discussion of that</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described above.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policy.</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We maintain a similar stock ownership policy for our non-employee</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directors. See page 81 for a discussion of that policy.</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As of December 15, 2023, all covered executves and directors were in</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compliance with the applicable stock ownership policy.</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40" w:type="dxa"/>
            <w:vAlign w:val="bottom"/>
            <w:tcBorders>
              <w:right w:val="single" w:sz="8" w:color="auto"/>
            </w:tcBorders>
          </w:tcPr>
          <w:p>
            <w:pPr>
              <w:spacing w:after="0"/>
              <w:rPr>
                <w:sz w:val="23"/>
                <w:szCs w:val="23"/>
                <w:color w:val="auto"/>
              </w:rPr>
            </w:pPr>
          </w:p>
        </w:tc>
        <w:tc>
          <w:tcPr>
            <w:tcW w:w="4700" w:type="dxa"/>
            <w:vAlign w:val="bottom"/>
            <w:tcBorders>
              <w:right w:val="single" w:sz="8" w:color="auto"/>
            </w:tcBorders>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4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540" w:type="dxa"/>
            <w:vAlign w:val="bottom"/>
            <w:tcBorders>
              <w:bottom w:val="single" w:sz="8" w:color="FB4E0B"/>
            </w:tcBorders>
          </w:tcPr>
          <w:p>
            <w:pPr>
              <w:spacing w:after="0"/>
              <w:rPr>
                <w:sz w:val="3"/>
                <w:szCs w:val="3"/>
                <w:color w:val="auto"/>
              </w:rPr>
            </w:pPr>
          </w:p>
        </w:tc>
        <w:tc>
          <w:tcPr>
            <w:tcW w:w="4700" w:type="dxa"/>
            <w:vAlign w:val="bottom"/>
            <w:tcBorders>
              <w:bottom w:val="single" w:sz="8" w:color="FB4E0B"/>
            </w:tcBorders>
          </w:tcPr>
          <w:p>
            <w:pPr>
              <w:spacing w:after="0"/>
              <w:rPr>
                <w:sz w:val="3"/>
                <w:szCs w:val="3"/>
                <w:color w:val="auto"/>
              </w:rPr>
            </w:pPr>
          </w:p>
        </w:tc>
        <w:tc>
          <w:tcPr>
            <w:tcW w:w="620" w:type="dxa"/>
            <w:vAlign w:val="bottom"/>
            <w:tcBorders>
              <w:bottom w:val="single" w:sz="8" w:color="FB4E0B"/>
            </w:tcBorders>
          </w:tcPr>
          <w:p>
            <w:pPr>
              <w:spacing w:after="0"/>
              <w:rPr>
                <w:sz w:val="3"/>
                <w:szCs w:val="3"/>
                <w:color w:val="auto"/>
              </w:rPr>
            </w:pPr>
          </w:p>
        </w:tc>
        <w:tc>
          <w:tcPr>
            <w:tcW w:w="4760" w:type="dxa"/>
            <w:vAlign w:val="bottom"/>
            <w:tcBorders>
              <w:bottom w:val="single" w:sz="8" w:color="FB4E0B"/>
            </w:tcBorders>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5240" w:type="dxa"/>
            <w:vAlign w:val="bottom"/>
            <w:gridSpan w:val="2"/>
            <w:vMerge w:val="restart"/>
          </w:tcPr>
          <w:p>
            <w:pPr>
              <w:ind w:left="80"/>
              <w:spacing w:after="0"/>
              <w:rPr>
                <w:sz w:val="20"/>
                <w:szCs w:val="20"/>
                <w:color w:val="auto"/>
              </w:rPr>
            </w:pPr>
            <w:r>
              <w:rPr>
                <w:rFonts w:ascii="Calibri" w:cs="Calibri" w:eastAsia="Calibri" w:hAnsi="Calibri"/>
                <w:sz w:val="17"/>
                <w:szCs w:val="17"/>
                <w:b w:val="1"/>
                <w:bCs w:val="1"/>
                <w:color w:val="auto"/>
              </w:rPr>
              <w:t xml:space="preserve">66    </w:t>
            </w:r>
            <w:r>
              <w:rPr>
                <w:rFonts w:ascii="Calibri" w:cs="Calibri" w:eastAsia="Calibri" w:hAnsi="Calibri"/>
                <w:sz w:val="27"/>
                <w:szCs w:val="27"/>
                <w:b w:val="1"/>
                <w:bCs w:val="1"/>
                <w:color w:val="FB4E0B"/>
              </w:rPr>
              <w:t>/</w:t>
            </w:r>
            <w:r>
              <w:rPr>
                <w:rFonts w:ascii="Calibri" w:cs="Calibri" w:eastAsia="Calibri" w:hAnsi="Calibri"/>
                <w:sz w:val="17"/>
                <w:szCs w:val="17"/>
                <w:b w:val="1"/>
                <w:bCs w:val="1"/>
                <w:color w:val="auto"/>
              </w:rPr>
              <w:t xml:space="preserve"> </w:t>
            </w:r>
            <w:r>
              <w:rPr>
                <w:rFonts w:ascii="Calibri" w:cs="Calibri" w:eastAsia="Calibri" w:hAnsi="Calibri"/>
                <w:sz w:val="13"/>
                <w:szCs w:val="13"/>
                <w:color w:val="auto"/>
              </w:rPr>
              <w:t xml:space="preserve">   EXL 2024 Proxy Statement</w:t>
            </w:r>
          </w:p>
        </w:tc>
        <w:tc>
          <w:tcPr>
            <w:tcW w:w="620" w:type="dxa"/>
            <w:vAlign w:val="bottom"/>
          </w:tcPr>
          <w:p>
            <w:pPr>
              <w:spacing w:after="0"/>
              <w:rPr>
                <w:sz w:val="24"/>
                <w:szCs w:val="24"/>
                <w:color w:val="auto"/>
              </w:rPr>
            </w:pPr>
          </w:p>
        </w:tc>
        <w:tc>
          <w:tcPr>
            <w:tcW w:w="4760" w:type="dxa"/>
            <w:vAlign w:val="bottom"/>
          </w:tcPr>
          <w:p>
            <w:pPr>
              <w:ind w:left="44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524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-5734050</wp:posOffset>
            </wp:positionV>
            <wp:extent cx="173355" cy="1733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-5734050</wp:posOffset>
            </wp:positionV>
            <wp:extent cx="173355" cy="1733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-4478655</wp:posOffset>
            </wp:positionV>
            <wp:extent cx="173355" cy="1733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-4478655</wp:posOffset>
            </wp:positionV>
            <wp:extent cx="173355" cy="1733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-3669030</wp:posOffset>
            </wp:positionV>
            <wp:extent cx="173355" cy="1733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-3669030</wp:posOffset>
            </wp:positionV>
            <wp:extent cx="173355" cy="1733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-1744345</wp:posOffset>
            </wp:positionV>
            <wp:extent cx="173355" cy="1733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-1744345</wp:posOffset>
            </wp:positionV>
            <wp:extent cx="173355" cy="1733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73355" cy="17335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Overview of compensaton policies and philosophies</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We believe that our long-term success is linked to our ability to recruit, train, motvate and retain employees at every level. There is signifcant compettve pressure in our industry for qualifed managers with a track record of achievement. It is critcal that we recruit, train, motvate and retain highly talented individuals at all levels of the organizaton who are commited to our core values of innovaton, collaboraton, excellence, integrity and mutual respect. We believe that our executve compensaton programs are integral to achieving this end.</w:t>
      </w:r>
    </w:p>
    <w:p>
      <w:pPr>
        <w:spacing w:after="0" w:line="211" w:lineRule="exact"/>
        <w:rPr>
          <w:sz w:val="20"/>
          <w:szCs w:val="20"/>
          <w:color w:val="auto"/>
        </w:rPr>
      </w:pPr>
    </w:p>
    <w:p>
      <w:pPr>
        <w:ind w:left="320" w:right="660"/>
        <w:spacing w:after="0" w:line="239" w:lineRule="auto"/>
        <w:rPr>
          <w:sz w:val="20"/>
          <w:szCs w:val="20"/>
          <w:color w:val="auto"/>
        </w:rPr>
      </w:pPr>
      <w:r>
        <w:rPr>
          <w:rFonts w:ascii="Calibri" w:cs="Calibri" w:eastAsia="Calibri" w:hAnsi="Calibri"/>
          <w:sz w:val="17"/>
          <w:szCs w:val="17"/>
          <w:color w:val="auto"/>
        </w:rPr>
        <w:t>Our Compensaton and Talent Management Commitee bases its executve compensaton programs on the following objectves, which guide us in establishing all of our compensaton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502285</wp:posOffset>
            </wp:positionV>
            <wp:extent cx="6740525" cy="8178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740525" cy="81788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0" w:right="1720"/>
        <w:spacing w:after="0" w:line="249" w:lineRule="auto"/>
        <w:rPr>
          <w:sz w:val="20"/>
          <w:szCs w:val="20"/>
          <w:color w:val="auto"/>
        </w:rPr>
      </w:pPr>
      <w:r>
        <w:rPr>
          <w:rFonts w:ascii="Calibri" w:cs="Calibri" w:eastAsia="Calibri" w:hAnsi="Calibri"/>
          <w:sz w:val="21"/>
          <w:szCs w:val="21"/>
          <w:b w:val="1"/>
          <w:bCs w:val="1"/>
          <w:color w:val="auto"/>
        </w:rPr>
        <w:t>Compensaton should be based on responsibility and performance.</w:t>
      </w:r>
    </w:p>
    <w:p>
      <w:pPr>
        <w:spacing w:after="0" w:line="128" w:lineRule="exact"/>
        <w:rPr>
          <w:sz w:val="20"/>
          <w:szCs w:val="20"/>
          <w:color w:val="auto"/>
        </w:rPr>
      </w:pPr>
    </w:p>
    <w:p>
      <w:pPr>
        <w:ind w:left="460"/>
        <w:spacing w:after="0"/>
        <w:rPr>
          <w:sz w:val="20"/>
          <w:szCs w:val="20"/>
          <w:color w:val="auto"/>
        </w:rPr>
      </w:pPr>
      <w:r>
        <w:rPr>
          <w:rFonts w:ascii="Calibri" w:cs="Calibri" w:eastAsia="Calibri" w:hAnsi="Calibri"/>
          <w:sz w:val="14"/>
          <w:szCs w:val="14"/>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11430</wp:posOffset>
            </wp:positionV>
            <wp:extent cx="3230245" cy="11563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230245" cy="1156335"/>
                    </a:xfrm>
                    <a:prstGeom prst="rect">
                      <a:avLst/>
                    </a:prstGeom>
                    <a:noFill/>
                  </pic:spPr>
                </pic:pic>
              </a:graphicData>
            </a:graphic>
          </wp:anchor>
        </w:drawing>
      </w:r>
    </w:p>
    <w:p>
      <w:pPr>
        <w:spacing w:after="0" w:line="99" w:lineRule="exact"/>
        <w:rPr>
          <w:sz w:val="20"/>
          <w:szCs w:val="20"/>
          <w:color w:val="auto"/>
        </w:rPr>
      </w:pPr>
    </w:p>
    <w:p>
      <w:pPr>
        <w:ind w:left="460" w:right="960"/>
        <w:spacing w:after="0" w:line="242" w:lineRule="auto"/>
        <w:rPr>
          <w:sz w:val="20"/>
          <w:szCs w:val="20"/>
          <w:color w:val="auto"/>
        </w:rPr>
      </w:pPr>
      <w:r>
        <w:rPr>
          <w:rFonts w:ascii="Calibri" w:cs="Calibri" w:eastAsia="Calibri" w:hAnsi="Calibri"/>
          <w:sz w:val="21"/>
          <w:szCs w:val="21"/>
          <w:b w:val="1"/>
          <w:bCs w:val="1"/>
          <w:color w:val="FB4E0B"/>
        </w:rPr>
        <w:t>Our compensaton program should deliver top-ter compensaton in return for top-ter individual and company performance, and lower-ter compensaton for individual performance and/or our performance that falls short of expectatons.</w:t>
      </w:r>
    </w:p>
    <w:p>
      <w:pPr>
        <w:spacing w:after="0" w:line="149" w:lineRule="exact"/>
        <w:rPr>
          <w:sz w:val="20"/>
          <w:szCs w:val="20"/>
          <w:color w:val="auto"/>
        </w:rPr>
      </w:pPr>
    </w:p>
    <w:p>
      <w:pPr>
        <w:ind w:left="460"/>
        <w:spacing w:after="0"/>
        <w:rPr>
          <w:sz w:val="20"/>
          <w:szCs w:val="20"/>
          <w:color w:val="auto"/>
        </w:rPr>
      </w:pPr>
      <w:r>
        <w:rPr>
          <w:rFonts w:ascii="Calibri" w:cs="Calibri" w:eastAsia="Calibri" w:hAnsi="Calibri"/>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11430</wp:posOffset>
            </wp:positionV>
            <wp:extent cx="3230245" cy="81788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230245" cy="817880"/>
                    </a:xfrm>
                    <a:prstGeom prst="rect">
                      <a:avLst/>
                    </a:prstGeom>
                    <a:noFill/>
                  </pic:spPr>
                </pic:pic>
              </a:graphicData>
            </a:graphic>
          </wp:anchor>
        </w:drawing>
      </w:r>
    </w:p>
    <w:p>
      <w:pPr>
        <w:spacing w:after="0" w:line="99" w:lineRule="exact"/>
        <w:rPr>
          <w:sz w:val="20"/>
          <w:szCs w:val="20"/>
          <w:color w:val="auto"/>
        </w:rPr>
      </w:pPr>
    </w:p>
    <w:p>
      <w:pPr>
        <w:ind w:left="460" w:right="1200"/>
        <w:spacing w:after="0" w:line="241" w:lineRule="auto"/>
        <w:rPr>
          <w:sz w:val="20"/>
          <w:szCs w:val="20"/>
          <w:color w:val="auto"/>
        </w:rPr>
      </w:pPr>
      <w:r>
        <w:rPr>
          <w:rFonts w:ascii="Calibri" w:cs="Calibri" w:eastAsia="Calibri" w:hAnsi="Calibri"/>
          <w:sz w:val="21"/>
          <w:szCs w:val="21"/>
          <w:b w:val="1"/>
          <w:bCs w:val="1"/>
          <w:color w:val="auto"/>
        </w:rPr>
        <w:t>Pay-for-performance and retenton must be balanced to ensure the ongoing motvaton and commitment of our employees.</w:t>
      </w:r>
    </w:p>
    <w:p>
      <w:pPr>
        <w:spacing w:after="0" w:line="137" w:lineRule="exact"/>
        <w:rPr>
          <w:sz w:val="20"/>
          <w:szCs w:val="20"/>
          <w:color w:val="auto"/>
        </w:rPr>
      </w:pPr>
    </w:p>
    <w:p>
      <w:pPr>
        <w:ind w:left="460"/>
        <w:spacing w:after="0"/>
        <w:rPr>
          <w:sz w:val="20"/>
          <w:szCs w:val="20"/>
          <w:color w:val="auto"/>
        </w:rPr>
      </w:pPr>
      <w:r>
        <w:rPr>
          <w:rFonts w:ascii="Calibri" w:cs="Calibri" w:eastAsia="Calibri" w:hAnsi="Calibri"/>
          <w:sz w:val="14"/>
          <w:szCs w:val="14"/>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11430</wp:posOffset>
            </wp:positionV>
            <wp:extent cx="3230245" cy="4876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230245" cy="487680"/>
                    </a:xfrm>
                    <a:prstGeom prst="rect">
                      <a:avLst/>
                    </a:prstGeom>
                    <a:noFill/>
                  </pic:spPr>
                </pic:pic>
              </a:graphicData>
            </a:graphic>
          </wp:anchor>
        </w:drawing>
      </w:r>
    </w:p>
    <w:p>
      <w:pPr>
        <w:spacing w:after="0" w:line="99" w:lineRule="exact"/>
        <w:rPr>
          <w:sz w:val="20"/>
          <w:szCs w:val="20"/>
          <w:color w:val="auto"/>
        </w:rPr>
      </w:pPr>
    </w:p>
    <w:p>
      <w:pPr>
        <w:ind w:left="460" w:right="1200"/>
        <w:spacing w:after="0" w:line="238" w:lineRule="auto"/>
        <w:rPr>
          <w:sz w:val="20"/>
          <w:szCs w:val="20"/>
          <w:color w:val="auto"/>
        </w:rPr>
      </w:pPr>
      <w:r>
        <w:rPr>
          <w:rFonts w:ascii="Calibri" w:cs="Calibri" w:eastAsia="Calibri" w:hAnsi="Calibri"/>
          <w:sz w:val="21"/>
          <w:szCs w:val="21"/>
          <w:b w:val="1"/>
          <w:bCs w:val="1"/>
          <w:color w:val="FB4E0B"/>
        </w:rPr>
        <w:t>Compensaton should balance long-term and short-term objectves.</w:t>
      </w:r>
    </w:p>
    <w:p>
      <w:pPr>
        <w:spacing w:after="0" w:line="200" w:lineRule="exact"/>
        <w:rPr>
          <w:sz w:val="20"/>
          <w:szCs w:val="20"/>
          <w:color w:val="auto"/>
        </w:rPr>
      </w:pPr>
    </w:p>
    <w:p>
      <w:pPr>
        <w:spacing w:after="0" w:line="365" w:lineRule="exact"/>
        <w:rPr>
          <w:sz w:val="20"/>
          <w:szCs w:val="20"/>
          <w:color w:val="auto"/>
        </w:rPr>
      </w:pPr>
    </w:p>
    <w:p>
      <w:pPr>
        <w:ind w:left="320"/>
        <w:spacing w:after="0"/>
        <w:tabs>
          <w:tab w:leader="none" w:pos="46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4"/>
          <w:szCs w:val="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40"/>
        <w:spacing w:after="0" w:line="241" w:lineRule="auto"/>
        <w:rPr>
          <w:sz w:val="20"/>
          <w:szCs w:val="20"/>
          <w:color w:val="auto"/>
        </w:rPr>
      </w:pPr>
      <w:r>
        <w:rPr>
          <w:rFonts w:ascii="Calibri" w:cs="Calibri" w:eastAsia="Calibri" w:hAnsi="Calibri"/>
          <w:sz w:val="21"/>
          <w:szCs w:val="21"/>
          <w:b w:val="1"/>
          <w:bCs w:val="1"/>
          <w:color w:val="FB4E0B"/>
        </w:rPr>
        <w:t>Equity-based compensaton should be higher for employees with higher levels of responsibility and greater infuence on long-term results.</w:t>
      </w:r>
    </w:p>
    <w:p>
      <w:pPr>
        <w:spacing w:after="0" w:line="13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11430</wp:posOffset>
            </wp:positionV>
            <wp:extent cx="3296285" cy="65278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296285" cy="652780"/>
                    </a:xfrm>
                    <a:prstGeom prst="rect">
                      <a:avLst/>
                    </a:prstGeom>
                    <a:noFill/>
                  </pic:spPr>
                </pic:pic>
              </a:graphicData>
            </a:graphic>
          </wp:anchor>
        </w:drawing>
      </w:r>
    </w:p>
    <w:p>
      <w:pPr>
        <w:spacing w:after="0" w:line="99" w:lineRule="exact"/>
        <w:rPr>
          <w:sz w:val="20"/>
          <w:szCs w:val="20"/>
          <w:color w:val="auto"/>
        </w:rPr>
      </w:pPr>
    </w:p>
    <w:p>
      <w:pPr>
        <w:ind w:right="1260"/>
        <w:spacing w:after="0"/>
        <w:rPr>
          <w:sz w:val="20"/>
          <w:szCs w:val="20"/>
          <w:color w:val="auto"/>
        </w:rPr>
      </w:pPr>
      <w:r>
        <w:rPr>
          <w:rFonts w:ascii="Calibri" w:cs="Calibri" w:eastAsia="Calibri" w:hAnsi="Calibri"/>
          <w:sz w:val="21"/>
          <w:szCs w:val="21"/>
          <w:b w:val="1"/>
          <w:bCs w:val="1"/>
          <w:color w:val="auto"/>
        </w:rPr>
        <w:t>To enable us to atract and retain top talent, compensaton should refect the value of the job in the marketplace.</w:t>
      </w:r>
    </w:p>
    <w:p>
      <w:pPr>
        <w:spacing w:after="0" w:line="13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11430</wp:posOffset>
            </wp:positionV>
            <wp:extent cx="3296285" cy="4876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296285" cy="487680"/>
                    </a:xfrm>
                    <a:prstGeom prst="rect">
                      <a:avLst/>
                    </a:prstGeom>
                    <a:noFill/>
                  </pic:spPr>
                </pic:pic>
              </a:graphicData>
            </a:graphic>
          </wp:anchor>
        </w:drawing>
      </w:r>
    </w:p>
    <w:p>
      <w:pPr>
        <w:spacing w:after="0" w:line="99" w:lineRule="exact"/>
        <w:rPr>
          <w:sz w:val="20"/>
          <w:szCs w:val="20"/>
          <w:color w:val="auto"/>
        </w:rPr>
      </w:pPr>
    </w:p>
    <w:p>
      <w:pPr>
        <w:ind w:right="1620"/>
        <w:spacing w:after="0" w:line="238" w:lineRule="auto"/>
        <w:rPr>
          <w:sz w:val="20"/>
          <w:szCs w:val="20"/>
          <w:color w:val="auto"/>
        </w:rPr>
      </w:pPr>
      <w:r>
        <w:rPr>
          <w:rFonts w:ascii="Calibri" w:cs="Calibri" w:eastAsia="Calibri" w:hAnsi="Calibri"/>
          <w:sz w:val="21"/>
          <w:szCs w:val="21"/>
          <w:b w:val="1"/>
          <w:bCs w:val="1"/>
          <w:color w:val="FB4E0B"/>
        </w:rPr>
        <w:t>Compensaton programs should be easy to understand.</w:t>
      </w:r>
    </w:p>
    <w:p>
      <w:pPr>
        <w:spacing w:after="0" w:line="13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11430</wp:posOffset>
            </wp:positionV>
            <wp:extent cx="3296285" cy="768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296285" cy="768350"/>
                    </a:xfrm>
                    <a:prstGeom prst="rect">
                      <a:avLst/>
                    </a:prstGeom>
                    <a:noFill/>
                  </pic:spPr>
                </pic:pic>
              </a:graphicData>
            </a:graphic>
          </wp:anchor>
        </w:drawing>
      </w:r>
    </w:p>
    <w:p>
      <w:pPr>
        <w:spacing w:after="0" w:line="164" w:lineRule="exact"/>
        <w:rPr>
          <w:sz w:val="20"/>
          <w:szCs w:val="20"/>
          <w:color w:val="auto"/>
        </w:rPr>
      </w:pPr>
    </w:p>
    <w:p>
      <w:pPr>
        <w:ind w:right="1200"/>
        <w:spacing w:after="0"/>
        <w:rPr>
          <w:sz w:val="20"/>
          <w:szCs w:val="20"/>
          <w:color w:val="auto"/>
        </w:rPr>
      </w:pPr>
      <w:r>
        <w:rPr>
          <w:rFonts w:ascii="Calibri" w:cs="Calibri" w:eastAsia="Calibri" w:hAnsi="Calibri"/>
          <w:sz w:val="21"/>
          <w:szCs w:val="21"/>
          <w:b w:val="1"/>
          <w:bCs w:val="1"/>
          <w:color w:val="auto"/>
        </w:rPr>
        <w:t>Compensaton should be administered uniformly across the Company with clear-cut objectves and 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120"/>
        <w:spacing w:after="0"/>
        <w:tabs>
          <w:tab w:leader="none" w:pos="560" w:val="left"/>
        </w:tabs>
        <w:rPr>
          <w:sz w:val="20"/>
          <w:szCs w:val="20"/>
          <w:color w:val="auto"/>
        </w:rPr>
      </w:pPr>
      <w:r>
        <w:rPr>
          <w:rFonts w:ascii="Calibri" w:cs="Calibri" w:eastAsia="Calibri" w:hAnsi="Calibri"/>
          <w:sz w:val="13"/>
          <w:szCs w:val="13"/>
          <w:color w:val="auto"/>
        </w:rPr>
        <w:t>EXL 2024 Proxy Statement </w:t>
      </w:r>
      <w:r>
        <w:rPr>
          <w:sz w:val="20"/>
          <w:szCs w:val="20"/>
          <w:color w:val="auto"/>
        </w:rPr>
        <w:tab/>
      </w: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67</w:t>
      </w:r>
    </w:p>
    <w:p>
      <w:pPr>
        <w:sectPr>
          <w:pgSz w:w="11900" w:h="16838" w:orient="portrait"/>
          <w:cols w:equalWidth="0" w:num="2">
            <w:col w:w="5160" w:space="720"/>
            <w:col w:w="5060"/>
          </w:cols>
          <w:pgMar w:left="320" w:top="471" w:right="6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Compensaton process: roles and responsibilites</w:t>
      </w:r>
    </w:p>
    <w:p>
      <w:pPr>
        <w:spacing w:after="0" w:line="114" w:lineRule="exact"/>
        <w:rPr>
          <w:sz w:val="20"/>
          <w:szCs w:val="20"/>
          <w:color w:val="auto"/>
        </w:rPr>
      </w:pPr>
    </w:p>
    <w:p>
      <w:pPr>
        <w:jc w:val="both"/>
        <w:ind w:left="320" w:right="280"/>
        <w:spacing w:after="0" w:line="239" w:lineRule="auto"/>
        <w:rPr>
          <w:sz w:val="20"/>
          <w:szCs w:val="20"/>
          <w:color w:val="auto"/>
        </w:rPr>
      </w:pPr>
      <w:r>
        <w:rPr>
          <w:rFonts w:ascii="Calibri" w:cs="Calibri" w:eastAsia="Calibri" w:hAnsi="Calibri"/>
          <w:sz w:val="17"/>
          <w:szCs w:val="17"/>
          <w:color w:val="auto"/>
        </w:rPr>
        <w:t>Our Compensaton and Talent Management Commitee has established a number of processes to assist it in ensuring that our executve compensaton programs are achieving their objectves. Our Compensaton and Talent Management Commitee, our management and our independent compensaton consultant are each engaged in these processes, as described in greater detail below.</w:t>
      </w: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321"/>
        </w:trPr>
        <w:tc>
          <w:tcPr>
            <w:tcW w:w="1620" w:type="dxa"/>
            <w:vAlign w:val="bottom"/>
            <w:tcBorders>
              <w:top w:val="single" w:sz="8" w:color="FB4E0B"/>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Company</w:t>
            </w:r>
          </w:p>
        </w:tc>
        <w:tc>
          <w:tcPr>
            <w:tcW w:w="9000" w:type="dxa"/>
            <w:vAlign w:val="bottom"/>
            <w:tcBorders>
              <w:top w:val="single" w:sz="8" w:color="FB4E0B"/>
            </w:tcBorders>
          </w:tcPr>
          <w:p>
            <w:pPr>
              <w:ind w:left="80"/>
              <w:spacing w:after="0"/>
              <w:rPr>
                <w:sz w:val="20"/>
                <w:szCs w:val="20"/>
                <w:color w:val="auto"/>
              </w:rPr>
            </w:pPr>
            <w:r>
              <w:rPr>
                <w:rFonts w:ascii="Calibri" w:cs="Calibri" w:eastAsia="Calibri" w:hAnsi="Calibri"/>
                <w:sz w:val="16"/>
                <w:szCs w:val="16"/>
                <w:b w:val="1"/>
                <w:bCs w:val="1"/>
                <w:color w:val="auto"/>
              </w:rPr>
              <w:t>Establishment of performance measures</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line="195" w:lineRule="exact"/>
              <w:rPr>
                <w:sz w:val="20"/>
                <w:szCs w:val="20"/>
                <w:color w:val="auto"/>
              </w:rPr>
            </w:pPr>
            <w:r>
              <w:rPr>
                <w:rFonts w:ascii="Calibri" w:cs="Calibri" w:eastAsia="Calibri" w:hAnsi="Calibri"/>
                <w:sz w:val="17"/>
                <w:szCs w:val="17"/>
                <w:b w:val="1"/>
                <w:bCs w:val="1"/>
                <w:color w:val="auto"/>
              </w:rPr>
              <w:t>performance –</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w w:val="98"/>
              </w:rPr>
              <w:t>At the beginning of each year, or the end of the prior year, our Compensaton and Talent Management Commitee establishes the Company-</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line="195" w:lineRule="exact"/>
              <w:rPr>
                <w:sz w:val="20"/>
                <w:szCs w:val="20"/>
                <w:color w:val="auto"/>
              </w:rPr>
            </w:pPr>
            <w:r>
              <w:rPr>
                <w:rFonts w:ascii="Calibri" w:cs="Calibri" w:eastAsia="Calibri" w:hAnsi="Calibri"/>
                <w:sz w:val="17"/>
                <w:szCs w:val="17"/>
                <w:b w:val="1"/>
                <w:bCs w:val="1"/>
                <w:color w:val="auto"/>
              </w:rPr>
              <w:t>Compensaton and</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rPr>
              <w:t>wide and relevant business line performance measures on which our named executve ofcers’ annual cash incentve awards and equity</w:t>
            </w:r>
          </w:p>
        </w:tc>
        <w:tc>
          <w:tcPr>
            <w:tcW w:w="0" w:type="dxa"/>
            <w:vAlign w:val="bottom"/>
          </w:tcPr>
          <w:p>
            <w:pPr>
              <w:spacing w:after="0"/>
              <w:rPr>
                <w:sz w:val="1"/>
                <w:szCs w:val="1"/>
                <w:color w:val="auto"/>
              </w:rPr>
            </w:pPr>
          </w:p>
        </w:tc>
      </w:tr>
      <w:tr>
        <w:trPr>
          <w:trHeight w:val="241"/>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Talent Management</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rPr>
              <w:t>incentve awards are largely based. These measures refect targets that are intended to encourage stretch performance.</w:t>
            </w:r>
          </w:p>
        </w:tc>
        <w:tc>
          <w:tcPr>
            <w:tcW w:w="0" w:type="dxa"/>
            <w:vAlign w:val="bottom"/>
          </w:tcPr>
          <w:p>
            <w:pPr>
              <w:spacing w:after="0"/>
              <w:rPr>
                <w:sz w:val="1"/>
                <w:szCs w:val="1"/>
                <w:color w:val="auto"/>
              </w:rPr>
            </w:pPr>
          </w:p>
        </w:tc>
      </w:tr>
      <w:tr>
        <w:trPr>
          <w:trHeight w:val="208"/>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Commitee</w:t>
            </w:r>
          </w:p>
        </w:tc>
        <w:tc>
          <w:tcPr>
            <w:tcW w:w="9000" w:type="dxa"/>
            <w:vAlign w:val="bottom"/>
            <w:vMerge w:val="restart"/>
          </w:tcPr>
          <w:p>
            <w:pPr>
              <w:ind w:left="80"/>
              <w:spacing w:after="0"/>
              <w:rPr>
                <w:sz w:val="20"/>
                <w:szCs w:val="20"/>
                <w:color w:val="auto"/>
              </w:rPr>
            </w:pPr>
            <w:r>
              <w:rPr>
                <w:rFonts w:ascii="Calibri" w:cs="Calibri" w:eastAsia="Calibri" w:hAnsi="Calibri"/>
                <w:sz w:val="16"/>
                <w:szCs w:val="16"/>
                <w:b w:val="1"/>
                <w:bCs w:val="1"/>
                <w:color w:val="auto"/>
              </w:rPr>
              <w:t>Assessment of Company performance</w:t>
            </w:r>
          </w:p>
        </w:tc>
        <w:tc>
          <w:tcPr>
            <w:tcW w:w="0" w:type="dxa"/>
            <w:vAlign w:val="bottom"/>
          </w:tcPr>
          <w:p>
            <w:pPr>
              <w:spacing w:after="0"/>
              <w:rPr>
                <w:sz w:val="1"/>
                <w:szCs w:val="1"/>
                <w:color w:val="auto"/>
              </w:rPr>
            </w:pPr>
          </w:p>
        </w:tc>
      </w:tr>
      <w:tr>
        <w:trPr>
          <w:trHeight w:val="165"/>
        </w:trPr>
        <w:tc>
          <w:tcPr>
            <w:tcW w:w="1620" w:type="dxa"/>
            <w:vAlign w:val="bottom"/>
            <w:tcBorders>
              <w:right w:val="single" w:sz="8" w:color="auto"/>
            </w:tcBorders>
          </w:tcPr>
          <w:p>
            <w:pPr>
              <w:spacing w:after="0"/>
              <w:rPr>
                <w:sz w:val="14"/>
                <w:szCs w:val="14"/>
                <w:color w:val="auto"/>
              </w:rPr>
            </w:pPr>
          </w:p>
        </w:tc>
        <w:tc>
          <w:tcPr>
            <w:tcW w:w="9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rPr>
              <w:t>At the end of the performance period, the Compensaton and Talent Management Commitee reviews and certfes our performance</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rPr>
              <w:t>achievement in relaton to the pre-established targets, and considers the appropriateness of adjustments to the performance criteria and</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rPr>
              <w:t>calculatons of performance achievement to determine payout for cash and equity incentve awards.</w:t>
            </w:r>
          </w:p>
        </w:tc>
        <w:tc>
          <w:tcPr>
            <w:tcW w:w="0" w:type="dxa"/>
            <w:vAlign w:val="bottom"/>
          </w:tcPr>
          <w:p>
            <w:pPr>
              <w:spacing w:after="0"/>
              <w:rPr>
                <w:sz w:val="1"/>
                <w:szCs w:val="1"/>
                <w:color w:val="auto"/>
              </w:rPr>
            </w:pPr>
          </w:p>
        </w:tc>
      </w:tr>
      <w:tr>
        <w:trPr>
          <w:trHeight w:val="235"/>
        </w:trPr>
        <w:tc>
          <w:tcPr>
            <w:tcW w:w="1620" w:type="dxa"/>
            <w:vAlign w:val="bottom"/>
            <w:tcBorders>
              <w:bottom w:val="single" w:sz="8" w:color="auto"/>
              <w:right w:val="single" w:sz="8" w:color="auto"/>
            </w:tcBorders>
          </w:tcPr>
          <w:p>
            <w:pPr>
              <w:spacing w:after="0"/>
              <w:rPr>
                <w:sz w:val="20"/>
                <w:szCs w:val="20"/>
                <w:color w:val="auto"/>
              </w:rPr>
            </w:pPr>
          </w:p>
        </w:tc>
        <w:tc>
          <w:tcPr>
            <w:tcW w:w="9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Individual</w:t>
            </w:r>
          </w:p>
        </w:tc>
        <w:tc>
          <w:tcPr>
            <w:tcW w:w="9000" w:type="dxa"/>
            <w:vAlign w:val="bottom"/>
          </w:tcPr>
          <w:p>
            <w:pPr>
              <w:ind w:left="80"/>
              <w:spacing w:after="0"/>
              <w:rPr>
                <w:sz w:val="20"/>
                <w:szCs w:val="20"/>
                <w:color w:val="auto"/>
              </w:rPr>
            </w:pPr>
            <w:r>
              <w:rPr>
                <w:rFonts w:ascii="Calibri" w:cs="Calibri" w:eastAsia="Calibri" w:hAnsi="Calibri"/>
                <w:sz w:val="16"/>
                <w:szCs w:val="16"/>
                <w:color w:val="auto"/>
              </w:rPr>
              <w:t>The evaluaton of an individual’s performance determines a porton of the payouts under our annual incentve program and infuences any</w:t>
            </w:r>
          </w:p>
        </w:tc>
        <w:tc>
          <w:tcPr>
            <w:tcW w:w="0" w:type="dxa"/>
            <w:vAlign w:val="bottom"/>
          </w:tcPr>
          <w:p>
            <w:pPr>
              <w:spacing w:after="0"/>
              <w:rPr>
                <w:sz w:val="1"/>
                <w:szCs w:val="1"/>
                <w:color w:val="auto"/>
              </w:rPr>
            </w:pPr>
          </w:p>
        </w:tc>
      </w:tr>
      <w:tr>
        <w:trPr>
          <w:trHeight w:val="215"/>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performance –</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rPr>
              <w:t>changes in base salary for each of our named executve ofcers.</w:t>
            </w:r>
          </w:p>
        </w:tc>
        <w:tc>
          <w:tcPr>
            <w:tcW w:w="0" w:type="dxa"/>
            <w:vAlign w:val="bottom"/>
          </w:tcPr>
          <w:p>
            <w:pPr>
              <w:spacing w:after="0"/>
              <w:rPr>
                <w:sz w:val="1"/>
                <w:szCs w:val="1"/>
                <w:color w:val="auto"/>
              </w:rPr>
            </w:pPr>
          </w:p>
        </w:tc>
      </w:tr>
      <w:tr>
        <w:trPr>
          <w:trHeight w:val="208"/>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board of directors,</w:t>
            </w: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620" w:type="dxa"/>
            <w:vAlign w:val="bottom"/>
            <w:tcBorders>
              <w:right w:val="single" w:sz="8" w:color="auto"/>
            </w:tcBorders>
          </w:tcPr>
          <w:p>
            <w:pPr>
              <w:ind w:left="140"/>
              <w:spacing w:after="0" w:line="201" w:lineRule="exact"/>
              <w:rPr>
                <w:sz w:val="20"/>
                <w:szCs w:val="20"/>
                <w:color w:val="auto"/>
              </w:rPr>
            </w:pPr>
            <w:r>
              <w:rPr>
                <w:rFonts w:ascii="Calibri" w:cs="Calibri" w:eastAsia="Calibri" w:hAnsi="Calibri"/>
                <w:sz w:val="17"/>
                <w:szCs w:val="17"/>
                <w:b w:val="1"/>
                <w:bCs w:val="1"/>
                <w:color w:val="auto"/>
              </w:rPr>
              <w:t>Compensaton</w:t>
            </w:r>
          </w:p>
        </w:tc>
        <w:tc>
          <w:tcPr>
            <w:tcW w:w="9000" w:type="dxa"/>
            <w:vAlign w:val="bottom"/>
          </w:tcPr>
          <w:p>
            <w:pPr>
              <w:ind w:left="80"/>
              <w:spacing w:after="0" w:line="191" w:lineRule="exact"/>
              <w:rPr>
                <w:sz w:val="20"/>
                <w:szCs w:val="20"/>
                <w:color w:val="auto"/>
              </w:rPr>
            </w:pPr>
            <w:r>
              <w:rPr>
                <w:rFonts w:ascii="Calibri" w:cs="Calibri" w:eastAsia="Calibri" w:hAnsi="Calibri"/>
                <w:sz w:val="16"/>
                <w:szCs w:val="16"/>
                <w:b w:val="1"/>
                <w:bCs w:val="1"/>
                <w:color w:val="auto"/>
              </w:rPr>
              <w:t>Assessment of CEO performance</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line="195" w:lineRule="exact"/>
              <w:rPr>
                <w:sz w:val="20"/>
                <w:szCs w:val="20"/>
                <w:color w:val="auto"/>
              </w:rPr>
            </w:pPr>
            <w:r>
              <w:rPr>
                <w:rFonts w:ascii="Calibri" w:cs="Calibri" w:eastAsia="Calibri" w:hAnsi="Calibri"/>
                <w:sz w:val="17"/>
                <w:szCs w:val="17"/>
                <w:b w:val="1"/>
                <w:bCs w:val="1"/>
                <w:color w:val="auto"/>
              </w:rPr>
              <w:t>and Talent</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w w:val="99"/>
              </w:rPr>
              <w:t>For Mr. Kapoor, our board of directors reviews and provides feedback on a self-evaluaton prepared by Mr. Kapoor. Once all directors have</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line="195" w:lineRule="exact"/>
              <w:rPr>
                <w:sz w:val="20"/>
                <w:szCs w:val="20"/>
                <w:color w:val="auto"/>
              </w:rPr>
            </w:pPr>
            <w:r>
              <w:rPr>
                <w:rFonts w:ascii="Calibri" w:cs="Calibri" w:eastAsia="Calibri" w:hAnsi="Calibri"/>
                <w:sz w:val="17"/>
                <w:szCs w:val="17"/>
                <w:b w:val="1"/>
                <w:bCs w:val="1"/>
                <w:color w:val="auto"/>
              </w:rPr>
              <w:t>Management</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w w:val="99"/>
              </w:rPr>
              <w:t>given feedback on Mr. Kapoor’s performance, our Lead Director and Chair of the Compensaton and Talent Management Commitee lead a</w:t>
            </w:r>
          </w:p>
        </w:tc>
        <w:tc>
          <w:tcPr>
            <w:tcW w:w="0" w:type="dxa"/>
            <w:vAlign w:val="bottom"/>
          </w:tcPr>
          <w:p>
            <w:pPr>
              <w:spacing w:after="0"/>
              <w:rPr>
                <w:sz w:val="1"/>
                <w:szCs w:val="1"/>
                <w:color w:val="auto"/>
              </w:rPr>
            </w:pPr>
          </w:p>
        </w:tc>
      </w:tr>
      <w:tr>
        <w:trPr>
          <w:trHeight w:val="199"/>
        </w:trPr>
        <w:tc>
          <w:tcPr>
            <w:tcW w:w="1620" w:type="dxa"/>
            <w:vAlign w:val="bottom"/>
            <w:tcBorders>
              <w:right w:val="single" w:sz="8" w:color="auto"/>
            </w:tcBorders>
          </w:tcPr>
          <w:p>
            <w:pPr>
              <w:ind w:left="140"/>
              <w:spacing w:after="0" w:line="199" w:lineRule="exact"/>
              <w:rPr>
                <w:sz w:val="20"/>
                <w:szCs w:val="20"/>
                <w:color w:val="auto"/>
              </w:rPr>
            </w:pPr>
            <w:r>
              <w:rPr>
                <w:rFonts w:ascii="Calibri" w:cs="Calibri" w:eastAsia="Calibri" w:hAnsi="Calibri"/>
                <w:sz w:val="17"/>
                <w:szCs w:val="17"/>
                <w:b w:val="1"/>
                <w:bCs w:val="1"/>
                <w:color w:val="auto"/>
              </w:rPr>
              <w:t>Commitee, and</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w w:val="98"/>
              </w:rPr>
              <w:t>comprehensive discussion of the full board of directors on Mr. Kapoor’s performance, leadership accomplishments and overall competence</w:t>
            </w:r>
          </w:p>
        </w:tc>
        <w:tc>
          <w:tcPr>
            <w:tcW w:w="0" w:type="dxa"/>
            <w:vAlign w:val="bottom"/>
          </w:tcPr>
          <w:p>
            <w:pPr>
              <w:spacing w:after="0"/>
              <w:rPr>
                <w:sz w:val="1"/>
                <w:szCs w:val="1"/>
                <w:color w:val="auto"/>
              </w:rPr>
            </w:pPr>
          </w:p>
        </w:tc>
      </w:tr>
      <w:tr>
        <w:trPr>
          <w:trHeight w:val="185"/>
        </w:trPr>
        <w:tc>
          <w:tcPr>
            <w:tcW w:w="1620" w:type="dxa"/>
            <w:vAlign w:val="bottom"/>
            <w:tcBorders>
              <w:right w:val="single" w:sz="8" w:color="auto"/>
            </w:tcBorders>
            <w:vMerge w:val="restart"/>
          </w:tcPr>
          <w:p>
            <w:pPr>
              <w:ind w:left="140"/>
              <w:spacing w:after="0"/>
              <w:rPr>
                <w:sz w:val="20"/>
                <w:szCs w:val="20"/>
                <w:color w:val="auto"/>
              </w:rPr>
            </w:pPr>
            <w:r>
              <w:rPr>
                <w:rFonts w:ascii="Calibri" w:cs="Calibri" w:eastAsia="Calibri" w:hAnsi="Calibri"/>
                <w:sz w:val="17"/>
                <w:szCs w:val="17"/>
                <w:b w:val="1"/>
                <w:bCs w:val="1"/>
                <w:color w:val="auto"/>
              </w:rPr>
              <w:t>CEO</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rPr>
              <w:t>to evaluate the achievement of established objectves.</w:t>
            </w:r>
          </w:p>
        </w:tc>
        <w:tc>
          <w:tcPr>
            <w:tcW w:w="0" w:type="dxa"/>
            <w:vAlign w:val="bottom"/>
          </w:tcPr>
          <w:p>
            <w:pPr>
              <w:spacing w:after="0"/>
              <w:rPr>
                <w:sz w:val="1"/>
                <w:szCs w:val="1"/>
                <w:color w:val="auto"/>
              </w:rPr>
            </w:pPr>
          </w:p>
        </w:tc>
      </w:tr>
      <w:tr>
        <w:trPr>
          <w:trHeight w:val="65"/>
        </w:trPr>
        <w:tc>
          <w:tcPr>
            <w:tcW w:w="1620" w:type="dxa"/>
            <w:vAlign w:val="bottom"/>
            <w:tcBorders>
              <w:right w:val="single" w:sz="8" w:color="auto"/>
            </w:tcBorders>
            <w:vMerge w:val="continue"/>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0"/>
        </w:trPr>
        <w:tc>
          <w:tcPr>
            <w:tcW w:w="1620" w:type="dxa"/>
            <w:vAlign w:val="bottom"/>
            <w:tcBorders>
              <w:right w:val="single" w:sz="8" w:color="auto"/>
            </w:tcBorders>
          </w:tcPr>
          <w:p>
            <w:pPr>
              <w:spacing w:after="0"/>
              <w:rPr>
                <w:sz w:val="24"/>
                <w:szCs w:val="24"/>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b w:val="1"/>
                <w:bCs w:val="1"/>
                <w:color w:val="auto"/>
              </w:rPr>
              <w:t>Assessment of performance for all other NEOs and executve ofcers</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w w:val="99"/>
              </w:rPr>
              <w:t>For all other NEOs and executve ofcers, Mr. Kapoor makes a performance assessment and compensaton recommendaton to our board of</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rPr>
              <w:t>directors. He bases the performance assessments on our named executve ofcers’ self-evaluatons and his performance assessments of</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rPr>
              <w:t>each of them.</w:t>
            </w:r>
          </w:p>
        </w:tc>
        <w:tc>
          <w:tcPr>
            <w:tcW w:w="0" w:type="dxa"/>
            <w:vAlign w:val="bottom"/>
          </w:tcPr>
          <w:p>
            <w:pPr>
              <w:spacing w:after="0"/>
              <w:rPr>
                <w:sz w:val="1"/>
                <w:szCs w:val="1"/>
                <w:color w:val="auto"/>
              </w:rPr>
            </w:pPr>
          </w:p>
        </w:tc>
      </w:tr>
      <w:tr>
        <w:trPr>
          <w:trHeight w:val="429"/>
        </w:trPr>
        <w:tc>
          <w:tcPr>
            <w:tcW w:w="1620" w:type="dxa"/>
            <w:vAlign w:val="bottom"/>
            <w:tcBorders>
              <w:right w:val="single" w:sz="8" w:color="auto"/>
            </w:tcBorders>
          </w:tcPr>
          <w:p>
            <w:pPr>
              <w:spacing w:after="0"/>
              <w:rPr>
                <w:sz w:val="24"/>
                <w:szCs w:val="24"/>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w w:val="99"/>
              </w:rPr>
              <w:t>Our board of directors reviews the performance assessments with Mr. Kapoor and evaluates the achievement of established objectves by</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w w:val="99"/>
              </w:rPr>
              <w:t>each executve ofcer and his or her business line, if applicable, and his or her contributon to our performance, leadership accomplishments</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rPr>
              <w:t>and overall competence.</w:t>
            </w:r>
          </w:p>
        </w:tc>
        <w:tc>
          <w:tcPr>
            <w:tcW w:w="0" w:type="dxa"/>
            <w:vAlign w:val="bottom"/>
          </w:tcPr>
          <w:p>
            <w:pPr>
              <w:spacing w:after="0"/>
              <w:rPr>
                <w:sz w:val="1"/>
                <w:szCs w:val="1"/>
                <w:color w:val="auto"/>
              </w:rPr>
            </w:pPr>
          </w:p>
        </w:tc>
      </w:tr>
      <w:tr>
        <w:trPr>
          <w:trHeight w:val="326"/>
        </w:trPr>
        <w:tc>
          <w:tcPr>
            <w:tcW w:w="1620" w:type="dxa"/>
            <w:vAlign w:val="bottom"/>
            <w:tcBorders>
              <w:bottom w:val="single" w:sz="8" w:color="auto"/>
              <w:right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Other maters</w:t>
            </w:r>
          </w:p>
        </w:tc>
        <w:tc>
          <w:tcPr>
            <w:tcW w:w="9000" w:type="dxa"/>
            <w:vAlign w:val="bottom"/>
          </w:tcPr>
          <w:p>
            <w:pPr>
              <w:ind w:left="80"/>
              <w:spacing w:after="0"/>
              <w:rPr>
                <w:sz w:val="20"/>
                <w:szCs w:val="20"/>
                <w:color w:val="auto"/>
              </w:rPr>
            </w:pPr>
            <w:r>
              <w:rPr>
                <w:rFonts w:ascii="Calibri" w:cs="Calibri" w:eastAsia="Calibri" w:hAnsi="Calibri"/>
                <w:sz w:val="16"/>
                <w:szCs w:val="16"/>
                <w:color w:val="auto"/>
                <w:w w:val="99"/>
              </w:rPr>
              <w:t>Our Compensaton and Talent Management Commitee periodically reviews related maters such as succession planning and management,</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line="195" w:lineRule="exact"/>
              <w:rPr>
                <w:sz w:val="20"/>
                <w:szCs w:val="20"/>
                <w:color w:val="auto"/>
              </w:rPr>
            </w:pPr>
            <w:r>
              <w:rPr>
                <w:rFonts w:ascii="Calibri" w:cs="Calibri" w:eastAsia="Calibri" w:hAnsi="Calibri"/>
                <w:sz w:val="17"/>
                <w:szCs w:val="17"/>
                <w:b w:val="1"/>
                <w:bCs w:val="1"/>
                <w:color w:val="auto"/>
              </w:rPr>
              <w:t>relevant to</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rPr>
              <w:t>evaluaton of management performance, changes in the scope of managerial responsibilites, and consideraton of the business</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line="195" w:lineRule="exact"/>
              <w:rPr>
                <w:sz w:val="20"/>
                <w:szCs w:val="20"/>
                <w:color w:val="auto"/>
              </w:rPr>
            </w:pPr>
            <w:r>
              <w:rPr>
                <w:rFonts w:ascii="Calibri" w:cs="Calibri" w:eastAsia="Calibri" w:hAnsi="Calibri"/>
                <w:sz w:val="17"/>
                <w:szCs w:val="17"/>
                <w:b w:val="1"/>
                <w:bCs w:val="1"/>
                <w:color w:val="auto"/>
              </w:rPr>
              <w:t>compensaton</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rPr>
              <w:t>environment, and considers such maters in making compensaton decisions. The Compensaton and Talent Management Commitee also</w:t>
            </w:r>
          </w:p>
        </w:tc>
        <w:tc>
          <w:tcPr>
            <w:tcW w:w="0" w:type="dxa"/>
            <w:vAlign w:val="bottom"/>
          </w:tcPr>
          <w:p>
            <w:pPr>
              <w:spacing w:after="0"/>
              <w:rPr>
                <w:sz w:val="1"/>
                <w:szCs w:val="1"/>
                <w:color w:val="auto"/>
              </w:rPr>
            </w:pPr>
          </w:p>
        </w:tc>
      </w:tr>
      <w:tr>
        <w:trPr>
          <w:trHeight w:val="199"/>
        </w:trPr>
        <w:tc>
          <w:tcPr>
            <w:tcW w:w="1620" w:type="dxa"/>
            <w:vAlign w:val="bottom"/>
            <w:tcBorders>
              <w:right w:val="single" w:sz="8" w:color="auto"/>
            </w:tcBorders>
          </w:tcPr>
          <w:p>
            <w:pPr>
              <w:ind w:left="140"/>
              <w:spacing w:after="0" w:line="199" w:lineRule="exact"/>
              <w:rPr>
                <w:sz w:val="20"/>
                <w:szCs w:val="20"/>
                <w:color w:val="auto"/>
              </w:rPr>
            </w:pPr>
            <w:r>
              <w:rPr>
                <w:rFonts w:ascii="Calibri" w:cs="Calibri" w:eastAsia="Calibri" w:hAnsi="Calibri"/>
                <w:sz w:val="17"/>
                <w:szCs w:val="17"/>
                <w:b w:val="1"/>
                <w:bCs w:val="1"/>
                <w:color w:val="auto"/>
              </w:rPr>
              <w:t>decisions –</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rPr>
              <w:t>takes into account an executve ofcer’s job responsibilites, performance, qualifcatons and skills in determining individual compensaton</w:t>
            </w:r>
          </w:p>
        </w:tc>
        <w:tc>
          <w:tcPr>
            <w:tcW w:w="0" w:type="dxa"/>
            <w:vAlign w:val="bottom"/>
          </w:tcPr>
          <w:p>
            <w:pPr>
              <w:spacing w:after="0"/>
              <w:rPr>
                <w:sz w:val="1"/>
                <w:szCs w:val="1"/>
                <w:color w:val="auto"/>
              </w:rPr>
            </w:pPr>
          </w:p>
        </w:tc>
      </w:tr>
      <w:tr>
        <w:trPr>
          <w:trHeight w:val="185"/>
        </w:trPr>
        <w:tc>
          <w:tcPr>
            <w:tcW w:w="1620" w:type="dxa"/>
            <w:vAlign w:val="bottom"/>
            <w:tcBorders>
              <w:right w:val="single" w:sz="8" w:color="auto"/>
            </w:tcBorders>
            <w:vMerge w:val="restart"/>
          </w:tcPr>
          <w:p>
            <w:pPr>
              <w:ind w:left="140"/>
              <w:spacing w:after="0"/>
              <w:rPr>
                <w:sz w:val="20"/>
                <w:szCs w:val="20"/>
                <w:color w:val="auto"/>
              </w:rPr>
            </w:pPr>
            <w:r>
              <w:rPr>
                <w:rFonts w:ascii="Calibri" w:cs="Calibri" w:eastAsia="Calibri" w:hAnsi="Calibri"/>
                <w:sz w:val="17"/>
                <w:szCs w:val="17"/>
                <w:b w:val="1"/>
                <w:bCs w:val="1"/>
                <w:color w:val="auto"/>
              </w:rPr>
              <w:t>Compensaton and</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rPr>
              <w:t>levels.</w:t>
            </w:r>
          </w:p>
        </w:tc>
        <w:tc>
          <w:tcPr>
            <w:tcW w:w="0" w:type="dxa"/>
            <w:vAlign w:val="bottom"/>
          </w:tcPr>
          <w:p>
            <w:pPr>
              <w:spacing w:after="0"/>
              <w:rPr>
                <w:sz w:val="1"/>
                <w:szCs w:val="1"/>
                <w:color w:val="auto"/>
              </w:rPr>
            </w:pPr>
          </w:p>
        </w:tc>
      </w:tr>
      <w:tr>
        <w:trPr>
          <w:trHeight w:val="65"/>
        </w:trPr>
        <w:tc>
          <w:tcPr>
            <w:tcW w:w="1620" w:type="dxa"/>
            <w:vAlign w:val="bottom"/>
            <w:tcBorders>
              <w:right w:val="single" w:sz="8" w:color="auto"/>
            </w:tcBorders>
            <w:vMerge w:val="continue"/>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Talent Management</w:t>
            </w: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Commitee</w:t>
            </w: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2"/>
        </w:trPr>
        <w:tc>
          <w:tcPr>
            <w:tcW w:w="1620" w:type="dxa"/>
            <w:vAlign w:val="bottom"/>
            <w:tcBorders>
              <w:bottom w:val="single" w:sz="8" w:color="auto"/>
              <w:right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68 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80" w:type="dxa"/>
            <w:vAlign w:val="bottom"/>
            <w:gridSpan w:val="3"/>
          </w:tcPr>
          <w:p>
            <w:pPr>
              <w:jc w:val="right"/>
              <w:ind w:right="20"/>
              <w:spacing w:after="0"/>
              <w:rPr>
                <w:sz w:val="20"/>
                <w:szCs w:val="20"/>
                <w:color w:val="auto"/>
              </w:rPr>
            </w:pPr>
            <w:r>
              <w:rPr>
                <w:rFonts w:ascii="Calibri" w:cs="Calibri" w:eastAsia="Calibri" w:hAnsi="Calibri"/>
                <w:sz w:val="14"/>
                <w:szCs w:val="14"/>
                <w:b w:val="1"/>
                <w:bCs w:val="1"/>
                <w:color w:val="005071"/>
              </w:rPr>
              <w:t>Executve compensaton</w:t>
            </w:r>
          </w:p>
        </w:tc>
        <w:tc>
          <w:tcPr>
            <w:tcW w:w="0" w:type="dxa"/>
            <w:vAlign w:val="bottom"/>
          </w:tcPr>
          <w:p>
            <w:pPr>
              <w:spacing w:after="0"/>
              <w:rPr>
                <w:sz w:val="1"/>
                <w:szCs w:val="1"/>
                <w:color w:val="auto"/>
              </w:rPr>
            </w:pPr>
          </w:p>
        </w:tc>
      </w:tr>
      <w:tr>
        <w:trPr>
          <w:trHeight w:val="369"/>
        </w:trPr>
        <w:tc>
          <w:tcPr>
            <w:tcW w:w="20" w:type="dxa"/>
            <w:vAlign w:val="bottom"/>
            <w:vMerge w:val="restart"/>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gridSpan w:val="3"/>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560" w:type="dxa"/>
            <w:vAlign w:val="bottom"/>
            <w:tcBorders>
              <w:right w:val="single" w:sz="8" w:color="auto"/>
            </w:tcBorders>
          </w:tcPr>
          <w:p>
            <w:pPr>
              <w:spacing w:after="0" w:line="171" w:lineRule="exact"/>
              <w:rPr>
                <w:sz w:val="20"/>
                <w:szCs w:val="20"/>
                <w:color w:val="auto"/>
              </w:rPr>
            </w:pPr>
            <w:r>
              <w:rPr>
                <w:rFonts w:ascii="Calibri" w:cs="Calibri" w:eastAsia="Calibri" w:hAnsi="Calibri"/>
                <w:sz w:val="17"/>
                <w:szCs w:val="17"/>
                <w:b w:val="1"/>
                <w:bCs w:val="1"/>
                <w:color w:val="auto"/>
              </w:rPr>
              <w:t>Independent</w:t>
            </w:r>
          </w:p>
        </w:tc>
        <w:tc>
          <w:tcPr>
            <w:tcW w:w="8160" w:type="dxa"/>
            <w:vAlign w:val="bottom"/>
            <w:gridSpan w:val="3"/>
          </w:tcPr>
          <w:p>
            <w:pPr>
              <w:ind w:left="180"/>
              <w:spacing w:after="0" w:line="171" w:lineRule="exact"/>
              <w:rPr>
                <w:sz w:val="20"/>
                <w:szCs w:val="20"/>
                <w:color w:val="auto"/>
              </w:rPr>
            </w:pPr>
            <w:r>
              <w:rPr>
                <w:rFonts w:ascii="Calibri" w:cs="Calibri" w:eastAsia="Calibri" w:hAnsi="Calibri"/>
                <w:sz w:val="16"/>
                <w:szCs w:val="16"/>
                <w:color w:val="auto"/>
                <w:w w:val="98"/>
              </w:rPr>
              <w:t>For 2023, the Compensaton and Talent Management Commitee retained the services of Farient, a qualifed and independent</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80" w:type="dxa"/>
            <w:vAlign w:val="bottom"/>
            <w:tcBorders>
              <w:right w:val="single" w:sz="8" w:color="auto"/>
            </w:tcBorders>
            <w:gridSpan w:val="2"/>
          </w:tcPr>
          <w:p>
            <w:pPr>
              <w:spacing w:after="0" w:line="195" w:lineRule="exact"/>
              <w:rPr>
                <w:sz w:val="20"/>
                <w:szCs w:val="20"/>
                <w:color w:val="auto"/>
              </w:rPr>
            </w:pPr>
            <w:r>
              <w:rPr>
                <w:rFonts w:ascii="Calibri" w:cs="Calibri" w:eastAsia="Calibri" w:hAnsi="Calibri"/>
                <w:sz w:val="17"/>
                <w:szCs w:val="17"/>
                <w:b w:val="1"/>
                <w:bCs w:val="1"/>
                <w:color w:val="auto"/>
              </w:rPr>
              <w:t>compensaton</w:t>
            </w:r>
          </w:p>
        </w:tc>
        <w:tc>
          <w:tcPr>
            <w:tcW w:w="9060" w:type="dxa"/>
            <w:vAlign w:val="bottom"/>
            <w:gridSpan w:val="5"/>
          </w:tcPr>
          <w:p>
            <w:pPr>
              <w:ind w:left="180"/>
              <w:spacing w:after="0" w:line="185" w:lineRule="exact"/>
              <w:rPr>
                <w:sz w:val="20"/>
                <w:szCs w:val="20"/>
                <w:color w:val="auto"/>
              </w:rPr>
            </w:pPr>
            <w:r>
              <w:rPr>
                <w:rFonts w:ascii="Calibri" w:cs="Calibri" w:eastAsia="Calibri" w:hAnsi="Calibri"/>
                <w:sz w:val="16"/>
                <w:szCs w:val="16"/>
                <w:color w:val="auto"/>
              </w:rPr>
              <w:t>compensaton consultant, to aid the Compensaton and Talent Management Commitee in performing its dutes. The Compensaton and</w:t>
            </w:r>
          </w:p>
        </w:tc>
        <w:tc>
          <w:tcPr>
            <w:tcW w:w="0" w:type="dxa"/>
            <w:vAlign w:val="bottom"/>
          </w:tcPr>
          <w:p>
            <w:pPr>
              <w:spacing w:after="0"/>
              <w:rPr>
                <w:sz w:val="1"/>
                <w:szCs w:val="1"/>
                <w:color w:val="auto"/>
              </w:rPr>
            </w:pPr>
          </w:p>
        </w:tc>
      </w:tr>
      <w:tr>
        <w:trPr>
          <w:trHeight w:val="228"/>
        </w:trPr>
        <w:tc>
          <w:tcPr>
            <w:tcW w:w="1580" w:type="dxa"/>
            <w:vAlign w:val="bottom"/>
            <w:tcBorders>
              <w:right w:val="single" w:sz="8" w:color="auto"/>
            </w:tcBorders>
            <w:gridSpan w:val="2"/>
          </w:tcPr>
          <w:p>
            <w:pPr>
              <w:spacing w:after="0"/>
              <w:rPr>
                <w:sz w:val="20"/>
                <w:szCs w:val="20"/>
                <w:color w:val="auto"/>
              </w:rPr>
            </w:pPr>
            <w:r>
              <w:rPr>
                <w:rFonts w:ascii="Calibri" w:cs="Calibri" w:eastAsia="Calibri" w:hAnsi="Calibri"/>
                <w:sz w:val="17"/>
                <w:szCs w:val="17"/>
                <w:b w:val="1"/>
                <w:bCs w:val="1"/>
                <w:color w:val="auto"/>
              </w:rPr>
              <w:t>consultant</w:t>
            </w:r>
          </w:p>
        </w:tc>
        <w:tc>
          <w:tcPr>
            <w:tcW w:w="8160" w:type="dxa"/>
            <w:vAlign w:val="bottom"/>
            <w:gridSpan w:val="3"/>
          </w:tcPr>
          <w:p>
            <w:pPr>
              <w:ind w:left="180"/>
              <w:spacing w:after="0" w:line="185" w:lineRule="exact"/>
              <w:rPr>
                <w:sz w:val="20"/>
                <w:szCs w:val="20"/>
                <w:color w:val="auto"/>
              </w:rPr>
            </w:pPr>
            <w:r>
              <w:rPr>
                <w:rFonts w:ascii="Calibri" w:cs="Calibri" w:eastAsia="Calibri" w:hAnsi="Calibri"/>
                <w:sz w:val="16"/>
                <w:szCs w:val="16"/>
                <w:color w:val="auto"/>
              </w:rPr>
              <w:t>Talent Management Commitee’s compensaton consultant assists in:</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816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reviewing our executve pay philosophy,</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816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collectng and evaluatng external market data regarding executve compensaton and performance,</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w:t>
            </w:r>
          </w:p>
        </w:tc>
        <w:tc>
          <w:tcPr>
            <w:tcW w:w="2340" w:type="dxa"/>
            <w:vAlign w:val="bottom"/>
          </w:tcPr>
          <w:p>
            <w:pPr>
              <w:ind w:left="60"/>
              <w:spacing w:after="0"/>
              <w:rPr>
                <w:sz w:val="20"/>
                <w:szCs w:val="20"/>
                <w:color w:val="auto"/>
              </w:rPr>
            </w:pPr>
            <w:r>
              <w:rPr>
                <w:rFonts w:ascii="Calibri" w:cs="Calibri" w:eastAsia="Calibri" w:hAnsi="Calibri"/>
                <w:sz w:val="16"/>
                <w:szCs w:val="16"/>
                <w:color w:val="auto"/>
              </w:rPr>
              <w:t>   selectng peer group companies,</w:t>
            </w: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w:t>
            </w:r>
          </w:p>
        </w:tc>
        <w:tc>
          <w:tcPr>
            <w:tcW w:w="2340" w:type="dxa"/>
            <w:vAlign w:val="bottom"/>
          </w:tcPr>
          <w:p>
            <w:pPr>
              <w:ind w:left="60"/>
              <w:spacing w:after="0"/>
              <w:rPr>
                <w:sz w:val="20"/>
                <w:szCs w:val="20"/>
                <w:color w:val="auto"/>
              </w:rPr>
            </w:pPr>
            <w:r>
              <w:rPr>
                <w:rFonts w:ascii="Calibri" w:cs="Calibri" w:eastAsia="Calibri" w:hAnsi="Calibri"/>
                <w:sz w:val="16"/>
                <w:szCs w:val="16"/>
                <w:color w:val="auto"/>
              </w:rPr>
              <w:t>   reviewing the Proxy Statement,</w:t>
            </w: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06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advising the Compensaton and Talent Management Commitee on developing trends and best practces in executve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7520" w:type="dxa"/>
            <w:vAlign w:val="bottom"/>
            <w:gridSpan w:val="2"/>
          </w:tcPr>
          <w:p>
            <w:pPr>
              <w:ind w:left="180"/>
              <w:spacing w:after="0" w:line="187" w:lineRule="exact"/>
              <w:rPr>
                <w:sz w:val="20"/>
                <w:szCs w:val="20"/>
                <w:color w:val="auto"/>
              </w:rPr>
            </w:pPr>
            <w:r>
              <w:rPr>
                <w:rFonts w:ascii="Calibri" w:cs="Calibri" w:eastAsia="Calibri" w:hAnsi="Calibri"/>
                <w:sz w:val="16"/>
                <w:szCs w:val="16"/>
                <w:color w:val="auto"/>
              </w:rPr>
              <w:t>compensaton and compensaton governance, and</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06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advising the Compensaton and Talent Management Commitee on incentve plan design that aligns with our strategy.</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9060" w:type="dxa"/>
            <w:vAlign w:val="bottom"/>
            <w:gridSpan w:val="5"/>
          </w:tcPr>
          <w:p>
            <w:pPr>
              <w:ind w:left="180"/>
              <w:spacing w:after="0"/>
              <w:rPr>
                <w:sz w:val="20"/>
                <w:szCs w:val="20"/>
                <w:color w:val="auto"/>
              </w:rPr>
            </w:pPr>
            <w:r>
              <w:rPr>
                <w:rFonts w:ascii="Calibri" w:cs="Calibri" w:eastAsia="Calibri" w:hAnsi="Calibri"/>
                <w:sz w:val="16"/>
                <w:szCs w:val="16"/>
                <w:color w:val="auto"/>
                <w:w w:val="99"/>
              </w:rPr>
              <w:t>In additon, Farient advises our Nominatng and Corporate Governance Commitee regarding director compensaton. Other than performing</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9060" w:type="dxa"/>
            <w:vAlign w:val="bottom"/>
            <w:gridSpan w:val="5"/>
          </w:tcPr>
          <w:p>
            <w:pPr>
              <w:ind w:left="180"/>
              <w:spacing w:after="0"/>
              <w:rPr>
                <w:sz w:val="20"/>
                <w:szCs w:val="20"/>
                <w:color w:val="auto"/>
              </w:rPr>
            </w:pPr>
            <w:r>
              <w:rPr>
                <w:rFonts w:ascii="Calibri" w:cs="Calibri" w:eastAsia="Calibri" w:hAnsi="Calibri"/>
                <w:sz w:val="16"/>
                <w:szCs w:val="16"/>
                <w:color w:val="auto"/>
              </w:rPr>
              <w:t>these consultng services, Farient does not provide other services to us or our executve ofcers. We have afrmatvely determined that no</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9060" w:type="dxa"/>
            <w:vAlign w:val="bottom"/>
            <w:gridSpan w:val="5"/>
          </w:tcPr>
          <w:p>
            <w:pPr>
              <w:ind w:left="180"/>
              <w:spacing w:after="0"/>
              <w:rPr>
                <w:sz w:val="20"/>
                <w:szCs w:val="20"/>
                <w:color w:val="auto"/>
              </w:rPr>
            </w:pPr>
            <w:r>
              <w:rPr>
                <w:rFonts w:ascii="Calibri" w:cs="Calibri" w:eastAsia="Calibri" w:hAnsi="Calibri"/>
                <w:sz w:val="16"/>
                <w:szCs w:val="16"/>
                <w:color w:val="auto"/>
              </w:rPr>
              <w:t>confict of interest has arisen in connecton with the work of Farient as compensaton consultant for the Compensaton and Talent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6"/>
                <w:szCs w:val="16"/>
                <w:color w:val="auto"/>
              </w:rPr>
              <w:t>Management Commitee.</w:t>
            </w:r>
          </w:p>
        </w:tc>
        <w:tc>
          <w:tcPr>
            <w:tcW w:w="5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9040" w:type="dxa"/>
            <w:vAlign w:val="bottom"/>
            <w:tcBorders>
              <w:bottom w:val="single" w:sz="8" w:color="auto"/>
            </w:tcBorders>
            <w:gridSpan w:val="4"/>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560" w:type="dxa"/>
            <w:vAlign w:val="bottom"/>
            <w:tcBorders>
              <w:right w:val="single" w:sz="8" w:color="auto"/>
            </w:tcBorders>
          </w:tcPr>
          <w:p>
            <w:pPr>
              <w:spacing w:after="0" w:line="171" w:lineRule="exact"/>
              <w:rPr>
                <w:sz w:val="20"/>
                <w:szCs w:val="20"/>
                <w:color w:val="auto"/>
              </w:rPr>
            </w:pPr>
            <w:r>
              <w:rPr>
                <w:rFonts w:ascii="Calibri" w:cs="Calibri" w:eastAsia="Calibri" w:hAnsi="Calibri"/>
                <w:sz w:val="17"/>
                <w:szCs w:val="17"/>
                <w:b w:val="1"/>
                <w:bCs w:val="1"/>
                <w:color w:val="auto"/>
              </w:rPr>
              <w:t>Peer market data</w:t>
            </w:r>
          </w:p>
        </w:tc>
        <w:tc>
          <w:tcPr>
            <w:tcW w:w="9040" w:type="dxa"/>
            <w:vAlign w:val="bottom"/>
            <w:gridSpan w:val="4"/>
          </w:tcPr>
          <w:p>
            <w:pPr>
              <w:ind w:left="180"/>
              <w:spacing w:after="0" w:line="171" w:lineRule="exact"/>
              <w:rPr>
                <w:sz w:val="20"/>
                <w:szCs w:val="20"/>
                <w:color w:val="auto"/>
              </w:rPr>
            </w:pPr>
            <w:r>
              <w:rPr>
                <w:rFonts w:ascii="Calibri" w:cs="Calibri" w:eastAsia="Calibri" w:hAnsi="Calibri"/>
                <w:sz w:val="16"/>
                <w:szCs w:val="16"/>
                <w:color w:val="auto"/>
              </w:rPr>
              <w:t>We review peer compensaton data on an annual basis in order to set compensaton for each following year. At the tme compensaton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80" w:type="dxa"/>
            <w:vAlign w:val="bottom"/>
            <w:tcBorders>
              <w:right w:val="single" w:sz="8" w:color="auto"/>
            </w:tcBorders>
            <w:gridSpan w:val="2"/>
            <w:vMerge w:val="restart"/>
          </w:tcPr>
          <w:p>
            <w:pPr>
              <w:spacing w:after="0"/>
              <w:rPr>
                <w:sz w:val="20"/>
                <w:szCs w:val="20"/>
                <w:color w:val="auto"/>
              </w:rPr>
            </w:pPr>
            <w:r>
              <w:rPr>
                <w:rFonts w:ascii="Calibri" w:cs="Calibri" w:eastAsia="Calibri" w:hAnsi="Calibri"/>
                <w:sz w:val="17"/>
                <w:szCs w:val="17"/>
                <w:b w:val="1"/>
                <w:bCs w:val="1"/>
                <w:color w:val="auto"/>
              </w:rPr>
              <w:t>Compensaton and</w:t>
            </w:r>
          </w:p>
        </w:tc>
        <w:tc>
          <w:tcPr>
            <w:tcW w:w="9060" w:type="dxa"/>
            <w:vAlign w:val="bottom"/>
            <w:gridSpan w:val="5"/>
          </w:tcPr>
          <w:p>
            <w:pPr>
              <w:ind w:left="180"/>
              <w:spacing w:after="0" w:line="185" w:lineRule="exact"/>
              <w:rPr>
                <w:sz w:val="20"/>
                <w:szCs w:val="20"/>
                <w:color w:val="auto"/>
              </w:rPr>
            </w:pPr>
            <w:r>
              <w:rPr>
                <w:rFonts w:ascii="Calibri" w:cs="Calibri" w:eastAsia="Calibri" w:hAnsi="Calibri"/>
                <w:sz w:val="16"/>
                <w:szCs w:val="16"/>
                <w:color w:val="auto"/>
              </w:rPr>
              <w:t>decisions were made for our senior executve ofcers in 2023, our Compensaton and Talent Management Commitee reviewed publicly</w:t>
            </w:r>
          </w:p>
        </w:tc>
        <w:tc>
          <w:tcPr>
            <w:tcW w:w="0" w:type="dxa"/>
            <w:vAlign w:val="bottom"/>
          </w:tcPr>
          <w:p>
            <w:pPr>
              <w:spacing w:after="0"/>
              <w:rPr>
                <w:sz w:val="1"/>
                <w:szCs w:val="1"/>
                <w:color w:val="auto"/>
              </w:rPr>
            </w:pPr>
          </w:p>
        </w:tc>
      </w:tr>
      <w:tr>
        <w:trPr>
          <w:trHeight w:val="147"/>
        </w:trPr>
        <w:tc>
          <w:tcPr>
            <w:tcW w:w="1580" w:type="dxa"/>
            <w:vAlign w:val="bottom"/>
            <w:tcBorders>
              <w:right w:val="single" w:sz="8" w:color="auto"/>
            </w:tcBorders>
            <w:gridSpan w:val="2"/>
            <w:vMerge w:val="continue"/>
          </w:tcPr>
          <w:p>
            <w:pPr>
              <w:spacing w:after="0"/>
              <w:rPr>
                <w:sz w:val="12"/>
                <w:szCs w:val="12"/>
                <w:color w:val="auto"/>
              </w:rPr>
            </w:pPr>
          </w:p>
        </w:tc>
        <w:tc>
          <w:tcPr>
            <w:tcW w:w="9060" w:type="dxa"/>
            <w:vAlign w:val="bottom"/>
            <w:gridSpan w:val="5"/>
            <w:vMerge w:val="restart"/>
          </w:tcPr>
          <w:p>
            <w:pPr>
              <w:ind w:left="180"/>
              <w:spacing w:after="0"/>
              <w:rPr>
                <w:sz w:val="20"/>
                <w:szCs w:val="20"/>
                <w:color w:val="auto"/>
              </w:rPr>
            </w:pPr>
            <w:r>
              <w:rPr>
                <w:rFonts w:ascii="Calibri" w:cs="Calibri" w:eastAsia="Calibri" w:hAnsi="Calibri"/>
                <w:sz w:val="16"/>
                <w:szCs w:val="16"/>
                <w:color w:val="auto"/>
                <w:w w:val="99"/>
              </w:rPr>
              <w:t>available compensaton data. In partnership with our independent compensaton consultant, we have established a list of criteria to assess</w:t>
            </w:r>
          </w:p>
        </w:tc>
        <w:tc>
          <w:tcPr>
            <w:tcW w:w="0" w:type="dxa"/>
            <w:vAlign w:val="bottom"/>
          </w:tcPr>
          <w:p>
            <w:pPr>
              <w:spacing w:after="0"/>
              <w:rPr>
                <w:sz w:val="1"/>
                <w:szCs w:val="1"/>
                <w:color w:val="auto"/>
              </w:rPr>
            </w:pPr>
          </w:p>
        </w:tc>
      </w:tr>
      <w:tr>
        <w:trPr>
          <w:trHeight w:val="48"/>
        </w:trPr>
        <w:tc>
          <w:tcPr>
            <w:tcW w:w="1580" w:type="dxa"/>
            <w:vAlign w:val="bottom"/>
            <w:tcBorders>
              <w:right w:val="single" w:sz="8" w:color="auto"/>
            </w:tcBorders>
            <w:gridSpan w:val="2"/>
            <w:vMerge w:val="restart"/>
          </w:tcPr>
          <w:p>
            <w:pPr>
              <w:spacing w:after="0"/>
              <w:rPr>
                <w:sz w:val="20"/>
                <w:szCs w:val="20"/>
                <w:color w:val="auto"/>
              </w:rPr>
            </w:pPr>
            <w:r>
              <w:rPr>
                <w:rFonts w:ascii="Calibri" w:cs="Calibri" w:eastAsia="Calibri" w:hAnsi="Calibri"/>
                <w:sz w:val="17"/>
                <w:szCs w:val="17"/>
                <w:b w:val="1"/>
                <w:bCs w:val="1"/>
                <w:color w:val="auto"/>
              </w:rPr>
              <w:t>Talent Management</w:t>
            </w:r>
          </w:p>
        </w:tc>
        <w:tc>
          <w:tcPr>
            <w:tcW w:w="90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580" w:type="dxa"/>
            <w:vAlign w:val="bottom"/>
            <w:tcBorders>
              <w:right w:val="single" w:sz="8" w:color="auto"/>
            </w:tcBorders>
            <w:gridSpan w:val="2"/>
            <w:vMerge w:val="continue"/>
          </w:tcPr>
          <w:p>
            <w:pPr>
              <w:spacing w:after="0"/>
              <w:rPr>
                <w:sz w:val="14"/>
                <w:szCs w:val="14"/>
                <w:color w:val="auto"/>
              </w:rPr>
            </w:pPr>
          </w:p>
        </w:tc>
        <w:tc>
          <w:tcPr>
            <w:tcW w:w="9060" w:type="dxa"/>
            <w:vAlign w:val="bottom"/>
            <w:gridSpan w:val="5"/>
          </w:tcPr>
          <w:p>
            <w:pPr>
              <w:ind w:left="180"/>
              <w:spacing w:after="0" w:line="162" w:lineRule="exact"/>
              <w:rPr>
                <w:sz w:val="20"/>
                <w:szCs w:val="20"/>
                <w:color w:val="auto"/>
              </w:rPr>
            </w:pPr>
            <w:r>
              <w:rPr>
                <w:rFonts w:ascii="Calibri" w:cs="Calibri" w:eastAsia="Calibri" w:hAnsi="Calibri"/>
                <w:sz w:val="16"/>
                <w:szCs w:val="16"/>
                <w:color w:val="auto"/>
              </w:rPr>
              <w:t>the relevance of diferent companies to be included in our compensaton peer group. The criteria by which we select our peers includes</w:t>
            </w: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gridSpan w:val="2"/>
          </w:tcPr>
          <w:p>
            <w:pPr>
              <w:spacing w:after="0" w:line="206" w:lineRule="exact"/>
              <w:rPr>
                <w:sz w:val="20"/>
                <w:szCs w:val="20"/>
                <w:color w:val="auto"/>
              </w:rPr>
            </w:pPr>
            <w:r>
              <w:rPr>
                <w:rFonts w:ascii="Calibri" w:cs="Calibri" w:eastAsia="Calibri" w:hAnsi="Calibri"/>
                <w:sz w:val="17"/>
                <w:szCs w:val="17"/>
                <w:b w:val="1"/>
                <w:bCs w:val="1"/>
                <w:color w:val="auto"/>
              </w:rPr>
              <w:t>Commitee and</w:t>
            </w:r>
          </w:p>
        </w:tc>
        <w:tc>
          <w:tcPr>
            <w:tcW w:w="9060" w:type="dxa"/>
            <w:vAlign w:val="bottom"/>
            <w:gridSpan w:val="5"/>
          </w:tcPr>
          <w:p>
            <w:pPr>
              <w:ind w:left="180"/>
              <w:spacing w:after="0"/>
              <w:rPr>
                <w:sz w:val="20"/>
                <w:szCs w:val="20"/>
                <w:color w:val="auto"/>
              </w:rPr>
            </w:pPr>
            <w:r>
              <w:rPr>
                <w:rFonts w:ascii="Calibri" w:cs="Calibri" w:eastAsia="Calibri" w:hAnsi="Calibri"/>
                <w:sz w:val="16"/>
                <w:szCs w:val="16"/>
                <w:color w:val="auto"/>
                <w:w w:val="99"/>
              </w:rPr>
              <w:t>companies that are in similar industries, have similar business models (operatng in similar markets, requiring similar executve talent skills</w:t>
            </w: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gridSpan w:val="2"/>
          </w:tcPr>
          <w:p>
            <w:pPr>
              <w:spacing w:after="0" w:line="206" w:lineRule="exact"/>
              <w:rPr>
                <w:sz w:val="20"/>
                <w:szCs w:val="20"/>
                <w:color w:val="auto"/>
              </w:rPr>
            </w:pPr>
            <w:r>
              <w:rPr>
                <w:rFonts w:ascii="Calibri" w:cs="Calibri" w:eastAsia="Calibri" w:hAnsi="Calibri"/>
                <w:sz w:val="17"/>
                <w:szCs w:val="17"/>
                <w:b w:val="1"/>
                <w:bCs w:val="1"/>
                <w:color w:val="auto"/>
              </w:rPr>
              <w:t>independent</w:t>
            </w:r>
          </w:p>
        </w:tc>
        <w:tc>
          <w:tcPr>
            <w:tcW w:w="8160" w:type="dxa"/>
            <w:vAlign w:val="bottom"/>
            <w:gridSpan w:val="3"/>
          </w:tcPr>
          <w:p>
            <w:pPr>
              <w:ind w:left="180"/>
              <w:spacing w:after="0"/>
              <w:rPr>
                <w:sz w:val="20"/>
                <w:szCs w:val="20"/>
                <w:color w:val="auto"/>
              </w:rPr>
            </w:pPr>
            <w:r>
              <w:rPr>
                <w:rFonts w:ascii="Calibri" w:cs="Calibri" w:eastAsia="Calibri" w:hAnsi="Calibri"/>
                <w:sz w:val="16"/>
                <w:szCs w:val="16"/>
                <w:color w:val="auto"/>
                <w:w w:val="98"/>
              </w:rPr>
              <w:t>and subject to similar market forces), and are within a revenue range of around half our revenues to four tmes our revenues.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580" w:type="dxa"/>
            <w:vAlign w:val="bottom"/>
            <w:tcBorders>
              <w:right w:val="single" w:sz="8" w:color="auto"/>
            </w:tcBorders>
            <w:gridSpan w:val="2"/>
          </w:tcPr>
          <w:p>
            <w:pPr>
              <w:spacing w:after="0" w:line="206" w:lineRule="exact"/>
              <w:rPr>
                <w:sz w:val="20"/>
                <w:szCs w:val="20"/>
                <w:color w:val="auto"/>
              </w:rPr>
            </w:pPr>
            <w:r>
              <w:rPr>
                <w:rFonts w:ascii="Calibri" w:cs="Calibri" w:eastAsia="Calibri" w:hAnsi="Calibri"/>
                <w:sz w:val="17"/>
                <w:szCs w:val="17"/>
                <w:b w:val="1"/>
                <w:bCs w:val="1"/>
                <w:color w:val="auto"/>
              </w:rPr>
              <w:t>compensaton</w:t>
            </w:r>
          </w:p>
        </w:tc>
        <w:tc>
          <w:tcPr>
            <w:tcW w:w="6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tcBorders>
              <w:right w:val="single" w:sz="8" w:color="auto"/>
            </w:tcBorders>
            <w:gridSpan w:val="2"/>
          </w:tcPr>
          <w:p>
            <w:pPr>
              <w:spacing w:after="0"/>
              <w:rPr>
                <w:sz w:val="20"/>
                <w:szCs w:val="20"/>
                <w:color w:val="auto"/>
              </w:rPr>
            </w:pPr>
            <w:r>
              <w:rPr>
                <w:rFonts w:ascii="Calibri" w:cs="Calibri" w:eastAsia="Calibri" w:hAnsi="Calibri"/>
                <w:sz w:val="17"/>
                <w:szCs w:val="17"/>
                <w:b w:val="1"/>
                <w:bCs w:val="1"/>
                <w:color w:val="auto"/>
              </w:rPr>
              <w:t>consultants</w:t>
            </w:r>
          </w:p>
        </w:tc>
        <w:tc>
          <w:tcPr>
            <w:tcW w:w="9060" w:type="dxa"/>
            <w:vAlign w:val="bottom"/>
            <w:gridSpan w:val="5"/>
          </w:tcPr>
          <w:p>
            <w:pPr>
              <w:ind w:left="180"/>
              <w:spacing w:after="0"/>
              <w:rPr>
                <w:sz w:val="20"/>
                <w:szCs w:val="20"/>
                <w:color w:val="auto"/>
              </w:rPr>
            </w:pPr>
            <w:r>
              <w:rPr>
                <w:rFonts w:ascii="Calibri" w:cs="Calibri" w:eastAsia="Calibri" w:hAnsi="Calibri"/>
                <w:sz w:val="16"/>
                <w:szCs w:val="16"/>
                <w:color w:val="auto"/>
              </w:rPr>
              <w:t>The following chart shows the peer group companies that we used to make 2023 compensaton decisions, as well as the respectve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6"/>
                <w:szCs w:val="16"/>
                <w:color w:val="auto"/>
              </w:rPr>
              <w:t>industries and 2023 revenues of each:</w:t>
            </w:r>
          </w:p>
        </w:tc>
        <w:tc>
          <w:tcPr>
            <w:tcW w:w="5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Calibri" w:cs="Calibri" w:eastAsia="Calibri" w:hAnsi="Calibri"/>
                <w:sz w:val="17"/>
                <w:szCs w:val="17"/>
                <w:b w:val="1"/>
                <w:bCs w:val="1"/>
                <w:color w:val="FB4E0B"/>
              </w:rPr>
              <w:t>Revenue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7"/>
                <w:szCs w:val="17"/>
                <w:b w:val="1"/>
                <w:bCs w:val="1"/>
                <w:color w:val="FB4E0B"/>
              </w:rPr>
              <w:t>Company</w:t>
            </w:r>
          </w:p>
        </w:tc>
        <w:tc>
          <w:tcPr>
            <w:tcW w:w="5180" w:type="dxa"/>
            <w:vAlign w:val="bottom"/>
          </w:tcPr>
          <w:p>
            <w:pPr>
              <w:ind w:left="120"/>
              <w:spacing w:after="0"/>
              <w:rPr>
                <w:sz w:val="20"/>
                <w:szCs w:val="20"/>
                <w:color w:val="auto"/>
              </w:rPr>
            </w:pPr>
            <w:r>
              <w:rPr>
                <w:rFonts w:ascii="Calibri" w:cs="Calibri" w:eastAsia="Calibri" w:hAnsi="Calibri"/>
                <w:sz w:val="17"/>
                <w:szCs w:val="17"/>
                <w:b w:val="1"/>
                <w:bCs w:val="1"/>
                <w:color w:val="FB4E0B"/>
              </w:rPr>
              <w:t>Industry</w:t>
            </w:r>
          </w:p>
        </w:tc>
        <w:tc>
          <w:tcPr>
            <w:tcW w:w="900" w:type="dxa"/>
            <w:vAlign w:val="bottom"/>
            <w:gridSpan w:val="2"/>
          </w:tcPr>
          <w:p>
            <w:pPr>
              <w:jc w:val="right"/>
              <w:ind w:right="20"/>
              <w:spacing w:after="0"/>
              <w:rPr>
                <w:sz w:val="20"/>
                <w:szCs w:val="20"/>
                <w:color w:val="auto"/>
              </w:rPr>
            </w:pPr>
            <w:r>
              <w:rPr>
                <w:rFonts w:ascii="Calibri" w:cs="Calibri" w:eastAsia="Calibri" w:hAnsi="Calibri"/>
                <w:sz w:val="17"/>
                <w:szCs w:val="17"/>
                <w:b w:val="1"/>
                <w:bCs w:val="1"/>
                <w:color w:val="FB4E0B"/>
                <w:w w:val="98"/>
              </w:rPr>
              <w:t>($MM, USD)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2980" w:type="dxa"/>
            <w:vAlign w:val="bottom"/>
            <w:tcBorders>
              <w:bottom w:val="single" w:sz="8" w:color="FB4E0B"/>
            </w:tcBorders>
            <w:gridSpan w:val="2"/>
          </w:tcPr>
          <w:p>
            <w:pPr>
              <w:spacing w:after="0"/>
              <w:rPr>
                <w:sz w:val="8"/>
                <w:szCs w:val="8"/>
                <w:color w:val="auto"/>
              </w:rPr>
            </w:pPr>
          </w:p>
        </w:tc>
        <w:tc>
          <w:tcPr>
            <w:tcW w:w="5180" w:type="dxa"/>
            <w:vAlign w:val="bottom"/>
            <w:tcBorders>
              <w:bottom w:val="single" w:sz="8" w:color="FB4E0B"/>
            </w:tcBorders>
          </w:tcPr>
          <w:p>
            <w:pPr>
              <w:spacing w:after="0"/>
              <w:rPr>
                <w:sz w:val="8"/>
                <w:szCs w:val="8"/>
                <w:color w:val="auto"/>
              </w:rPr>
            </w:pPr>
          </w:p>
        </w:tc>
        <w:tc>
          <w:tcPr>
            <w:tcW w:w="880" w:type="dxa"/>
            <w:vAlign w:val="bottom"/>
            <w:tcBorders>
              <w:bottom w:val="single" w:sz="8" w:color="FB4E0B"/>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980" w:type="dxa"/>
            <w:vAlign w:val="bottom"/>
            <w:gridSpan w:val="2"/>
          </w:tcPr>
          <w:p>
            <w:pPr>
              <w:ind w:left="180"/>
              <w:spacing w:after="0" w:line="185" w:lineRule="exact"/>
              <w:rPr>
                <w:sz w:val="20"/>
                <w:szCs w:val="20"/>
                <w:color w:val="auto"/>
              </w:rPr>
            </w:pPr>
            <w:r>
              <w:rPr>
                <w:rFonts w:ascii="Calibri" w:cs="Calibri" w:eastAsia="Calibri" w:hAnsi="Calibri"/>
                <w:sz w:val="16"/>
                <w:szCs w:val="16"/>
                <w:color w:val="auto"/>
              </w:rPr>
              <w:t>EPAM Systems, Inc.</w:t>
            </w:r>
          </w:p>
        </w:tc>
        <w:tc>
          <w:tcPr>
            <w:tcW w:w="5180" w:type="dxa"/>
            <w:vAlign w:val="bottom"/>
          </w:tcPr>
          <w:p>
            <w:pPr>
              <w:ind w:left="120"/>
              <w:spacing w:after="0" w:line="185" w:lineRule="exact"/>
              <w:rPr>
                <w:sz w:val="20"/>
                <w:szCs w:val="20"/>
                <w:color w:val="auto"/>
              </w:rPr>
            </w:pPr>
            <w:r>
              <w:rPr>
                <w:rFonts w:ascii="Calibri" w:cs="Calibri" w:eastAsia="Calibri" w:hAnsi="Calibri"/>
                <w:sz w:val="16"/>
                <w:szCs w:val="16"/>
                <w:color w:val="auto"/>
              </w:rPr>
              <w:t>IT Consultng and Other Services</w:t>
            </w:r>
          </w:p>
        </w:tc>
        <w:tc>
          <w:tcPr>
            <w:tcW w:w="880" w:type="dxa"/>
            <w:vAlign w:val="bottom"/>
          </w:tcPr>
          <w:p>
            <w:pPr>
              <w:jc w:val="center"/>
              <w:spacing w:after="0" w:line="185" w:lineRule="exact"/>
              <w:rPr>
                <w:sz w:val="20"/>
                <w:szCs w:val="20"/>
                <w:color w:val="auto"/>
              </w:rPr>
            </w:pPr>
            <w:r>
              <w:rPr>
                <w:rFonts w:ascii="Calibri" w:cs="Calibri" w:eastAsia="Calibri" w:hAnsi="Calibri"/>
                <w:sz w:val="16"/>
                <w:szCs w:val="16"/>
                <w:color w:val="auto"/>
                <w:w w:val="98"/>
              </w:rPr>
              <w:t>$4,691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Genpact Limited</w:t>
            </w:r>
          </w:p>
        </w:tc>
        <w:tc>
          <w:tcPr>
            <w:tcW w:w="5180" w:type="dxa"/>
            <w:vAlign w:val="bottom"/>
          </w:tcPr>
          <w:p>
            <w:pPr>
              <w:ind w:left="120"/>
              <w:spacing w:after="0" w:line="178" w:lineRule="exact"/>
              <w:rPr>
                <w:sz w:val="20"/>
                <w:szCs w:val="20"/>
                <w:color w:val="auto"/>
              </w:rPr>
            </w:pPr>
            <w:r>
              <w:rPr>
                <w:rFonts w:ascii="Calibri" w:cs="Calibri" w:eastAsia="Calibri" w:hAnsi="Calibri"/>
                <w:sz w:val="16"/>
                <w:szCs w:val="16"/>
                <w:color w:val="auto"/>
              </w:rPr>
              <w:t>Data Processing and Outsourced Services</w:t>
            </w:r>
          </w:p>
        </w:tc>
        <w:tc>
          <w:tcPr>
            <w:tcW w:w="880" w:type="dxa"/>
            <w:vAlign w:val="bottom"/>
          </w:tcPr>
          <w:p>
            <w:pPr>
              <w:jc w:val="center"/>
              <w:spacing w:after="0" w:line="178" w:lineRule="exact"/>
              <w:rPr>
                <w:sz w:val="20"/>
                <w:szCs w:val="20"/>
                <w:color w:val="auto"/>
              </w:rPr>
            </w:pPr>
            <w:r>
              <w:rPr>
                <w:rFonts w:ascii="Calibri" w:cs="Calibri" w:eastAsia="Calibri" w:hAnsi="Calibri"/>
                <w:sz w:val="16"/>
                <w:szCs w:val="16"/>
                <w:color w:val="auto"/>
                <w:w w:val="98"/>
              </w:rPr>
              <w:t>$4,477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Splunk Inc.</w:t>
            </w:r>
          </w:p>
        </w:tc>
        <w:tc>
          <w:tcPr>
            <w:tcW w:w="5180" w:type="dxa"/>
            <w:vAlign w:val="bottom"/>
          </w:tcPr>
          <w:p>
            <w:pPr>
              <w:ind w:left="120"/>
              <w:spacing w:after="0" w:line="178" w:lineRule="exact"/>
              <w:rPr>
                <w:sz w:val="20"/>
                <w:szCs w:val="20"/>
                <w:color w:val="auto"/>
              </w:rPr>
            </w:pPr>
            <w:r>
              <w:rPr>
                <w:rFonts w:ascii="Calibri" w:cs="Calibri" w:eastAsia="Calibri" w:hAnsi="Calibri"/>
                <w:sz w:val="16"/>
                <w:szCs w:val="16"/>
                <w:color w:val="auto"/>
              </w:rPr>
              <w:t>Applicaton Sofware</w:t>
            </w:r>
          </w:p>
        </w:tc>
        <w:tc>
          <w:tcPr>
            <w:tcW w:w="880" w:type="dxa"/>
            <w:vAlign w:val="bottom"/>
          </w:tcPr>
          <w:p>
            <w:pPr>
              <w:jc w:val="center"/>
              <w:spacing w:after="0" w:line="178" w:lineRule="exact"/>
              <w:rPr>
                <w:sz w:val="20"/>
                <w:szCs w:val="20"/>
                <w:color w:val="auto"/>
              </w:rPr>
            </w:pPr>
            <w:r>
              <w:rPr>
                <w:rFonts w:ascii="Calibri" w:cs="Calibri" w:eastAsia="Calibri" w:hAnsi="Calibri"/>
                <w:sz w:val="16"/>
                <w:szCs w:val="16"/>
                <w:color w:val="auto"/>
                <w:w w:val="98"/>
              </w:rPr>
              <w:t>$4,216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Verisk Analytcs, Inc.</w:t>
            </w:r>
          </w:p>
        </w:tc>
        <w:tc>
          <w:tcPr>
            <w:tcW w:w="5180" w:type="dxa"/>
            <w:vAlign w:val="bottom"/>
          </w:tcPr>
          <w:p>
            <w:pPr>
              <w:ind w:left="120"/>
              <w:spacing w:after="0" w:line="178" w:lineRule="exact"/>
              <w:rPr>
                <w:sz w:val="20"/>
                <w:szCs w:val="20"/>
                <w:color w:val="auto"/>
              </w:rPr>
            </w:pPr>
            <w:r>
              <w:rPr>
                <w:rFonts w:ascii="Calibri" w:cs="Calibri" w:eastAsia="Calibri" w:hAnsi="Calibri"/>
                <w:sz w:val="16"/>
                <w:szCs w:val="16"/>
                <w:color w:val="auto"/>
              </w:rPr>
              <w:t>Research and Consultng Services</w:t>
            </w:r>
          </w:p>
        </w:tc>
        <w:tc>
          <w:tcPr>
            <w:tcW w:w="880" w:type="dxa"/>
            <w:vAlign w:val="bottom"/>
          </w:tcPr>
          <w:p>
            <w:pPr>
              <w:jc w:val="center"/>
              <w:spacing w:after="0" w:line="178" w:lineRule="exact"/>
              <w:rPr>
                <w:sz w:val="20"/>
                <w:szCs w:val="20"/>
                <w:color w:val="auto"/>
              </w:rPr>
            </w:pPr>
            <w:r>
              <w:rPr>
                <w:rFonts w:ascii="Calibri" w:cs="Calibri" w:eastAsia="Calibri" w:hAnsi="Calibri"/>
                <w:sz w:val="16"/>
                <w:szCs w:val="16"/>
                <w:color w:val="auto"/>
                <w:w w:val="98"/>
              </w:rPr>
              <w:t>$2,681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TTEC Holdings, Inc.</w:t>
            </w:r>
          </w:p>
        </w:tc>
        <w:tc>
          <w:tcPr>
            <w:tcW w:w="5180" w:type="dxa"/>
            <w:vAlign w:val="bottom"/>
          </w:tcPr>
          <w:p>
            <w:pPr>
              <w:ind w:left="120"/>
              <w:spacing w:after="0" w:line="178" w:lineRule="exact"/>
              <w:rPr>
                <w:sz w:val="20"/>
                <w:szCs w:val="20"/>
                <w:color w:val="auto"/>
              </w:rPr>
            </w:pPr>
            <w:r>
              <w:rPr>
                <w:rFonts w:ascii="Calibri" w:cs="Calibri" w:eastAsia="Calibri" w:hAnsi="Calibri"/>
                <w:sz w:val="16"/>
                <w:szCs w:val="16"/>
                <w:color w:val="auto"/>
              </w:rPr>
              <w:t>Data Processing and Outsourced Services</w:t>
            </w:r>
          </w:p>
        </w:tc>
        <w:tc>
          <w:tcPr>
            <w:tcW w:w="880" w:type="dxa"/>
            <w:vAlign w:val="bottom"/>
          </w:tcPr>
          <w:p>
            <w:pPr>
              <w:jc w:val="center"/>
              <w:spacing w:after="0" w:line="178" w:lineRule="exact"/>
              <w:rPr>
                <w:sz w:val="20"/>
                <w:szCs w:val="20"/>
                <w:color w:val="auto"/>
              </w:rPr>
            </w:pPr>
            <w:r>
              <w:rPr>
                <w:rFonts w:ascii="Calibri" w:cs="Calibri" w:eastAsia="Calibri" w:hAnsi="Calibri"/>
                <w:sz w:val="16"/>
                <w:szCs w:val="16"/>
                <w:color w:val="auto"/>
                <w:w w:val="98"/>
              </w:rPr>
              <w:t>$2,463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Teradata Corporaton</w:t>
            </w:r>
          </w:p>
        </w:tc>
        <w:tc>
          <w:tcPr>
            <w:tcW w:w="5180" w:type="dxa"/>
            <w:vAlign w:val="bottom"/>
          </w:tcPr>
          <w:p>
            <w:pPr>
              <w:ind w:left="120"/>
              <w:spacing w:after="0" w:line="178" w:lineRule="exact"/>
              <w:rPr>
                <w:sz w:val="20"/>
                <w:szCs w:val="20"/>
                <w:color w:val="auto"/>
              </w:rPr>
            </w:pPr>
            <w:r>
              <w:rPr>
                <w:rFonts w:ascii="Calibri" w:cs="Calibri" w:eastAsia="Calibri" w:hAnsi="Calibri"/>
                <w:sz w:val="16"/>
                <w:szCs w:val="16"/>
                <w:color w:val="auto"/>
              </w:rPr>
              <w:t>Systems Sofware</w:t>
            </w:r>
          </w:p>
        </w:tc>
        <w:tc>
          <w:tcPr>
            <w:tcW w:w="880" w:type="dxa"/>
            <w:vAlign w:val="bottom"/>
          </w:tcPr>
          <w:p>
            <w:pPr>
              <w:jc w:val="center"/>
              <w:spacing w:after="0" w:line="178" w:lineRule="exact"/>
              <w:rPr>
                <w:sz w:val="20"/>
                <w:szCs w:val="20"/>
                <w:color w:val="auto"/>
              </w:rPr>
            </w:pPr>
            <w:r>
              <w:rPr>
                <w:rFonts w:ascii="Calibri" w:cs="Calibri" w:eastAsia="Calibri" w:hAnsi="Calibri"/>
                <w:sz w:val="16"/>
                <w:szCs w:val="16"/>
                <w:color w:val="auto"/>
                <w:w w:val="98"/>
              </w:rPr>
              <w:t>$1,833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980" w:type="dxa"/>
            <w:vAlign w:val="bottom"/>
            <w:tcBorders>
              <w:bottom w:val="single" w:sz="8" w:color="DCF3FA"/>
            </w:tcBorders>
            <w:gridSpan w:val="2"/>
            <w:shd w:val="clear" w:color="auto" w:fill="DCF3FA"/>
          </w:tcPr>
          <w:p>
            <w:pPr>
              <w:ind w:left="180"/>
              <w:spacing w:after="0" w:line="178" w:lineRule="exact"/>
              <w:rPr>
                <w:sz w:val="20"/>
                <w:szCs w:val="20"/>
                <w:color w:val="auto"/>
              </w:rPr>
            </w:pPr>
            <w:r>
              <w:rPr>
                <w:rFonts w:ascii="Calibri" w:cs="Calibri" w:eastAsia="Calibri" w:hAnsi="Calibri"/>
                <w:sz w:val="16"/>
                <w:szCs w:val="16"/>
                <w:b w:val="1"/>
                <w:bCs w:val="1"/>
                <w:color w:val="auto"/>
              </w:rPr>
              <w:t>ExlService Holdings, Inc.</w:t>
            </w:r>
          </w:p>
        </w:tc>
        <w:tc>
          <w:tcPr>
            <w:tcW w:w="5180" w:type="dxa"/>
            <w:vAlign w:val="bottom"/>
            <w:tcBorders>
              <w:bottom w:val="single" w:sz="8" w:color="DCF3FA"/>
            </w:tcBorders>
            <w:shd w:val="clear" w:color="auto" w:fill="DCF3FA"/>
          </w:tcPr>
          <w:p>
            <w:pPr>
              <w:ind w:left="120"/>
              <w:spacing w:after="0" w:line="178" w:lineRule="exact"/>
              <w:rPr>
                <w:sz w:val="20"/>
                <w:szCs w:val="20"/>
                <w:color w:val="auto"/>
              </w:rPr>
            </w:pPr>
            <w:r>
              <w:rPr>
                <w:rFonts w:ascii="Calibri" w:cs="Calibri" w:eastAsia="Calibri" w:hAnsi="Calibri"/>
                <w:sz w:val="16"/>
                <w:szCs w:val="16"/>
                <w:b w:val="1"/>
                <w:bCs w:val="1"/>
                <w:color w:val="auto"/>
              </w:rPr>
              <w:t>Data Processing and Outsourced Services</w:t>
            </w:r>
          </w:p>
        </w:tc>
        <w:tc>
          <w:tcPr>
            <w:tcW w:w="880" w:type="dxa"/>
            <w:vAlign w:val="bottom"/>
            <w:tcBorders>
              <w:bottom w:val="single" w:sz="8" w:color="DCF3FA"/>
            </w:tcBorders>
            <w:shd w:val="clear" w:color="auto" w:fill="DCF3FA"/>
          </w:tcPr>
          <w:p>
            <w:pPr>
              <w:jc w:val="center"/>
              <w:spacing w:after="0" w:line="178" w:lineRule="exact"/>
              <w:rPr>
                <w:sz w:val="20"/>
                <w:szCs w:val="20"/>
                <w:color w:val="auto"/>
              </w:rPr>
            </w:pPr>
            <w:r>
              <w:rPr>
                <w:rFonts w:ascii="Calibri" w:cs="Calibri" w:eastAsia="Calibri" w:hAnsi="Calibri"/>
                <w:sz w:val="16"/>
                <w:szCs w:val="16"/>
                <w:b w:val="1"/>
                <w:bCs w:val="1"/>
                <w:color w:val="auto"/>
                <w:w w:val="98"/>
              </w:rPr>
              <w:t>$1,631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tcBorders>
              <w:top w:val="single" w:sz="8" w:color="auto"/>
            </w:tcBorders>
            <w:gridSpan w:val="2"/>
          </w:tcPr>
          <w:p>
            <w:pPr>
              <w:ind w:left="180"/>
              <w:spacing w:after="0" w:line="178" w:lineRule="exact"/>
              <w:rPr>
                <w:sz w:val="20"/>
                <w:szCs w:val="20"/>
                <w:color w:val="auto"/>
              </w:rPr>
            </w:pPr>
            <w:r>
              <w:rPr>
                <w:rFonts w:ascii="Calibri" w:cs="Calibri" w:eastAsia="Calibri" w:hAnsi="Calibri"/>
                <w:sz w:val="16"/>
                <w:szCs w:val="16"/>
                <w:color w:val="auto"/>
              </w:rPr>
              <w:t>Fair Isaac Corporaton</w:t>
            </w:r>
          </w:p>
        </w:tc>
        <w:tc>
          <w:tcPr>
            <w:tcW w:w="5180" w:type="dxa"/>
            <w:vAlign w:val="bottom"/>
            <w:tcBorders>
              <w:top w:val="single" w:sz="8" w:color="auto"/>
            </w:tcBorders>
          </w:tcPr>
          <w:p>
            <w:pPr>
              <w:ind w:left="120"/>
              <w:spacing w:after="0" w:line="178" w:lineRule="exact"/>
              <w:rPr>
                <w:sz w:val="20"/>
                <w:szCs w:val="20"/>
                <w:color w:val="auto"/>
              </w:rPr>
            </w:pPr>
            <w:r>
              <w:rPr>
                <w:rFonts w:ascii="Calibri" w:cs="Calibri" w:eastAsia="Calibri" w:hAnsi="Calibri"/>
                <w:sz w:val="16"/>
                <w:szCs w:val="16"/>
                <w:color w:val="auto"/>
              </w:rPr>
              <w:t>Applicaton Sofware</w:t>
            </w:r>
          </w:p>
        </w:tc>
        <w:tc>
          <w:tcPr>
            <w:tcW w:w="880" w:type="dxa"/>
            <w:vAlign w:val="bottom"/>
            <w:tcBorders>
              <w:top w:val="single" w:sz="8" w:color="auto"/>
            </w:tcBorders>
          </w:tcPr>
          <w:p>
            <w:pPr>
              <w:jc w:val="center"/>
              <w:spacing w:after="0" w:line="178" w:lineRule="exact"/>
              <w:rPr>
                <w:sz w:val="20"/>
                <w:szCs w:val="20"/>
                <w:color w:val="auto"/>
              </w:rPr>
            </w:pPr>
            <w:r>
              <w:rPr>
                <w:rFonts w:ascii="Calibri" w:cs="Calibri" w:eastAsia="Calibri" w:hAnsi="Calibri"/>
                <w:sz w:val="16"/>
                <w:szCs w:val="16"/>
                <w:color w:val="auto"/>
                <w:w w:val="98"/>
              </w:rPr>
              <w:t>$1,514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WNS (Holdings) Limited</w:t>
            </w:r>
          </w:p>
        </w:tc>
        <w:tc>
          <w:tcPr>
            <w:tcW w:w="5180" w:type="dxa"/>
            <w:vAlign w:val="bottom"/>
          </w:tcPr>
          <w:p>
            <w:pPr>
              <w:ind w:left="120"/>
              <w:spacing w:after="0" w:line="178" w:lineRule="exact"/>
              <w:rPr>
                <w:sz w:val="20"/>
                <w:szCs w:val="20"/>
                <w:color w:val="auto"/>
              </w:rPr>
            </w:pPr>
            <w:r>
              <w:rPr>
                <w:rFonts w:ascii="Calibri" w:cs="Calibri" w:eastAsia="Calibri" w:hAnsi="Calibri"/>
                <w:sz w:val="16"/>
                <w:szCs w:val="16"/>
                <w:color w:val="auto"/>
              </w:rPr>
              <w:t>Data Processing and Outsourced Services</w:t>
            </w:r>
          </w:p>
        </w:tc>
        <w:tc>
          <w:tcPr>
            <w:tcW w:w="880" w:type="dxa"/>
            <w:vAlign w:val="bottom"/>
          </w:tcPr>
          <w:p>
            <w:pPr>
              <w:jc w:val="center"/>
              <w:spacing w:after="0" w:line="178" w:lineRule="exact"/>
              <w:rPr>
                <w:sz w:val="20"/>
                <w:szCs w:val="20"/>
                <w:color w:val="auto"/>
              </w:rPr>
            </w:pPr>
            <w:r>
              <w:rPr>
                <w:rFonts w:ascii="Calibri" w:cs="Calibri" w:eastAsia="Calibri" w:hAnsi="Calibri"/>
                <w:sz w:val="16"/>
                <w:szCs w:val="16"/>
                <w:color w:val="auto"/>
                <w:w w:val="98"/>
              </w:rPr>
              <w:t>$1,224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CGS Systems Internatonal, Inc.</w:t>
            </w:r>
          </w:p>
        </w:tc>
        <w:tc>
          <w:tcPr>
            <w:tcW w:w="5180" w:type="dxa"/>
            <w:vAlign w:val="bottom"/>
          </w:tcPr>
          <w:p>
            <w:pPr>
              <w:ind w:left="120"/>
              <w:spacing w:after="0" w:line="178" w:lineRule="exact"/>
              <w:rPr>
                <w:sz w:val="20"/>
                <w:szCs w:val="20"/>
                <w:color w:val="auto"/>
              </w:rPr>
            </w:pPr>
            <w:r>
              <w:rPr>
                <w:rFonts w:ascii="Calibri" w:cs="Calibri" w:eastAsia="Calibri" w:hAnsi="Calibri"/>
                <w:sz w:val="16"/>
                <w:szCs w:val="16"/>
                <w:color w:val="auto"/>
              </w:rPr>
              <w:t>Data Processing and Outsourced Services</w:t>
            </w:r>
          </w:p>
        </w:tc>
        <w:tc>
          <w:tcPr>
            <w:tcW w:w="880" w:type="dxa"/>
            <w:vAlign w:val="bottom"/>
          </w:tcPr>
          <w:p>
            <w:pPr>
              <w:jc w:val="center"/>
              <w:spacing w:after="0" w:line="178" w:lineRule="exact"/>
              <w:rPr>
                <w:sz w:val="20"/>
                <w:szCs w:val="20"/>
                <w:color w:val="auto"/>
              </w:rPr>
            </w:pPr>
            <w:r>
              <w:rPr>
                <w:rFonts w:ascii="Calibri" w:cs="Calibri" w:eastAsia="Calibri" w:hAnsi="Calibri"/>
                <w:sz w:val="16"/>
                <w:szCs w:val="16"/>
                <w:color w:val="auto"/>
                <w:w w:val="98"/>
              </w:rPr>
              <w:t>$1,169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2980" w:type="dxa"/>
            <w:vAlign w:val="bottom"/>
            <w:tcBorders>
              <w:bottom w:val="single" w:sz="8" w:color="auto"/>
            </w:tcBorders>
            <w:gridSpan w:val="2"/>
          </w:tcPr>
          <w:p>
            <w:pPr>
              <w:spacing w:after="0"/>
              <w:rPr>
                <w:sz w:val="5"/>
                <w:szCs w:val="5"/>
                <w:color w:val="auto"/>
              </w:rPr>
            </w:pPr>
          </w:p>
        </w:tc>
        <w:tc>
          <w:tcPr>
            <w:tcW w:w="5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MultPlan Corporaton</w:t>
            </w:r>
          </w:p>
        </w:tc>
        <w:tc>
          <w:tcPr>
            <w:tcW w:w="5180" w:type="dxa"/>
            <w:vAlign w:val="bottom"/>
          </w:tcPr>
          <w:p>
            <w:pPr>
              <w:ind w:left="120"/>
              <w:spacing w:after="0" w:line="178" w:lineRule="exact"/>
              <w:rPr>
                <w:sz w:val="20"/>
                <w:szCs w:val="20"/>
                <w:color w:val="auto"/>
              </w:rPr>
            </w:pPr>
            <w:r>
              <w:rPr>
                <w:rFonts w:ascii="Calibri" w:cs="Calibri" w:eastAsia="Calibri" w:hAnsi="Calibri"/>
                <w:sz w:val="16"/>
                <w:szCs w:val="16"/>
                <w:color w:val="auto"/>
              </w:rPr>
              <w:t>Health Care Technology</w:t>
            </w:r>
          </w:p>
        </w:tc>
        <w:tc>
          <w:tcPr>
            <w:tcW w:w="880" w:type="dxa"/>
            <w:vAlign w:val="bottom"/>
          </w:tcPr>
          <w:p>
            <w:pPr>
              <w:jc w:val="center"/>
              <w:spacing w:after="0" w:line="178" w:lineRule="exact"/>
              <w:rPr>
                <w:sz w:val="20"/>
                <w:szCs w:val="20"/>
                <w:color w:val="auto"/>
              </w:rPr>
            </w:pPr>
            <w:r>
              <w:rPr>
                <w:rFonts w:ascii="Calibri" w:cs="Calibri" w:eastAsia="Calibri" w:hAnsi="Calibri"/>
                <w:sz w:val="16"/>
                <w:szCs w:val="16"/>
                <w:color w:val="auto"/>
                <w:w w:val="99"/>
              </w:rPr>
              <w:t>$ 962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Perfcient, Inc.</w:t>
            </w:r>
          </w:p>
        </w:tc>
        <w:tc>
          <w:tcPr>
            <w:tcW w:w="5180" w:type="dxa"/>
            <w:vAlign w:val="bottom"/>
          </w:tcPr>
          <w:p>
            <w:pPr>
              <w:ind w:left="120"/>
              <w:spacing w:after="0" w:line="178" w:lineRule="exact"/>
              <w:rPr>
                <w:sz w:val="20"/>
                <w:szCs w:val="20"/>
                <w:color w:val="auto"/>
              </w:rPr>
            </w:pPr>
            <w:r>
              <w:rPr>
                <w:rFonts w:ascii="Calibri" w:cs="Calibri" w:eastAsia="Calibri" w:hAnsi="Calibri"/>
                <w:sz w:val="16"/>
                <w:szCs w:val="16"/>
                <w:color w:val="auto"/>
              </w:rPr>
              <w:t>IT Consultng and Other Services</w:t>
            </w:r>
          </w:p>
        </w:tc>
        <w:tc>
          <w:tcPr>
            <w:tcW w:w="880" w:type="dxa"/>
            <w:vAlign w:val="bottom"/>
          </w:tcPr>
          <w:p>
            <w:pPr>
              <w:jc w:val="center"/>
              <w:spacing w:after="0" w:line="178" w:lineRule="exact"/>
              <w:rPr>
                <w:sz w:val="20"/>
                <w:szCs w:val="20"/>
                <w:color w:val="auto"/>
              </w:rPr>
            </w:pPr>
            <w:r>
              <w:rPr>
                <w:rFonts w:ascii="Calibri" w:cs="Calibri" w:eastAsia="Calibri" w:hAnsi="Calibri"/>
                <w:sz w:val="16"/>
                <w:szCs w:val="16"/>
                <w:color w:val="auto"/>
                <w:w w:val="99"/>
              </w:rPr>
              <w:t>$ 907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Guidewire Sofware, Inc.</w:t>
            </w:r>
          </w:p>
        </w:tc>
        <w:tc>
          <w:tcPr>
            <w:tcW w:w="5180" w:type="dxa"/>
            <w:vAlign w:val="bottom"/>
          </w:tcPr>
          <w:p>
            <w:pPr>
              <w:ind w:left="120"/>
              <w:spacing w:after="0" w:line="178" w:lineRule="exact"/>
              <w:rPr>
                <w:sz w:val="20"/>
                <w:szCs w:val="20"/>
                <w:color w:val="auto"/>
              </w:rPr>
            </w:pPr>
            <w:r>
              <w:rPr>
                <w:rFonts w:ascii="Calibri" w:cs="Calibri" w:eastAsia="Calibri" w:hAnsi="Calibri"/>
                <w:sz w:val="16"/>
                <w:szCs w:val="16"/>
                <w:color w:val="auto"/>
              </w:rPr>
              <w:t>Applicaton Sofware</w:t>
            </w:r>
          </w:p>
        </w:tc>
        <w:tc>
          <w:tcPr>
            <w:tcW w:w="880" w:type="dxa"/>
            <w:vAlign w:val="bottom"/>
          </w:tcPr>
          <w:p>
            <w:pPr>
              <w:jc w:val="center"/>
              <w:spacing w:after="0" w:line="178" w:lineRule="exact"/>
              <w:rPr>
                <w:sz w:val="20"/>
                <w:szCs w:val="20"/>
                <w:color w:val="auto"/>
              </w:rPr>
            </w:pPr>
            <w:r>
              <w:rPr>
                <w:rFonts w:ascii="Calibri" w:cs="Calibri" w:eastAsia="Calibri" w:hAnsi="Calibri"/>
                <w:sz w:val="16"/>
                <w:szCs w:val="16"/>
                <w:color w:val="auto"/>
                <w:w w:val="99"/>
              </w:rPr>
              <w:t>$ 905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7"/>
        </w:trPr>
        <w:tc>
          <w:tcPr>
            <w:tcW w:w="1580" w:type="dxa"/>
            <w:vAlign w:val="bottom"/>
            <w:gridSpan w:val="2"/>
          </w:tcPr>
          <w:p>
            <w:pPr>
              <w:spacing w:after="0"/>
              <w:rPr>
                <w:sz w:val="20"/>
                <w:szCs w:val="20"/>
                <w:color w:val="auto"/>
              </w:rPr>
            </w:pPr>
            <w:r>
              <w:rPr>
                <w:rFonts w:ascii="Calibri" w:cs="Calibri" w:eastAsia="Calibri" w:hAnsi="Calibri"/>
                <w:sz w:val="17"/>
                <w:szCs w:val="17"/>
                <w:color w:val="auto"/>
              </w:rPr>
              <w:t xml:space="preserve">    </w:t>
            </w:r>
          </w:p>
        </w:tc>
        <w:tc>
          <w:tcPr>
            <w:tcW w:w="640" w:type="dxa"/>
            <w:vAlign w:val="bottom"/>
            <w:tcBorders>
              <w:top w:val="single" w:sz="8" w:color="FB4E0B"/>
            </w:tcBorders>
          </w:tcPr>
          <w:p>
            <w:pPr>
              <w:spacing w:after="0"/>
              <w:rPr>
                <w:sz w:val="24"/>
                <w:szCs w:val="24"/>
                <w:color w:val="auto"/>
              </w:rPr>
            </w:pPr>
          </w:p>
        </w:tc>
        <w:tc>
          <w:tcPr>
            <w:tcW w:w="2340" w:type="dxa"/>
            <w:vAlign w:val="bottom"/>
            <w:tcBorders>
              <w:top w:val="single" w:sz="8" w:color="FB4E0B"/>
            </w:tcBorders>
          </w:tcPr>
          <w:p>
            <w:pPr>
              <w:spacing w:after="0"/>
              <w:rPr>
                <w:sz w:val="24"/>
                <w:szCs w:val="24"/>
                <w:color w:val="auto"/>
              </w:rPr>
            </w:pPr>
          </w:p>
        </w:tc>
        <w:tc>
          <w:tcPr>
            <w:tcW w:w="5180" w:type="dxa"/>
            <w:vAlign w:val="bottom"/>
            <w:tcBorders>
              <w:top w:val="single" w:sz="8" w:color="FB4E0B"/>
            </w:tcBorders>
            <w:vMerge w:val="restart"/>
          </w:tcPr>
          <w:p>
            <w:pPr>
              <w:ind w:left="3740"/>
              <w:spacing w:after="0"/>
              <w:rPr>
                <w:sz w:val="20"/>
                <w:szCs w:val="20"/>
                <w:color w:val="auto"/>
              </w:rPr>
            </w:pPr>
            <w:r>
              <w:rPr>
                <w:rFonts w:ascii="Calibri" w:cs="Calibri" w:eastAsia="Calibri" w:hAnsi="Calibri"/>
                <w:sz w:val="13"/>
                <w:szCs w:val="13"/>
                <w:color w:val="auto"/>
                <w:w w:val="93"/>
              </w:rPr>
              <w:t>EXL 2024 Proxy Statement </w:t>
            </w:r>
          </w:p>
        </w:tc>
        <w:tc>
          <w:tcPr>
            <w:tcW w:w="880" w:type="dxa"/>
            <w:vAlign w:val="bottom"/>
            <w:tcBorders>
              <w:top w:val="single" w:sz="8" w:color="FB4E0B"/>
            </w:tcBorders>
            <w:vMerge w:val="restart"/>
          </w:tcPr>
          <w:p>
            <w:pPr>
              <w:jc w:val="right"/>
              <w:ind w:right="37"/>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69</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1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52" w:lineRule="exact"/>
        <w:rPr>
          <w:sz w:val="20"/>
          <w:szCs w:val="20"/>
          <w:color w:val="auto"/>
        </w:rPr>
      </w:pPr>
    </w:p>
    <w:p>
      <w:pPr>
        <w:ind w:left="2000" w:right="100"/>
        <w:spacing w:after="0" w:line="235" w:lineRule="auto"/>
        <w:rPr>
          <w:sz w:val="20"/>
          <w:szCs w:val="20"/>
          <w:color w:val="auto"/>
        </w:rPr>
      </w:pPr>
      <w:r>
        <w:rPr>
          <w:rFonts w:ascii="Calibri" w:cs="Calibri" w:eastAsia="Calibri" w:hAnsi="Calibri"/>
          <w:sz w:val="16"/>
          <w:szCs w:val="16"/>
          <w:color w:val="auto"/>
        </w:rPr>
        <w:t>In June of 2023, we updated the peer group companies that we used to make 2024 pay decisions as follows: CSG Systems and Multplan were removed due to weak business model ft in both cases, and were replaced with Informatca, Thoughtworks Holding, and UIPath, which refects our emphasis on technology-based consultng and analytcs oferings.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-353060</wp:posOffset>
            </wp:positionV>
            <wp:extent cx="8255" cy="25279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2527935"/>
                    </a:xfrm>
                    <a:prstGeom prst="rect">
                      <a:avLst/>
                    </a:prstGeom>
                    <a:noFill/>
                  </pic:spPr>
                </pic:pic>
              </a:graphicData>
            </a:graphic>
          </wp:anchor>
        </w:drawing>
      </w:r>
    </w:p>
    <w:p>
      <w:pPr>
        <w:spacing w:after="0" w:line="226" w:lineRule="exact"/>
        <w:rPr>
          <w:sz w:val="20"/>
          <w:szCs w:val="20"/>
          <w:color w:val="auto"/>
        </w:rPr>
      </w:pPr>
    </w:p>
    <w:p>
      <w:pPr>
        <w:ind w:left="2000"/>
        <w:spacing w:after="0"/>
        <w:rPr>
          <w:sz w:val="20"/>
          <w:szCs w:val="20"/>
          <w:color w:val="auto"/>
        </w:rPr>
      </w:pPr>
      <w:r>
        <w:rPr>
          <w:rFonts w:ascii="Calibri" w:cs="Calibri" w:eastAsia="Calibri" w:hAnsi="Calibri"/>
          <w:sz w:val="14"/>
          <w:szCs w:val="14"/>
          <w:color w:val="auto"/>
        </w:rPr>
        <w:t>We use a separate peer group for measuring performance under our PRSUs, as described under “Compensaton—Fiscal year 2023 awards.”</w:t>
      </w:r>
    </w:p>
    <w:p>
      <w:pPr>
        <w:spacing w:after="0" w:line="258" w:lineRule="exact"/>
        <w:rPr>
          <w:sz w:val="20"/>
          <w:szCs w:val="20"/>
          <w:color w:val="auto"/>
        </w:rPr>
      </w:pPr>
    </w:p>
    <w:p>
      <w:pPr>
        <w:ind w:left="2000" w:right="160"/>
        <w:spacing w:after="0" w:line="236" w:lineRule="auto"/>
        <w:rPr>
          <w:sz w:val="20"/>
          <w:szCs w:val="20"/>
          <w:color w:val="auto"/>
        </w:rPr>
      </w:pPr>
      <w:r>
        <w:rPr>
          <w:rFonts w:ascii="Calibri" w:cs="Calibri" w:eastAsia="Calibri" w:hAnsi="Calibri"/>
          <w:sz w:val="16"/>
          <w:szCs w:val="16"/>
          <w:color w:val="auto"/>
        </w:rPr>
        <w:t>Management also used compensaton survey data from Aon Consultng, comprised of companies within our global industry with whom we compete for talent. While the Compensaton and Talent Management Commitee reviewed and considered the data provided by these surveys, it did not consider or review the compensaton paid to executves at the component companies included within such surveys and did not use this informaton or any other data as a defnitve benchmark to set executve compensaton for fscal year 2023.</w:t>
      </w:r>
    </w:p>
    <w:p>
      <w:pPr>
        <w:spacing w:after="0" w:line="246" w:lineRule="exact"/>
        <w:rPr>
          <w:sz w:val="20"/>
          <w:szCs w:val="20"/>
          <w:color w:val="auto"/>
        </w:rPr>
      </w:pPr>
    </w:p>
    <w:p>
      <w:pPr>
        <w:ind w:left="2000" w:right="60"/>
        <w:spacing w:after="0" w:line="235" w:lineRule="auto"/>
        <w:rPr>
          <w:sz w:val="20"/>
          <w:szCs w:val="20"/>
          <w:color w:val="auto"/>
        </w:rPr>
      </w:pPr>
      <w:r>
        <w:rPr>
          <w:rFonts w:ascii="Calibri" w:cs="Calibri" w:eastAsia="Calibri" w:hAnsi="Calibri"/>
          <w:sz w:val="16"/>
          <w:szCs w:val="16"/>
          <w:color w:val="auto"/>
        </w:rPr>
        <w:t>Our Compensaton and Talent Management Commitee reviews compensaton informaton provided by Farient and other third-party data to evaluate each executve’s base salary, annual cash incentves and equity incentves when changes in compensaton are considered. Compensaton decisions are designed to promote our fundamental business objectves and strategy.</w:t>
      </w:r>
    </w:p>
    <w:p>
      <w:pPr>
        <w:spacing w:after="0" w:line="246" w:lineRule="exact"/>
        <w:rPr>
          <w:sz w:val="20"/>
          <w:szCs w:val="20"/>
          <w:color w:val="auto"/>
        </w:rPr>
      </w:pPr>
    </w:p>
    <w:p>
      <w:pPr>
        <w:ind w:left="2000" w:right="140"/>
        <w:spacing w:after="0" w:line="235" w:lineRule="auto"/>
        <w:rPr>
          <w:sz w:val="20"/>
          <w:szCs w:val="20"/>
          <w:color w:val="auto"/>
        </w:rPr>
      </w:pPr>
      <w:r>
        <w:rPr>
          <w:rFonts w:ascii="Calibri" w:cs="Calibri" w:eastAsia="Calibri" w:hAnsi="Calibri"/>
          <w:sz w:val="16"/>
          <w:szCs w:val="16"/>
          <w:color w:val="auto"/>
        </w:rPr>
        <w:t>Our Compensaton and Talent Management Commitee uses the compensaton data to obtain a general understanding of current market practces, so it can design our executve compensaton program to be compettve. Market data is not used exclusively, but rather as a point of reference to draw comparisons and distnctons.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216535</wp:posOffset>
            </wp:positionV>
            <wp:extent cx="6740525" cy="165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Components of executve compensaton for 2023</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2023, the compensaton of executve ofcers consisted of the following fve primary components:</w:t>
      </w:r>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520" w:type="dxa"/>
            <w:vAlign w:val="bottom"/>
          </w:tcPr>
          <w:p>
            <w:pPr>
              <w:spacing w:after="0"/>
              <w:rPr>
                <w:sz w:val="20"/>
                <w:szCs w:val="20"/>
                <w:color w:val="auto"/>
              </w:rPr>
            </w:pPr>
            <w:r>
              <w:rPr>
                <w:rFonts w:ascii="Calibri" w:cs="Calibri" w:eastAsia="Calibri" w:hAnsi="Calibri"/>
                <w:sz w:val="17"/>
                <w:szCs w:val="17"/>
                <w:b w:val="1"/>
                <w:bCs w:val="1"/>
                <w:color w:val="FB4E0B"/>
              </w:rPr>
              <w:t>  Compensaton component</w:t>
            </w:r>
          </w:p>
        </w:tc>
        <w:tc>
          <w:tcPr>
            <w:tcW w:w="3620" w:type="dxa"/>
            <w:vAlign w:val="bottom"/>
          </w:tcPr>
          <w:p>
            <w:pPr>
              <w:ind w:left="200"/>
              <w:spacing w:after="0"/>
              <w:rPr>
                <w:sz w:val="20"/>
                <w:szCs w:val="20"/>
                <w:color w:val="auto"/>
              </w:rPr>
            </w:pPr>
            <w:r>
              <w:rPr>
                <w:rFonts w:ascii="Calibri" w:cs="Calibri" w:eastAsia="Calibri" w:hAnsi="Calibri"/>
                <w:sz w:val="17"/>
                <w:szCs w:val="17"/>
                <w:b w:val="1"/>
                <w:bCs w:val="1"/>
                <w:color w:val="FB4E0B"/>
              </w:rPr>
              <w:t>Descripton</w:t>
            </w:r>
          </w:p>
        </w:tc>
        <w:tc>
          <w:tcPr>
            <w:tcW w:w="3480" w:type="dxa"/>
            <w:vAlign w:val="bottom"/>
          </w:tcPr>
          <w:p>
            <w:pPr>
              <w:ind w:left="180"/>
              <w:spacing w:after="0"/>
              <w:rPr>
                <w:sz w:val="20"/>
                <w:szCs w:val="20"/>
                <w:color w:val="auto"/>
              </w:rPr>
            </w:pPr>
            <w:r>
              <w:rPr>
                <w:rFonts w:ascii="Calibri" w:cs="Calibri" w:eastAsia="Calibri" w:hAnsi="Calibri"/>
                <w:sz w:val="17"/>
                <w:szCs w:val="17"/>
                <w:b w:val="1"/>
                <w:bCs w:val="1"/>
                <w:color w:val="FB4E0B"/>
              </w:rPr>
              <w:t>Objectves</w:t>
            </w:r>
          </w:p>
        </w:tc>
        <w:tc>
          <w:tcPr>
            <w:tcW w:w="0" w:type="dxa"/>
            <w:vAlign w:val="bottom"/>
          </w:tcPr>
          <w:p>
            <w:pPr>
              <w:spacing w:after="0"/>
              <w:rPr>
                <w:sz w:val="1"/>
                <w:szCs w:val="1"/>
                <w:color w:val="auto"/>
              </w:rPr>
            </w:pPr>
          </w:p>
        </w:tc>
      </w:tr>
      <w:tr>
        <w:trPr>
          <w:trHeight w:val="55"/>
        </w:trPr>
        <w:tc>
          <w:tcPr>
            <w:tcW w:w="3520" w:type="dxa"/>
            <w:vAlign w:val="bottom"/>
            <w:tcBorders>
              <w:bottom w:val="single" w:sz="8" w:color="FB4E0B"/>
            </w:tcBorders>
          </w:tcPr>
          <w:p>
            <w:pPr>
              <w:spacing w:after="0"/>
              <w:rPr>
                <w:sz w:val="4"/>
                <w:szCs w:val="4"/>
                <w:color w:val="auto"/>
              </w:rPr>
            </w:pPr>
          </w:p>
        </w:tc>
        <w:tc>
          <w:tcPr>
            <w:tcW w:w="3620" w:type="dxa"/>
            <w:vAlign w:val="bottom"/>
            <w:tcBorders>
              <w:bottom w:val="single" w:sz="8" w:color="FB4E0B"/>
            </w:tcBorders>
          </w:tcPr>
          <w:p>
            <w:pPr>
              <w:spacing w:after="0"/>
              <w:rPr>
                <w:sz w:val="4"/>
                <w:szCs w:val="4"/>
                <w:color w:val="auto"/>
              </w:rPr>
            </w:pPr>
          </w:p>
        </w:tc>
        <w:tc>
          <w:tcPr>
            <w:tcW w:w="3480" w:type="dxa"/>
            <w:vAlign w:val="bottom"/>
            <w:tcBorders>
              <w:bottom w:val="single" w:sz="8" w:color="FB4E0B"/>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2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Base salary</w:t>
            </w: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Fixed compensaton that is reviewed annually and is</w:t>
            </w:r>
          </w:p>
        </w:tc>
        <w:tc>
          <w:tcPr>
            <w:tcW w:w="3480" w:type="dxa"/>
            <w:vAlign w:val="bottom"/>
          </w:tcPr>
          <w:p>
            <w:pPr>
              <w:ind w:left="180"/>
              <w:spacing w:after="0"/>
              <w:rPr>
                <w:sz w:val="20"/>
                <w:szCs w:val="20"/>
                <w:color w:val="auto"/>
              </w:rPr>
            </w:pPr>
            <w:r>
              <w:rPr>
                <w:rFonts w:ascii="Calibri" w:cs="Calibri" w:eastAsia="Calibri" w:hAnsi="Calibri"/>
                <w:sz w:val="16"/>
                <w:szCs w:val="16"/>
                <w:color w:val="auto"/>
              </w:rPr>
              <w:t>Provide a base level of compensaton that</w:t>
            </w:r>
          </w:p>
        </w:tc>
        <w:tc>
          <w:tcPr>
            <w:tcW w:w="0" w:type="dxa"/>
            <w:vAlign w:val="bottom"/>
          </w:tcPr>
          <w:p>
            <w:pPr>
              <w:spacing w:after="0"/>
              <w:rPr>
                <w:sz w:val="1"/>
                <w:szCs w:val="1"/>
                <w:color w:val="auto"/>
              </w:rPr>
            </w:pPr>
          </w:p>
        </w:tc>
      </w:tr>
      <w:tr>
        <w:trPr>
          <w:trHeight w:val="18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line="185" w:lineRule="exact"/>
              <w:rPr>
                <w:sz w:val="20"/>
                <w:szCs w:val="20"/>
                <w:color w:val="auto"/>
              </w:rPr>
            </w:pPr>
            <w:r>
              <w:rPr>
                <w:rFonts w:ascii="Calibri" w:cs="Calibri" w:eastAsia="Calibri" w:hAnsi="Calibri"/>
                <w:sz w:val="16"/>
                <w:szCs w:val="16"/>
                <w:color w:val="auto"/>
              </w:rPr>
              <w:t>based on performance, experience, responsibilites,</w:t>
            </w:r>
          </w:p>
        </w:tc>
        <w:tc>
          <w:tcPr>
            <w:tcW w:w="3480" w:type="dxa"/>
            <w:vAlign w:val="bottom"/>
          </w:tcPr>
          <w:p>
            <w:pPr>
              <w:ind w:left="180"/>
              <w:spacing w:after="0" w:line="185" w:lineRule="exact"/>
              <w:rPr>
                <w:sz w:val="20"/>
                <w:szCs w:val="20"/>
                <w:color w:val="auto"/>
              </w:rPr>
            </w:pPr>
            <w:r>
              <w:rPr>
                <w:rFonts w:ascii="Calibri" w:cs="Calibri" w:eastAsia="Calibri" w:hAnsi="Calibri"/>
                <w:sz w:val="16"/>
                <w:szCs w:val="16"/>
                <w:color w:val="auto"/>
              </w:rPr>
              <w:t>corresponds to the job functon performed.</w:t>
            </w: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skill set and market value.</w:t>
            </w:r>
          </w:p>
        </w:tc>
        <w:tc>
          <w:tcPr>
            <w:tcW w:w="3480" w:type="dxa"/>
            <w:vAlign w:val="bottom"/>
            <w:vMerge w:val="restart"/>
          </w:tcPr>
          <w:p>
            <w:pPr>
              <w:ind w:left="180"/>
              <w:spacing w:after="0"/>
              <w:rPr>
                <w:sz w:val="20"/>
                <w:szCs w:val="20"/>
                <w:color w:val="auto"/>
              </w:rPr>
            </w:pPr>
            <w:r>
              <w:rPr>
                <w:rFonts w:ascii="Calibri" w:cs="Calibri" w:eastAsia="Calibri" w:hAnsi="Calibri"/>
                <w:sz w:val="16"/>
                <w:szCs w:val="16"/>
                <w:color w:val="auto"/>
              </w:rPr>
              <w:t>Atract, retain, reward and motvate qualifed and</w:t>
            </w:r>
          </w:p>
        </w:tc>
        <w:tc>
          <w:tcPr>
            <w:tcW w:w="0" w:type="dxa"/>
            <w:vAlign w:val="bottom"/>
          </w:tcPr>
          <w:p>
            <w:pPr>
              <w:spacing w:after="0"/>
              <w:rPr>
                <w:sz w:val="1"/>
                <w:szCs w:val="1"/>
                <w:color w:val="auto"/>
              </w:rPr>
            </w:pPr>
          </w:p>
        </w:tc>
      </w:tr>
      <w:tr>
        <w:trPr>
          <w:trHeight w:val="117"/>
        </w:trPr>
        <w:tc>
          <w:tcPr>
            <w:tcW w:w="3520" w:type="dxa"/>
            <w:vAlign w:val="bottom"/>
            <w:tcBorders>
              <w:right w:val="single" w:sz="8" w:color="auto"/>
            </w:tcBorders>
          </w:tcPr>
          <w:p>
            <w:pPr>
              <w:spacing w:after="0"/>
              <w:rPr>
                <w:sz w:val="10"/>
                <w:szCs w:val="10"/>
                <w:color w:val="auto"/>
              </w:rPr>
            </w:pPr>
          </w:p>
        </w:tc>
        <w:tc>
          <w:tcPr>
            <w:tcW w:w="3620" w:type="dxa"/>
            <w:vAlign w:val="bottom"/>
            <w:tcBorders>
              <w:right w:val="single" w:sz="8" w:color="auto"/>
            </w:tcBorders>
          </w:tcPr>
          <w:p>
            <w:pPr>
              <w:spacing w:after="0"/>
              <w:rPr>
                <w:sz w:val="10"/>
                <w:szCs w:val="10"/>
                <w:color w:val="auto"/>
              </w:rPr>
            </w:pP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480" w:type="dxa"/>
            <w:vAlign w:val="bottom"/>
          </w:tcPr>
          <w:p>
            <w:pPr>
              <w:ind w:left="180"/>
              <w:spacing w:after="0"/>
              <w:rPr>
                <w:sz w:val="20"/>
                <w:szCs w:val="20"/>
                <w:color w:val="auto"/>
              </w:rPr>
            </w:pPr>
            <w:r>
              <w:rPr>
                <w:rFonts w:ascii="Calibri" w:cs="Calibri" w:eastAsia="Calibri" w:hAnsi="Calibri"/>
                <w:sz w:val="16"/>
                <w:szCs w:val="16"/>
                <w:color w:val="auto"/>
              </w:rPr>
              <w:t>experienced executves.</w:t>
            </w:r>
          </w:p>
        </w:tc>
        <w:tc>
          <w:tcPr>
            <w:tcW w:w="0" w:type="dxa"/>
            <w:vAlign w:val="bottom"/>
          </w:tcPr>
          <w:p>
            <w:pPr>
              <w:spacing w:after="0"/>
              <w:rPr>
                <w:sz w:val="1"/>
                <w:szCs w:val="1"/>
                <w:color w:val="auto"/>
              </w:rPr>
            </w:pPr>
          </w:p>
        </w:tc>
      </w:tr>
      <w:tr>
        <w:trPr>
          <w:trHeight w:val="235"/>
        </w:trPr>
        <w:tc>
          <w:tcPr>
            <w:tcW w:w="352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2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Annual incentves</w:t>
            </w: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“At-risk” compensaton earned based on</w:t>
            </w:r>
          </w:p>
        </w:tc>
        <w:tc>
          <w:tcPr>
            <w:tcW w:w="3480" w:type="dxa"/>
            <w:vAlign w:val="bottom"/>
          </w:tcPr>
          <w:p>
            <w:pPr>
              <w:ind w:left="180"/>
              <w:spacing w:after="0"/>
              <w:rPr>
                <w:sz w:val="20"/>
                <w:szCs w:val="20"/>
                <w:color w:val="auto"/>
              </w:rPr>
            </w:pPr>
            <w:r>
              <w:rPr>
                <w:rFonts w:ascii="Calibri" w:cs="Calibri" w:eastAsia="Calibri" w:hAnsi="Calibri"/>
                <w:sz w:val="16"/>
                <w:szCs w:val="16"/>
                <w:color w:val="auto"/>
              </w:rPr>
              <w:t>Incentvize executves to achieve annual goals that</w:t>
            </w:r>
          </w:p>
        </w:tc>
        <w:tc>
          <w:tcPr>
            <w:tcW w:w="0" w:type="dxa"/>
            <w:vAlign w:val="bottom"/>
          </w:tcPr>
          <w:p>
            <w:pPr>
              <w:spacing w:after="0"/>
              <w:rPr>
                <w:sz w:val="1"/>
                <w:szCs w:val="1"/>
                <w:color w:val="auto"/>
              </w:rPr>
            </w:pPr>
          </w:p>
        </w:tc>
      </w:tr>
      <w:tr>
        <w:trPr>
          <w:trHeight w:val="18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line="185" w:lineRule="exact"/>
              <w:rPr>
                <w:sz w:val="20"/>
                <w:szCs w:val="20"/>
                <w:color w:val="auto"/>
              </w:rPr>
            </w:pPr>
            <w:r>
              <w:rPr>
                <w:rFonts w:ascii="Calibri" w:cs="Calibri" w:eastAsia="Calibri" w:hAnsi="Calibri"/>
                <w:sz w:val="16"/>
                <w:szCs w:val="16"/>
                <w:color w:val="auto"/>
              </w:rPr>
              <w:t>performance measured against pre-established</w:t>
            </w:r>
          </w:p>
        </w:tc>
        <w:tc>
          <w:tcPr>
            <w:tcW w:w="3480" w:type="dxa"/>
            <w:vAlign w:val="bottom"/>
          </w:tcPr>
          <w:p>
            <w:pPr>
              <w:ind w:left="180"/>
              <w:spacing w:after="0" w:line="185" w:lineRule="exact"/>
              <w:rPr>
                <w:sz w:val="20"/>
                <w:szCs w:val="20"/>
                <w:color w:val="auto"/>
              </w:rPr>
            </w:pPr>
            <w:r>
              <w:rPr>
                <w:rFonts w:ascii="Calibri" w:cs="Calibri" w:eastAsia="Calibri" w:hAnsi="Calibri"/>
                <w:sz w:val="16"/>
                <w:szCs w:val="16"/>
                <w:color w:val="auto"/>
                <w:w w:val="98"/>
              </w:rPr>
              <w:t>ultmately contribute to long-term company growth</w:t>
            </w: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annual goals.</w:t>
            </w:r>
          </w:p>
        </w:tc>
        <w:tc>
          <w:tcPr>
            <w:tcW w:w="3480" w:type="dxa"/>
            <w:vAlign w:val="bottom"/>
          </w:tcPr>
          <w:p>
            <w:pPr>
              <w:ind w:left="180"/>
              <w:spacing w:after="0"/>
              <w:rPr>
                <w:sz w:val="20"/>
                <w:szCs w:val="20"/>
                <w:color w:val="auto"/>
              </w:rPr>
            </w:pPr>
            <w:r>
              <w:rPr>
                <w:rFonts w:ascii="Calibri" w:cs="Calibri" w:eastAsia="Calibri" w:hAnsi="Calibri"/>
                <w:sz w:val="16"/>
                <w:szCs w:val="16"/>
                <w:color w:val="auto"/>
              </w:rPr>
              <w:t>and stockholder return.</w:t>
            </w:r>
          </w:p>
        </w:tc>
        <w:tc>
          <w:tcPr>
            <w:tcW w:w="0" w:type="dxa"/>
            <w:vAlign w:val="bottom"/>
          </w:tcPr>
          <w:p>
            <w:pPr>
              <w:spacing w:after="0"/>
              <w:rPr>
                <w:sz w:val="1"/>
                <w:szCs w:val="1"/>
                <w:color w:val="auto"/>
              </w:rPr>
            </w:pPr>
          </w:p>
        </w:tc>
      </w:tr>
      <w:tr>
        <w:trPr>
          <w:trHeight w:val="312"/>
        </w:trPr>
        <w:tc>
          <w:tcPr>
            <w:tcW w:w="352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75% of each NEO’s award is ted to Company-wide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performance with the remaining 25% to the</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achievement of individualized goals.</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52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2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Long-term incentves</w:t>
            </w: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“At-risk” compensaton in the form of equity awards</w:t>
            </w:r>
          </w:p>
        </w:tc>
        <w:tc>
          <w:tcPr>
            <w:tcW w:w="3480" w:type="dxa"/>
            <w:vAlign w:val="bottom"/>
          </w:tcPr>
          <w:p>
            <w:pPr>
              <w:ind w:left="180"/>
              <w:spacing w:after="0"/>
              <w:rPr>
                <w:sz w:val="20"/>
                <w:szCs w:val="20"/>
                <w:color w:val="auto"/>
              </w:rPr>
            </w:pPr>
            <w:r>
              <w:rPr>
                <w:rFonts w:ascii="Calibri" w:cs="Calibri" w:eastAsia="Calibri" w:hAnsi="Calibri"/>
                <w:sz w:val="16"/>
                <w:szCs w:val="16"/>
                <w:color w:val="auto"/>
                <w:w w:val="97"/>
              </w:rPr>
              <w:t>Align executve interests with those of stockholders.</w:t>
            </w:r>
          </w:p>
        </w:tc>
        <w:tc>
          <w:tcPr>
            <w:tcW w:w="0" w:type="dxa"/>
            <w:vAlign w:val="bottom"/>
          </w:tcPr>
          <w:p>
            <w:pPr>
              <w:spacing w:after="0"/>
              <w:rPr>
                <w:sz w:val="1"/>
                <w:szCs w:val="1"/>
                <w:color w:val="auto"/>
              </w:rPr>
            </w:pPr>
          </w:p>
        </w:tc>
      </w:tr>
      <w:tr>
        <w:trPr>
          <w:trHeight w:val="18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line="185" w:lineRule="exact"/>
              <w:rPr>
                <w:sz w:val="20"/>
                <w:szCs w:val="20"/>
                <w:color w:val="auto"/>
              </w:rPr>
            </w:pPr>
            <w:r>
              <w:rPr>
                <w:rFonts w:ascii="Calibri" w:cs="Calibri" w:eastAsia="Calibri" w:hAnsi="Calibri"/>
                <w:sz w:val="16"/>
                <w:szCs w:val="16"/>
                <w:color w:val="auto"/>
              </w:rPr>
              <w:t>whose value fuctuates according to stockholder</w:t>
            </w:r>
          </w:p>
        </w:tc>
        <w:tc>
          <w:tcPr>
            <w:tcW w:w="3480" w:type="dxa"/>
            <w:vAlign w:val="bottom"/>
            <w:vMerge w:val="restart"/>
          </w:tcPr>
          <w:p>
            <w:pPr>
              <w:ind w:left="180"/>
              <w:spacing w:after="0"/>
              <w:rPr>
                <w:sz w:val="20"/>
                <w:szCs w:val="20"/>
                <w:color w:val="auto"/>
              </w:rPr>
            </w:pPr>
            <w:r>
              <w:rPr>
                <w:rFonts w:ascii="Calibri" w:cs="Calibri" w:eastAsia="Calibri" w:hAnsi="Calibri"/>
                <w:sz w:val="16"/>
                <w:szCs w:val="16"/>
                <w:color w:val="auto"/>
              </w:rPr>
              <w:t>Reward contnuous service with the company.</w:t>
            </w:r>
          </w:p>
        </w:tc>
        <w:tc>
          <w:tcPr>
            <w:tcW w:w="0" w:type="dxa"/>
            <w:vAlign w:val="bottom"/>
          </w:tcPr>
          <w:p>
            <w:pPr>
              <w:spacing w:after="0"/>
              <w:rPr>
                <w:sz w:val="1"/>
                <w:szCs w:val="1"/>
                <w:color w:val="auto"/>
              </w:rPr>
            </w:pPr>
          </w:p>
        </w:tc>
      </w:tr>
      <w:tr>
        <w:trPr>
          <w:trHeight w:val="117"/>
        </w:trPr>
        <w:tc>
          <w:tcPr>
            <w:tcW w:w="3520" w:type="dxa"/>
            <w:vAlign w:val="bottom"/>
            <w:tcBorders>
              <w:right w:val="single" w:sz="8" w:color="auto"/>
            </w:tcBorders>
          </w:tcPr>
          <w:p>
            <w:pPr>
              <w:spacing w:after="0"/>
              <w:rPr>
                <w:sz w:val="10"/>
                <w:szCs w:val="10"/>
                <w:color w:val="auto"/>
              </w:rPr>
            </w:pPr>
          </w:p>
        </w:tc>
        <w:tc>
          <w:tcPr>
            <w:tcW w:w="3620" w:type="dxa"/>
            <w:vAlign w:val="bottom"/>
            <w:tcBorders>
              <w:right w:val="single" w:sz="8" w:color="auto"/>
            </w:tcBorders>
            <w:vMerge w:val="restart"/>
          </w:tcPr>
          <w:p>
            <w:pPr>
              <w:ind w:left="200"/>
              <w:spacing w:after="0"/>
              <w:rPr>
                <w:sz w:val="20"/>
                <w:szCs w:val="20"/>
                <w:color w:val="auto"/>
              </w:rPr>
            </w:pPr>
            <w:r>
              <w:rPr>
                <w:rFonts w:ascii="Calibri" w:cs="Calibri" w:eastAsia="Calibri" w:hAnsi="Calibri"/>
                <w:sz w:val="16"/>
                <w:szCs w:val="16"/>
                <w:color w:val="auto"/>
              </w:rPr>
              <w:t>value.</w:t>
            </w: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3520" w:type="dxa"/>
            <w:vAlign w:val="bottom"/>
            <w:tcBorders>
              <w:right w:val="single" w:sz="8" w:color="auto"/>
            </w:tcBorders>
          </w:tcPr>
          <w:p>
            <w:pPr>
              <w:spacing w:after="0"/>
              <w:rPr>
                <w:sz w:val="6"/>
                <w:szCs w:val="6"/>
                <w:color w:val="auto"/>
              </w:rPr>
            </w:pPr>
          </w:p>
        </w:tc>
        <w:tc>
          <w:tcPr>
            <w:tcW w:w="3620" w:type="dxa"/>
            <w:vAlign w:val="bottom"/>
            <w:tcBorders>
              <w:right w:val="single" w:sz="8" w:color="auto"/>
            </w:tcBorders>
            <w:vMerge w:val="continue"/>
          </w:tcPr>
          <w:p>
            <w:pPr>
              <w:spacing w:after="0"/>
              <w:rPr>
                <w:sz w:val="6"/>
                <w:szCs w:val="6"/>
                <w:color w:val="auto"/>
              </w:rPr>
            </w:pPr>
          </w:p>
        </w:tc>
        <w:tc>
          <w:tcPr>
            <w:tcW w:w="3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3520" w:type="dxa"/>
            <w:vAlign w:val="bottom"/>
            <w:tcBorders>
              <w:right w:val="single" w:sz="8" w:color="auto"/>
            </w:tcBorders>
          </w:tcPr>
          <w:p>
            <w:pPr>
              <w:spacing w:after="0"/>
              <w:rPr>
                <w:sz w:val="20"/>
                <w:szCs w:val="20"/>
                <w:color w:val="auto"/>
              </w:rPr>
            </w:pPr>
          </w:p>
        </w:tc>
        <w:tc>
          <w:tcPr>
            <w:tcW w:w="3620" w:type="dxa"/>
            <w:vAlign w:val="bottom"/>
            <w:tcBorders>
              <w:right w:val="single" w:sz="8" w:color="auto"/>
            </w:tcBorders>
            <w:vMerge w:val="restart"/>
          </w:tcPr>
          <w:p>
            <w:pPr>
              <w:ind w:left="200"/>
              <w:spacing w:after="0"/>
              <w:rPr>
                <w:sz w:val="20"/>
                <w:szCs w:val="20"/>
                <w:color w:val="auto"/>
              </w:rPr>
            </w:pPr>
            <w:r>
              <w:rPr>
                <w:rFonts w:ascii="Calibri" w:cs="Calibri" w:eastAsia="Calibri" w:hAnsi="Calibri"/>
                <w:sz w:val="16"/>
                <w:szCs w:val="16"/>
                <w:color w:val="auto"/>
              </w:rPr>
              <w:t>RSU Awards:</w:t>
            </w:r>
          </w:p>
        </w:tc>
        <w:tc>
          <w:tcPr>
            <w:tcW w:w="3480" w:type="dxa"/>
            <w:vAlign w:val="bottom"/>
          </w:tcPr>
          <w:p>
            <w:pPr>
              <w:ind w:left="180"/>
              <w:spacing w:after="0"/>
              <w:rPr>
                <w:sz w:val="20"/>
                <w:szCs w:val="20"/>
                <w:color w:val="auto"/>
              </w:rPr>
            </w:pPr>
            <w:r>
              <w:rPr>
                <w:rFonts w:ascii="Calibri" w:cs="Calibri" w:eastAsia="Calibri" w:hAnsi="Calibri"/>
                <w:sz w:val="16"/>
                <w:szCs w:val="16"/>
                <w:color w:val="auto"/>
              </w:rPr>
              <w:t>Incentvize executves to achieve goals that drive</w:t>
            </w:r>
          </w:p>
        </w:tc>
        <w:tc>
          <w:tcPr>
            <w:tcW w:w="0" w:type="dxa"/>
            <w:vAlign w:val="bottom"/>
          </w:tcPr>
          <w:p>
            <w:pPr>
              <w:spacing w:after="0"/>
              <w:rPr>
                <w:sz w:val="1"/>
                <w:szCs w:val="1"/>
                <w:color w:val="auto"/>
              </w:rPr>
            </w:pPr>
          </w:p>
        </w:tc>
      </w:tr>
      <w:tr>
        <w:trPr>
          <w:trHeight w:val="78"/>
        </w:trPr>
        <w:tc>
          <w:tcPr>
            <w:tcW w:w="3520" w:type="dxa"/>
            <w:vAlign w:val="bottom"/>
            <w:tcBorders>
              <w:right w:val="single" w:sz="8" w:color="auto"/>
            </w:tcBorders>
          </w:tcPr>
          <w:p>
            <w:pPr>
              <w:spacing w:after="0"/>
              <w:rPr>
                <w:sz w:val="6"/>
                <w:szCs w:val="6"/>
                <w:color w:val="auto"/>
              </w:rPr>
            </w:pPr>
          </w:p>
        </w:tc>
        <w:tc>
          <w:tcPr>
            <w:tcW w:w="3620" w:type="dxa"/>
            <w:vAlign w:val="bottom"/>
            <w:tcBorders>
              <w:right w:val="single" w:sz="8" w:color="auto"/>
            </w:tcBorders>
            <w:vMerge w:val="continue"/>
          </w:tcPr>
          <w:p>
            <w:pPr>
              <w:spacing w:after="0"/>
              <w:rPr>
                <w:sz w:val="6"/>
                <w:szCs w:val="6"/>
                <w:color w:val="auto"/>
              </w:rPr>
            </w:pPr>
          </w:p>
        </w:tc>
        <w:tc>
          <w:tcPr>
            <w:tcW w:w="3480" w:type="dxa"/>
            <w:vAlign w:val="bottom"/>
            <w:vMerge w:val="restart"/>
          </w:tcPr>
          <w:p>
            <w:pPr>
              <w:ind w:left="180"/>
              <w:spacing w:after="0"/>
              <w:rPr>
                <w:sz w:val="20"/>
                <w:szCs w:val="20"/>
                <w:color w:val="auto"/>
              </w:rPr>
            </w:pPr>
            <w:r>
              <w:rPr>
                <w:rFonts w:ascii="Calibri" w:cs="Calibri" w:eastAsia="Calibri" w:hAnsi="Calibri"/>
                <w:sz w:val="16"/>
                <w:szCs w:val="16"/>
                <w:color w:val="auto"/>
              </w:rPr>
              <w:t>company performance over the long-term.</w:t>
            </w:r>
          </w:p>
        </w:tc>
        <w:tc>
          <w:tcPr>
            <w:tcW w:w="0" w:type="dxa"/>
            <w:vAlign w:val="bottom"/>
          </w:tcPr>
          <w:p>
            <w:pPr>
              <w:spacing w:after="0"/>
              <w:rPr>
                <w:sz w:val="1"/>
                <w:szCs w:val="1"/>
                <w:color w:val="auto"/>
              </w:rPr>
            </w:pPr>
          </w:p>
        </w:tc>
      </w:tr>
      <w:tr>
        <w:trPr>
          <w:trHeight w:val="117"/>
        </w:trPr>
        <w:tc>
          <w:tcPr>
            <w:tcW w:w="3520" w:type="dxa"/>
            <w:vAlign w:val="bottom"/>
            <w:tcBorders>
              <w:right w:val="single" w:sz="8" w:color="auto"/>
            </w:tcBorders>
          </w:tcPr>
          <w:p>
            <w:pPr>
              <w:spacing w:after="0"/>
              <w:rPr>
                <w:sz w:val="10"/>
                <w:szCs w:val="10"/>
                <w:color w:val="auto"/>
              </w:rPr>
            </w:pPr>
          </w:p>
        </w:tc>
        <w:tc>
          <w:tcPr>
            <w:tcW w:w="3620" w:type="dxa"/>
            <w:vAlign w:val="bottom"/>
            <w:tcBorders>
              <w:right w:val="single" w:sz="8" w:color="auto"/>
            </w:tcBorders>
          </w:tcPr>
          <w:p>
            <w:pPr>
              <w:spacing w:after="0"/>
              <w:rPr>
                <w:sz w:val="10"/>
                <w:szCs w:val="10"/>
                <w:color w:val="auto"/>
              </w:rPr>
            </w:pP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40"/>
              <w:spacing w:after="0"/>
              <w:rPr>
                <w:sz w:val="20"/>
                <w:szCs w:val="20"/>
                <w:color w:val="auto"/>
              </w:rPr>
            </w:pPr>
            <w:r>
              <w:rPr>
                <w:rFonts w:ascii="Calibri" w:cs="Calibri" w:eastAsia="Calibri" w:hAnsi="Calibri"/>
                <w:sz w:val="16"/>
                <w:szCs w:val="16"/>
                <w:color w:val="auto"/>
              </w:rPr>
              <w:t>-      40% of the award vests based on contnued</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560"/>
              <w:spacing w:after="0"/>
              <w:rPr>
                <w:sz w:val="20"/>
                <w:szCs w:val="20"/>
                <w:color w:val="auto"/>
              </w:rPr>
            </w:pPr>
            <w:r>
              <w:rPr>
                <w:rFonts w:ascii="Calibri" w:cs="Calibri" w:eastAsia="Calibri" w:hAnsi="Calibri"/>
                <w:sz w:val="16"/>
                <w:szCs w:val="16"/>
                <w:color w:val="auto"/>
              </w:rPr>
              <w:t>service.</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52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ind w:left="240"/>
              <w:spacing w:after="0"/>
              <w:rPr>
                <w:sz w:val="20"/>
                <w:szCs w:val="20"/>
                <w:color w:val="auto"/>
              </w:rPr>
            </w:pPr>
            <w:r>
              <w:rPr>
                <w:rFonts w:ascii="Calibri" w:cs="Calibri" w:eastAsia="Calibri" w:hAnsi="Calibri"/>
                <w:sz w:val="16"/>
                <w:szCs w:val="16"/>
                <w:color w:val="auto"/>
              </w:rPr>
              <w:t>-      60% vests based on achievement of revenue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560"/>
              <w:spacing w:after="0"/>
              <w:rPr>
                <w:sz w:val="20"/>
                <w:szCs w:val="20"/>
                <w:color w:val="auto"/>
              </w:rPr>
            </w:pPr>
            <w:r>
              <w:rPr>
                <w:rFonts w:ascii="Calibri" w:cs="Calibri" w:eastAsia="Calibri" w:hAnsi="Calibri"/>
                <w:sz w:val="16"/>
                <w:szCs w:val="16"/>
                <w:color w:val="auto"/>
              </w:rPr>
              <w:t>and total stockholder return goals.</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52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w w:val="98"/>
              </w:rPr>
              <w:t>One-Time Opton Awards (for all NEOs other than the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CEO):</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52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ind w:left="240"/>
              <w:spacing w:after="0"/>
              <w:rPr>
                <w:sz w:val="20"/>
                <w:szCs w:val="20"/>
                <w:color w:val="auto"/>
              </w:rPr>
            </w:pPr>
            <w:r>
              <w:rPr>
                <w:rFonts w:ascii="Calibri" w:cs="Calibri" w:eastAsia="Calibri" w:hAnsi="Calibri"/>
                <w:sz w:val="16"/>
                <w:szCs w:val="16"/>
                <w:color w:val="auto"/>
              </w:rPr>
              <w:t>-      100% of the award vests based on contnued</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520" w:type="dxa"/>
            <w:vAlign w:val="bottom"/>
            <w:tcBorders>
              <w:right w:val="single" w:sz="8" w:color="auto"/>
            </w:tcBorders>
          </w:tcPr>
          <w:p>
            <w:pPr>
              <w:spacing w:after="0"/>
              <w:rPr>
                <w:sz w:val="20"/>
                <w:szCs w:val="20"/>
                <w:color w:val="auto"/>
              </w:rPr>
            </w:pPr>
          </w:p>
        </w:tc>
        <w:tc>
          <w:tcPr>
            <w:tcW w:w="3620" w:type="dxa"/>
            <w:vAlign w:val="bottom"/>
            <w:tcBorders>
              <w:right w:val="single" w:sz="8" w:color="auto"/>
            </w:tcBorders>
          </w:tcPr>
          <w:p>
            <w:pPr>
              <w:ind w:left="560"/>
              <w:spacing w:after="0"/>
              <w:rPr>
                <w:sz w:val="20"/>
                <w:szCs w:val="20"/>
                <w:color w:val="auto"/>
              </w:rPr>
            </w:pPr>
            <w:r>
              <w:rPr>
                <w:rFonts w:ascii="Calibri" w:cs="Calibri" w:eastAsia="Calibri" w:hAnsi="Calibri"/>
                <w:sz w:val="16"/>
                <w:szCs w:val="16"/>
                <w:color w:val="auto"/>
              </w:rPr>
              <w:t>service.</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3520" w:type="dxa"/>
            <w:vAlign w:val="bottom"/>
            <w:tcBorders>
              <w:top w:val="single" w:sz="8" w:color="FB4E0B"/>
            </w:tcBorders>
            <w:vMerge w:val="restart"/>
          </w:tcPr>
          <w:p>
            <w:pPr>
              <w:ind w:left="80"/>
              <w:spacing w:after="0"/>
              <w:rPr>
                <w:sz w:val="20"/>
                <w:szCs w:val="20"/>
                <w:color w:val="auto"/>
              </w:rPr>
            </w:pPr>
            <w:r>
              <w:rPr>
                <w:rFonts w:ascii="Calibri" w:cs="Calibri" w:eastAsia="Calibri" w:hAnsi="Calibri"/>
                <w:sz w:val="17"/>
                <w:szCs w:val="17"/>
                <w:b w:val="1"/>
                <w:bCs w:val="1"/>
                <w:color w:val="auto"/>
              </w:rPr>
              <w:t xml:space="preserve">70    </w:t>
            </w:r>
            <w:r>
              <w:rPr>
                <w:rFonts w:ascii="Calibri" w:cs="Calibri" w:eastAsia="Calibri" w:hAnsi="Calibri"/>
                <w:sz w:val="27"/>
                <w:szCs w:val="27"/>
                <w:b w:val="1"/>
                <w:bCs w:val="1"/>
                <w:color w:val="FB4E0B"/>
              </w:rPr>
              <w:t>/</w:t>
            </w:r>
            <w:r>
              <w:rPr>
                <w:rFonts w:ascii="Calibri" w:cs="Calibri" w:eastAsia="Calibri" w:hAnsi="Calibri"/>
                <w:sz w:val="17"/>
                <w:szCs w:val="17"/>
                <w:b w:val="1"/>
                <w:bCs w:val="1"/>
                <w:color w:val="auto"/>
              </w:rPr>
              <w:t xml:space="preserve"> </w:t>
            </w:r>
            <w:r>
              <w:rPr>
                <w:rFonts w:ascii="Calibri" w:cs="Calibri" w:eastAsia="Calibri" w:hAnsi="Calibri"/>
                <w:sz w:val="13"/>
                <w:szCs w:val="13"/>
                <w:color w:val="auto"/>
              </w:rPr>
              <w:t xml:space="preserve">   EXL 2024 Proxy Statement</w:t>
            </w:r>
          </w:p>
        </w:tc>
        <w:tc>
          <w:tcPr>
            <w:tcW w:w="3620" w:type="dxa"/>
            <w:vAlign w:val="bottom"/>
            <w:tcBorders>
              <w:top w:val="single" w:sz="8" w:color="FB4E0B"/>
            </w:tcBorders>
          </w:tcPr>
          <w:p>
            <w:pPr>
              <w:spacing w:after="0"/>
              <w:rPr>
                <w:sz w:val="24"/>
                <w:szCs w:val="24"/>
                <w:color w:val="auto"/>
              </w:rPr>
            </w:pPr>
          </w:p>
        </w:tc>
        <w:tc>
          <w:tcPr>
            <w:tcW w:w="3480" w:type="dxa"/>
            <w:vAlign w:val="bottom"/>
            <w:tcBorders>
              <w:top w:val="single" w:sz="8" w:color="FB4E0B"/>
            </w:tcBorders>
          </w:tcPr>
          <w:p>
            <w:pPr>
              <w:ind w:left="312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52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80" w:type="dxa"/>
            <w:vAlign w:val="bottom"/>
          </w:tcPr>
          <w:p>
            <w:pPr>
              <w:ind w:left="2080"/>
              <w:spacing w:after="0"/>
              <w:rPr>
                <w:sz w:val="20"/>
                <w:szCs w:val="20"/>
                <w:color w:val="auto"/>
              </w:rPr>
            </w:pPr>
            <w:r>
              <w:rPr>
                <w:rFonts w:ascii="Calibri" w:cs="Calibri" w:eastAsia="Calibri" w:hAnsi="Calibri"/>
                <w:sz w:val="14"/>
                <w:szCs w:val="14"/>
                <w:b w:val="1"/>
                <w:bCs w:val="1"/>
                <w:color w:val="005071"/>
              </w:rPr>
              <w:t>Executve compensaton</w:t>
            </w:r>
          </w:p>
        </w:tc>
      </w:tr>
      <w:tr>
        <w:trPr>
          <w:trHeight w:val="567"/>
        </w:trPr>
        <w:tc>
          <w:tcPr>
            <w:tcW w:w="3520" w:type="dxa"/>
            <w:vAlign w:val="bottom"/>
          </w:tcPr>
          <w:p>
            <w:pPr>
              <w:spacing w:after="0"/>
              <w:rPr>
                <w:sz w:val="20"/>
                <w:szCs w:val="20"/>
                <w:color w:val="auto"/>
              </w:rPr>
            </w:pPr>
            <w:r>
              <w:rPr>
                <w:rFonts w:ascii="Calibri" w:cs="Calibri" w:eastAsia="Calibri" w:hAnsi="Calibri"/>
                <w:sz w:val="17"/>
                <w:szCs w:val="17"/>
                <w:b w:val="1"/>
                <w:bCs w:val="1"/>
                <w:color w:val="FB4E0B"/>
              </w:rPr>
              <w:t>  Compensaton component</w:t>
            </w:r>
          </w:p>
        </w:tc>
        <w:tc>
          <w:tcPr>
            <w:tcW w:w="3620" w:type="dxa"/>
            <w:vAlign w:val="bottom"/>
          </w:tcPr>
          <w:p>
            <w:pPr>
              <w:ind w:left="200"/>
              <w:spacing w:after="0"/>
              <w:rPr>
                <w:sz w:val="20"/>
                <w:szCs w:val="20"/>
                <w:color w:val="auto"/>
              </w:rPr>
            </w:pPr>
            <w:r>
              <w:rPr>
                <w:rFonts w:ascii="Calibri" w:cs="Calibri" w:eastAsia="Calibri" w:hAnsi="Calibri"/>
                <w:sz w:val="17"/>
                <w:szCs w:val="17"/>
                <w:b w:val="1"/>
                <w:bCs w:val="1"/>
                <w:color w:val="FB4E0B"/>
              </w:rPr>
              <w:t>Descripton</w:t>
            </w:r>
          </w:p>
        </w:tc>
        <w:tc>
          <w:tcPr>
            <w:tcW w:w="3480" w:type="dxa"/>
            <w:vAlign w:val="bottom"/>
          </w:tcPr>
          <w:p>
            <w:pPr>
              <w:ind w:left="180"/>
              <w:spacing w:after="0"/>
              <w:rPr>
                <w:sz w:val="20"/>
                <w:szCs w:val="20"/>
                <w:color w:val="auto"/>
              </w:rPr>
            </w:pPr>
            <w:r>
              <w:rPr>
                <w:rFonts w:ascii="Calibri" w:cs="Calibri" w:eastAsia="Calibri" w:hAnsi="Calibri"/>
                <w:sz w:val="17"/>
                <w:szCs w:val="17"/>
                <w:b w:val="1"/>
                <w:bCs w:val="1"/>
                <w:color w:val="FB4E0B"/>
              </w:rPr>
              <w:t>Objectves</w:t>
            </w:r>
          </w:p>
        </w:tc>
      </w:tr>
      <w:tr>
        <w:trPr>
          <w:trHeight w:val="55"/>
        </w:trPr>
        <w:tc>
          <w:tcPr>
            <w:tcW w:w="3520" w:type="dxa"/>
            <w:vAlign w:val="bottom"/>
            <w:tcBorders>
              <w:bottom w:val="single" w:sz="8" w:color="FB4E0B"/>
            </w:tcBorders>
          </w:tcPr>
          <w:p>
            <w:pPr>
              <w:spacing w:after="0"/>
              <w:rPr>
                <w:sz w:val="4"/>
                <w:szCs w:val="4"/>
                <w:color w:val="auto"/>
              </w:rPr>
            </w:pPr>
          </w:p>
        </w:tc>
        <w:tc>
          <w:tcPr>
            <w:tcW w:w="3620" w:type="dxa"/>
            <w:vAlign w:val="bottom"/>
            <w:tcBorders>
              <w:bottom w:val="single" w:sz="8" w:color="FB4E0B"/>
            </w:tcBorders>
          </w:tcPr>
          <w:p>
            <w:pPr>
              <w:spacing w:after="0"/>
              <w:rPr>
                <w:sz w:val="4"/>
                <w:szCs w:val="4"/>
                <w:color w:val="auto"/>
              </w:rPr>
            </w:pPr>
          </w:p>
        </w:tc>
        <w:tc>
          <w:tcPr>
            <w:tcW w:w="3480" w:type="dxa"/>
            <w:vAlign w:val="bottom"/>
            <w:tcBorders>
              <w:bottom w:val="single" w:sz="8" w:color="FB4E0B"/>
            </w:tcBorders>
          </w:tcPr>
          <w:p>
            <w:pPr>
              <w:spacing w:after="0"/>
              <w:rPr>
                <w:sz w:val="4"/>
                <w:szCs w:val="4"/>
                <w:color w:val="auto"/>
              </w:rPr>
            </w:pPr>
          </w:p>
        </w:tc>
      </w:tr>
      <w:tr>
        <w:trPr>
          <w:trHeight w:val="243"/>
        </w:trPr>
        <w:tc>
          <w:tcPr>
            <w:tcW w:w="352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Other benefts</w:t>
            </w: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Broad-based benefts provided to company</w:t>
            </w:r>
          </w:p>
        </w:tc>
        <w:tc>
          <w:tcPr>
            <w:tcW w:w="3480" w:type="dxa"/>
            <w:vAlign w:val="bottom"/>
          </w:tcPr>
          <w:p>
            <w:pPr>
              <w:ind w:left="180"/>
              <w:spacing w:after="0"/>
              <w:rPr>
                <w:sz w:val="20"/>
                <w:szCs w:val="20"/>
                <w:color w:val="auto"/>
              </w:rPr>
            </w:pPr>
            <w:r>
              <w:rPr>
                <w:rFonts w:ascii="Calibri" w:cs="Calibri" w:eastAsia="Calibri" w:hAnsi="Calibri"/>
                <w:sz w:val="16"/>
                <w:szCs w:val="16"/>
                <w:color w:val="auto"/>
              </w:rPr>
              <w:t>Provide a total compensaton package that is</w:t>
            </w:r>
          </w:p>
        </w:tc>
      </w:tr>
      <w:tr>
        <w:trPr>
          <w:trHeight w:val="18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line="185" w:lineRule="exact"/>
              <w:rPr>
                <w:sz w:val="20"/>
                <w:szCs w:val="20"/>
                <w:color w:val="auto"/>
              </w:rPr>
            </w:pPr>
            <w:r>
              <w:rPr>
                <w:rFonts w:ascii="Calibri" w:cs="Calibri" w:eastAsia="Calibri" w:hAnsi="Calibri"/>
                <w:sz w:val="16"/>
                <w:szCs w:val="16"/>
                <w:color w:val="auto"/>
              </w:rPr>
              <w:t>employees (e.g., health and group insurance), a</w:t>
            </w:r>
          </w:p>
        </w:tc>
        <w:tc>
          <w:tcPr>
            <w:tcW w:w="3480" w:type="dxa"/>
            <w:vAlign w:val="bottom"/>
          </w:tcPr>
          <w:p>
            <w:pPr>
              <w:ind w:left="180"/>
              <w:spacing w:after="0" w:line="185" w:lineRule="exact"/>
              <w:rPr>
                <w:sz w:val="20"/>
                <w:szCs w:val="20"/>
                <w:color w:val="auto"/>
              </w:rPr>
            </w:pPr>
            <w:r>
              <w:rPr>
                <w:rFonts w:ascii="Calibri" w:cs="Calibri" w:eastAsia="Calibri" w:hAnsi="Calibri"/>
                <w:sz w:val="16"/>
                <w:szCs w:val="16"/>
                <w:color w:val="auto"/>
              </w:rPr>
              <w:t>compettve with the marketplace and addresses</w:t>
            </w: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retrement savings plan and other personal benefts</w:t>
            </w:r>
          </w:p>
        </w:tc>
        <w:tc>
          <w:tcPr>
            <w:tcW w:w="3480" w:type="dxa"/>
            <w:vAlign w:val="bottom"/>
          </w:tcPr>
          <w:p>
            <w:pPr>
              <w:ind w:left="180"/>
              <w:spacing w:after="0"/>
              <w:rPr>
                <w:sz w:val="20"/>
                <w:szCs w:val="20"/>
                <w:color w:val="auto"/>
              </w:rPr>
            </w:pPr>
            <w:r>
              <w:rPr>
                <w:rFonts w:ascii="Calibri" w:cs="Calibri" w:eastAsia="Calibri" w:hAnsi="Calibri"/>
                <w:sz w:val="16"/>
                <w:szCs w:val="16"/>
                <w:color w:val="auto"/>
              </w:rPr>
              <w:t>unique needs, especially for overseas executves.</w:t>
            </w: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where appropriate and as required by local law.</w:t>
            </w:r>
          </w:p>
        </w:tc>
        <w:tc>
          <w:tcPr>
            <w:tcW w:w="3480" w:type="dxa"/>
            <w:vAlign w:val="bottom"/>
          </w:tcPr>
          <w:p>
            <w:pPr>
              <w:spacing w:after="0"/>
              <w:rPr>
                <w:sz w:val="16"/>
                <w:szCs w:val="16"/>
                <w:color w:val="auto"/>
              </w:rPr>
            </w:pPr>
          </w:p>
        </w:tc>
      </w:tr>
      <w:tr>
        <w:trPr>
          <w:trHeight w:val="157"/>
        </w:trPr>
        <w:tc>
          <w:tcPr>
            <w:tcW w:w="3520" w:type="dxa"/>
            <w:vAlign w:val="bottom"/>
            <w:tcBorders>
              <w:bottom w:val="single" w:sz="8" w:color="auto"/>
              <w:right w:val="single" w:sz="8" w:color="auto"/>
            </w:tcBorders>
          </w:tcPr>
          <w:p>
            <w:pPr>
              <w:spacing w:after="0"/>
              <w:rPr>
                <w:sz w:val="13"/>
                <w:szCs w:val="13"/>
                <w:color w:val="auto"/>
              </w:rPr>
            </w:pPr>
          </w:p>
        </w:tc>
        <w:tc>
          <w:tcPr>
            <w:tcW w:w="3620" w:type="dxa"/>
            <w:vAlign w:val="bottom"/>
            <w:tcBorders>
              <w:bottom w:val="single" w:sz="8" w:color="auto"/>
              <w:right w:val="single" w:sz="8" w:color="auto"/>
            </w:tcBorders>
          </w:tcPr>
          <w:p>
            <w:pPr>
              <w:spacing w:after="0"/>
              <w:rPr>
                <w:sz w:val="13"/>
                <w:szCs w:val="13"/>
                <w:color w:val="auto"/>
              </w:rPr>
            </w:pPr>
          </w:p>
        </w:tc>
        <w:tc>
          <w:tcPr>
            <w:tcW w:w="3480" w:type="dxa"/>
            <w:vAlign w:val="bottom"/>
            <w:tcBorders>
              <w:bottom w:val="single" w:sz="8" w:color="auto"/>
            </w:tcBorders>
          </w:tcPr>
          <w:p>
            <w:pPr>
              <w:spacing w:after="0"/>
              <w:rPr>
                <w:sz w:val="13"/>
                <w:szCs w:val="13"/>
                <w:color w:val="auto"/>
              </w:rPr>
            </w:pPr>
          </w:p>
        </w:tc>
      </w:tr>
      <w:tr>
        <w:trPr>
          <w:trHeight w:val="236"/>
        </w:trPr>
        <w:tc>
          <w:tcPr>
            <w:tcW w:w="352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Severance and change</w:t>
            </w: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Protect executves during potentally tumultuous</w:t>
            </w:r>
          </w:p>
        </w:tc>
        <w:tc>
          <w:tcPr>
            <w:tcW w:w="3480" w:type="dxa"/>
            <w:vAlign w:val="bottom"/>
          </w:tcPr>
          <w:p>
            <w:pPr>
              <w:ind w:left="180"/>
              <w:spacing w:after="0"/>
              <w:rPr>
                <w:sz w:val="20"/>
                <w:szCs w:val="20"/>
                <w:color w:val="auto"/>
              </w:rPr>
            </w:pPr>
            <w:r>
              <w:rPr>
                <w:rFonts w:ascii="Calibri" w:cs="Calibri" w:eastAsia="Calibri" w:hAnsi="Calibri"/>
                <w:sz w:val="16"/>
                <w:szCs w:val="16"/>
                <w:color w:val="auto"/>
                <w:w w:val="98"/>
              </w:rPr>
              <w:t>Allow executves to focus on generatng stockholder</w:t>
            </w:r>
          </w:p>
        </w:tc>
      </w:tr>
      <w:tr>
        <w:trPr>
          <w:trHeight w:val="215"/>
        </w:trPr>
        <w:tc>
          <w:tcPr>
            <w:tcW w:w="352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in control protectons</w:t>
            </w:r>
          </w:p>
        </w:tc>
        <w:tc>
          <w:tcPr>
            <w:tcW w:w="3620" w:type="dxa"/>
            <w:vAlign w:val="bottom"/>
            <w:tcBorders>
              <w:right w:val="single" w:sz="8" w:color="auto"/>
            </w:tcBorders>
          </w:tcPr>
          <w:p>
            <w:pPr>
              <w:ind w:left="200"/>
              <w:spacing w:after="0" w:line="185" w:lineRule="exact"/>
              <w:rPr>
                <w:sz w:val="20"/>
                <w:szCs w:val="20"/>
                <w:color w:val="auto"/>
              </w:rPr>
            </w:pPr>
            <w:r>
              <w:rPr>
                <w:rFonts w:ascii="Calibri" w:cs="Calibri" w:eastAsia="Calibri" w:hAnsi="Calibri"/>
                <w:sz w:val="16"/>
                <w:szCs w:val="16"/>
                <w:color w:val="auto"/>
              </w:rPr>
              <w:t>corporate transacton.</w:t>
            </w:r>
          </w:p>
        </w:tc>
        <w:tc>
          <w:tcPr>
            <w:tcW w:w="3480" w:type="dxa"/>
            <w:vAlign w:val="bottom"/>
          </w:tcPr>
          <w:p>
            <w:pPr>
              <w:ind w:left="180"/>
              <w:spacing w:after="0" w:line="185" w:lineRule="exact"/>
              <w:rPr>
                <w:sz w:val="20"/>
                <w:szCs w:val="20"/>
                <w:color w:val="auto"/>
              </w:rPr>
            </w:pPr>
            <w:r>
              <w:rPr>
                <w:rFonts w:ascii="Calibri" w:cs="Calibri" w:eastAsia="Calibri" w:hAnsi="Calibri"/>
                <w:sz w:val="16"/>
                <w:szCs w:val="16"/>
                <w:color w:val="auto"/>
              </w:rPr>
              <w:t>value during a change in control transacton.</w:t>
            </w:r>
          </w:p>
        </w:tc>
      </w:tr>
      <w:tr>
        <w:trPr>
          <w:trHeight w:val="282"/>
        </w:trPr>
        <w:tc>
          <w:tcPr>
            <w:tcW w:w="352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w w:val="99"/>
              </w:rPr>
              <w:t>Provide post-employment compensaton upon other</w:t>
            </w:r>
          </w:p>
        </w:tc>
        <w:tc>
          <w:tcPr>
            <w:tcW w:w="3480" w:type="dxa"/>
            <w:vAlign w:val="bottom"/>
          </w:tcPr>
          <w:p>
            <w:pPr>
              <w:ind w:left="180"/>
              <w:spacing w:after="0"/>
              <w:rPr>
                <w:sz w:val="20"/>
                <w:szCs w:val="20"/>
                <w:color w:val="auto"/>
              </w:rPr>
            </w:pPr>
            <w:r>
              <w:rPr>
                <w:rFonts w:ascii="Calibri" w:cs="Calibri" w:eastAsia="Calibri" w:hAnsi="Calibri"/>
                <w:sz w:val="16"/>
                <w:szCs w:val="16"/>
                <w:color w:val="auto"/>
              </w:rPr>
              <w:t>Provide market-compettve post-employment</w:t>
            </w: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involuntary terminatons.</w:t>
            </w:r>
          </w:p>
        </w:tc>
        <w:tc>
          <w:tcPr>
            <w:tcW w:w="3480" w:type="dxa"/>
            <w:vAlign w:val="bottom"/>
          </w:tcPr>
          <w:p>
            <w:pPr>
              <w:ind w:left="180"/>
              <w:spacing w:after="0"/>
              <w:rPr>
                <w:sz w:val="20"/>
                <w:szCs w:val="20"/>
                <w:color w:val="auto"/>
              </w:rPr>
            </w:pPr>
            <w:r>
              <w:rPr>
                <w:rFonts w:ascii="Calibri" w:cs="Calibri" w:eastAsia="Calibri" w:hAnsi="Calibri"/>
                <w:sz w:val="16"/>
                <w:szCs w:val="16"/>
                <w:color w:val="auto"/>
              </w:rPr>
              <w:t>compensaton recognizing executves likely require</w:t>
            </w: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480" w:type="dxa"/>
            <w:vAlign w:val="bottom"/>
          </w:tcPr>
          <w:p>
            <w:pPr>
              <w:ind w:left="180"/>
              <w:spacing w:after="0"/>
              <w:rPr>
                <w:sz w:val="20"/>
                <w:szCs w:val="20"/>
                <w:color w:val="auto"/>
              </w:rPr>
            </w:pPr>
            <w:r>
              <w:rPr>
                <w:rFonts w:ascii="Calibri" w:cs="Calibri" w:eastAsia="Calibri" w:hAnsi="Calibri"/>
                <w:sz w:val="16"/>
                <w:szCs w:val="16"/>
                <w:color w:val="auto"/>
              </w:rPr>
              <w:t>more tme to fnd subsequent employment.</w:t>
            </w:r>
          </w:p>
        </w:tc>
      </w:tr>
      <w:tr>
        <w:trPr>
          <w:trHeight w:val="163"/>
        </w:trPr>
        <w:tc>
          <w:tcPr>
            <w:tcW w:w="3520" w:type="dxa"/>
            <w:vAlign w:val="bottom"/>
            <w:tcBorders>
              <w:bottom w:val="single" w:sz="8" w:color="FB4E0B"/>
              <w:right w:val="single" w:sz="8" w:color="auto"/>
            </w:tcBorders>
          </w:tcPr>
          <w:p>
            <w:pPr>
              <w:spacing w:after="0"/>
              <w:rPr>
                <w:sz w:val="14"/>
                <w:szCs w:val="14"/>
                <w:color w:val="auto"/>
              </w:rPr>
            </w:pPr>
          </w:p>
        </w:tc>
        <w:tc>
          <w:tcPr>
            <w:tcW w:w="3620" w:type="dxa"/>
            <w:vAlign w:val="bottom"/>
            <w:tcBorders>
              <w:bottom w:val="single" w:sz="8" w:color="FB4E0B"/>
              <w:right w:val="single" w:sz="8" w:color="auto"/>
            </w:tcBorders>
          </w:tcPr>
          <w:p>
            <w:pPr>
              <w:spacing w:after="0"/>
              <w:rPr>
                <w:sz w:val="14"/>
                <w:szCs w:val="14"/>
                <w:color w:val="auto"/>
              </w:rPr>
            </w:pPr>
          </w:p>
        </w:tc>
        <w:tc>
          <w:tcPr>
            <w:tcW w:w="3480" w:type="dxa"/>
            <w:vAlign w:val="bottom"/>
            <w:tcBorders>
              <w:bottom w:val="single" w:sz="8" w:color="FB4E0B"/>
            </w:tcBorders>
          </w:tcPr>
          <w:p>
            <w:pPr>
              <w:spacing w:after="0"/>
              <w:rPr>
                <w:sz w:val="14"/>
                <w:szCs w:val="14"/>
                <w:color w:val="auto"/>
              </w:rPr>
            </w:pPr>
          </w:p>
        </w:tc>
      </w:tr>
    </w:tbl>
    <w:p>
      <w:pPr>
        <w:spacing w:after="0" w:line="287"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Detailed review of compensaton components</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Base salary</w:t>
      </w:r>
    </w:p>
    <w:p>
      <w:pPr>
        <w:spacing w:after="0" w:line="115" w:lineRule="exact"/>
        <w:rPr>
          <w:sz w:val="20"/>
          <w:szCs w:val="20"/>
          <w:color w:val="auto"/>
        </w:rPr>
      </w:pPr>
    </w:p>
    <w:p>
      <w:pPr>
        <w:ind w:left="320" w:right="240"/>
        <w:spacing w:after="0" w:line="239" w:lineRule="auto"/>
        <w:rPr>
          <w:sz w:val="20"/>
          <w:szCs w:val="20"/>
          <w:color w:val="auto"/>
        </w:rPr>
      </w:pPr>
      <w:r>
        <w:rPr>
          <w:rFonts w:ascii="Calibri" w:cs="Calibri" w:eastAsia="Calibri" w:hAnsi="Calibri"/>
          <w:sz w:val="17"/>
          <w:szCs w:val="17"/>
          <w:color w:val="auto"/>
        </w:rPr>
        <w:t>As discussed above, we provide our executve ofcers fxed cash compensaton commensurate with their performance, experience, responsibilites, skill set and market value. This atracts and retains an appropriate caliber of talent for the positon and provides a base wage that is not subject to our performance risk. In setng base salaries for 2023, our Compensaton and Talent Management Commitee considered:</w:t>
      </w:r>
    </w:p>
    <w:p>
      <w:pPr>
        <w:spacing w:after="0" w:line="357"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3200" w:type="dxa"/>
            <w:vAlign w:val="bottom"/>
            <w:tcBorders>
              <w:top w:val="single" w:sz="8" w:color="FB4E0B"/>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Individual performance</w:t>
            </w:r>
          </w:p>
        </w:tc>
        <w:tc>
          <w:tcPr>
            <w:tcW w:w="7420" w:type="dxa"/>
            <w:vAlign w:val="bottom"/>
            <w:tcBorders>
              <w:top w:val="single" w:sz="8" w:color="FB4E0B"/>
            </w:tcBorders>
          </w:tcPr>
          <w:p>
            <w:pPr>
              <w:ind w:left="80"/>
              <w:spacing w:after="0"/>
              <w:rPr>
                <w:sz w:val="20"/>
                <w:szCs w:val="20"/>
                <w:color w:val="auto"/>
              </w:rPr>
            </w:pPr>
            <w:r>
              <w:rPr>
                <w:rFonts w:ascii="Calibri" w:cs="Calibri" w:eastAsia="Calibri" w:hAnsi="Calibri"/>
                <w:sz w:val="17"/>
                <w:szCs w:val="17"/>
                <w:color w:val="auto"/>
              </w:rPr>
              <w:t>The degree to which the executve met and exceeded expectatons.</w:t>
            </w:r>
          </w:p>
        </w:tc>
        <w:tc>
          <w:tcPr>
            <w:tcW w:w="0" w:type="dxa"/>
            <w:vAlign w:val="bottom"/>
          </w:tcPr>
          <w:p>
            <w:pPr>
              <w:spacing w:after="0"/>
              <w:rPr>
                <w:sz w:val="1"/>
                <w:szCs w:val="1"/>
                <w:color w:val="auto"/>
              </w:rPr>
            </w:pPr>
          </w:p>
        </w:tc>
      </w:tr>
      <w:tr>
        <w:trPr>
          <w:trHeight w:val="119"/>
        </w:trPr>
        <w:tc>
          <w:tcPr>
            <w:tcW w:w="3200" w:type="dxa"/>
            <w:vAlign w:val="bottom"/>
            <w:tcBorders>
              <w:bottom w:val="single" w:sz="8" w:color="auto"/>
              <w:right w:val="single" w:sz="8" w:color="auto"/>
            </w:tcBorders>
          </w:tcPr>
          <w:p>
            <w:pPr>
              <w:spacing w:after="0"/>
              <w:rPr>
                <w:sz w:val="10"/>
                <w:szCs w:val="10"/>
                <w:color w:val="auto"/>
              </w:rPr>
            </w:pPr>
          </w:p>
        </w:tc>
        <w:tc>
          <w:tcPr>
            <w:tcW w:w="7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3200" w:type="dxa"/>
            <w:vAlign w:val="bottom"/>
            <w:tcBorders>
              <w:right w:val="single" w:sz="8" w:color="auto"/>
            </w:tcBorders>
          </w:tcPr>
          <w:p>
            <w:pPr>
              <w:ind w:left="140"/>
              <w:spacing w:after="0" w:line="199" w:lineRule="exact"/>
              <w:rPr>
                <w:sz w:val="20"/>
                <w:szCs w:val="20"/>
                <w:color w:val="auto"/>
              </w:rPr>
            </w:pPr>
            <w:r>
              <w:rPr>
                <w:rFonts w:ascii="Calibri" w:cs="Calibri" w:eastAsia="Calibri" w:hAnsi="Calibri"/>
                <w:sz w:val="17"/>
                <w:szCs w:val="17"/>
                <w:b w:val="1"/>
                <w:bCs w:val="1"/>
                <w:color w:val="auto"/>
              </w:rPr>
              <w:t>Market data</w:t>
            </w:r>
          </w:p>
        </w:tc>
        <w:tc>
          <w:tcPr>
            <w:tcW w:w="7420" w:type="dxa"/>
            <w:vAlign w:val="bottom"/>
          </w:tcPr>
          <w:p>
            <w:pPr>
              <w:ind w:left="80"/>
              <w:spacing w:after="0" w:line="199" w:lineRule="exact"/>
              <w:rPr>
                <w:sz w:val="20"/>
                <w:szCs w:val="20"/>
                <w:color w:val="auto"/>
              </w:rPr>
            </w:pPr>
            <w:r>
              <w:rPr>
                <w:rFonts w:ascii="Calibri" w:cs="Calibri" w:eastAsia="Calibri" w:hAnsi="Calibri"/>
                <w:sz w:val="17"/>
                <w:szCs w:val="17"/>
                <w:color w:val="auto"/>
              </w:rPr>
              <w:t>Market data to test reasonableness of compensaton.</w:t>
            </w:r>
          </w:p>
        </w:tc>
        <w:tc>
          <w:tcPr>
            <w:tcW w:w="0" w:type="dxa"/>
            <w:vAlign w:val="bottom"/>
          </w:tcPr>
          <w:p>
            <w:pPr>
              <w:spacing w:after="0"/>
              <w:rPr>
                <w:sz w:val="1"/>
                <w:szCs w:val="1"/>
                <w:color w:val="auto"/>
              </w:rPr>
            </w:pPr>
          </w:p>
        </w:tc>
      </w:tr>
      <w:tr>
        <w:trPr>
          <w:trHeight w:val="119"/>
        </w:trPr>
        <w:tc>
          <w:tcPr>
            <w:tcW w:w="3200" w:type="dxa"/>
            <w:vAlign w:val="bottom"/>
            <w:tcBorders>
              <w:bottom w:val="single" w:sz="8" w:color="auto"/>
              <w:right w:val="single" w:sz="8" w:color="auto"/>
            </w:tcBorders>
          </w:tcPr>
          <w:p>
            <w:pPr>
              <w:spacing w:after="0"/>
              <w:rPr>
                <w:sz w:val="10"/>
                <w:szCs w:val="10"/>
                <w:color w:val="auto"/>
              </w:rPr>
            </w:pPr>
          </w:p>
        </w:tc>
        <w:tc>
          <w:tcPr>
            <w:tcW w:w="7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00" w:type="dxa"/>
            <w:vAlign w:val="bottom"/>
            <w:tcBorders>
              <w:right w:val="single" w:sz="8" w:color="auto"/>
            </w:tcBorders>
          </w:tcPr>
          <w:p>
            <w:pPr>
              <w:ind w:left="140"/>
              <w:spacing w:after="0" w:line="193" w:lineRule="exact"/>
              <w:rPr>
                <w:sz w:val="20"/>
                <w:szCs w:val="20"/>
                <w:color w:val="auto"/>
              </w:rPr>
            </w:pPr>
            <w:r>
              <w:rPr>
                <w:rFonts w:ascii="Calibri" w:cs="Calibri" w:eastAsia="Calibri" w:hAnsi="Calibri"/>
                <w:sz w:val="17"/>
                <w:szCs w:val="17"/>
                <w:b w:val="1"/>
                <w:bCs w:val="1"/>
                <w:color w:val="auto"/>
              </w:rPr>
              <w:t>Overall compensaton mix</w:t>
            </w:r>
          </w:p>
        </w:tc>
        <w:tc>
          <w:tcPr>
            <w:tcW w:w="7420" w:type="dxa"/>
            <w:vAlign w:val="bottom"/>
          </w:tcPr>
          <w:p>
            <w:pPr>
              <w:ind w:left="80"/>
              <w:spacing w:after="0" w:line="193" w:lineRule="exact"/>
              <w:rPr>
                <w:sz w:val="20"/>
                <w:szCs w:val="20"/>
                <w:color w:val="auto"/>
              </w:rPr>
            </w:pPr>
            <w:r>
              <w:rPr>
                <w:rFonts w:ascii="Calibri" w:cs="Calibri" w:eastAsia="Calibri" w:hAnsi="Calibri"/>
                <w:sz w:val="17"/>
                <w:szCs w:val="17"/>
                <w:color w:val="auto"/>
              </w:rPr>
              <w:t>Senior employees should have a greater porton of their compensaton ted to increasing stockholder</w:t>
            </w:r>
          </w:p>
        </w:tc>
        <w:tc>
          <w:tcPr>
            <w:tcW w:w="0" w:type="dxa"/>
            <w:vAlign w:val="bottom"/>
          </w:tcPr>
          <w:p>
            <w:pPr>
              <w:spacing w:after="0"/>
              <w:rPr>
                <w:sz w:val="1"/>
                <w:szCs w:val="1"/>
                <w:color w:val="auto"/>
              </w:rPr>
            </w:pPr>
          </w:p>
        </w:tc>
      </w:tr>
      <w:tr>
        <w:trPr>
          <w:trHeight w:val="206"/>
        </w:trPr>
        <w:tc>
          <w:tcPr>
            <w:tcW w:w="3200" w:type="dxa"/>
            <w:vAlign w:val="bottom"/>
            <w:tcBorders>
              <w:right w:val="single" w:sz="8" w:color="auto"/>
            </w:tcBorders>
          </w:tcPr>
          <w:p>
            <w:pPr>
              <w:spacing w:after="0"/>
              <w:rPr>
                <w:sz w:val="17"/>
                <w:szCs w:val="17"/>
                <w:color w:val="auto"/>
              </w:rPr>
            </w:pPr>
          </w:p>
        </w:tc>
        <w:tc>
          <w:tcPr>
            <w:tcW w:w="7420" w:type="dxa"/>
            <w:vAlign w:val="bottom"/>
          </w:tcPr>
          <w:p>
            <w:pPr>
              <w:ind w:left="80"/>
              <w:spacing w:after="0" w:line="206" w:lineRule="exact"/>
              <w:rPr>
                <w:sz w:val="20"/>
                <w:szCs w:val="20"/>
                <w:color w:val="auto"/>
              </w:rPr>
            </w:pPr>
            <w:r>
              <w:rPr>
                <w:rFonts w:ascii="Calibri" w:cs="Calibri" w:eastAsia="Calibri" w:hAnsi="Calibri"/>
                <w:sz w:val="17"/>
                <w:szCs w:val="17"/>
                <w:color w:val="auto"/>
              </w:rPr>
              <w:t>value.</w:t>
            </w:r>
          </w:p>
        </w:tc>
        <w:tc>
          <w:tcPr>
            <w:tcW w:w="0" w:type="dxa"/>
            <w:vAlign w:val="bottom"/>
          </w:tcPr>
          <w:p>
            <w:pPr>
              <w:spacing w:after="0"/>
              <w:rPr>
                <w:sz w:val="1"/>
                <w:szCs w:val="1"/>
                <w:color w:val="auto"/>
              </w:rPr>
            </w:pPr>
          </w:p>
        </w:tc>
      </w:tr>
      <w:tr>
        <w:trPr>
          <w:trHeight w:val="133"/>
        </w:trPr>
        <w:tc>
          <w:tcPr>
            <w:tcW w:w="3200" w:type="dxa"/>
            <w:vAlign w:val="bottom"/>
            <w:tcBorders>
              <w:bottom w:val="single" w:sz="8" w:color="FB4E0B"/>
              <w:right w:val="single" w:sz="8" w:color="auto"/>
            </w:tcBorders>
          </w:tcPr>
          <w:p>
            <w:pPr>
              <w:spacing w:after="0"/>
              <w:rPr>
                <w:sz w:val="11"/>
                <w:szCs w:val="11"/>
                <w:color w:val="auto"/>
              </w:rPr>
            </w:pPr>
          </w:p>
        </w:tc>
        <w:tc>
          <w:tcPr>
            <w:tcW w:w="742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r>
        <w:trPr>
          <w:trHeight w:val="484"/>
        </w:trPr>
        <w:tc>
          <w:tcPr>
            <w:tcW w:w="320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7420" w:type="dxa"/>
            <w:vAlign w:val="bottom"/>
            <w:vMerge w:val="restart"/>
          </w:tcPr>
          <w:p>
            <w:pPr>
              <w:ind w:left="5100"/>
              <w:spacing w:after="0"/>
              <w:rPr>
                <w:sz w:val="20"/>
                <w:szCs w:val="20"/>
                <w:color w:val="auto"/>
              </w:rPr>
            </w:pPr>
            <w:r>
              <w:rPr>
                <w:rFonts w:ascii="Calibri" w:cs="Calibri" w:eastAsia="Calibri" w:hAnsi="Calibri"/>
                <w:sz w:val="13"/>
                <w:szCs w:val="13"/>
                <w:color w:val="auto"/>
              </w:rPr>
              <w:t xml:space="preserve">EXL 2024 Proxy Statement    </w:t>
            </w:r>
            <w:r>
              <w:rPr>
                <w:rFonts w:ascii="Calibri" w:cs="Calibri" w:eastAsia="Calibri" w:hAnsi="Calibri"/>
                <w:sz w:val="27"/>
                <w:szCs w:val="27"/>
                <w:b w:val="1"/>
                <w:bCs w:val="1"/>
                <w:color w:val="FB4E0B"/>
              </w:rPr>
              <w:t>/</w:t>
            </w:r>
            <w:r>
              <w:rPr>
                <w:rFonts w:ascii="Calibri" w:cs="Calibri" w:eastAsia="Calibri" w:hAnsi="Calibri"/>
                <w:sz w:val="13"/>
                <w:szCs w:val="13"/>
                <w:color w:val="auto"/>
              </w:rPr>
              <w:t xml:space="preserve"> </w:t>
            </w:r>
            <w:r>
              <w:rPr>
                <w:rFonts w:ascii="Calibri" w:cs="Calibri" w:eastAsia="Calibri" w:hAnsi="Calibri"/>
                <w:sz w:val="17"/>
                <w:szCs w:val="17"/>
                <w:b w:val="1"/>
                <w:bCs w:val="1"/>
                <w:color w:val="auto"/>
              </w:rPr>
              <w:t xml:space="preserve">   71</w:t>
            </w: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7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8"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Upon completng its review, the Compensaton and Talent Management Commitee determined it was appropriate to keep 2023 base salaries at the levels set in October 2022 for all of our named executve ofcers. The fxed compensaton amount for Mr. Bhalla covers not only base salary, but also amounts available as a travel allowance, an automobile allowance, a housing allowance, and a cash supplementary allowance, consistent with compensaton practces in India.</w:t>
      </w: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89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Calibri" w:cs="Calibri" w:eastAsia="Calibri" w:hAnsi="Calibri"/>
                <w:sz w:val="14"/>
                <w:szCs w:val="14"/>
                <w:b w:val="1"/>
                <w:bCs w:val="1"/>
                <w:color w:val="auto"/>
              </w:rPr>
              <w:t>2023 Base salary /</w:t>
            </w:r>
          </w:p>
        </w:tc>
        <w:tc>
          <w:tcPr>
            <w:tcW w:w="0" w:type="dxa"/>
            <w:vAlign w:val="bottom"/>
          </w:tcPr>
          <w:p>
            <w:pPr>
              <w:spacing w:after="0"/>
              <w:rPr>
                <w:sz w:val="1"/>
                <w:szCs w:val="1"/>
                <w:color w:val="auto"/>
              </w:rPr>
            </w:pPr>
          </w:p>
        </w:tc>
      </w:tr>
      <w:tr>
        <w:trPr>
          <w:trHeight w:val="169"/>
        </w:trPr>
        <w:tc>
          <w:tcPr>
            <w:tcW w:w="8920" w:type="dxa"/>
            <w:vAlign w:val="bottom"/>
            <w:vMerge w:val="restart"/>
          </w:tcPr>
          <w:p>
            <w:pPr>
              <w:ind w:left="140"/>
              <w:spacing w:after="0"/>
              <w:rPr>
                <w:sz w:val="20"/>
                <w:szCs w:val="20"/>
                <w:color w:val="auto"/>
              </w:rPr>
            </w:pPr>
            <w:r>
              <w:rPr>
                <w:rFonts w:ascii="Calibri" w:cs="Calibri" w:eastAsia="Calibri" w:hAnsi="Calibri"/>
                <w:sz w:val="17"/>
                <w:szCs w:val="17"/>
                <w:b w:val="1"/>
                <w:bCs w:val="1"/>
                <w:color w:val="FB4E0B"/>
              </w:rPr>
              <w:t>Name</w:t>
            </w:r>
          </w:p>
        </w:tc>
        <w:tc>
          <w:tcPr>
            <w:tcW w:w="17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annual fxed</w:t>
            </w:r>
          </w:p>
        </w:tc>
        <w:tc>
          <w:tcPr>
            <w:tcW w:w="0" w:type="dxa"/>
            <w:vAlign w:val="bottom"/>
          </w:tcPr>
          <w:p>
            <w:pPr>
              <w:spacing w:after="0"/>
              <w:rPr>
                <w:sz w:val="1"/>
                <w:szCs w:val="1"/>
                <w:color w:val="auto"/>
              </w:rPr>
            </w:pPr>
          </w:p>
        </w:tc>
      </w:tr>
      <w:tr>
        <w:trPr>
          <w:trHeight w:val="169"/>
        </w:trPr>
        <w:tc>
          <w:tcPr>
            <w:tcW w:w="8920" w:type="dxa"/>
            <w:vAlign w:val="bottom"/>
            <w:vMerge w:val="continue"/>
          </w:tcPr>
          <w:p>
            <w:pPr>
              <w:spacing w:after="0"/>
              <w:rPr>
                <w:sz w:val="14"/>
                <w:szCs w:val="14"/>
                <w:color w:val="auto"/>
              </w:rPr>
            </w:pPr>
          </w:p>
        </w:tc>
        <w:tc>
          <w:tcPr>
            <w:tcW w:w="17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 ($)</w:t>
            </w:r>
          </w:p>
        </w:tc>
        <w:tc>
          <w:tcPr>
            <w:tcW w:w="0" w:type="dxa"/>
            <w:vAlign w:val="bottom"/>
          </w:tcPr>
          <w:p>
            <w:pPr>
              <w:spacing w:after="0"/>
              <w:rPr>
                <w:sz w:val="1"/>
                <w:szCs w:val="1"/>
                <w:color w:val="auto"/>
              </w:rPr>
            </w:pPr>
          </w:p>
        </w:tc>
      </w:tr>
      <w:tr>
        <w:trPr>
          <w:trHeight w:val="76"/>
        </w:trPr>
        <w:tc>
          <w:tcPr>
            <w:tcW w:w="8920" w:type="dxa"/>
            <w:vAlign w:val="bottom"/>
            <w:tcBorders>
              <w:bottom w:val="single" w:sz="8" w:color="FB4E0B"/>
            </w:tcBorders>
          </w:tcPr>
          <w:p>
            <w:pPr>
              <w:spacing w:after="0"/>
              <w:rPr>
                <w:sz w:val="6"/>
                <w:szCs w:val="6"/>
                <w:color w:val="auto"/>
              </w:rPr>
            </w:pPr>
          </w:p>
        </w:tc>
        <w:tc>
          <w:tcPr>
            <w:tcW w:w="1700" w:type="dxa"/>
            <w:vAlign w:val="bottom"/>
            <w:tcBorders>
              <w:bottom w:val="single" w:sz="8" w:color="FB4E0B"/>
            </w:tcBorders>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89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Rohit Kapoor</w:t>
            </w:r>
          </w:p>
        </w:tc>
        <w:tc>
          <w:tcPr>
            <w:tcW w:w="1700" w:type="dxa"/>
            <w:vAlign w:val="bottom"/>
          </w:tcPr>
          <w:p>
            <w:pPr>
              <w:jc w:val="right"/>
              <w:ind w:right="20"/>
              <w:spacing w:after="0"/>
              <w:rPr>
                <w:sz w:val="20"/>
                <w:szCs w:val="20"/>
                <w:color w:val="auto"/>
              </w:rPr>
            </w:pPr>
            <w:r>
              <w:rPr>
                <w:rFonts w:ascii="Calibri" w:cs="Calibri" w:eastAsia="Calibri" w:hAnsi="Calibri"/>
                <w:sz w:val="17"/>
                <w:szCs w:val="17"/>
                <w:color w:val="auto"/>
              </w:rPr>
              <w:t>815,000</w:t>
            </w:r>
          </w:p>
        </w:tc>
        <w:tc>
          <w:tcPr>
            <w:tcW w:w="0" w:type="dxa"/>
            <w:vAlign w:val="bottom"/>
          </w:tcPr>
          <w:p>
            <w:pPr>
              <w:spacing w:after="0"/>
              <w:rPr>
                <w:sz w:val="1"/>
                <w:szCs w:val="1"/>
                <w:color w:val="auto"/>
              </w:rPr>
            </w:pPr>
          </w:p>
        </w:tc>
      </w:tr>
      <w:tr>
        <w:trPr>
          <w:trHeight w:val="127"/>
        </w:trPr>
        <w:tc>
          <w:tcPr>
            <w:tcW w:w="892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89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Maurizio Nicolelli</w:t>
            </w:r>
          </w:p>
        </w:tc>
        <w:tc>
          <w:tcPr>
            <w:tcW w:w="1700" w:type="dxa"/>
            <w:vAlign w:val="bottom"/>
          </w:tcPr>
          <w:p>
            <w:pPr>
              <w:jc w:val="right"/>
              <w:ind w:right="20"/>
              <w:spacing w:after="0"/>
              <w:rPr>
                <w:sz w:val="20"/>
                <w:szCs w:val="20"/>
                <w:color w:val="auto"/>
              </w:rPr>
            </w:pPr>
            <w:r>
              <w:rPr>
                <w:rFonts w:ascii="Calibri" w:cs="Calibri" w:eastAsia="Calibri" w:hAnsi="Calibri"/>
                <w:sz w:val="17"/>
                <w:szCs w:val="17"/>
                <w:color w:val="auto"/>
              </w:rPr>
              <w:t>510,000</w:t>
            </w:r>
          </w:p>
        </w:tc>
        <w:tc>
          <w:tcPr>
            <w:tcW w:w="0" w:type="dxa"/>
            <w:vAlign w:val="bottom"/>
          </w:tcPr>
          <w:p>
            <w:pPr>
              <w:spacing w:after="0"/>
              <w:rPr>
                <w:sz w:val="1"/>
                <w:szCs w:val="1"/>
                <w:color w:val="auto"/>
              </w:rPr>
            </w:pPr>
          </w:p>
        </w:tc>
      </w:tr>
      <w:tr>
        <w:trPr>
          <w:trHeight w:val="127"/>
        </w:trPr>
        <w:tc>
          <w:tcPr>
            <w:tcW w:w="892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89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Vikas Bhalla</w:t>
            </w:r>
          </w:p>
        </w:tc>
        <w:tc>
          <w:tcPr>
            <w:tcW w:w="1700" w:type="dxa"/>
            <w:vAlign w:val="bottom"/>
          </w:tcPr>
          <w:p>
            <w:pPr>
              <w:jc w:val="right"/>
              <w:ind w:right="40"/>
              <w:spacing w:after="0"/>
              <w:rPr>
                <w:sz w:val="20"/>
                <w:szCs w:val="20"/>
                <w:color w:val="auto"/>
              </w:rPr>
            </w:pPr>
            <w:r>
              <w:rPr>
                <w:rFonts w:ascii="Calibri" w:cs="Calibri" w:eastAsia="Calibri" w:hAnsi="Calibri"/>
                <w:sz w:val="17"/>
                <w:szCs w:val="17"/>
                <w:color w:val="auto"/>
              </w:rPr>
              <w:t>INR 27,900,000</w:t>
            </w:r>
            <w:r>
              <w:rPr>
                <w:rFonts w:ascii="Calibri" w:cs="Calibri" w:eastAsia="Calibri" w:hAnsi="Calibri"/>
                <w:sz w:val="13"/>
                <w:szCs w:val="13"/>
                <w:color w:val="auto"/>
              </w:rPr>
              <w:t>(1)</w:t>
            </w:r>
          </w:p>
        </w:tc>
        <w:tc>
          <w:tcPr>
            <w:tcW w:w="0" w:type="dxa"/>
            <w:vAlign w:val="bottom"/>
          </w:tcPr>
          <w:p>
            <w:pPr>
              <w:spacing w:after="0"/>
              <w:rPr>
                <w:sz w:val="1"/>
                <w:szCs w:val="1"/>
                <w:color w:val="auto"/>
              </w:rPr>
            </w:pPr>
          </w:p>
        </w:tc>
      </w:tr>
      <w:tr>
        <w:trPr>
          <w:trHeight w:val="127"/>
        </w:trPr>
        <w:tc>
          <w:tcPr>
            <w:tcW w:w="892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89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Vivek Jetley</w:t>
            </w:r>
          </w:p>
        </w:tc>
        <w:tc>
          <w:tcPr>
            <w:tcW w:w="1700" w:type="dxa"/>
            <w:vAlign w:val="bottom"/>
          </w:tcPr>
          <w:p>
            <w:pPr>
              <w:jc w:val="right"/>
              <w:ind w:right="20"/>
              <w:spacing w:after="0"/>
              <w:rPr>
                <w:sz w:val="20"/>
                <w:szCs w:val="20"/>
                <w:color w:val="auto"/>
              </w:rPr>
            </w:pPr>
            <w:r>
              <w:rPr>
                <w:rFonts w:ascii="Calibri" w:cs="Calibri" w:eastAsia="Calibri" w:hAnsi="Calibri"/>
                <w:sz w:val="17"/>
                <w:szCs w:val="17"/>
                <w:color w:val="auto"/>
              </w:rPr>
              <w:t>500,000</w:t>
            </w:r>
          </w:p>
        </w:tc>
        <w:tc>
          <w:tcPr>
            <w:tcW w:w="0" w:type="dxa"/>
            <w:vAlign w:val="bottom"/>
          </w:tcPr>
          <w:p>
            <w:pPr>
              <w:spacing w:after="0"/>
              <w:rPr>
                <w:sz w:val="1"/>
                <w:szCs w:val="1"/>
                <w:color w:val="auto"/>
              </w:rPr>
            </w:pPr>
          </w:p>
        </w:tc>
      </w:tr>
      <w:tr>
        <w:trPr>
          <w:trHeight w:val="127"/>
        </w:trPr>
        <w:tc>
          <w:tcPr>
            <w:tcW w:w="892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89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Anita Mahon</w:t>
            </w:r>
          </w:p>
        </w:tc>
        <w:tc>
          <w:tcPr>
            <w:tcW w:w="1700" w:type="dxa"/>
            <w:vAlign w:val="bottom"/>
          </w:tcPr>
          <w:p>
            <w:pPr>
              <w:jc w:val="right"/>
              <w:ind w:right="20"/>
              <w:spacing w:after="0"/>
              <w:rPr>
                <w:sz w:val="20"/>
                <w:szCs w:val="20"/>
                <w:color w:val="auto"/>
              </w:rPr>
            </w:pPr>
            <w:r>
              <w:rPr>
                <w:rFonts w:ascii="Calibri" w:cs="Calibri" w:eastAsia="Calibri" w:hAnsi="Calibri"/>
                <w:sz w:val="17"/>
                <w:szCs w:val="17"/>
                <w:color w:val="auto"/>
              </w:rPr>
              <w:t>450,000</w:t>
            </w:r>
          </w:p>
        </w:tc>
        <w:tc>
          <w:tcPr>
            <w:tcW w:w="0" w:type="dxa"/>
            <w:vAlign w:val="bottom"/>
          </w:tcPr>
          <w:p>
            <w:pPr>
              <w:spacing w:after="0"/>
              <w:rPr>
                <w:sz w:val="1"/>
                <w:szCs w:val="1"/>
                <w:color w:val="auto"/>
              </w:rPr>
            </w:pPr>
          </w:p>
        </w:tc>
      </w:tr>
      <w:tr>
        <w:trPr>
          <w:trHeight w:val="133"/>
        </w:trPr>
        <w:tc>
          <w:tcPr>
            <w:tcW w:w="8920" w:type="dxa"/>
            <w:vAlign w:val="bottom"/>
            <w:tcBorders>
              <w:bottom w:val="single" w:sz="8" w:color="FB4E0B"/>
              <w:right w:val="single" w:sz="8" w:color="auto"/>
            </w:tcBorders>
          </w:tcPr>
          <w:p>
            <w:pPr>
              <w:spacing w:after="0"/>
              <w:rPr>
                <w:sz w:val="11"/>
                <w:szCs w:val="11"/>
                <w:color w:val="auto"/>
              </w:rPr>
            </w:pPr>
          </w:p>
        </w:tc>
        <w:tc>
          <w:tcPr>
            <w:tcW w:w="170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(1) Equivalent to $335,304, converted at 83.21 INR to 1 USD, which was the exchange rate on December 29, 2023.</w:t>
      </w:r>
    </w:p>
    <w:p>
      <w:pPr>
        <w:spacing w:after="0" w:line="198"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Annual incentves</w:t>
      </w:r>
    </w:p>
    <w:p>
      <w:pPr>
        <w:spacing w:after="0" w:line="115"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We have established an annual cash incentve program in order to align our executve ofcers’ goals with our performance targets for the current year and to encourage meaningful contributons to our future fnancial performance. Our Compensaton and Talent Management Commitee approved the framework of our annual incentve program in late 2022 for awards payable in respect of 2023 performance. Under the program, annual incentve award target amounts, expressed as a percentage of base salary or annual fxed compensaton, are established for partcipants at the beginning of each year. Funding of potental annual incentve award payouts for the year are determined by our fnancial results for the year relatve to predetermined performance measures and our assessment of each named executve ofcer’s performance relatve to his or her predetermined individual performance goals. If our performance falls short of target, our aggregate funding of the annual incentve pool declines. If we do not achieve a minimum threshold for the established fnancial performance objectves, then the annual incentve pool is not funded for that partcular objectve. The Compensaton and Talent Management Commitee has the discreton under the 2018 Plan to adjust an award payout from the amount yielded by the formula at the end of the performance period for reasons including, but not limited to, the efect of changes in laws or regulatory rules, acquisitons or divesttures, reorganizaton or restructuring, extraordinary accountng items, foreign exchange gains or losses, and/or any specifc unusual or non-recurring events. The Compensaton and Talent Management Commitee did not apply any such discretonary adjustments for the 2023 annual incentve awards.</w:t>
      </w:r>
    </w:p>
    <w:p>
      <w:pPr>
        <w:spacing w:after="0" w:line="132"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72 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Compensaton and Talent Management Commitee considered the following when establishing the awards for 2023:</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Annual incentve award targets</w:t>
      </w:r>
    </w:p>
    <w:p>
      <w:pPr>
        <w:spacing w:after="0" w:line="10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Annual incentve award targets were established based on job responsibilites and comparable market data. Our objectve was to set targets such that total annual cash compensaton was within the broad middle range of market data and a substantal porton of that compensaton was linked to our performance. Our Compensaton and Talent Management Commitee established the following annual incentve award targets (expressed as a percentage of base salary or annual fxed compensaton) as well as maximum targets for each named executve ofcer for 2023, which remained unchanged versus the prior year.</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900" w:type="dxa"/>
            <w:vAlign w:val="bottom"/>
          </w:tcPr>
          <w:p>
            <w:pPr>
              <w:ind w:left="140"/>
              <w:spacing w:after="0"/>
              <w:rPr>
                <w:sz w:val="20"/>
                <w:szCs w:val="20"/>
                <w:color w:val="auto"/>
              </w:rPr>
            </w:pPr>
            <w:r>
              <w:rPr>
                <w:rFonts w:ascii="Calibri" w:cs="Calibri" w:eastAsia="Calibri" w:hAnsi="Calibri"/>
                <w:sz w:val="17"/>
                <w:szCs w:val="17"/>
                <w:b w:val="1"/>
                <w:bCs w:val="1"/>
                <w:color w:val="FB4E0B"/>
              </w:rPr>
              <w:t>Name</w:t>
            </w:r>
          </w:p>
        </w:tc>
        <w:tc>
          <w:tcPr>
            <w:tcW w:w="3820" w:type="dxa"/>
            <w:vAlign w:val="bottom"/>
          </w:tcPr>
          <w:p>
            <w:pPr>
              <w:ind w:left="80"/>
              <w:spacing w:after="0"/>
              <w:rPr>
                <w:sz w:val="20"/>
                <w:szCs w:val="20"/>
                <w:color w:val="auto"/>
              </w:rPr>
            </w:pPr>
            <w:r>
              <w:rPr>
                <w:rFonts w:ascii="Calibri" w:cs="Calibri" w:eastAsia="Calibri" w:hAnsi="Calibri"/>
                <w:sz w:val="17"/>
                <w:szCs w:val="17"/>
                <w:b w:val="1"/>
                <w:bCs w:val="1"/>
                <w:color w:val="FB4E0B"/>
              </w:rPr>
              <w:t>Annual incentve award target</w:t>
            </w:r>
          </w:p>
        </w:tc>
        <w:tc>
          <w:tcPr>
            <w:tcW w:w="3900" w:type="dxa"/>
            <w:vAlign w:val="bottom"/>
          </w:tcPr>
          <w:p>
            <w:pPr>
              <w:ind w:left="80"/>
              <w:spacing w:after="0"/>
              <w:rPr>
                <w:sz w:val="20"/>
                <w:szCs w:val="20"/>
                <w:color w:val="auto"/>
              </w:rPr>
            </w:pPr>
            <w:r>
              <w:rPr>
                <w:rFonts w:ascii="Calibri" w:cs="Calibri" w:eastAsia="Calibri" w:hAnsi="Calibri"/>
                <w:sz w:val="17"/>
                <w:szCs w:val="17"/>
                <w:b w:val="1"/>
                <w:bCs w:val="1"/>
                <w:color w:val="FB4E0B"/>
              </w:rPr>
              <w:t>Annual incentve award maximum</w:t>
            </w:r>
          </w:p>
        </w:tc>
      </w:tr>
      <w:tr>
        <w:trPr>
          <w:trHeight w:val="29"/>
        </w:trPr>
        <w:tc>
          <w:tcPr>
            <w:tcW w:w="2900" w:type="dxa"/>
            <w:vAlign w:val="bottom"/>
            <w:tcBorders>
              <w:bottom w:val="single" w:sz="8" w:color="FB4E0B"/>
            </w:tcBorders>
          </w:tcPr>
          <w:p>
            <w:pPr>
              <w:spacing w:after="0"/>
              <w:rPr>
                <w:sz w:val="2"/>
                <w:szCs w:val="2"/>
                <w:color w:val="auto"/>
              </w:rPr>
            </w:pPr>
          </w:p>
        </w:tc>
        <w:tc>
          <w:tcPr>
            <w:tcW w:w="3820" w:type="dxa"/>
            <w:vAlign w:val="bottom"/>
            <w:tcBorders>
              <w:bottom w:val="single" w:sz="8" w:color="FB4E0B"/>
            </w:tcBorders>
          </w:tcPr>
          <w:p>
            <w:pPr>
              <w:spacing w:after="0"/>
              <w:rPr>
                <w:sz w:val="2"/>
                <w:szCs w:val="2"/>
                <w:color w:val="auto"/>
              </w:rPr>
            </w:pPr>
          </w:p>
        </w:tc>
        <w:tc>
          <w:tcPr>
            <w:tcW w:w="3900" w:type="dxa"/>
            <w:vAlign w:val="bottom"/>
            <w:tcBorders>
              <w:bottom w:val="single" w:sz="8" w:color="FB4E0B"/>
            </w:tcBorders>
          </w:tcPr>
          <w:p>
            <w:pPr>
              <w:spacing w:after="0"/>
              <w:rPr>
                <w:sz w:val="2"/>
                <w:szCs w:val="2"/>
                <w:color w:val="auto"/>
              </w:rPr>
            </w:pPr>
          </w:p>
        </w:tc>
      </w:tr>
      <w:tr>
        <w:trPr>
          <w:trHeight w:val="237"/>
        </w:trPr>
        <w:tc>
          <w:tcPr>
            <w:tcW w:w="290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Rohit Kapoor</w:t>
            </w:r>
          </w:p>
        </w:tc>
        <w:tc>
          <w:tcPr>
            <w:tcW w:w="38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150%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300% of base salary</w:t>
            </w:r>
          </w:p>
        </w:tc>
      </w:tr>
      <w:tr>
        <w:trPr>
          <w:trHeight w:val="153"/>
        </w:trPr>
        <w:tc>
          <w:tcPr>
            <w:tcW w:w="2900" w:type="dxa"/>
            <w:vAlign w:val="bottom"/>
            <w:tcBorders>
              <w:bottom w:val="single" w:sz="8" w:color="auto"/>
              <w:right w:val="single" w:sz="8" w:color="auto"/>
            </w:tcBorders>
          </w:tcPr>
          <w:p>
            <w:pPr>
              <w:spacing w:after="0"/>
              <w:rPr>
                <w:sz w:val="13"/>
                <w:szCs w:val="13"/>
                <w:color w:val="auto"/>
              </w:rPr>
            </w:pPr>
          </w:p>
        </w:tc>
        <w:tc>
          <w:tcPr>
            <w:tcW w:w="3820" w:type="dxa"/>
            <w:vAlign w:val="bottom"/>
            <w:tcBorders>
              <w:bottom w:val="single" w:sz="8" w:color="auto"/>
              <w:right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r>
      <w:tr>
        <w:trPr>
          <w:trHeight w:val="230"/>
        </w:trPr>
        <w:tc>
          <w:tcPr>
            <w:tcW w:w="290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Maurizio Nicolelli</w:t>
            </w:r>
          </w:p>
        </w:tc>
        <w:tc>
          <w:tcPr>
            <w:tcW w:w="38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75%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150% of base salary</w:t>
            </w:r>
          </w:p>
        </w:tc>
      </w:tr>
      <w:tr>
        <w:trPr>
          <w:trHeight w:val="153"/>
        </w:trPr>
        <w:tc>
          <w:tcPr>
            <w:tcW w:w="2900" w:type="dxa"/>
            <w:vAlign w:val="bottom"/>
            <w:tcBorders>
              <w:bottom w:val="single" w:sz="8" w:color="auto"/>
              <w:right w:val="single" w:sz="8" w:color="auto"/>
            </w:tcBorders>
          </w:tcPr>
          <w:p>
            <w:pPr>
              <w:spacing w:after="0"/>
              <w:rPr>
                <w:sz w:val="13"/>
                <w:szCs w:val="13"/>
                <w:color w:val="auto"/>
              </w:rPr>
            </w:pPr>
          </w:p>
        </w:tc>
        <w:tc>
          <w:tcPr>
            <w:tcW w:w="3820" w:type="dxa"/>
            <w:vAlign w:val="bottom"/>
            <w:tcBorders>
              <w:bottom w:val="single" w:sz="8" w:color="auto"/>
              <w:right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r>
      <w:tr>
        <w:trPr>
          <w:trHeight w:val="230"/>
        </w:trPr>
        <w:tc>
          <w:tcPr>
            <w:tcW w:w="290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Vikas Bhalla</w:t>
            </w:r>
          </w:p>
        </w:tc>
        <w:tc>
          <w:tcPr>
            <w:tcW w:w="38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75% of annual fxed compensaton</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150% of annual fxed compensaton</w:t>
            </w:r>
          </w:p>
        </w:tc>
      </w:tr>
      <w:tr>
        <w:trPr>
          <w:trHeight w:val="153"/>
        </w:trPr>
        <w:tc>
          <w:tcPr>
            <w:tcW w:w="2900" w:type="dxa"/>
            <w:vAlign w:val="bottom"/>
            <w:tcBorders>
              <w:bottom w:val="single" w:sz="8" w:color="auto"/>
              <w:right w:val="single" w:sz="8" w:color="auto"/>
            </w:tcBorders>
          </w:tcPr>
          <w:p>
            <w:pPr>
              <w:spacing w:after="0"/>
              <w:rPr>
                <w:sz w:val="13"/>
                <w:szCs w:val="13"/>
                <w:color w:val="auto"/>
              </w:rPr>
            </w:pPr>
          </w:p>
        </w:tc>
        <w:tc>
          <w:tcPr>
            <w:tcW w:w="3820" w:type="dxa"/>
            <w:vAlign w:val="bottom"/>
            <w:tcBorders>
              <w:bottom w:val="single" w:sz="8" w:color="auto"/>
              <w:right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r>
      <w:tr>
        <w:trPr>
          <w:trHeight w:val="230"/>
        </w:trPr>
        <w:tc>
          <w:tcPr>
            <w:tcW w:w="290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Vivek Jetley</w:t>
            </w:r>
          </w:p>
        </w:tc>
        <w:tc>
          <w:tcPr>
            <w:tcW w:w="38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75%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150% of base salary</w:t>
            </w:r>
          </w:p>
        </w:tc>
      </w:tr>
      <w:tr>
        <w:trPr>
          <w:trHeight w:val="153"/>
        </w:trPr>
        <w:tc>
          <w:tcPr>
            <w:tcW w:w="2900" w:type="dxa"/>
            <w:vAlign w:val="bottom"/>
            <w:tcBorders>
              <w:bottom w:val="single" w:sz="8" w:color="auto"/>
              <w:right w:val="single" w:sz="8" w:color="auto"/>
            </w:tcBorders>
          </w:tcPr>
          <w:p>
            <w:pPr>
              <w:spacing w:after="0"/>
              <w:rPr>
                <w:sz w:val="13"/>
                <w:szCs w:val="13"/>
                <w:color w:val="auto"/>
              </w:rPr>
            </w:pPr>
          </w:p>
        </w:tc>
        <w:tc>
          <w:tcPr>
            <w:tcW w:w="3820" w:type="dxa"/>
            <w:vAlign w:val="bottom"/>
            <w:tcBorders>
              <w:bottom w:val="single" w:sz="8" w:color="auto"/>
              <w:right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r>
      <w:tr>
        <w:trPr>
          <w:trHeight w:val="230"/>
        </w:trPr>
        <w:tc>
          <w:tcPr>
            <w:tcW w:w="290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Anita Mahon</w:t>
            </w:r>
          </w:p>
        </w:tc>
        <w:tc>
          <w:tcPr>
            <w:tcW w:w="38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75%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150% of base salary</w:t>
            </w:r>
          </w:p>
        </w:tc>
      </w:tr>
      <w:tr>
        <w:trPr>
          <w:trHeight w:val="159"/>
        </w:trPr>
        <w:tc>
          <w:tcPr>
            <w:tcW w:w="2900" w:type="dxa"/>
            <w:vAlign w:val="bottom"/>
            <w:tcBorders>
              <w:bottom w:val="single" w:sz="8" w:color="FB4E0B"/>
              <w:right w:val="single" w:sz="8" w:color="auto"/>
            </w:tcBorders>
          </w:tcPr>
          <w:p>
            <w:pPr>
              <w:spacing w:after="0"/>
              <w:rPr>
                <w:sz w:val="13"/>
                <w:szCs w:val="13"/>
                <w:color w:val="auto"/>
              </w:rPr>
            </w:pPr>
          </w:p>
        </w:tc>
        <w:tc>
          <w:tcPr>
            <w:tcW w:w="3820" w:type="dxa"/>
            <w:vAlign w:val="bottom"/>
            <w:tcBorders>
              <w:bottom w:val="single" w:sz="8" w:color="FB4E0B"/>
              <w:right w:val="single" w:sz="8" w:color="auto"/>
            </w:tcBorders>
          </w:tcPr>
          <w:p>
            <w:pPr>
              <w:spacing w:after="0"/>
              <w:rPr>
                <w:sz w:val="13"/>
                <w:szCs w:val="13"/>
                <w:color w:val="auto"/>
              </w:rPr>
            </w:pPr>
          </w:p>
        </w:tc>
        <w:tc>
          <w:tcPr>
            <w:tcW w:w="3900" w:type="dxa"/>
            <w:vAlign w:val="bottom"/>
            <w:tcBorders>
              <w:bottom w:val="single" w:sz="8" w:color="FB4E0B"/>
            </w:tcBorders>
          </w:tcPr>
          <w:p>
            <w:pPr>
              <w:spacing w:after="0"/>
              <w:rPr>
                <w:sz w:val="13"/>
                <w:szCs w:val="13"/>
                <w:color w:val="auto"/>
              </w:rPr>
            </w:pPr>
          </w:p>
        </w:tc>
      </w:tr>
    </w:tbl>
    <w:p>
      <w:pPr>
        <w:spacing w:after="0" w:line="30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Performance measures</w:t>
      </w:r>
    </w:p>
    <w:p>
      <w:pPr>
        <w:spacing w:after="0" w:line="10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executves were eligible to earn annual incentves with 75% of the award based on their achievement of Company-wide performance metrics and the remaining 25% of the award based on individual performance. Consistent with prior years, the Company-wide porton of 2023 annual incentves was based 50% in part on the Company’s revenue goal, and 50% in part on the Company’s adjusted operatng proft margin (AOPM) for all employees, including our named executve ofcers. Individual performance goals are unique to each of our executve positons within the organizaton. The Compensaton and Talent Management Commitee believes achievement of these performance metrics will drive our business and, in turn, lead to increased stockholder value.</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Determinaton of fnancial performance achievement</w:t>
      </w:r>
    </w:p>
    <w:p>
      <w:pPr>
        <w:spacing w:after="0" w:line="106" w:lineRule="exact"/>
        <w:rPr>
          <w:sz w:val="20"/>
          <w:szCs w:val="20"/>
          <w:color w:val="auto"/>
        </w:rPr>
      </w:pPr>
    </w:p>
    <w:p>
      <w:pPr>
        <w:ind w:left="320" w:right="280"/>
        <w:spacing w:after="0"/>
        <w:rPr>
          <w:sz w:val="20"/>
          <w:szCs w:val="20"/>
          <w:color w:val="auto"/>
        </w:rPr>
      </w:pPr>
      <w:r>
        <w:rPr>
          <w:rFonts w:ascii="Calibri" w:cs="Calibri" w:eastAsia="Calibri" w:hAnsi="Calibri"/>
          <w:sz w:val="17"/>
          <w:szCs w:val="17"/>
          <w:color w:val="auto"/>
        </w:rPr>
        <w:t>For 2023, our Compensaton and Talent Management Commitee established a revenue target of $1.61 billion (which was 12.7% higher than our actual revenue for the prior year and 21.4% higher than our prior year’s target performance) and an AOPM target of $306.32 million (which was 22.1% higher than our actual for the prior year and 23.8% higher than our prior year’s target). As shown below, the porton of annual incentve award payments that were subject to these fnancial performance measures could have ranged from zero to 200% of the target depending on the achievement of the performance goals.</w:t>
      </w:r>
    </w:p>
    <w:p>
      <w:pPr>
        <w:spacing w:after="0" w:line="35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FB4E0B"/>
        </w:rPr>
        <w:t>Performance targets: revenue ($1.61 billion); and AOPM ($306.32 million)</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46"/>
        </w:trPr>
        <w:tc>
          <w:tcPr>
            <w:tcW w:w="5320" w:type="dxa"/>
            <w:vAlign w:val="bottom"/>
            <w:tcBorders>
              <w:top w:val="single" w:sz="8" w:color="FB4E0B"/>
            </w:tcBorders>
            <w:vMerge w:val="restart"/>
          </w:tcPr>
          <w:p>
            <w:pPr>
              <w:ind w:left="80"/>
              <w:spacing w:after="0"/>
              <w:rPr>
                <w:sz w:val="20"/>
                <w:szCs w:val="20"/>
                <w:color w:val="auto"/>
              </w:rPr>
            </w:pPr>
            <w:r>
              <w:rPr>
                <w:rFonts w:ascii="Calibri" w:cs="Calibri" w:eastAsia="Calibri" w:hAnsi="Calibri"/>
                <w:sz w:val="17"/>
                <w:szCs w:val="17"/>
                <w:b w:val="1"/>
                <w:bCs w:val="1"/>
                <w:color w:val="auto"/>
              </w:rPr>
              <w:t>% of performance achieved compared to target goal</w:t>
            </w:r>
          </w:p>
        </w:tc>
        <w:tc>
          <w:tcPr>
            <w:tcW w:w="20" w:type="dxa"/>
            <w:vAlign w:val="bottom"/>
            <w:tcBorders>
              <w:top w:val="single" w:sz="8" w:color="FB4E0B"/>
            </w:tcBorders>
          </w:tcPr>
          <w:p>
            <w:pPr>
              <w:spacing w:after="0"/>
              <w:rPr>
                <w:sz w:val="4"/>
                <w:szCs w:val="4"/>
                <w:color w:val="auto"/>
              </w:rPr>
            </w:pPr>
          </w:p>
        </w:tc>
        <w:tc>
          <w:tcPr>
            <w:tcW w:w="5280" w:type="dxa"/>
            <w:vAlign w:val="bottom"/>
            <w:tcBorders>
              <w:top w:val="single" w:sz="8" w:color="FB4E0B"/>
            </w:tcBorders>
            <w:vMerge w:val="restart"/>
          </w:tcPr>
          <w:p>
            <w:pPr>
              <w:ind w:left="80"/>
              <w:spacing w:after="0"/>
              <w:rPr>
                <w:sz w:val="20"/>
                <w:szCs w:val="20"/>
                <w:color w:val="auto"/>
              </w:rPr>
            </w:pPr>
            <w:r>
              <w:rPr>
                <w:rFonts w:ascii="Calibri" w:cs="Calibri" w:eastAsia="Calibri" w:hAnsi="Calibri"/>
                <w:sz w:val="17"/>
                <w:szCs w:val="17"/>
                <w:b w:val="1"/>
                <w:bCs w:val="1"/>
                <w:color w:val="auto"/>
              </w:rPr>
              <w:t>% of target porton funded*</w:t>
            </w:r>
          </w:p>
        </w:tc>
        <w:tc>
          <w:tcPr>
            <w:tcW w:w="0" w:type="dxa"/>
            <w:vAlign w:val="bottom"/>
          </w:tcPr>
          <w:p>
            <w:pPr>
              <w:spacing w:after="0"/>
              <w:rPr>
                <w:sz w:val="1"/>
                <w:szCs w:val="1"/>
                <w:color w:val="auto"/>
              </w:rPr>
            </w:pPr>
          </w:p>
        </w:tc>
      </w:tr>
      <w:tr>
        <w:trPr>
          <w:trHeight w:val="282"/>
        </w:trPr>
        <w:tc>
          <w:tcPr>
            <w:tcW w:w="532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5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80"/>
              <w:spacing w:after="0"/>
              <w:rPr>
                <w:sz w:val="20"/>
                <w:szCs w:val="20"/>
                <w:color w:val="auto"/>
              </w:rPr>
            </w:pPr>
            <w:r>
              <w:rPr>
                <w:rFonts w:ascii="Calibri" w:cs="Calibri" w:eastAsia="Calibri" w:hAnsi="Calibri"/>
                <w:sz w:val="17"/>
                <w:szCs w:val="17"/>
                <w:color w:val="auto"/>
              </w:rPr>
              <w:t>Above 110%</w:t>
            </w:r>
          </w:p>
        </w:tc>
        <w:tc>
          <w:tcPr>
            <w:tcW w:w="20" w:type="dxa"/>
            <w:vAlign w:val="bottom"/>
            <w:shd w:val="clear" w:color="auto" w:fill="000000"/>
          </w:tcPr>
          <w:p>
            <w:pPr>
              <w:spacing w:after="0"/>
              <w:rPr>
                <w:sz w:val="20"/>
                <w:szCs w:val="20"/>
                <w:color w:val="auto"/>
              </w:rPr>
            </w:pPr>
          </w:p>
        </w:tc>
        <w:tc>
          <w:tcPr>
            <w:tcW w:w="5280" w:type="dxa"/>
            <w:vAlign w:val="bottom"/>
          </w:tcPr>
          <w:p>
            <w:pPr>
              <w:ind w:left="80"/>
              <w:spacing w:after="0"/>
              <w:rPr>
                <w:sz w:val="20"/>
                <w:szCs w:val="20"/>
                <w:color w:val="auto"/>
              </w:rPr>
            </w:pPr>
            <w:r>
              <w:rPr>
                <w:rFonts w:ascii="Calibri" w:cs="Calibri" w:eastAsia="Calibri" w:hAnsi="Calibri"/>
                <w:sz w:val="17"/>
                <w:szCs w:val="17"/>
                <w:color w:val="auto"/>
              </w:rPr>
              <w:t>200%</w:t>
            </w:r>
          </w:p>
        </w:tc>
        <w:tc>
          <w:tcPr>
            <w:tcW w:w="0" w:type="dxa"/>
            <w:vAlign w:val="bottom"/>
          </w:tcPr>
          <w:p>
            <w:pPr>
              <w:spacing w:after="0"/>
              <w:rPr>
                <w:sz w:val="1"/>
                <w:szCs w:val="1"/>
                <w:color w:val="auto"/>
              </w:rPr>
            </w:pPr>
          </w:p>
        </w:tc>
      </w:tr>
      <w:tr>
        <w:trPr>
          <w:trHeight w:val="88"/>
        </w:trPr>
        <w:tc>
          <w:tcPr>
            <w:tcW w:w="5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5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80"/>
              <w:spacing w:after="0"/>
              <w:rPr>
                <w:sz w:val="20"/>
                <w:szCs w:val="20"/>
                <w:color w:val="auto"/>
              </w:rPr>
            </w:pPr>
            <w:r>
              <w:rPr>
                <w:rFonts w:ascii="Calibri" w:cs="Calibri" w:eastAsia="Calibri" w:hAnsi="Calibri"/>
                <w:sz w:val="17"/>
                <w:szCs w:val="17"/>
                <w:color w:val="auto"/>
              </w:rPr>
              <w:t>At 100%</w:t>
            </w:r>
          </w:p>
        </w:tc>
        <w:tc>
          <w:tcPr>
            <w:tcW w:w="20" w:type="dxa"/>
            <w:vAlign w:val="bottom"/>
            <w:shd w:val="clear" w:color="auto" w:fill="000000"/>
          </w:tcPr>
          <w:p>
            <w:pPr>
              <w:spacing w:after="0"/>
              <w:rPr>
                <w:sz w:val="20"/>
                <w:szCs w:val="20"/>
                <w:color w:val="auto"/>
              </w:rPr>
            </w:pPr>
          </w:p>
        </w:tc>
        <w:tc>
          <w:tcPr>
            <w:tcW w:w="5280" w:type="dxa"/>
            <w:vAlign w:val="bottom"/>
          </w:tcPr>
          <w:p>
            <w:pPr>
              <w:ind w:left="80"/>
              <w:spacing w:after="0"/>
              <w:rPr>
                <w:sz w:val="20"/>
                <w:szCs w:val="20"/>
                <w:color w:val="auto"/>
              </w:rPr>
            </w:pPr>
            <w:r>
              <w:rPr>
                <w:rFonts w:ascii="Calibri" w:cs="Calibri" w:eastAsia="Calibri" w:hAnsi="Calibri"/>
                <w:sz w:val="17"/>
                <w:szCs w:val="17"/>
                <w:color w:val="auto"/>
              </w:rPr>
              <w:t>100%</w:t>
            </w:r>
          </w:p>
        </w:tc>
        <w:tc>
          <w:tcPr>
            <w:tcW w:w="0" w:type="dxa"/>
            <w:vAlign w:val="bottom"/>
          </w:tcPr>
          <w:p>
            <w:pPr>
              <w:spacing w:after="0"/>
              <w:rPr>
                <w:sz w:val="1"/>
                <w:szCs w:val="1"/>
                <w:color w:val="auto"/>
              </w:rPr>
            </w:pPr>
          </w:p>
        </w:tc>
      </w:tr>
      <w:tr>
        <w:trPr>
          <w:trHeight w:val="88"/>
        </w:trPr>
        <w:tc>
          <w:tcPr>
            <w:tcW w:w="5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5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80"/>
              <w:spacing w:after="0"/>
              <w:rPr>
                <w:sz w:val="20"/>
                <w:szCs w:val="20"/>
                <w:color w:val="auto"/>
              </w:rPr>
            </w:pPr>
            <w:r>
              <w:rPr>
                <w:rFonts w:ascii="Calibri" w:cs="Calibri" w:eastAsia="Calibri" w:hAnsi="Calibri"/>
                <w:sz w:val="17"/>
                <w:szCs w:val="17"/>
                <w:color w:val="auto"/>
              </w:rPr>
              <w:t>At 90%</w:t>
            </w:r>
          </w:p>
        </w:tc>
        <w:tc>
          <w:tcPr>
            <w:tcW w:w="20" w:type="dxa"/>
            <w:vAlign w:val="bottom"/>
            <w:shd w:val="clear" w:color="auto" w:fill="000000"/>
          </w:tcPr>
          <w:p>
            <w:pPr>
              <w:spacing w:after="0"/>
              <w:rPr>
                <w:sz w:val="20"/>
                <w:szCs w:val="20"/>
                <w:color w:val="auto"/>
              </w:rPr>
            </w:pPr>
          </w:p>
        </w:tc>
        <w:tc>
          <w:tcPr>
            <w:tcW w:w="5280" w:type="dxa"/>
            <w:vAlign w:val="bottom"/>
          </w:tcPr>
          <w:p>
            <w:pPr>
              <w:ind w:left="80"/>
              <w:spacing w:after="0"/>
              <w:rPr>
                <w:sz w:val="20"/>
                <w:szCs w:val="20"/>
                <w:color w:val="auto"/>
              </w:rPr>
            </w:pPr>
            <w:r>
              <w:rPr>
                <w:rFonts w:ascii="Calibri" w:cs="Calibri" w:eastAsia="Calibri" w:hAnsi="Calibri"/>
                <w:sz w:val="17"/>
                <w:szCs w:val="17"/>
                <w:color w:val="auto"/>
              </w:rPr>
              <w:t>10%</w:t>
            </w:r>
          </w:p>
        </w:tc>
        <w:tc>
          <w:tcPr>
            <w:tcW w:w="0" w:type="dxa"/>
            <w:vAlign w:val="bottom"/>
          </w:tcPr>
          <w:p>
            <w:pPr>
              <w:spacing w:after="0"/>
              <w:rPr>
                <w:sz w:val="1"/>
                <w:szCs w:val="1"/>
                <w:color w:val="auto"/>
              </w:rPr>
            </w:pPr>
          </w:p>
        </w:tc>
      </w:tr>
      <w:tr>
        <w:trPr>
          <w:trHeight w:val="88"/>
        </w:trPr>
        <w:tc>
          <w:tcPr>
            <w:tcW w:w="5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5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80"/>
              <w:spacing w:after="0"/>
              <w:rPr>
                <w:sz w:val="20"/>
                <w:szCs w:val="20"/>
                <w:color w:val="auto"/>
              </w:rPr>
            </w:pPr>
            <w:r>
              <w:rPr>
                <w:rFonts w:ascii="Calibri" w:cs="Calibri" w:eastAsia="Calibri" w:hAnsi="Calibri"/>
                <w:sz w:val="17"/>
                <w:szCs w:val="17"/>
                <w:color w:val="auto"/>
              </w:rPr>
              <w:t>Less than 90%</w:t>
            </w:r>
          </w:p>
        </w:tc>
        <w:tc>
          <w:tcPr>
            <w:tcW w:w="20" w:type="dxa"/>
            <w:vAlign w:val="bottom"/>
            <w:shd w:val="clear" w:color="auto" w:fill="000000"/>
          </w:tcPr>
          <w:p>
            <w:pPr>
              <w:spacing w:after="0"/>
              <w:rPr>
                <w:sz w:val="20"/>
                <w:szCs w:val="20"/>
                <w:color w:val="auto"/>
              </w:rPr>
            </w:pPr>
          </w:p>
        </w:tc>
        <w:tc>
          <w:tcPr>
            <w:tcW w:w="5280" w:type="dxa"/>
            <w:vAlign w:val="bottom"/>
          </w:tcPr>
          <w:p>
            <w:pPr>
              <w:ind w:left="80"/>
              <w:spacing w:after="0"/>
              <w:rPr>
                <w:sz w:val="20"/>
                <w:szCs w:val="20"/>
                <w:color w:val="auto"/>
              </w:rPr>
            </w:pPr>
            <w:r>
              <w:rPr>
                <w:rFonts w:ascii="Calibri" w:cs="Calibri" w:eastAsia="Calibri" w:hAnsi="Calibri"/>
                <w:sz w:val="17"/>
                <w:szCs w:val="17"/>
                <w:color w:val="auto"/>
              </w:rPr>
              <w:t>0%</w:t>
            </w:r>
          </w:p>
        </w:tc>
        <w:tc>
          <w:tcPr>
            <w:tcW w:w="0" w:type="dxa"/>
            <w:vAlign w:val="bottom"/>
          </w:tcPr>
          <w:p>
            <w:pPr>
              <w:spacing w:after="0"/>
              <w:rPr>
                <w:sz w:val="1"/>
                <w:szCs w:val="1"/>
                <w:color w:val="auto"/>
              </w:rPr>
            </w:pPr>
          </w:p>
        </w:tc>
      </w:tr>
      <w:tr>
        <w:trPr>
          <w:trHeight w:val="94"/>
        </w:trPr>
        <w:tc>
          <w:tcPr>
            <w:tcW w:w="5320" w:type="dxa"/>
            <w:vAlign w:val="bottom"/>
            <w:tcBorders>
              <w:bottom w:val="single" w:sz="8" w:color="FB4E0B"/>
            </w:tcBorders>
          </w:tcPr>
          <w:p>
            <w:pPr>
              <w:spacing w:after="0"/>
              <w:rPr>
                <w:sz w:val="8"/>
                <w:szCs w:val="8"/>
                <w:color w:val="auto"/>
              </w:rPr>
            </w:pPr>
          </w:p>
        </w:tc>
        <w:tc>
          <w:tcPr>
            <w:tcW w:w="20" w:type="dxa"/>
            <w:vAlign w:val="bottom"/>
            <w:tcBorders>
              <w:bottom w:val="single" w:sz="8" w:color="FB4E0B"/>
            </w:tcBorders>
            <w:shd w:val="clear" w:color="auto" w:fill="000000"/>
          </w:tcPr>
          <w:p>
            <w:pPr>
              <w:spacing w:after="0"/>
              <w:rPr>
                <w:sz w:val="8"/>
                <w:szCs w:val="8"/>
                <w:color w:val="auto"/>
              </w:rPr>
            </w:pPr>
          </w:p>
        </w:tc>
        <w:tc>
          <w:tcPr>
            <w:tcW w:w="5280" w:type="dxa"/>
            <w:vAlign w:val="bottom"/>
            <w:tcBorders>
              <w:bottom w:val="single" w:sz="8" w:color="FB4E0B"/>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*Linear interpolaton for performance between discrete points.</w:t>
      </w:r>
    </w:p>
    <w:p>
      <w:pPr>
        <w:spacing w:after="0" w:line="103" w:lineRule="exact"/>
        <w:rPr>
          <w:sz w:val="20"/>
          <w:szCs w:val="20"/>
          <w:color w:val="auto"/>
        </w:rPr>
      </w:pPr>
    </w:p>
    <w:p>
      <w:pPr>
        <w:ind w:left="320" w:right="200"/>
        <w:spacing w:after="0"/>
        <w:rPr>
          <w:sz w:val="20"/>
          <w:szCs w:val="20"/>
          <w:color w:val="auto"/>
        </w:rPr>
      </w:pPr>
      <w:r>
        <w:rPr>
          <w:rFonts w:ascii="Calibri" w:cs="Calibri" w:eastAsia="Calibri" w:hAnsi="Calibri"/>
          <w:sz w:val="17"/>
          <w:szCs w:val="17"/>
          <w:color w:val="auto"/>
        </w:rPr>
        <w:t>Based on our performance during the 2023 fscal year, we achieved 100.6% of our revenue performance target (resultng in funding of 106.0%), and 101.4% of our AOPM target (resultng in funding of 114.3%), which together yielded a weighted funding of 110.2%. For purposes of achievement of fnancial performance targets, revenue and AOPM are measured using the estmates and assumptons (partcularly, currency exchange rates) at the tme the targets are established.</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74 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Determinaton of individual performance measure achievement</w:t>
      </w:r>
    </w:p>
    <w:p>
      <w:pPr>
        <w:spacing w:after="0" w:line="106"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named executve ofcers earn a porton of their annual incentve awards based on the achievement of individual performance measures designed to balance the named executve ofcers’ eforts between the achievement of near-term objectves that improve specifc processes or performance metrics and long-term objectves that increase the Company’s value, economic impact, and sustained stockholder returns. For more informaton on the process for determining individual performance measure achievement, please see “Compensaton process: roles and responsibilites” on page 68. Below is a summary of each named executve ofcer’s individual performance measures, as well as a summary of each named executve ofcer’s achievements in light of the designated performance measures:</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040" w:type="dxa"/>
            <w:vAlign w:val="bottom"/>
          </w:tcPr>
          <w:p>
            <w:pPr>
              <w:spacing w:after="0"/>
              <w:rPr>
                <w:sz w:val="20"/>
                <w:szCs w:val="20"/>
                <w:color w:val="auto"/>
              </w:rPr>
            </w:pPr>
            <w:r>
              <w:rPr>
                <w:rFonts w:ascii="Calibri" w:cs="Calibri" w:eastAsia="Calibri" w:hAnsi="Calibri"/>
                <w:sz w:val="17"/>
                <w:szCs w:val="17"/>
                <w:b w:val="1"/>
                <w:bCs w:val="1"/>
                <w:color w:val="FB4E0B"/>
              </w:rPr>
              <w:t>Named Executve</w:t>
            </w:r>
          </w:p>
        </w:tc>
        <w:tc>
          <w:tcPr>
            <w:tcW w:w="5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08"/>
        </w:trPr>
        <w:tc>
          <w:tcPr>
            <w:tcW w:w="2040" w:type="dxa"/>
            <w:vAlign w:val="bottom"/>
          </w:tcPr>
          <w:p>
            <w:pPr>
              <w:spacing w:after="0"/>
              <w:rPr>
                <w:sz w:val="20"/>
                <w:szCs w:val="20"/>
                <w:color w:val="auto"/>
              </w:rPr>
            </w:pPr>
            <w:r>
              <w:rPr>
                <w:rFonts w:ascii="Calibri" w:cs="Calibri" w:eastAsia="Calibri" w:hAnsi="Calibri"/>
                <w:sz w:val="17"/>
                <w:szCs w:val="17"/>
                <w:b w:val="1"/>
                <w:bCs w:val="1"/>
                <w:color w:val="FB4E0B"/>
              </w:rPr>
              <w:t>Ofcer</w:t>
            </w:r>
          </w:p>
        </w:tc>
        <w:tc>
          <w:tcPr>
            <w:tcW w:w="3500" w:type="dxa"/>
            <w:vAlign w:val="bottom"/>
            <w:gridSpan w:val="2"/>
          </w:tcPr>
          <w:p>
            <w:pPr>
              <w:ind w:left="440"/>
              <w:spacing w:after="0"/>
              <w:rPr>
                <w:sz w:val="20"/>
                <w:szCs w:val="20"/>
                <w:color w:val="auto"/>
              </w:rPr>
            </w:pPr>
            <w:r>
              <w:rPr>
                <w:rFonts w:ascii="Calibri" w:cs="Calibri" w:eastAsia="Calibri" w:hAnsi="Calibri"/>
                <w:sz w:val="17"/>
                <w:szCs w:val="17"/>
                <w:b w:val="1"/>
                <w:bCs w:val="1"/>
                <w:color w:val="FB4E0B"/>
              </w:rPr>
              <w:t>2023 Individual performance measure</w:t>
            </w:r>
          </w:p>
        </w:tc>
        <w:tc>
          <w:tcPr>
            <w:tcW w:w="580" w:type="dxa"/>
            <w:vAlign w:val="bottom"/>
          </w:tcPr>
          <w:p>
            <w:pPr>
              <w:spacing w:after="0"/>
              <w:rPr>
                <w:sz w:val="18"/>
                <w:szCs w:val="18"/>
                <w:color w:val="auto"/>
              </w:rPr>
            </w:pPr>
          </w:p>
        </w:tc>
        <w:tc>
          <w:tcPr>
            <w:tcW w:w="4500" w:type="dxa"/>
            <w:vAlign w:val="bottom"/>
          </w:tcPr>
          <w:p>
            <w:pPr>
              <w:ind w:left="520"/>
              <w:spacing w:after="0"/>
              <w:rPr>
                <w:sz w:val="20"/>
                <w:szCs w:val="20"/>
                <w:color w:val="auto"/>
              </w:rPr>
            </w:pPr>
            <w:r>
              <w:rPr>
                <w:rFonts w:ascii="Calibri" w:cs="Calibri" w:eastAsia="Calibri" w:hAnsi="Calibri"/>
                <w:sz w:val="17"/>
                <w:szCs w:val="17"/>
                <w:b w:val="1"/>
                <w:bCs w:val="1"/>
                <w:color w:val="FB4E0B"/>
              </w:rPr>
              <w:t>2023 Individual performance achievement</w:t>
            </w:r>
          </w:p>
        </w:tc>
      </w:tr>
      <w:tr>
        <w:trPr>
          <w:trHeight w:val="42"/>
        </w:trPr>
        <w:tc>
          <w:tcPr>
            <w:tcW w:w="2040" w:type="dxa"/>
            <w:vAlign w:val="bottom"/>
            <w:tcBorders>
              <w:bottom w:val="single" w:sz="8" w:color="FB4E0B"/>
            </w:tcBorders>
          </w:tcPr>
          <w:p>
            <w:pPr>
              <w:spacing w:after="0"/>
              <w:rPr>
                <w:sz w:val="3"/>
                <w:szCs w:val="3"/>
                <w:color w:val="auto"/>
              </w:rPr>
            </w:pPr>
          </w:p>
        </w:tc>
        <w:tc>
          <w:tcPr>
            <w:tcW w:w="560" w:type="dxa"/>
            <w:vAlign w:val="bottom"/>
            <w:tcBorders>
              <w:bottom w:val="single" w:sz="8" w:color="FB4E0B"/>
            </w:tcBorders>
          </w:tcPr>
          <w:p>
            <w:pPr>
              <w:spacing w:after="0"/>
              <w:rPr>
                <w:sz w:val="3"/>
                <w:szCs w:val="3"/>
                <w:color w:val="auto"/>
              </w:rPr>
            </w:pPr>
          </w:p>
        </w:tc>
        <w:tc>
          <w:tcPr>
            <w:tcW w:w="2940" w:type="dxa"/>
            <w:vAlign w:val="bottom"/>
            <w:tcBorders>
              <w:bottom w:val="single" w:sz="8" w:color="FB4E0B"/>
            </w:tcBorders>
          </w:tcPr>
          <w:p>
            <w:pPr>
              <w:spacing w:after="0"/>
              <w:rPr>
                <w:sz w:val="3"/>
                <w:szCs w:val="3"/>
                <w:color w:val="auto"/>
              </w:rPr>
            </w:pPr>
          </w:p>
        </w:tc>
        <w:tc>
          <w:tcPr>
            <w:tcW w:w="580" w:type="dxa"/>
            <w:vAlign w:val="bottom"/>
            <w:tcBorders>
              <w:bottom w:val="single" w:sz="8" w:color="FB4E0B"/>
            </w:tcBorders>
          </w:tcPr>
          <w:p>
            <w:pPr>
              <w:spacing w:after="0"/>
              <w:rPr>
                <w:sz w:val="3"/>
                <w:szCs w:val="3"/>
                <w:color w:val="auto"/>
              </w:rPr>
            </w:pPr>
          </w:p>
        </w:tc>
        <w:tc>
          <w:tcPr>
            <w:tcW w:w="4500" w:type="dxa"/>
            <w:vAlign w:val="bottom"/>
            <w:tcBorders>
              <w:bottom w:val="single" w:sz="8" w:color="FB4E0B"/>
            </w:tcBorders>
          </w:tcPr>
          <w:p>
            <w:pPr>
              <w:spacing w:after="0"/>
              <w:rPr>
                <w:sz w:val="3"/>
                <w:szCs w:val="3"/>
                <w:color w:val="auto"/>
              </w:rPr>
            </w:pPr>
          </w:p>
        </w:tc>
      </w:tr>
      <w:tr>
        <w:trPr>
          <w:trHeight w:val="230"/>
        </w:trPr>
        <w:tc>
          <w:tcPr>
            <w:tcW w:w="2040" w:type="dxa"/>
            <w:vAlign w:val="bottom"/>
            <w:tcBorders>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Rohit Kapoor</w:t>
            </w: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 Drive proftability with sustained</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tcPr>
          <w:p>
            <w:pPr>
              <w:ind w:left="60"/>
              <w:spacing w:after="0"/>
              <w:rPr>
                <w:sz w:val="20"/>
                <w:szCs w:val="20"/>
                <w:color w:val="auto"/>
              </w:rPr>
            </w:pPr>
            <w:r>
              <w:rPr>
                <w:rFonts w:ascii="Calibri" w:cs="Calibri" w:eastAsia="Calibri" w:hAnsi="Calibri"/>
                <w:sz w:val="16"/>
                <w:szCs w:val="16"/>
                <w:color w:val="auto"/>
                <w:w w:val="97"/>
              </w:rPr>
              <w:t>   Led growth resultng in 2023 revenues of $1,631 million, 15.5% over</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line="185" w:lineRule="exact"/>
              <w:rPr>
                <w:sz w:val="20"/>
                <w:szCs w:val="20"/>
                <w:color w:val="auto"/>
              </w:rPr>
            </w:pPr>
            <w:r>
              <w:rPr>
                <w:rFonts w:ascii="Calibri" w:cs="Calibri" w:eastAsia="Calibri" w:hAnsi="Calibri"/>
                <w:sz w:val="16"/>
                <w:szCs w:val="16"/>
                <w:color w:val="auto"/>
              </w:rPr>
              <w:t>momentum</w:t>
            </w:r>
          </w:p>
        </w:tc>
        <w:tc>
          <w:tcPr>
            <w:tcW w:w="580" w:type="dxa"/>
            <w:vAlign w:val="bottom"/>
          </w:tcPr>
          <w:p>
            <w:pPr>
              <w:spacing w:after="0"/>
              <w:rPr>
                <w:sz w:val="16"/>
                <w:szCs w:val="16"/>
                <w:color w:val="auto"/>
              </w:rPr>
            </w:pPr>
          </w:p>
        </w:tc>
        <w:tc>
          <w:tcPr>
            <w:tcW w:w="4500" w:type="dxa"/>
            <w:vAlign w:val="bottom"/>
          </w:tcPr>
          <w:p>
            <w:pPr>
              <w:ind w:left="140"/>
              <w:spacing w:after="0" w:line="195" w:lineRule="exact"/>
              <w:rPr>
                <w:sz w:val="20"/>
                <w:szCs w:val="20"/>
                <w:color w:val="auto"/>
              </w:rPr>
            </w:pPr>
            <w:r>
              <w:rPr>
                <w:rFonts w:ascii="Calibri" w:cs="Calibri" w:eastAsia="Calibri" w:hAnsi="Calibri"/>
                <w:sz w:val="14"/>
                <w:szCs w:val="14"/>
                <w:color w:val="auto"/>
              </w:rPr>
              <w:t>2022 revenue, sustained proftability and adjusted EPS</w:t>
            </w:r>
            <w:r>
              <w:rPr>
                <w:rFonts w:ascii="Calibri" w:cs="Calibri" w:eastAsia="Calibri" w:hAnsi="Calibri"/>
                <w:sz w:val="21"/>
                <w:szCs w:val="21"/>
                <w:color w:val="auto"/>
                <w:vertAlign w:val="superscript"/>
              </w:rPr>
              <w:t>(1)</w:t>
            </w:r>
            <w:r>
              <w:rPr>
                <w:rFonts w:ascii="Calibri" w:cs="Calibri" w:eastAsia="Calibri" w:hAnsi="Calibri"/>
                <w:sz w:val="14"/>
                <w:szCs w:val="14"/>
                <w:color w:val="auto"/>
              </w:rPr>
              <w:t xml:space="preserve"> of $1.43,</w:t>
            </w:r>
          </w:p>
        </w:tc>
      </w:tr>
      <w:tr>
        <w:trPr>
          <w:trHeight w:val="18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line="185" w:lineRule="exact"/>
              <w:rPr>
                <w:sz w:val="20"/>
                <w:szCs w:val="20"/>
                <w:color w:val="auto"/>
              </w:rPr>
            </w:pPr>
            <w:r>
              <w:rPr>
                <w:rFonts w:ascii="Calibri" w:cs="Calibri" w:eastAsia="Calibri" w:hAnsi="Calibri"/>
                <w:sz w:val="16"/>
                <w:szCs w:val="16"/>
                <w:color w:val="auto"/>
              </w:rPr>
              <w:t>   Improve Adjusted Operatng Proft Margin</w:t>
            </w:r>
          </w:p>
        </w:tc>
        <w:tc>
          <w:tcPr>
            <w:tcW w:w="580" w:type="dxa"/>
            <w:vAlign w:val="bottom"/>
          </w:tcPr>
          <w:p>
            <w:pPr>
              <w:spacing w:after="0"/>
              <w:rPr>
                <w:sz w:val="16"/>
                <w:szCs w:val="16"/>
                <w:color w:val="auto"/>
              </w:rPr>
            </w:pPr>
          </w:p>
        </w:tc>
        <w:tc>
          <w:tcPr>
            <w:tcW w:w="4500" w:type="dxa"/>
            <w:vAlign w:val="bottom"/>
          </w:tcPr>
          <w:p>
            <w:pPr>
              <w:ind w:left="140"/>
              <w:spacing w:after="0" w:line="185" w:lineRule="exact"/>
              <w:rPr>
                <w:sz w:val="20"/>
                <w:szCs w:val="20"/>
                <w:color w:val="auto"/>
              </w:rPr>
            </w:pPr>
            <w:r>
              <w:rPr>
                <w:rFonts w:ascii="Calibri" w:cs="Calibri" w:eastAsia="Calibri" w:hAnsi="Calibri"/>
                <w:sz w:val="16"/>
                <w:szCs w:val="16"/>
                <w:color w:val="auto"/>
              </w:rPr>
              <w:t>up by more than 19% over 2022</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w w:val="97"/>
              </w:rPr>
              <w:t>   Leverage data-led positoning to promote a</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tcPr>
          <w:p>
            <w:pPr>
              <w:ind w:left="60"/>
              <w:spacing w:after="0"/>
              <w:rPr>
                <w:sz w:val="20"/>
                <w:szCs w:val="20"/>
                <w:color w:val="auto"/>
              </w:rPr>
            </w:pPr>
            <w:r>
              <w:rPr>
                <w:rFonts w:ascii="Calibri" w:cs="Calibri" w:eastAsia="Calibri" w:hAnsi="Calibri"/>
                <w:sz w:val="16"/>
                <w:szCs w:val="16"/>
                <w:color w:val="auto"/>
              </w:rPr>
              <w:t>   AOPM improved by 100 bps from 2022 to 2023</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market-leading brand for digital and</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tcPr>
          <w:p>
            <w:pPr>
              <w:ind w:left="60"/>
              <w:spacing w:after="0"/>
              <w:rPr>
                <w:sz w:val="20"/>
                <w:szCs w:val="20"/>
                <w:color w:val="auto"/>
              </w:rPr>
            </w:pPr>
            <w:r>
              <w:rPr>
                <w:rFonts w:ascii="Calibri" w:cs="Calibri" w:eastAsia="Calibri" w:hAnsi="Calibri"/>
                <w:sz w:val="16"/>
                <w:szCs w:val="16"/>
                <w:color w:val="auto"/>
              </w:rPr>
              <w:t>   Executed a company-wide strategic pivot toward generatve AI</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analytcs solutons</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tcPr>
          <w:p>
            <w:pPr>
              <w:ind w:left="60"/>
              <w:spacing w:after="0"/>
              <w:rPr>
                <w:sz w:val="20"/>
                <w:szCs w:val="20"/>
                <w:color w:val="auto"/>
              </w:rPr>
            </w:pPr>
            <w:r>
              <w:rPr>
                <w:rFonts w:ascii="Calibri" w:cs="Calibri" w:eastAsia="Calibri" w:hAnsi="Calibri"/>
                <w:sz w:val="16"/>
                <w:szCs w:val="16"/>
                <w:color w:val="auto"/>
              </w:rPr>
              <w:t>   Contnued focus on talent acquisiton and strong progress on</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 Improve employee experience through</w:t>
            </w:r>
          </w:p>
        </w:tc>
        <w:tc>
          <w:tcPr>
            <w:tcW w:w="580" w:type="dxa"/>
            <w:vAlign w:val="bottom"/>
          </w:tcPr>
          <w:p>
            <w:pPr>
              <w:spacing w:after="0"/>
              <w:rPr>
                <w:sz w:val="16"/>
                <w:szCs w:val="16"/>
                <w:color w:val="auto"/>
              </w:rPr>
            </w:pPr>
          </w:p>
        </w:tc>
        <w:tc>
          <w:tcPr>
            <w:tcW w:w="4500" w:type="dxa"/>
            <w:vAlign w:val="bottom"/>
          </w:tcPr>
          <w:p>
            <w:pPr>
              <w:ind w:left="140"/>
              <w:spacing w:after="0"/>
              <w:rPr>
                <w:sz w:val="20"/>
                <w:szCs w:val="20"/>
                <w:color w:val="auto"/>
              </w:rPr>
            </w:pPr>
            <w:r>
              <w:rPr>
                <w:rFonts w:ascii="Calibri" w:cs="Calibri" w:eastAsia="Calibri" w:hAnsi="Calibri"/>
                <w:sz w:val="16"/>
                <w:szCs w:val="16"/>
                <w:color w:val="auto"/>
              </w:rPr>
              <w:t>building diverse and expanded leadership and key digital, AI and</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greater engagement</w:t>
            </w:r>
          </w:p>
        </w:tc>
        <w:tc>
          <w:tcPr>
            <w:tcW w:w="580" w:type="dxa"/>
            <w:vAlign w:val="bottom"/>
          </w:tcPr>
          <w:p>
            <w:pPr>
              <w:spacing w:after="0"/>
              <w:rPr>
                <w:sz w:val="16"/>
                <w:szCs w:val="16"/>
                <w:color w:val="auto"/>
              </w:rPr>
            </w:pPr>
          </w:p>
        </w:tc>
        <w:tc>
          <w:tcPr>
            <w:tcW w:w="4500" w:type="dxa"/>
            <w:vAlign w:val="bottom"/>
          </w:tcPr>
          <w:p>
            <w:pPr>
              <w:ind w:left="140"/>
              <w:spacing w:after="0"/>
              <w:rPr>
                <w:sz w:val="20"/>
                <w:szCs w:val="20"/>
                <w:color w:val="auto"/>
              </w:rPr>
            </w:pPr>
            <w:r>
              <w:rPr>
                <w:rFonts w:ascii="Calibri" w:cs="Calibri" w:eastAsia="Calibri" w:hAnsi="Calibri"/>
                <w:sz w:val="16"/>
                <w:szCs w:val="16"/>
                <w:color w:val="auto"/>
              </w:rPr>
              <w:t>data-related capabilites</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 Contnued focus on diversity, equity, and</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tcPr>
          <w:p>
            <w:pPr>
              <w:ind w:left="60"/>
              <w:spacing w:after="0"/>
              <w:rPr>
                <w:sz w:val="20"/>
                <w:szCs w:val="20"/>
                <w:color w:val="auto"/>
              </w:rPr>
            </w:pPr>
            <w:r>
              <w:rPr>
                <w:rFonts w:ascii="Calibri" w:cs="Calibri" w:eastAsia="Calibri" w:hAnsi="Calibri"/>
                <w:sz w:val="16"/>
                <w:szCs w:val="16"/>
                <w:color w:val="auto"/>
              </w:rPr>
              <w:t>   Progressed on ESG maters, including by leading our CSR team to</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inclusion strategies</w:t>
            </w:r>
          </w:p>
        </w:tc>
        <w:tc>
          <w:tcPr>
            <w:tcW w:w="580" w:type="dxa"/>
            <w:vAlign w:val="bottom"/>
          </w:tcPr>
          <w:p>
            <w:pPr>
              <w:spacing w:after="0"/>
              <w:rPr>
                <w:sz w:val="16"/>
                <w:szCs w:val="16"/>
                <w:color w:val="auto"/>
              </w:rPr>
            </w:pPr>
          </w:p>
        </w:tc>
        <w:tc>
          <w:tcPr>
            <w:tcW w:w="4500" w:type="dxa"/>
            <w:vAlign w:val="bottom"/>
          </w:tcPr>
          <w:p>
            <w:pPr>
              <w:ind w:left="140"/>
              <w:spacing w:after="0"/>
              <w:rPr>
                <w:sz w:val="20"/>
                <w:szCs w:val="20"/>
                <w:color w:val="auto"/>
              </w:rPr>
            </w:pPr>
            <w:r>
              <w:rPr>
                <w:rFonts w:ascii="Calibri" w:cs="Calibri" w:eastAsia="Calibri" w:hAnsi="Calibri"/>
                <w:sz w:val="16"/>
                <w:szCs w:val="16"/>
                <w:color w:val="auto"/>
              </w:rPr>
              <w:t>surpass its volunteer partcipaton goal, and increasing company-</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 Progression on improving ESG metrics</w:t>
            </w:r>
          </w:p>
        </w:tc>
        <w:tc>
          <w:tcPr>
            <w:tcW w:w="580" w:type="dxa"/>
            <w:vAlign w:val="bottom"/>
          </w:tcPr>
          <w:p>
            <w:pPr>
              <w:spacing w:after="0"/>
              <w:rPr>
                <w:sz w:val="16"/>
                <w:szCs w:val="16"/>
                <w:color w:val="auto"/>
              </w:rPr>
            </w:pPr>
          </w:p>
        </w:tc>
        <w:tc>
          <w:tcPr>
            <w:tcW w:w="4500" w:type="dxa"/>
            <w:vAlign w:val="bottom"/>
          </w:tcPr>
          <w:p>
            <w:pPr>
              <w:ind w:left="140"/>
              <w:spacing w:after="0"/>
              <w:rPr>
                <w:sz w:val="20"/>
                <w:szCs w:val="20"/>
                <w:color w:val="auto"/>
              </w:rPr>
            </w:pPr>
            <w:r>
              <w:rPr>
                <w:rFonts w:ascii="Calibri" w:cs="Calibri" w:eastAsia="Calibri" w:hAnsi="Calibri"/>
                <w:sz w:val="16"/>
                <w:szCs w:val="16"/>
                <w:color w:val="auto"/>
              </w:rPr>
              <w:t>wide and VP+ gender diversity</w:t>
            </w:r>
          </w:p>
        </w:tc>
      </w:tr>
      <w:tr>
        <w:trPr>
          <w:trHeight w:val="40"/>
        </w:trPr>
        <w:tc>
          <w:tcPr>
            <w:tcW w:w="204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r>
      <w:tr>
        <w:trPr>
          <w:trHeight w:val="223"/>
        </w:trPr>
        <w:tc>
          <w:tcPr>
            <w:tcW w:w="2040" w:type="dxa"/>
            <w:vAlign w:val="bottom"/>
            <w:tcBorders>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Maurizio Nicolelli</w:t>
            </w: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 Drive proftable growth agenda</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tcPr>
          <w:p>
            <w:pPr>
              <w:ind w:left="60"/>
              <w:spacing w:after="0"/>
              <w:rPr>
                <w:sz w:val="20"/>
                <w:szCs w:val="20"/>
                <w:color w:val="auto"/>
              </w:rPr>
            </w:pPr>
            <w:r>
              <w:rPr>
                <w:rFonts w:ascii="Calibri" w:cs="Calibri" w:eastAsia="Calibri" w:hAnsi="Calibri"/>
                <w:sz w:val="16"/>
                <w:szCs w:val="16"/>
                <w:color w:val="auto"/>
              </w:rPr>
              <w:t>   EPS growth rate outperformed revenue growth rate</w:t>
            </w:r>
          </w:p>
        </w:tc>
      </w:tr>
      <w:tr>
        <w:trPr>
          <w:trHeight w:val="18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line="185" w:lineRule="exact"/>
              <w:rPr>
                <w:sz w:val="20"/>
                <w:szCs w:val="20"/>
                <w:color w:val="auto"/>
              </w:rPr>
            </w:pPr>
            <w:r>
              <w:rPr>
                <w:rFonts w:ascii="Calibri" w:cs="Calibri" w:eastAsia="Calibri" w:hAnsi="Calibri"/>
                <w:sz w:val="16"/>
                <w:szCs w:val="16"/>
                <w:color w:val="auto"/>
              </w:rPr>
              <w:t>emphasizing EPS growth</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tcPr>
          <w:p>
            <w:pPr>
              <w:ind w:left="60"/>
              <w:spacing w:after="0" w:line="185" w:lineRule="exact"/>
              <w:rPr>
                <w:sz w:val="20"/>
                <w:szCs w:val="20"/>
                <w:color w:val="auto"/>
              </w:rPr>
            </w:pPr>
            <w:r>
              <w:rPr>
                <w:rFonts w:ascii="Calibri" w:cs="Calibri" w:eastAsia="Calibri" w:hAnsi="Calibri"/>
                <w:sz w:val="16"/>
                <w:szCs w:val="16"/>
                <w:color w:val="auto"/>
              </w:rPr>
              <w:t>   Drove long-term tax strategy resultng in current benefts and a</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 Execute on long-term tax strategy</w:t>
            </w:r>
          </w:p>
        </w:tc>
        <w:tc>
          <w:tcPr>
            <w:tcW w:w="580" w:type="dxa"/>
            <w:vAlign w:val="bottom"/>
          </w:tcPr>
          <w:p>
            <w:pPr>
              <w:spacing w:after="0"/>
              <w:rPr>
                <w:sz w:val="16"/>
                <w:szCs w:val="16"/>
                <w:color w:val="auto"/>
              </w:rPr>
            </w:pPr>
          </w:p>
        </w:tc>
        <w:tc>
          <w:tcPr>
            <w:tcW w:w="4500" w:type="dxa"/>
            <w:vAlign w:val="bottom"/>
          </w:tcPr>
          <w:p>
            <w:pPr>
              <w:ind w:left="140"/>
              <w:spacing w:after="0"/>
              <w:rPr>
                <w:sz w:val="20"/>
                <w:szCs w:val="20"/>
                <w:color w:val="auto"/>
              </w:rPr>
            </w:pPr>
            <w:r>
              <w:rPr>
                <w:rFonts w:ascii="Calibri" w:cs="Calibri" w:eastAsia="Calibri" w:hAnsi="Calibri"/>
                <w:sz w:val="16"/>
                <w:szCs w:val="16"/>
                <w:color w:val="auto"/>
              </w:rPr>
              <w:t>pathway to future benefts</w:t>
            </w:r>
          </w:p>
        </w:tc>
      </w:tr>
      <w:tr>
        <w:trPr>
          <w:trHeight w:val="40"/>
        </w:trPr>
        <w:tc>
          <w:tcPr>
            <w:tcW w:w="204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r>
      <w:tr>
        <w:trPr>
          <w:trHeight w:val="223"/>
        </w:trPr>
        <w:tc>
          <w:tcPr>
            <w:tcW w:w="2040" w:type="dxa"/>
            <w:vAlign w:val="bottom"/>
            <w:tcBorders>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Vikas Bhalla</w:t>
            </w: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 Deliver proftable growth in Insurance</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tcPr>
          <w:p>
            <w:pPr>
              <w:ind w:left="60"/>
              <w:spacing w:after="0"/>
              <w:rPr>
                <w:sz w:val="20"/>
                <w:szCs w:val="20"/>
                <w:color w:val="auto"/>
              </w:rPr>
            </w:pPr>
            <w:r>
              <w:rPr>
                <w:rFonts w:ascii="Calibri" w:cs="Calibri" w:eastAsia="Calibri" w:hAnsi="Calibri"/>
                <w:sz w:val="16"/>
                <w:szCs w:val="16"/>
                <w:color w:val="auto"/>
              </w:rPr>
              <w:t>   Drove revenue growth of Insurance business with strong gross</w:t>
            </w:r>
          </w:p>
        </w:tc>
      </w:tr>
      <w:tr>
        <w:trPr>
          <w:trHeight w:val="18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line="185" w:lineRule="exact"/>
              <w:rPr>
                <w:sz w:val="20"/>
                <w:szCs w:val="20"/>
                <w:color w:val="auto"/>
              </w:rPr>
            </w:pPr>
            <w:r>
              <w:rPr>
                <w:rFonts w:ascii="Calibri" w:cs="Calibri" w:eastAsia="Calibri" w:hAnsi="Calibri"/>
                <w:sz w:val="16"/>
                <w:szCs w:val="16"/>
                <w:color w:val="auto"/>
              </w:rPr>
              <w:t>business 2023 with sustained momentum</w:t>
            </w:r>
          </w:p>
        </w:tc>
        <w:tc>
          <w:tcPr>
            <w:tcW w:w="580" w:type="dxa"/>
            <w:vAlign w:val="bottom"/>
          </w:tcPr>
          <w:p>
            <w:pPr>
              <w:spacing w:after="0"/>
              <w:rPr>
                <w:sz w:val="16"/>
                <w:szCs w:val="16"/>
                <w:color w:val="auto"/>
              </w:rPr>
            </w:pPr>
          </w:p>
        </w:tc>
        <w:tc>
          <w:tcPr>
            <w:tcW w:w="4500" w:type="dxa"/>
            <w:vAlign w:val="bottom"/>
          </w:tcPr>
          <w:p>
            <w:pPr>
              <w:ind w:left="140"/>
              <w:spacing w:after="0" w:line="185" w:lineRule="exact"/>
              <w:rPr>
                <w:sz w:val="20"/>
                <w:szCs w:val="20"/>
                <w:color w:val="auto"/>
              </w:rPr>
            </w:pPr>
            <w:r>
              <w:rPr>
                <w:rFonts w:ascii="Calibri" w:cs="Calibri" w:eastAsia="Calibri" w:hAnsi="Calibri"/>
                <w:sz w:val="16"/>
                <w:szCs w:val="16"/>
                <w:color w:val="auto"/>
              </w:rPr>
              <w:t>margins</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 Leverage data-led positoning to</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tcPr>
          <w:p>
            <w:pPr>
              <w:ind w:left="60"/>
              <w:spacing w:after="0"/>
              <w:rPr>
                <w:sz w:val="20"/>
                <w:szCs w:val="20"/>
                <w:color w:val="auto"/>
              </w:rPr>
            </w:pPr>
            <w:r>
              <w:rPr>
                <w:rFonts w:ascii="Calibri" w:cs="Calibri" w:eastAsia="Calibri" w:hAnsi="Calibri"/>
                <w:sz w:val="16"/>
                <w:szCs w:val="16"/>
                <w:color w:val="auto"/>
                <w:w w:val="99"/>
              </w:rPr>
              <w:t>   Developed and enhanced existng digital-led solutons for insurance</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commercialize &amp; grow AI:OS and other</w:t>
            </w:r>
          </w:p>
        </w:tc>
        <w:tc>
          <w:tcPr>
            <w:tcW w:w="580" w:type="dxa"/>
            <w:vAlign w:val="bottom"/>
          </w:tcPr>
          <w:p>
            <w:pPr>
              <w:spacing w:after="0"/>
              <w:rPr>
                <w:sz w:val="16"/>
                <w:szCs w:val="16"/>
                <w:color w:val="auto"/>
              </w:rPr>
            </w:pPr>
          </w:p>
        </w:tc>
        <w:tc>
          <w:tcPr>
            <w:tcW w:w="4500" w:type="dxa"/>
            <w:vAlign w:val="bottom"/>
          </w:tcPr>
          <w:p>
            <w:pPr>
              <w:ind w:left="140"/>
              <w:spacing w:after="0"/>
              <w:rPr>
                <w:sz w:val="20"/>
                <w:szCs w:val="20"/>
                <w:color w:val="auto"/>
              </w:rPr>
            </w:pPr>
            <w:r>
              <w:rPr>
                <w:rFonts w:ascii="Calibri" w:cs="Calibri" w:eastAsia="Calibri" w:hAnsi="Calibri"/>
                <w:sz w:val="16"/>
                <w:szCs w:val="16"/>
                <w:color w:val="auto"/>
              </w:rPr>
              <w:t>business that helped to expand client relatonships and win new</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digital solutons</w:t>
            </w:r>
          </w:p>
        </w:tc>
        <w:tc>
          <w:tcPr>
            <w:tcW w:w="580" w:type="dxa"/>
            <w:vAlign w:val="bottom"/>
          </w:tcPr>
          <w:p>
            <w:pPr>
              <w:spacing w:after="0"/>
              <w:rPr>
                <w:sz w:val="16"/>
                <w:szCs w:val="16"/>
                <w:color w:val="auto"/>
              </w:rPr>
            </w:pPr>
          </w:p>
        </w:tc>
        <w:tc>
          <w:tcPr>
            <w:tcW w:w="4500" w:type="dxa"/>
            <w:vAlign w:val="bottom"/>
          </w:tcPr>
          <w:p>
            <w:pPr>
              <w:ind w:left="140"/>
              <w:spacing w:after="0"/>
              <w:rPr>
                <w:sz w:val="20"/>
                <w:szCs w:val="20"/>
                <w:color w:val="auto"/>
              </w:rPr>
            </w:pPr>
            <w:r>
              <w:rPr>
                <w:rFonts w:ascii="Calibri" w:cs="Calibri" w:eastAsia="Calibri" w:hAnsi="Calibri"/>
                <w:sz w:val="16"/>
                <w:szCs w:val="16"/>
                <w:color w:val="auto"/>
              </w:rPr>
              <w:t>clients</w:t>
            </w:r>
          </w:p>
        </w:tc>
      </w:tr>
      <w:tr>
        <w:trPr>
          <w:trHeight w:val="40"/>
        </w:trPr>
        <w:tc>
          <w:tcPr>
            <w:tcW w:w="204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r>
      <w:tr>
        <w:trPr>
          <w:trHeight w:val="223"/>
        </w:trPr>
        <w:tc>
          <w:tcPr>
            <w:tcW w:w="2040" w:type="dxa"/>
            <w:vAlign w:val="bottom"/>
            <w:tcBorders>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Vivek Jetley</w:t>
            </w: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 Drive proftability and build high growth</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tcPr>
          <w:p>
            <w:pPr>
              <w:ind w:left="60"/>
              <w:spacing w:after="0"/>
              <w:rPr>
                <w:sz w:val="20"/>
                <w:szCs w:val="20"/>
                <w:color w:val="auto"/>
              </w:rPr>
            </w:pPr>
            <w:r>
              <w:rPr>
                <w:rFonts w:ascii="Calibri" w:cs="Calibri" w:eastAsia="Calibri" w:hAnsi="Calibri"/>
                <w:sz w:val="16"/>
                <w:szCs w:val="16"/>
                <w:color w:val="auto"/>
              </w:rPr>
              <w:t>   Grew Analytcs business with a focus on decision analytcs, data</w:t>
            </w:r>
          </w:p>
        </w:tc>
      </w:tr>
      <w:tr>
        <w:trPr>
          <w:trHeight w:val="18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line="185" w:lineRule="exact"/>
              <w:rPr>
                <w:sz w:val="20"/>
                <w:szCs w:val="20"/>
                <w:color w:val="auto"/>
              </w:rPr>
            </w:pPr>
            <w:r>
              <w:rPr>
                <w:rFonts w:ascii="Calibri" w:cs="Calibri" w:eastAsia="Calibri" w:hAnsi="Calibri"/>
                <w:sz w:val="16"/>
                <w:szCs w:val="16"/>
                <w:color w:val="auto"/>
              </w:rPr>
              <w:t>business for Analytcs</w:t>
            </w:r>
          </w:p>
        </w:tc>
        <w:tc>
          <w:tcPr>
            <w:tcW w:w="580" w:type="dxa"/>
            <w:vAlign w:val="bottom"/>
          </w:tcPr>
          <w:p>
            <w:pPr>
              <w:spacing w:after="0"/>
              <w:rPr>
                <w:sz w:val="16"/>
                <w:szCs w:val="16"/>
                <w:color w:val="auto"/>
              </w:rPr>
            </w:pPr>
          </w:p>
        </w:tc>
        <w:tc>
          <w:tcPr>
            <w:tcW w:w="4500" w:type="dxa"/>
            <w:vAlign w:val="bottom"/>
          </w:tcPr>
          <w:p>
            <w:pPr>
              <w:ind w:left="140"/>
              <w:spacing w:after="0" w:line="185" w:lineRule="exact"/>
              <w:rPr>
                <w:sz w:val="20"/>
                <w:szCs w:val="20"/>
                <w:color w:val="auto"/>
              </w:rPr>
            </w:pPr>
            <w:r>
              <w:rPr>
                <w:rFonts w:ascii="Calibri" w:cs="Calibri" w:eastAsia="Calibri" w:hAnsi="Calibri"/>
                <w:sz w:val="16"/>
                <w:szCs w:val="16"/>
                <w:color w:val="auto"/>
              </w:rPr>
              <w:t>management and payments business</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 Build EXL’s data management capabilites,</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tcPr>
          <w:p>
            <w:pPr>
              <w:ind w:left="60"/>
              <w:spacing w:after="0"/>
              <w:rPr>
                <w:sz w:val="20"/>
                <w:szCs w:val="20"/>
                <w:color w:val="auto"/>
              </w:rPr>
            </w:pPr>
            <w:r>
              <w:rPr>
                <w:rFonts w:ascii="Calibri" w:cs="Calibri" w:eastAsia="Calibri" w:hAnsi="Calibri"/>
                <w:sz w:val="16"/>
                <w:szCs w:val="16"/>
                <w:color w:val="auto"/>
              </w:rPr>
              <w:t>   Created signifcant foundatonal capabilites in data management,</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w w:val="96"/>
              </w:rPr>
              <w:t>build our data assets and drive partnerships</w:t>
            </w:r>
          </w:p>
        </w:tc>
        <w:tc>
          <w:tcPr>
            <w:tcW w:w="580" w:type="dxa"/>
            <w:vAlign w:val="bottom"/>
          </w:tcPr>
          <w:p>
            <w:pPr>
              <w:spacing w:after="0"/>
              <w:rPr>
                <w:sz w:val="16"/>
                <w:szCs w:val="16"/>
                <w:color w:val="auto"/>
              </w:rPr>
            </w:pPr>
          </w:p>
        </w:tc>
        <w:tc>
          <w:tcPr>
            <w:tcW w:w="4500" w:type="dxa"/>
            <w:vAlign w:val="bottom"/>
          </w:tcPr>
          <w:p>
            <w:pPr>
              <w:ind w:left="140"/>
              <w:spacing w:after="0"/>
              <w:rPr>
                <w:sz w:val="20"/>
                <w:szCs w:val="20"/>
                <w:color w:val="auto"/>
              </w:rPr>
            </w:pPr>
            <w:r>
              <w:rPr>
                <w:rFonts w:ascii="Calibri" w:cs="Calibri" w:eastAsia="Calibri" w:hAnsi="Calibri"/>
                <w:sz w:val="16"/>
                <w:szCs w:val="16"/>
                <w:color w:val="auto"/>
                <w:w w:val="98"/>
              </w:rPr>
              <w:t>executed a strategic pivot in Analytcs business toward generatve AI,</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4500" w:type="dxa"/>
            <w:vAlign w:val="bottom"/>
          </w:tcPr>
          <w:p>
            <w:pPr>
              <w:ind w:left="140"/>
              <w:spacing w:after="0"/>
              <w:rPr>
                <w:sz w:val="20"/>
                <w:szCs w:val="20"/>
                <w:color w:val="auto"/>
              </w:rPr>
            </w:pPr>
            <w:r>
              <w:rPr>
                <w:rFonts w:ascii="Calibri" w:cs="Calibri" w:eastAsia="Calibri" w:hAnsi="Calibri"/>
                <w:sz w:val="16"/>
                <w:szCs w:val="16"/>
                <w:color w:val="auto"/>
              </w:rPr>
              <w:t>drove key partnerships</w:t>
            </w:r>
          </w:p>
        </w:tc>
      </w:tr>
      <w:tr>
        <w:trPr>
          <w:trHeight w:val="40"/>
        </w:trPr>
        <w:tc>
          <w:tcPr>
            <w:tcW w:w="204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r>
      <w:tr>
        <w:trPr>
          <w:trHeight w:val="223"/>
        </w:trPr>
        <w:tc>
          <w:tcPr>
            <w:tcW w:w="2040" w:type="dxa"/>
            <w:vAlign w:val="bottom"/>
            <w:tcBorders>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Anita Mahon</w:t>
            </w: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 Deliver proftable growth</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tcPr>
          <w:p>
            <w:pPr>
              <w:ind w:left="60"/>
              <w:spacing w:after="0"/>
              <w:rPr>
                <w:sz w:val="20"/>
                <w:szCs w:val="20"/>
                <w:color w:val="auto"/>
              </w:rPr>
            </w:pPr>
            <w:r>
              <w:rPr>
                <w:rFonts w:ascii="Calibri" w:cs="Calibri" w:eastAsia="Calibri" w:hAnsi="Calibri"/>
                <w:sz w:val="16"/>
                <w:szCs w:val="16"/>
                <w:color w:val="auto"/>
              </w:rPr>
              <w:t>   Drove Healthcare revenue with strong gross margins</w:t>
            </w:r>
          </w:p>
        </w:tc>
      </w:tr>
      <w:tr>
        <w:trPr>
          <w:trHeight w:val="18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line="185" w:lineRule="exact"/>
              <w:rPr>
                <w:sz w:val="20"/>
                <w:szCs w:val="20"/>
                <w:color w:val="auto"/>
              </w:rPr>
            </w:pPr>
            <w:r>
              <w:rPr>
                <w:rFonts w:ascii="Calibri" w:cs="Calibri" w:eastAsia="Calibri" w:hAnsi="Calibri"/>
                <w:sz w:val="16"/>
                <w:szCs w:val="16"/>
                <w:color w:val="auto"/>
                <w:w w:val="99"/>
              </w:rPr>
              <w:t>   Strengthen talent and contnue to develop</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tcPr>
          <w:p>
            <w:pPr>
              <w:ind w:left="60"/>
              <w:spacing w:after="0" w:line="185" w:lineRule="exact"/>
              <w:rPr>
                <w:sz w:val="20"/>
                <w:szCs w:val="20"/>
                <w:color w:val="auto"/>
              </w:rPr>
            </w:pPr>
            <w:r>
              <w:rPr>
                <w:rFonts w:ascii="Calibri" w:cs="Calibri" w:eastAsia="Calibri" w:hAnsi="Calibri"/>
                <w:sz w:val="16"/>
                <w:szCs w:val="16"/>
                <w:color w:val="auto"/>
                <w:w w:val="97"/>
              </w:rPr>
              <w:t>   Solidifed core team through a focus on talent acquisiton and strong</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the One EXL mindset in our culture</w:t>
            </w:r>
          </w:p>
        </w:tc>
        <w:tc>
          <w:tcPr>
            <w:tcW w:w="580" w:type="dxa"/>
            <w:vAlign w:val="bottom"/>
          </w:tcPr>
          <w:p>
            <w:pPr>
              <w:spacing w:after="0"/>
              <w:rPr>
                <w:sz w:val="16"/>
                <w:szCs w:val="16"/>
                <w:color w:val="auto"/>
              </w:rPr>
            </w:pPr>
          </w:p>
        </w:tc>
        <w:tc>
          <w:tcPr>
            <w:tcW w:w="4500" w:type="dxa"/>
            <w:vAlign w:val="bottom"/>
          </w:tcPr>
          <w:p>
            <w:pPr>
              <w:ind w:left="140"/>
              <w:spacing w:after="0"/>
              <w:rPr>
                <w:sz w:val="20"/>
                <w:szCs w:val="20"/>
                <w:color w:val="auto"/>
              </w:rPr>
            </w:pPr>
            <w:r>
              <w:rPr>
                <w:rFonts w:ascii="Calibri" w:cs="Calibri" w:eastAsia="Calibri" w:hAnsi="Calibri"/>
                <w:sz w:val="16"/>
                <w:szCs w:val="16"/>
                <w:color w:val="auto"/>
              </w:rPr>
              <w:t>progress on building diverse leadership. Championed women’s</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4500" w:type="dxa"/>
            <w:vAlign w:val="bottom"/>
          </w:tcPr>
          <w:p>
            <w:pPr>
              <w:ind w:left="140"/>
              <w:spacing w:after="0"/>
              <w:rPr>
                <w:sz w:val="20"/>
                <w:szCs w:val="20"/>
                <w:color w:val="auto"/>
              </w:rPr>
            </w:pPr>
            <w:r>
              <w:rPr>
                <w:rFonts w:ascii="Calibri" w:cs="Calibri" w:eastAsia="Calibri" w:hAnsi="Calibri"/>
                <w:sz w:val="16"/>
                <w:szCs w:val="16"/>
                <w:color w:val="auto"/>
              </w:rPr>
              <w:t>diversity initatves</w:t>
            </w:r>
          </w:p>
        </w:tc>
      </w:tr>
      <w:tr>
        <w:trPr>
          <w:trHeight w:val="98"/>
        </w:trPr>
        <w:tc>
          <w:tcPr>
            <w:tcW w:w="2040" w:type="dxa"/>
            <w:vAlign w:val="bottom"/>
            <w:tcBorders>
              <w:bottom w:val="single" w:sz="8" w:color="FB4E0B"/>
              <w:right w:val="single" w:sz="8" w:color="auto"/>
            </w:tcBorders>
          </w:tcPr>
          <w:p>
            <w:pPr>
              <w:spacing w:after="0"/>
              <w:rPr>
                <w:sz w:val="8"/>
                <w:szCs w:val="8"/>
                <w:color w:val="auto"/>
              </w:rPr>
            </w:pPr>
          </w:p>
        </w:tc>
        <w:tc>
          <w:tcPr>
            <w:tcW w:w="560" w:type="dxa"/>
            <w:vAlign w:val="bottom"/>
            <w:tcBorders>
              <w:bottom w:val="single" w:sz="8" w:color="FB4E0B"/>
            </w:tcBorders>
          </w:tcPr>
          <w:p>
            <w:pPr>
              <w:spacing w:after="0"/>
              <w:rPr>
                <w:sz w:val="8"/>
                <w:szCs w:val="8"/>
                <w:color w:val="auto"/>
              </w:rPr>
            </w:pPr>
          </w:p>
        </w:tc>
        <w:tc>
          <w:tcPr>
            <w:tcW w:w="2940" w:type="dxa"/>
            <w:vAlign w:val="bottom"/>
            <w:tcBorders>
              <w:bottom w:val="single" w:sz="8" w:color="FB4E0B"/>
              <w:right w:val="single" w:sz="8" w:color="auto"/>
            </w:tcBorders>
          </w:tcPr>
          <w:p>
            <w:pPr>
              <w:spacing w:after="0"/>
              <w:rPr>
                <w:sz w:val="8"/>
                <w:szCs w:val="8"/>
                <w:color w:val="auto"/>
              </w:rPr>
            </w:pPr>
          </w:p>
        </w:tc>
        <w:tc>
          <w:tcPr>
            <w:tcW w:w="580" w:type="dxa"/>
            <w:vAlign w:val="bottom"/>
            <w:tcBorders>
              <w:bottom w:val="single" w:sz="8" w:color="FB4E0B"/>
            </w:tcBorders>
          </w:tcPr>
          <w:p>
            <w:pPr>
              <w:spacing w:after="0"/>
              <w:rPr>
                <w:sz w:val="8"/>
                <w:szCs w:val="8"/>
                <w:color w:val="auto"/>
              </w:rPr>
            </w:pPr>
          </w:p>
        </w:tc>
        <w:tc>
          <w:tcPr>
            <w:tcW w:w="4500" w:type="dxa"/>
            <w:vAlign w:val="bottom"/>
            <w:tcBorders>
              <w:bottom w:val="single" w:sz="8" w:color="FB4E0B"/>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173355</wp:posOffset>
            </wp:positionV>
            <wp:extent cx="74358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35" w:lineRule="exact"/>
        <w:rPr>
          <w:sz w:val="20"/>
          <w:szCs w:val="20"/>
          <w:color w:val="auto"/>
        </w:rPr>
      </w:pPr>
    </w:p>
    <w:p>
      <w:pPr>
        <w:ind w:left="460" w:hanging="144"/>
        <w:spacing w:after="0"/>
        <w:tabs>
          <w:tab w:leader="none" w:pos="460" w:val="left"/>
        </w:tabs>
        <w:numPr>
          <w:ilvl w:val="0"/>
          <w:numId w:val="30"/>
        </w:numPr>
        <w:rPr>
          <w:rFonts w:ascii="Calibri" w:cs="Calibri" w:eastAsia="Calibri" w:hAnsi="Calibri"/>
          <w:sz w:val="18"/>
          <w:szCs w:val="18"/>
          <w:color w:val="auto"/>
          <w:vertAlign w:val="superscript"/>
        </w:rPr>
      </w:pPr>
      <w:r>
        <w:rPr>
          <w:rFonts w:ascii="Calibri" w:cs="Calibri" w:eastAsia="Calibri" w:hAnsi="Calibri"/>
          <w:sz w:val="12"/>
          <w:szCs w:val="12"/>
          <w:color w:val="auto"/>
        </w:rPr>
        <w:t>Adjusted EPS is a non-GAAP fnancial measure. See “Non-GAAP Reconciliaton” beginning on page 120 for more details, as well as a reconciliaton of the non-GAAP measures used herein.</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table below sets out the 2023 annual incentve awards paid to our named executve ofcers (paid in March 2024):</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67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Overall Percentage</w:t>
            </w:r>
          </w:p>
        </w:tc>
        <w:tc>
          <w:tcPr>
            <w:tcW w:w="230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2023 Actual annual</w:t>
            </w:r>
          </w:p>
        </w:tc>
      </w:tr>
      <w:tr>
        <w:trPr>
          <w:trHeight w:val="208"/>
        </w:trPr>
        <w:tc>
          <w:tcPr>
            <w:tcW w:w="67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Calibri" w:cs="Calibri" w:eastAsia="Calibri" w:hAnsi="Calibri"/>
                <w:sz w:val="17"/>
                <w:szCs w:val="17"/>
                <w:b w:val="1"/>
                <w:bCs w:val="1"/>
                <w:color w:val="FB4E0B"/>
              </w:rPr>
              <w:t>Atainment of</w:t>
            </w:r>
          </w:p>
        </w:tc>
        <w:tc>
          <w:tcPr>
            <w:tcW w:w="2300" w:type="dxa"/>
            <w:vAlign w:val="bottom"/>
          </w:tcPr>
          <w:p>
            <w:pPr>
              <w:jc w:val="center"/>
              <w:spacing w:after="0"/>
              <w:rPr>
                <w:sz w:val="20"/>
                <w:szCs w:val="20"/>
                <w:color w:val="auto"/>
              </w:rPr>
            </w:pPr>
            <w:r>
              <w:rPr>
                <w:rFonts w:ascii="Calibri" w:cs="Calibri" w:eastAsia="Calibri" w:hAnsi="Calibri"/>
                <w:sz w:val="17"/>
                <w:szCs w:val="17"/>
                <w:b w:val="1"/>
                <w:bCs w:val="1"/>
                <w:color w:val="FB4E0B"/>
              </w:rPr>
              <w:t>incentve awarded</w:t>
            </w:r>
          </w:p>
        </w:tc>
      </w:tr>
      <w:tr>
        <w:trPr>
          <w:trHeight w:val="263"/>
        </w:trPr>
        <w:tc>
          <w:tcPr>
            <w:tcW w:w="6700" w:type="dxa"/>
            <w:vAlign w:val="bottom"/>
            <w:tcBorders>
              <w:bottom w:val="single" w:sz="8" w:color="FB4E0B"/>
            </w:tcBorders>
          </w:tcPr>
          <w:p>
            <w:pPr>
              <w:spacing w:after="0"/>
              <w:rPr>
                <w:sz w:val="20"/>
                <w:szCs w:val="20"/>
                <w:color w:val="auto"/>
              </w:rPr>
            </w:pPr>
            <w:r>
              <w:rPr>
                <w:rFonts w:ascii="Calibri" w:cs="Calibri" w:eastAsia="Calibri" w:hAnsi="Calibri"/>
                <w:sz w:val="17"/>
                <w:szCs w:val="17"/>
                <w:b w:val="1"/>
                <w:bCs w:val="1"/>
                <w:color w:val="FB4E0B"/>
              </w:rPr>
              <w:t>  Name</w:t>
            </w:r>
          </w:p>
        </w:tc>
        <w:tc>
          <w:tcPr>
            <w:tcW w:w="1620" w:type="dxa"/>
            <w:vAlign w:val="bottom"/>
            <w:tcBorders>
              <w:bottom w:val="single" w:sz="8" w:color="FB4E0B"/>
            </w:tcBorders>
          </w:tcPr>
          <w:p>
            <w:pPr>
              <w:jc w:val="center"/>
              <w:spacing w:after="0"/>
              <w:rPr>
                <w:sz w:val="20"/>
                <w:szCs w:val="20"/>
                <w:color w:val="auto"/>
              </w:rPr>
            </w:pPr>
            <w:r>
              <w:rPr>
                <w:rFonts w:ascii="Calibri" w:cs="Calibri" w:eastAsia="Calibri" w:hAnsi="Calibri"/>
                <w:sz w:val="17"/>
                <w:szCs w:val="17"/>
                <w:b w:val="1"/>
                <w:bCs w:val="1"/>
                <w:color w:val="FB4E0B"/>
                <w:w w:val="96"/>
              </w:rPr>
              <w:t>Target Bonus</w:t>
            </w:r>
          </w:p>
        </w:tc>
        <w:tc>
          <w:tcPr>
            <w:tcW w:w="2300" w:type="dxa"/>
            <w:vAlign w:val="bottom"/>
            <w:tcBorders>
              <w:bottom w:val="single" w:sz="8" w:color="FB4E0B"/>
            </w:tcBorders>
          </w:tcPr>
          <w:p>
            <w:pPr>
              <w:jc w:val="center"/>
              <w:spacing w:after="0" w:line="257" w:lineRule="exact"/>
              <w:rPr>
                <w:sz w:val="20"/>
                <w:szCs w:val="20"/>
                <w:color w:val="auto"/>
              </w:rPr>
            </w:pPr>
            <w:r>
              <w:rPr>
                <w:rFonts w:ascii="Calibri" w:cs="Calibri" w:eastAsia="Calibri" w:hAnsi="Calibri"/>
                <w:sz w:val="17"/>
                <w:szCs w:val="17"/>
                <w:b w:val="1"/>
                <w:bCs w:val="1"/>
                <w:color w:val="FB4E0B"/>
                <w:w w:val="87"/>
              </w:rPr>
              <w:t>($)</w:t>
            </w:r>
            <w:r>
              <w:rPr>
                <w:rFonts w:ascii="Calibri" w:cs="Calibri" w:eastAsia="Calibri" w:hAnsi="Calibri"/>
                <w:sz w:val="26"/>
                <w:szCs w:val="26"/>
                <w:b w:val="1"/>
                <w:bCs w:val="1"/>
                <w:color w:val="FB4E0B"/>
                <w:w w:val="87"/>
                <w:vertAlign w:val="superscript"/>
              </w:rPr>
              <w:t>(1)</w:t>
            </w:r>
          </w:p>
        </w:tc>
      </w:tr>
      <w:tr>
        <w:trPr>
          <w:trHeight w:val="289"/>
        </w:trPr>
        <w:tc>
          <w:tcPr>
            <w:tcW w:w="670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Rohit Kapoor</w:t>
            </w:r>
          </w:p>
        </w:tc>
        <w:tc>
          <w:tcPr>
            <w:tcW w:w="162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124%</w:t>
            </w:r>
          </w:p>
        </w:tc>
        <w:tc>
          <w:tcPr>
            <w:tcW w:w="2300" w:type="dxa"/>
            <w:vAlign w:val="bottom"/>
          </w:tcPr>
          <w:p>
            <w:pPr>
              <w:jc w:val="right"/>
              <w:ind w:right="93"/>
              <w:spacing w:after="0"/>
              <w:rPr>
                <w:sz w:val="20"/>
                <w:szCs w:val="20"/>
                <w:color w:val="auto"/>
              </w:rPr>
            </w:pPr>
            <w:r>
              <w:rPr>
                <w:rFonts w:ascii="Calibri" w:cs="Calibri" w:eastAsia="Calibri" w:hAnsi="Calibri"/>
                <w:sz w:val="17"/>
                <w:szCs w:val="17"/>
                <w:color w:val="auto"/>
              </w:rPr>
              <w:t>1,514,253</w:t>
            </w:r>
          </w:p>
        </w:tc>
      </w:tr>
      <w:tr>
        <w:trPr>
          <w:trHeight w:val="127"/>
        </w:trPr>
        <w:tc>
          <w:tcPr>
            <w:tcW w:w="670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r>
      <w:tr>
        <w:trPr>
          <w:trHeight w:val="269"/>
        </w:trPr>
        <w:tc>
          <w:tcPr>
            <w:tcW w:w="670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Maurizio Nicolelli</w:t>
            </w:r>
          </w:p>
        </w:tc>
        <w:tc>
          <w:tcPr>
            <w:tcW w:w="162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120%</w:t>
            </w:r>
          </w:p>
        </w:tc>
        <w:tc>
          <w:tcPr>
            <w:tcW w:w="2300" w:type="dxa"/>
            <w:vAlign w:val="bottom"/>
          </w:tcPr>
          <w:p>
            <w:pPr>
              <w:jc w:val="right"/>
              <w:ind w:right="93"/>
              <w:spacing w:after="0"/>
              <w:rPr>
                <w:sz w:val="20"/>
                <w:szCs w:val="20"/>
                <w:color w:val="auto"/>
              </w:rPr>
            </w:pPr>
            <w:r>
              <w:rPr>
                <w:rFonts w:ascii="Calibri" w:cs="Calibri" w:eastAsia="Calibri" w:hAnsi="Calibri"/>
                <w:sz w:val="17"/>
                <w:szCs w:val="17"/>
                <w:color w:val="auto"/>
              </w:rPr>
              <w:t>459,441</w:t>
            </w:r>
          </w:p>
        </w:tc>
      </w:tr>
      <w:tr>
        <w:trPr>
          <w:trHeight w:val="127"/>
        </w:trPr>
        <w:tc>
          <w:tcPr>
            <w:tcW w:w="670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r>
      <w:tr>
        <w:trPr>
          <w:trHeight w:val="269"/>
        </w:trPr>
        <w:tc>
          <w:tcPr>
            <w:tcW w:w="670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Vikas Bhalla</w:t>
            </w:r>
          </w:p>
        </w:tc>
        <w:tc>
          <w:tcPr>
            <w:tcW w:w="162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128%</w:t>
            </w:r>
          </w:p>
        </w:tc>
        <w:tc>
          <w:tcPr>
            <w:tcW w:w="2300" w:type="dxa"/>
            <w:vAlign w:val="bottom"/>
          </w:tcPr>
          <w:p>
            <w:pPr>
              <w:jc w:val="right"/>
              <w:ind w:right="93"/>
              <w:spacing w:after="0"/>
              <w:rPr>
                <w:sz w:val="20"/>
                <w:szCs w:val="20"/>
                <w:color w:val="auto"/>
              </w:rPr>
            </w:pPr>
            <w:r>
              <w:rPr>
                <w:rFonts w:ascii="Calibri" w:cs="Calibri" w:eastAsia="Calibri" w:hAnsi="Calibri"/>
                <w:sz w:val="17"/>
                <w:szCs w:val="17"/>
                <w:color w:val="auto"/>
              </w:rPr>
              <w:t>320,917</w:t>
            </w:r>
          </w:p>
        </w:tc>
      </w:tr>
      <w:tr>
        <w:trPr>
          <w:trHeight w:val="127"/>
        </w:trPr>
        <w:tc>
          <w:tcPr>
            <w:tcW w:w="670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r>
      <w:tr>
        <w:trPr>
          <w:trHeight w:val="269"/>
        </w:trPr>
        <w:tc>
          <w:tcPr>
            <w:tcW w:w="670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Vivek Jetley</w:t>
            </w:r>
          </w:p>
        </w:tc>
        <w:tc>
          <w:tcPr>
            <w:tcW w:w="162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113%</w:t>
            </w:r>
          </w:p>
        </w:tc>
        <w:tc>
          <w:tcPr>
            <w:tcW w:w="2300" w:type="dxa"/>
            <w:vAlign w:val="bottom"/>
          </w:tcPr>
          <w:p>
            <w:pPr>
              <w:jc w:val="right"/>
              <w:ind w:right="93"/>
              <w:spacing w:after="0"/>
              <w:rPr>
                <w:sz w:val="20"/>
                <w:szCs w:val="20"/>
                <w:color w:val="auto"/>
              </w:rPr>
            </w:pPr>
            <w:r>
              <w:rPr>
                <w:rFonts w:ascii="Calibri" w:cs="Calibri" w:eastAsia="Calibri" w:hAnsi="Calibri"/>
                <w:sz w:val="17"/>
                <w:szCs w:val="17"/>
                <w:color w:val="auto"/>
              </w:rPr>
              <w:t>422,307</w:t>
            </w:r>
          </w:p>
        </w:tc>
      </w:tr>
      <w:tr>
        <w:trPr>
          <w:trHeight w:val="127"/>
        </w:trPr>
        <w:tc>
          <w:tcPr>
            <w:tcW w:w="670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r>
      <w:tr>
        <w:trPr>
          <w:trHeight w:val="269"/>
        </w:trPr>
        <w:tc>
          <w:tcPr>
            <w:tcW w:w="670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Anita Mahon</w:t>
            </w:r>
          </w:p>
        </w:tc>
        <w:tc>
          <w:tcPr>
            <w:tcW w:w="162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133%</w:t>
            </w:r>
          </w:p>
        </w:tc>
        <w:tc>
          <w:tcPr>
            <w:tcW w:w="2300" w:type="dxa"/>
            <w:vAlign w:val="bottom"/>
          </w:tcPr>
          <w:p>
            <w:pPr>
              <w:jc w:val="right"/>
              <w:ind w:right="93"/>
              <w:spacing w:after="0"/>
              <w:rPr>
                <w:sz w:val="20"/>
                <w:szCs w:val="20"/>
                <w:color w:val="auto"/>
              </w:rPr>
            </w:pPr>
            <w:r>
              <w:rPr>
                <w:rFonts w:ascii="Calibri" w:cs="Calibri" w:eastAsia="Calibri" w:hAnsi="Calibri"/>
                <w:sz w:val="17"/>
                <w:szCs w:val="17"/>
                <w:color w:val="auto"/>
              </w:rPr>
              <w:t>447,577</w:t>
            </w:r>
          </w:p>
        </w:tc>
      </w:tr>
      <w:tr>
        <w:trPr>
          <w:trHeight w:val="133"/>
        </w:trPr>
        <w:tc>
          <w:tcPr>
            <w:tcW w:w="6700" w:type="dxa"/>
            <w:vAlign w:val="bottom"/>
            <w:tcBorders>
              <w:bottom w:val="single" w:sz="8" w:color="FB4E0B"/>
              <w:right w:val="single" w:sz="8" w:color="auto"/>
            </w:tcBorders>
          </w:tcPr>
          <w:p>
            <w:pPr>
              <w:spacing w:after="0"/>
              <w:rPr>
                <w:sz w:val="11"/>
                <w:szCs w:val="11"/>
                <w:color w:val="auto"/>
              </w:rPr>
            </w:pPr>
          </w:p>
        </w:tc>
        <w:tc>
          <w:tcPr>
            <w:tcW w:w="1620" w:type="dxa"/>
            <w:vAlign w:val="bottom"/>
            <w:tcBorders>
              <w:bottom w:val="single" w:sz="8" w:color="FB4E0B"/>
              <w:right w:val="single" w:sz="8" w:color="auto"/>
            </w:tcBorders>
          </w:tcPr>
          <w:p>
            <w:pPr>
              <w:spacing w:after="0"/>
              <w:rPr>
                <w:sz w:val="11"/>
                <w:szCs w:val="11"/>
                <w:color w:val="auto"/>
              </w:rPr>
            </w:pPr>
          </w:p>
        </w:tc>
        <w:tc>
          <w:tcPr>
            <w:tcW w:w="2300" w:type="dxa"/>
            <w:vAlign w:val="bottom"/>
            <w:tcBorders>
              <w:bottom w:val="single" w:sz="8" w:color="FB4E0B"/>
            </w:tcBorders>
          </w:tcPr>
          <w:p>
            <w:pPr>
              <w:spacing w:after="0"/>
              <w:rPr>
                <w:sz w:val="11"/>
                <w:szCs w:val="11"/>
                <w:color w:val="auto"/>
              </w:rPr>
            </w:pPr>
          </w:p>
        </w:tc>
      </w:tr>
    </w:tbl>
    <w:p>
      <w:pPr>
        <w:spacing w:after="0" w:line="29" w:lineRule="exact"/>
        <w:rPr>
          <w:sz w:val="20"/>
          <w:szCs w:val="20"/>
          <w:color w:val="auto"/>
        </w:rPr>
      </w:pPr>
    </w:p>
    <w:p>
      <w:pPr>
        <w:ind w:left="1040" w:hanging="411"/>
        <w:spacing w:after="0"/>
        <w:tabs>
          <w:tab w:leader="none" w:pos="1040" w:val="left"/>
        </w:tabs>
        <w:numPr>
          <w:ilvl w:val="0"/>
          <w:numId w:val="31"/>
        </w:numPr>
        <w:rPr>
          <w:rFonts w:ascii="Calibri" w:cs="Calibri" w:eastAsia="Calibri" w:hAnsi="Calibri"/>
          <w:sz w:val="13"/>
          <w:szCs w:val="13"/>
          <w:color w:val="auto"/>
        </w:rPr>
      </w:pPr>
      <w:r>
        <w:rPr>
          <w:rFonts w:ascii="Calibri" w:cs="Calibri" w:eastAsia="Calibri" w:hAnsi="Calibri"/>
          <w:sz w:val="13"/>
          <w:szCs w:val="13"/>
          <w:color w:val="auto"/>
        </w:rPr>
        <w:t>The exchange rate used for the conversion from Indian rupees to U.S. dollars for Mr. Bhalla was 83.21 INR to 1 USD, which was the exchange rate on December 29, 2023.</w:t>
      </w:r>
    </w:p>
    <w:p>
      <w:pPr>
        <w:spacing w:after="0" w:line="30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Long-term equity incentves</w:t>
      </w:r>
    </w:p>
    <w:p>
      <w:pPr>
        <w:spacing w:after="0" w:line="115"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The Compensaton and Talent Management Commitee believes long-term equity awards provide employees with the incentve to stay with us for longer periods of tme, which in turn provides greater stability as we grow. These incentves foster the long-term perspectve necessary for contnued success in our business because the value of the awards is directly linked to long-term performance of our stock price, thereby ensuring that our executve ofcers are properly focused on stockholder value.</w:t>
      </w:r>
    </w:p>
    <w:p>
      <w:pPr>
        <w:spacing w:after="0" w:line="211" w:lineRule="exact"/>
        <w:rPr>
          <w:sz w:val="20"/>
          <w:szCs w:val="20"/>
          <w:color w:val="auto"/>
        </w:rPr>
      </w:pPr>
    </w:p>
    <w:p>
      <w:pPr>
        <w:ind w:left="320" w:right="220"/>
        <w:spacing w:after="0"/>
        <w:rPr>
          <w:sz w:val="20"/>
          <w:szCs w:val="20"/>
          <w:color w:val="auto"/>
        </w:rPr>
      </w:pPr>
      <w:r>
        <w:rPr>
          <w:rFonts w:ascii="Calibri" w:cs="Calibri" w:eastAsia="Calibri" w:hAnsi="Calibri"/>
          <w:sz w:val="17"/>
          <w:szCs w:val="17"/>
          <w:color w:val="auto"/>
        </w:rPr>
        <w:t>The Compensaton and Talent Management Commitee elects to grant tme-vested and performance-vested restricted stock unit awards because these awards ofer executves the opportunity to receive shares of our common stock on or shortly following the date that the restrictons lapse. Such awards serve both to reward and retain executves because value is linked to the price of our stock, the executve must generally remain employed by the Company through the date that the restrictons lapse, and the performance-vested awards require achievement of certain performance goals. For these reasons, restricted stock unit awards provide a signifcant degree of alignment between the interests of our executves and stockholders.</w:t>
      </w:r>
    </w:p>
    <w:p>
      <w:pPr>
        <w:spacing w:after="0" w:line="211" w:lineRule="exact"/>
        <w:rPr>
          <w:sz w:val="20"/>
          <w:szCs w:val="20"/>
          <w:color w:val="auto"/>
        </w:rPr>
      </w:pPr>
    </w:p>
    <w:p>
      <w:pPr>
        <w:jc w:val="both"/>
        <w:ind w:left="320" w:right="180"/>
        <w:spacing w:after="0" w:line="239" w:lineRule="auto"/>
        <w:rPr>
          <w:sz w:val="20"/>
          <w:szCs w:val="20"/>
          <w:color w:val="auto"/>
        </w:rPr>
      </w:pPr>
      <w:r>
        <w:rPr>
          <w:rFonts w:ascii="Calibri" w:cs="Calibri" w:eastAsia="Calibri" w:hAnsi="Calibri"/>
          <w:sz w:val="17"/>
          <w:szCs w:val="17"/>
          <w:color w:val="auto"/>
        </w:rPr>
        <w:t>The Compensaton and Talent Management Commitee also believes that the mix between Time-Vested RSUs and Performance-Vested RSUs provides an appropriate balance between incentvizing our executves to contnue their employment with the Company and ensuring they are focused on generatng long-term fnancial performance and sustained stockholder value, which, in turn, results in additonal compensaton.</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76 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Compensaton</w:t>
      </w:r>
    </w:p>
    <w:p>
      <w:pPr>
        <w:spacing w:after="0" w:line="218"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2023 Annual Restricted Stock Unit Awards</w:t>
      </w:r>
    </w:p>
    <w:p>
      <w:pPr>
        <w:spacing w:after="0" w:line="106"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Under our equity compensaton program, our named executve ofcers received restricted stock units under the 2018 Omnibus Incentve Plan approved by the Company’s stockholders at the annual meetng of stockholders held in June 2018 (the “2018 Plan”). 40% of the restricted stock units vest based on contnued employment over four years, and 60% percent of the restricted stock units may be earned based on our relatve TSR performance and our revenue performance during a three-year performance period, as shown below.</w:t>
      </w:r>
    </w:p>
    <w:p>
      <w:pPr>
        <w:spacing w:after="0" w:line="211" w:lineRule="exact"/>
        <w:rPr>
          <w:sz w:val="20"/>
          <w:szCs w:val="20"/>
          <w:color w:val="auto"/>
        </w:rPr>
      </w:pPr>
    </w:p>
    <w:tbl>
      <w:tblPr>
        <w:tblLayout w:type="fixed"/>
        <w:tblInd w:w="1340" w:type="dxa"/>
        <w:tblCellMar>
          <w:top w:w="0" w:type="dxa"/>
          <w:left w:w="0" w:type="dxa"/>
          <w:bottom w:w="0" w:type="dxa"/>
          <w:right w:w="0" w:type="dxa"/>
        </w:tblCellMar>
      </w:tblPr>
      <w:tr>
        <w:trPr>
          <w:trHeight w:val="549"/>
        </w:trPr>
        <w:tc>
          <w:tcPr>
            <w:tcW w:w="1260" w:type="dxa"/>
            <w:vAlign w:val="bottom"/>
          </w:tcPr>
          <w:p>
            <w:pPr>
              <w:jc w:val="center"/>
              <w:ind w:right="333"/>
              <w:spacing w:after="0"/>
              <w:rPr>
                <w:sz w:val="20"/>
                <w:szCs w:val="20"/>
                <w:color w:val="auto"/>
              </w:rPr>
            </w:pPr>
            <w:r>
              <w:rPr>
                <w:rFonts w:ascii="Calibri" w:cs="Calibri" w:eastAsia="Calibri" w:hAnsi="Calibri"/>
                <w:sz w:val="45"/>
                <w:szCs w:val="45"/>
                <w:b w:val="1"/>
                <w:bCs w:val="1"/>
                <w:color w:val="FB4E0B"/>
              </w:rPr>
              <w:t>40%</w:t>
            </w:r>
          </w:p>
        </w:tc>
        <w:tc>
          <w:tcPr>
            <w:tcW w:w="1020" w:type="dxa"/>
            <w:vAlign w:val="bottom"/>
          </w:tcPr>
          <w:p>
            <w:pPr>
              <w:jc w:val="right"/>
              <w:ind w:right="95"/>
              <w:spacing w:after="0"/>
              <w:rPr>
                <w:sz w:val="20"/>
                <w:szCs w:val="20"/>
                <w:color w:val="auto"/>
              </w:rPr>
            </w:pPr>
            <w:r>
              <w:rPr>
                <w:rFonts w:ascii="Calibri" w:cs="Calibri" w:eastAsia="Calibri" w:hAnsi="Calibri"/>
                <w:sz w:val="45"/>
                <w:szCs w:val="45"/>
                <w:b w:val="1"/>
                <w:bCs w:val="1"/>
                <w:color w:val="FB4E0B"/>
              </w:rPr>
              <w:t>+</w:t>
            </w:r>
          </w:p>
        </w:tc>
        <w:tc>
          <w:tcPr>
            <w:tcW w:w="1840" w:type="dxa"/>
            <w:vAlign w:val="bottom"/>
          </w:tcPr>
          <w:p>
            <w:pPr>
              <w:jc w:val="center"/>
              <w:spacing w:after="0"/>
              <w:rPr>
                <w:sz w:val="20"/>
                <w:szCs w:val="20"/>
                <w:color w:val="auto"/>
              </w:rPr>
            </w:pPr>
            <w:r>
              <w:rPr>
                <w:rFonts w:ascii="Calibri" w:cs="Calibri" w:eastAsia="Calibri" w:hAnsi="Calibri"/>
                <w:sz w:val="45"/>
                <w:szCs w:val="45"/>
                <w:b w:val="1"/>
                <w:bCs w:val="1"/>
                <w:color w:val="FB4E0B"/>
                <w:w w:val="99"/>
              </w:rPr>
              <w:t>36%</w:t>
            </w:r>
          </w:p>
        </w:tc>
        <w:tc>
          <w:tcPr>
            <w:tcW w:w="880" w:type="dxa"/>
            <w:vAlign w:val="bottom"/>
          </w:tcPr>
          <w:p>
            <w:pPr>
              <w:jc w:val="right"/>
              <w:ind w:right="155"/>
              <w:spacing w:after="0"/>
              <w:rPr>
                <w:sz w:val="20"/>
                <w:szCs w:val="20"/>
                <w:color w:val="auto"/>
              </w:rPr>
            </w:pPr>
            <w:r>
              <w:rPr>
                <w:rFonts w:ascii="Calibri" w:cs="Calibri" w:eastAsia="Calibri" w:hAnsi="Calibri"/>
                <w:sz w:val="45"/>
                <w:szCs w:val="45"/>
                <w:b w:val="1"/>
                <w:bCs w:val="1"/>
                <w:color w:val="FB4E0B"/>
              </w:rPr>
              <w:t>+</w:t>
            </w:r>
          </w:p>
        </w:tc>
        <w:tc>
          <w:tcPr>
            <w:tcW w:w="1700" w:type="dxa"/>
            <w:vAlign w:val="bottom"/>
          </w:tcPr>
          <w:p>
            <w:pPr>
              <w:jc w:val="center"/>
              <w:spacing w:after="0"/>
              <w:rPr>
                <w:sz w:val="20"/>
                <w:szCs w:val="20"/>
                <w:color w:val="auto"/>
              </w:rPr>
            </w:pPr>
            <w:r>
              <w:rPr>
                <w:rFonts w:ascii="Calibri" w:cs="Calibri" w:eastAsia="Calibri" w:hAnsi="Calibri"/>
                <w:sz w:val="45"/>
                <w:szCs w:val="45"/>
                <w:b w:val="1"/>
                <w:bCs w:val="1"/>
                <w:color w:val="FB4E0B"/>
              </w:rPr>
              <w:t>24%</w:t>
            </w:r>
          </w:p>
        </w:tc>
        <w:tc>
          <w:tcPr>
            <w:tcW w:w="880" w:type="dxa"/>
            <w:vAlign w:val="bottom"/>
          </w:tcPr>
          <w:p>
            <w:pPr>
              <w:jc w:val="right"/>
              <w:ind w:right="95"/>
              <w:spacing w:after="0"/>
              <w:rPr>
                <w:sz w:val="20"/>
                <w:szCs w:val="20"/>
                <w:color w:val="auto"/>
              </w:rPr>
            </w:pPr>
            <w:r>
              <w:rPr>
                <w:rFonts w:ascii="Calibri" w:cs="Calibri" w:eastAsia="Calibri" w:hAnsi="Calibri"/>
                <w:sz w:val="45"/>
                <w:szCs w:val="45"/>
                <w:b w:val="1"/>
                <w:bCs w:val="1"/>
                <w:color w:val="FB4E0B"/>
              </w:rPr>
              <w:t>=</w:t>
            </w:r>
          </w:p>
        </w:tc>
        <w:tc>
          <w:tcPr>
            <w:tcW w:w="1380" w:type="dxa"/>
            <w:vAlign w:val="bottom"/>
          </w:tcPr>
          <w:p>
            <w:pPr>
              <w:jc w:val="center"/>
              <w:ind w:left="213"/>
              <w:spacing w:after="0"/>
              <w:rPr>
                <w:sz w:val="20"/>
                <w:szCs w:val="20"/>
                <w:color w:val="auto"/>
              </w:rPr>
            </w:pPr>
            <w:r>
              <w:rPr>
                <w:rFonts w:ascii="Calibri" w:cs="Calibri" w:eastAsia="Calibri" w:hAnsi="Calibri"/>
                <w:sz w:val="45"/>
                <w:szCs w:val="45"/>
                <w:b w:val="1"/>
                <w:bCs w:val="1"/>
                <w:color w:val="FB4E0B"/>
                <w:w w:val="96"/>
              </w:rPr>
              <w:t>Total</w:t>
            </w:r>
          </w:p>
        </w:tc>
      </w:tr>
      <w:tr>
        <w:trPr>
          <w:trHeight w:val="277"/>
        </w:trPr>
        <w:tc>
          <w:tcPr>
            <w:tcW w:w="1260" w:type="dxa"/>
            <w:vAlign w:val="bottom"/>
          </w:tcPr>
          <w:p>
            <w:pPr>
              <w:jc w:val="center"/>
              <w:ind w:right="333"/>
              <w:spacing w:after="0"/>
              <w:rPr>
                <w:sz w:val="20"/>
                <w:szCs w:val="20"/>
                <w:color w:val="auto"/>
              </w:rPr>
            </w:pPr>
            <w:r>
              <w:rPr>
                <w:rFonts w:ascii="Calibri" w:cs="Calibri" w:eastAsia="Calibri" w:hAnsi="Calibri"/>
                <w:sz w:val="16"/>
                <w:szCs w:val="16"/>
                <w:b w:val="1"/>
                <w:bCs w:val="1"/>
                <w:color w:val="auto"/>
                <w:w w:val="97"/>
              </w:rPr>
              <w:t>Time-vested</w:t>
            </w:r>
          </w:p>
        </w:tc>
        <w:tc>
          <w:tcPr>
            <w:tcW w:w="102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Calibri" w:cs="Calibri" w:eastAsia="Calibri" w:hAnsi="Calibri"/>
                <w:sz w:val="16"/>
                <w:szCs w:val="16"/>
                <w:b w:val="1"/>
                <w:bCs w:val="1"/>
                <w:color w:val="auto"/>
              </w:rPr>
              <w:t>Relatve TSR-linked</w:t>
            </w:r>
          </w:p>
        </w:tc>
        <w:tc>
          <w:tcPr>
            <w:tcW w:w="8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Calibri" w:cs="Calibri" w:eastAsia="Calibri" w:hAnsi="Calibri"/>
                <w:sz w:val="16"/>
                <w:szCs w:val="16"/>
                <w:b w:val="1"/>
                <w:bCs w:val="1"/>
                <w:color w:val="auto"/>
                <w:w w:val="96"/>
              </w:rPr>
              <w:t>Revenue-linked</w:t>
            </w:r>
          </w:p>
        </w:tc>
        <w:tc>
          <w:tcPr>
            <w:tcW w:w="880" w:type="dxa"/>
            <w:vAlign w:val="bottom"/>
          </w:tcPr>
          <w:p>
            <w:pPr>
              <w:spacing w:after="0"/>
              <w:rPr>
                <w:sz w:val="24"/>
                <w:szCs w:val="24"/>
                <w:color w:val="auto"/>
              </w:rPr>
            </w:pPr>
          </w:p>
        </w:tc>
        <w:tc>
          <w:tcPr>
            <w:tcW w:w="1380" w:type="dxa"/>
            <w:vAlign w:val="bottom"/>
          </w:tcPr>
          <w:p>
            <w:pPr>
              <w:jc w:val="center"/>
              <w:ind w:left="213"/>
              <w:spacing w:after="0"/>
              <w:rPr>
                <w:sz w:val="20"/>
                <w:szCs w:val="20"/>
                <w:color w:val="auto"/>
              </w:rPr>
            </w:pPr>
            <w:r>
              <w:rPr>
                <w:rFonts w:ascii="Calibri" w:cs="Calibri" w:eastAsia="Calibri" w:hAnsi="Calibri"/>
                <w:sz w:val="16"/>
                <w:szCs w:val="16"/>
                <w:b w:val="1"/>
                <w:bCs w:val="1"/>
                <w:color w:val="auto"/>
                <w:w w:val="96"/>
              </w:rPr>
              <w:t>Restricted Stock</w:t>
            </w:r>
          </w:p>
        </w:tc>
      </w:tr>
      <w:tr>
        <w:trPr>
          <w:trHeight w:val="195"/>
        </w:trPr>
        <w:tc>
          <w:tcPr>
            <w:tcW w:w="1260" w:type="dxa"/>
            <w:vAlign w:val="bottom"/>
          </w:tcPr>
          <w:p>
            <w:pPr>
              <w:jc w:val="center"/>
              <w:ind w:right="333"/>
              <w:spacing w:after="0"/>
              <w:rPr>
                <w:sz w:val="20"/>
                <w:szCs w:val="20"/>
                <w:color w:val="auto"/>
              </w:rPr>
            </w:pPr>
            <w:r>
              <w:rPr>
                <w:rFonts w:ascii="Calibri" w:cs="Calibri" w:eastAsia="Calibri" w:hAnsi="Calibri"/>
                <w:sz w:val="16"/>
                <w:szCs w:val="16"/>
                <w:b w:val="1"/>
                <w:bCs w:val="1"/>
                <w:color w:val="auto"/>
                <w:w w:val="95"/>
              </w:rPr>
              <w:t>RSUs</w:t>
            </w:r>
          </w:p>
        </w:tc>
        <w:tc>
          <w:tcPr>
            <w:tcW w:w="102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Calibri" w:cs="Calibri" w:eastAsia="Calibri" w:hAnsi="Calibri"/>
                <w:sz w:val="16"/>
                <w:szCs w:val="16"/>
                <w:b w:val="1"/>
                <w:bCs w:val="1"/>
                <w:color w:val="auto"/>
                <w:w w:val="95"/>
              </w:rPr>
              <w:t>PRSUs</w:t>
            </w:r>
          </w:p>
        </w:tc>
        <w:tc>
          <w:tcPr>
            <w:tcW w:w="8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Calibri" w:cs="Calibri" w:eastAsia="Calibri" w:hAnsi="Calibri"/>
                <w:sz w:val="16"/>
                <w:szCs w:val="16"/>
                <w:b w:val="1"/>
                <w:bCs w:val="1"/>
                <w:color w:val="auto"/>
                <w:w w:val="95"/>
              </w:rPr>
              <w:t>PRSUs</w:t>
            </w:r>
          </w:p>
        </w:tc>
        <w:tc>
          <w:tcPr>
            <w:tcW w:w="880" w:type="dxa"/>
            <w:vAlign w:val="bottom"/>
          </w:tcPr>
          <w:p>
            <w:pPr>
              <w:spacing w:after="0"/>
              <w:rPr>
                <w:sz w:val="16"/>
                <w:szCs w:val="16"/>
                <w:color w:val="auto"/>
              </w:rPr>
            </w:pPr>
          </w:p>
        </w:tc>
        <w:tc>
          <w:tcPr>
            <w:tcW w:w="1380" w:type="dxa"/>
            <w:vAlign w:val="bottom"/>
          </w:tcPr>
          <w:p>
            <w:pPr>
              <w:jc w:val="center"/>
              <w:ind w:left="193"/>
              <w:spacing w:after="0"/>
              <w:rPr>
                <w:sz w:val="20"/>
                <w:szCs w:val="20"/>
                <w:color w:val="auto"/>
              </w:rPr>
            </w:pPr>
            <w:r>
              <w:rPr>
                <w:rFonts w:ascii="Calibri" w:cs="Calibri" w:eastAsia="Calibri" w:hAnsi="Calibri"/>
                <w:sz w:val="16"/>
                <w:szCs w:val="16"/>
                <w:b w:val="1"/>
                <w:bCs w:val="1"/>
                <w:color w:val="auto"/>
                <w:w w:val="97"/>
              </w:rPr>
              <w:t>Unit Award</w:t>
            </w:r>
          </w:p>
        </w:tc>
      </w:tr>
    </w:tbl>
    <w:p>
      <w:pPr>
        <w:spacing w:after="0" w:line="227"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Our Compensaton and Talent Management Commitee selected revenue and relatve TSR as the performance measures for the PRSUs because revenue is a key driver of stockholder value, thus aligning stockholder and executve interests and relatve TSR incorporates a comparatve component that requires our stock to outperform our industry classifcaton peers for awards to vest. In additon, both the revenue and relatve TSR performance measures encourage a focus on our strategic goals of long-term fnancial performance and market share growth.</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2023 Opton Awards</w:t>
      </w:r>
    </w:p>
    <w:p>
      <w:pPr>
        <w:spacing w:after="0" w:line="106"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In June 2023, the Compensaton and Talent Management Commitee granted stock optons to all NEOs other than the CEO. The goal of the grants was to provide wealth creaton opportunites that are aligned to stockholder value and to positon these NEOS’ total direct compensaton for 2023 at median or above in response to the very compettve talent market in which the Company is operatng. Accordingly, the Compensaton and Talent Management Commitee elected stock optons as the vehicle for these grants in order to incentvize recipients to increase the value of the Company’s stock price, and further align their interests with those of our stockholders, as the optons are only valuable to the recipients if our stock price appreciates over the exercise price. The grants vest in four equal installments on the frst four anniversaries of the grant date.</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8"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The table below shows the target dollar value of Time-Vested RSUs, Performance-Vested RSUs and optons our Compensaton and Talent Management Commitee awarded our named executve ofcers in 2023. In general, the Compensaton and Talent Management Commitee believes that the size of the award granted to an executve ofcer should increase based on the executve ofcer’s level of responsibility within the Company. The number of shares subject to each NEO’s Time-Vested RSU and Performance-Vested RSU (assuming a “target” level of performance) was determined by dividing the NEO’s target dollar value by the average stock closing price for the preceding month. The number of shares subject to each NEO’s opton grant was determined by dividing the applicable target opton value by the Black Scholes value of a share ($12.03 on a post-stock split basis).</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60" w:type="dxa"/>
            <w:vAlign w:val="bottom"/>
          </w:tcPr>
          <w:p>
            <w:pPr>
              <w:jc w:val="center"/>
              <w:ind w:left="533"/>
              <w:spacing w:after="0"/>
              <w:rPr>
                <w:sz w:val="20"/>
                <w:szCs w:val="20"/>
                <w:color w:val="auto"/>
              </w:rPr>
            </w:pPr>
            <w:r>
              <w:rPr>
                <w:rFonts w:ascii="Calibri" w:cs="Calibri" w:eastAsia="Calibri" w:hAnsi="Calibri"/>
                <w:sz w:val="17"/>
                <w:szCs w:val="17"/>
                <w:b w:val="1"/>
                <w:bCs w:val="1"/>
                <w:color w:val="FB4E0B"/>
                <w:w w:val="92"/>
              </w:rPr>
              <w:t>Target</w:t>
            </w:r>
          </w:p>
        </w:tc>
        <w:tc>
          <w:tcPr>
            <w:tcW w:w="2040" w:type="dxa"/>
            <w:vAlign w:val="bottom"/>
          </w:tcPr>
          <w:p>
            <w:pPr>
              <w:jc w:val="center"/>
              <w:ind w:left="533"/>
              <w:spacing w:after="0"/>
              <w:rPr>
                <w:sz w:val="20"/>
                <w:szCs w:val="20"/>
                <w:color w:val="auto"/>
              </w:rPr>
            </w:pPr>
            <w:r>
              <w:rPr>
                <w:rFonts w:ascii="Calibri" w:cs="Calibri" w:eastAsia="Calibri" w:hAnsi="Calibri"/>
                <w:sz w:val="17"/>
                <w:szCs w:val="17"/>
                <w:b w:val="1"/>
                <w:bCs w:val="1"/>
                <w:color w:val="FB4E0B"/>
                <w:w w:val="92"/>
              </w:rPr>
              <w:t>Target</w:t>
            </w:r>
          </w:p>
        </w:tc>
        <w:tc>
          <w:tcPr>
            <w:tcW w:w="1600" w:type="dxa"/>
            <w:vAlign w:val="bottom"/>
          </w:tcPr>
          <w:p>
            <w:pPr>
              <w:spacing w:after="0"/>
              <w:rPr>
                <w:sz w:val="18"/>
                <w:szCs w:val="18"/>
                <w:color w:val="auto"/>
              </w:rPr>
            </w:pPr>
          </w:p>
        </w:tc>
      </w:tr>
      <w:tr>
        <w:trPr>
          <w:trHeight w:val="208"/>
        </w:trPr>
        <w:tc>
          <w:tcPr>
            <w:tcW w:w="3080" w:type="dxa"/>
            <w:vAlign w:val="bottom"/>
          </w:tcPr>
          <w:p>
            <w:pPr>
              <w:spacing w:after="0"/>
              <w:rPr>
                <w:sz w:val="18"/>
                <w:szCs w:val="18"/>
                <w:color w:val="auto"/>
              </w:rPr>
            </w:pPr>
          </w:p>
        </w:tc>
        <w:tc>
          <w:tcPr>
            <w:tcW w:w="2140" w:type="dxa"/>
            <w:vAlign w:val="bottom"/>
          </w:tcPr>
          <w:p>
            <w:pPr>
              <w:jc w:val="center"/>
              <w:ind w:left="533"/>
              <w:spacing w:after="0"/>
              <w:rPr>
                <w:sz w:val="20"/>
                <w:szCs w:val="20"/>
                <w:color w:val="auto"/>
              </w:rPr>
            </w:pPr>
            <w:r>
              <w:rPr>
                <w:rFonts w:ascii="Calibri" w:cs="Calibri" w:eastAsia="Calibri" w:hAnsi="Calibri"/>
                <w:sz w:val="17"/>
                <w:szCs w:val="17"/>
                <w:b w:val="1"/>
                <w:bCs w:val="1"/>
                <w:color w:val="FB4E0B"/>
                <w:w w:val="96"/>
              </w:rPr>
              <w:t>Target</w:t>
            </w:r>
          </w:p>
        </w:tc>
        <w:tc>
          <w:tcPr>
            <w:tcW w:w="1760" w:type="dxa"/>
            <w:vAlign w:val="bottom"/>
          </w:tcPr>
          <w:p>
            <w:pPr>
              <w:jc w:val="center"/>
              <w:ind w:left="533"/>
              <w:spacing w:after="0"/>
              <w:rPr>
                <w:sz w:val="20"/>
                <w:szCs w:val="20"/>
                <w:color w:val="auto"/>
              </w:rPr>
            </w:pPr>
            <w:r>
              <w:rPr>
                <w:rFonts w:ascii="Calibri" w:cs="Calibri" w:eastAsia="Calibri" w:hAnsi="Calibri"/>
                <w:sz w:val="17"/>
                <w:szCs w:val="17"/>
                <w:b w:val="1"/>
                <w:bCs w:val="1"/>
                <w:color w:val="FB4E0B"/>
                <w:w w:val="97"/>
              </w:rPr>
              <w:t>Revenue-Linked</w:t>
            </w:r>
          </w:p>
        </w:tc>
        <w:tc>
          <w:tcPr>
            <w:tcW w:w="2040" w:type="dxa"/>
            <w:vAlign w:val="bottom"/>
          </w:tcPr>
          <w:p>
            <w:pPr>
              <w:jc w:val="center"/>
              <w:ind w:left="533"/>
              <w:spacing w:after="0"/>
              <w:rPr>
                <w:sz w:val="20"/>
                <w:szCs w:val="20"/>
                <w:color w:val="auto"/>
              </w:rPr>
            </w:pPr>
            <w:r>
              <w:rPr>
                <w:rFonts w:ascii="Calibri" w:cs="Calibri" w:eastAsia="Calibri" w:hAnsi="Calibri"/>
                <w:sz w:val="17"/>
                <w:szCs w:val="17"/>
                <w:b w:val="1"/>
                <w:bCs w:val="1"/>
                <w:color w:val="FB4E0B"/>
              </w:rPr>
              <w:t>Relatve TSR-Linked</w:t>
            </w:r>
          </w:p>
        </w:tc>
        <w:tc>
          <w:tcPr>
            <w:tcW w:w="1600" w:type="dxa"/>
            <w:vAlign w:val="bottom"/>
          </w:tcPr>
          <w:p>
            <w:pPr>
              <w:jc w:val="center"/>
              <w:ind w:left="553"/>
              <w:spacing w:after="0"/>
              <w:rPr>
                <w:sz w:val="20"/>
                <w:szCs w:val="20"/>
                <w:color w:val="auto"/>
              </w:rPr>
            </w:pPr>
            <w:r>
              <w:rPr>
                <w:rFonts w:ascii="Calibri" w:cs="Calibri" w:eastAsia="Calibri" w:hAnsi="Calibri"/>
                <w:sz w:val="17"/>
                <w:szCs w:val="17"/>
                <w:b w:val="1"/>
                <w:bCs w:val="1"/>
                <w:color w:val="FB4E0B"/>
              </w:rPr>
              <w:t>Target Opton</w:t>
            </w:r>
          </w:p>
        </w:tc>
      </w:tr>
      <w:tr>
        <w:trPr>
          <w:trHeight w:val="208"/>
        </w:trPr>
        <w:tc>
          <w:tcPr>
            <w:tcW w:w="3080" w:type="dxa"/>
            <w:vAlign w:val="bottom"/>
          </w:tcPr>
          <w:p>
            <w:pPr>
              <w:spacing w:after="0"/>
              <w:rPr>
                <w:sz w:val="20"/>
                <w:szCs w:val="20"/>
                <w:color w:val="auto"/>
              </w:rPr>
            </w:pPr>
            <w:r>
              <w:rPr>
                <w:rFonts w:ascii="Calibri" w:cs="Calibri" w:eastAsia="Calibri" w:hAnsi="Calibri"/>
                <w:sz w:val="17"/>
                <w:szCs w:val="17"/>
                <w:b w:val="1"/>
                <w:bCs w:val="1"/>
                <w:color w:val="FB4E0B"/>
              </w:rPr>
              <w:t>  Name</w:t>
            </w:r>
          </w:p>
        </w:tc>
        <w:tc>
          <w:tcPr>
            <w:tcW w:w="2140" w:type="dxa"/>
            <w:vAlign w:val="bottom"/>
          </w:tcPr>
          <w:p>
            <w:pPr>
              <w:jc w:val="center"/>
              <w:ind w:left="513"/>
              <w:spacing w:after="0"/>
              <w:rPr>
                <w:sz w:val="20"/>
                <w:szCs w:val="20"/>
                <w:color w:val="auto"/>
              </w:rPr>
            </w:pPr>
            <w:r>
              <w:rPr>
                <w:rFonts w:ascii="Calibri" w:cs="Calibri" w:eastAsia="Calibri" w:hAnsi="Calibri"/>
                <w:sz w:val="17"/>
                <w:szCs w:val="17"/>
                <w:b w:val="1"/>
                <w:bCs w:val="1"/>
                <w:color w:val="FB4E0B"/>
                <w:w w:val="98"/>
              </w:rPr>
              <w:t>Time-Vested RSUs ($)</w:t>
            </w:r>
          </w:p>
        </w:tc>
        <w:tc>
          <w:tcPr>
            <w:tcW w:w="1760" w:type="dxa"/>
            <w:vAlign w:val="bottom"/>
          </w:tcPr>
          <w:p>
            <w:pPr>
              <w:jc w:val="center"/>
              <w:ind w:left="533"/>
              <w:spacing w:after="0"/>
              <w:rPr>
                <w:sz w:val="20"/>
                <w:szCs w:val="20"/>
                <w:color w:val="auto"/>
              </w:rPr>
            </w:pPr>
            <w:r>
              <w:rPr>
                <w:rFonts w:ascii="Calibri" w:cs="Calibri" w:eastAsia="Calibri" w:hAnsi="Calibri"/>
                <w:sz w:val="17"/>
                <w:szCs w:val="17"/>
                <w:b w:val="1"/>
                <w:bCs w:val="1"/>
                <w:color w:val="FB4E0B"/>
                <w:w w:val="97"/>
              </w:rPr>
              <w:t>PRSUs ($)</w:t>
            </w:r>
          </w:p>
        </w:tc>
        <w:tc>
          <w:tcPr>
            <w:tcW w:w="2040" w:type="dxa"/>
            <w:vAlign w:val="bottom"/>
          </w:tcPr>
          <w:p>
            <w:pPr>
              <w:jc w:val="center"/>
              <w:ind w:left="533"/>
              <w:spacing w:after="0"/>
              <w:rPr>
                <w:sz w:val="20"/>
                <w:szCs w:val="20"/>
                <w:color w:val="auto"/>
              </w:rPr>
            </w:pPr>
            <w:r>
              <w:rPr>
                <w:rFonts w:ascii="Calibri" w:cs="Calibri" w:eastAsia="Calibri" w:hAnsi="Calibri"/>
                <w:sz w:val="17"/>
                <w:szCs w:val="17"/>
                <w:b w:val="1"/>
                <w:bCs w:val="1"/>
                <w:color w:val="FB4E0B"/>
                <w:w w:val="97"/>
              </w:rPr>
              <w:t>PRSUs ($)</w:t>
            </w:r>
          </w:p>
        </w:tc>
        <w:tc>
          <w:tcPr>
            <w:tcW w:w="1600" w:type="dxa"/>
            <w:vAlign w:val="bottom"/>
          </w:tcPr>
          <w:p>
            <w:pPr>
              <w:jc w:val="center"/>
              <w:ind w:left="533"/>
              <w:spacing w:after="0"/>
              <w:rPr>
                <w:sz w:val="20"/>
                <w:szCs w:val="20"/>
                <w:color w:val="auto"/>
              </w:rPr>
            </w:pPr>
            <w:r>
              <w:rPr>
                <w:rFonts w:ascii="Calibri" w:cs="Calibri" w:eastAsia="Calibri" w:hAnsi="Calibri"/>
                <w:sz w:val="17"/>
                <w:szCs w:val="17"/>
                <w:b w:val="1"/>
                <w:bCs w:val="1"/>
                <w:color w:val="FB4E0B"/>
                <w:w w:val="96"/>
              </w:rPr>
              <w:t>Awards ($)</w:t>
            </w:r>
          </w:p>
        </w:tc>
      </w:tr>
      <w:tr>
        <w:trPr>
          <w:trHeight w:val="55"/>
        </w:trPr>
        <w:tc>
          <w:tcPr>
            <w:tcW w:w="3080" w:type="dxa"/>
            <w:vAlign w:val="bottom"/>
            <w:tcBorders>
              <w:bottom w:val="single" w:sz="8" w:color="FB4E0B"/>
            </w:tcBorders>
          </w:tcPr>
          <w:p>
            <w:pPr>
              <w:spacing w:after="0"/>
              <w:rPr>
                <w:sz w:val="4"/>
                <w:szCs w:val="4"/>
                <w:color w:val="auto"/>
              </w:rPr>
            </w:pPr>
          </w:p>
        </w:tc>
        <w:tc>
          <w:tcPr>
            <w:tcW w:w="2140" w:type="dxa"/>
            <w:vAlign w:val="bottom"/>
            <w:tcBorders>
              <w:bottom w:val="single" w:sz="8" w:color="FB4E0B"/>
            </w:tcBorders>
          </w:tcPr>
          <w:p>
            <w:pPr>
              <w:spacing w:after="0"/>
              <w:rPr>
                <w:sz w:val="4"/>
                <w:szCs w:val="4"/>
                <w:color w:val="auto"/>
              </w:rPr>
            </w:pPr>
          </w:p>
        </w:tc>
        <w:tc>
          <w:tcPr>
            <w:tcW w:w="1760" w:type="dxa"/>
            <w:vAlign w:val="bottom"/>
            <w:tcBorders>
              <w:bottom w:val="single" w:sz="8" w:color="FB4E0B"/>
            </w:tcBorders>
          </w:tcPr>
          <w:p>
            <w:pPr>
              <w:spacing w:after="0"/>
              <w:rPr>
                <w:sz w:val="4"/>
                <w:szCs w:val="4"/>
                <w:color w:val="auto"/>
              </w:rPr>
            </w:pPr>
          </w:p>
        </w:tc>
        <w:tc>
          <w:tcPr>
            <w:tcW w:w="2040" w:type="dxa"/>
            <w:vAlign w:val="bottom"/>
            <w:tcBorders>
              <w:bottom w:val="single" w:sz="8" w:color="FB4E0B"/>
            </w:tcBorders>
          </w:tcPr>
          <w:p>
            <w:pPr>
              <w:spacing w:after="0"/>
              <w:rPr>
                <w:sz w:val="4"/>
                <w:szCs w:val="4"/>
                <w:color w:val="auto"/>
              </w:rPr>
            </w:pPr>
          </w:p>
        </w:tc>
        <w:tc>
          <w:tcPr>
            <w:tcW w:w="1600" w:type="dxa"/>
            <w:vAlign w:val="bottom"/>
            <w:tcBorders>
              <w:bottom w:val="single" w:sz="8" w:color="FB4E0B"/>
            </w:tcBorders>
          </w:tcPr>
          <w:p>
            <w:pPr>
              <w:spacing w:after="0"/>
              <w:rPr>
                <w:sz w:val="4"/>
                <w:szCs w:val="4"/>
                <w:color w:val="auto"/>
              </w:rPr>
            </w:pPr>
          </w:p>
        </w:tc>
      </w:tr>
      <w:tr>
        <w:trPr>
          <w:trHeight w:val="289"/>
        </w:trPr>
        <w:tc>
          <w:tcPr>
            <w:tcW w:w="308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Rohit Kapoor</w:t>
            </w:r>
          </w:p>
        </w:tc>
        <w:tc>
          <w:tcPr>
            <w:tcW w:w="2140" w:type="dxa"/>
            <w:vAlign w:val="bottom"/>
            <w:tcBorders>
              <w:right w:val="single" w:sz="8" w:color="auto"/>
            </w:tcBorders>
          </w:tcPr>
          <w:p>
            <w:pPr>
              <w:ind w:left="980"/>
              <w:spacing w:after="0"/>
              <w:rPr>
                <w:sz w:val="20"/>
                <w:szCs w:val="20"/>
                <w:color w:val="auto"/>
              </w:rPr>
            </w:pPr>
            <w:r>
              <w:rPr>
                <w:rFonts w:ascii="Calibri" w:cs="Calibri" w:eastAsia="Calibri" w:hAnsi="Calibri"/>
                <w:sz w:val="17"/>
                <w:szCs w:val="17"/>
                <w:color w:val="auto"/>
              </w:rPr>
              <w:t>3,560,000 </w:t>
            </w:r>
          </w:p>
        </w:tc>
        <w:tc>
          <w:tcPr>
            <w:tcW w:w="1760" w:type="dxa"/>
            <w:vAlign w:val="bottom"/>
            <w:tcBorders>
              <w:right w:val="single" w:sz="8" w:color="auto"/>
            </w:tcBorders>
          </w:tcPr>
          <w:p>
            <w:pPr>
              <w:ind w:left="800"/>
              <w:spacing w:after="0"/>
              <w:rPr>
                <w:sz w:val="20"/>
                <w:szCs w:val="20"/>
                <w:color w:val="auto"/>
              </w:rPr>
            </w:pPr>
            <w:r>
              <w:rPr>
                <w:rFonts w:ascii="Calibri" w:cs="Calibri" w:eastAsia="Calibri" w:hAnsi="Calibri"/>
                <w:sz w:val="17"/>
                <w:szCs w:val="17"/>
                <w:color w:val="auto"/>
              </w:rPr>
              <w:t>2,136,000 </w:t>
            </w:r>
          </w:p>
        </w:tc>
        <w:tc>
          <w:tcPr>
            <w:tcW w:w="2040" w:type="dxa"/>
            <w:vAlign w:val="bottom"/>
            <w:tcBorders>
              <w:right w:val="single" w:sz="8" w:color="auto"/>
            </w:tcBorders>
          </w:tcPr>
          <w:p>
            <w:pPr>
              <w:ind w:left="940"/>
              <w:spacing w:after="0"/>
              <w:rPr>
                <w:sz w:val="20"/>
                <w:szCs w:val="20"/>
                <w:color w:val="auto"/>
              </w:rPr>
            </w:pPr>
            <w:r>
              <w:rPr>
                <w:rFonts w:ascii="Calibri" w:cs="Calibri" w:eastAsia="Calibri" w:hAnsi="Calibri"/>
                <w:sz w:val="17"/>
                <w:szCs w:val="17"/>
                <w:color w:val="auto"/>
              </w:rPr>
              <w:t>3,204,000 </w:t>
            </w:r>
          </w:p>
        </w:tc>
        <w:tc>
          <w:tcPr>
            <w:tcW w:w="1600" w:type="dxa"/>
            <w:vAlign w:val="bottom"/>
          </w:tcPr>
          <w:p>
            <w:pPr>
              <w:ind w:left="1000"/>
              <w:spacing w:after="0"/>
              <w:rPr>
                <w:sz w:val="20"/>
                <w:szCs w:val="20"/>
                <w:color w:val="auto"/>
              </w:rPr>
            </w:pPr>
            <w:r>
              <w:rPr>
                <w:rFonts w:ascii="Calibri" w:cs="Calibri" w:eastAsia="Calibri" w:hAnsi="Calibri"/>
                <w:sz w:val="17"/>
                <w:szCs w:val="17"/>
                <w:color w:val="auto"/>
              </w:rPr>
              <w:t>— </w:t>
            </w:r>
          </w:p>
        </w:tc>
      </w:tr>
      <w:tr>
        <w:trPr>
          <w:trHeight w:val="127"/>
        </w:trPr>
        <w:tc>
          <w:tcPr>
            <w:tcW w:w="30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r>
      <w:tr>
        <w:trPr>
          <w:trHeight w:val="269"/>
        </w:trPr>
        <w:tc>
          <w:tcPr>
            <w:tcW w:w="308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Maurizio Nicolelli</w:t>
            </w:r>
          </w:p>
        </w:tc>
        <w:tc>
          <w:tcPr>
            <w:tcW w:w="2140" w:type="dxa"/>
            <w:vAlign w:val="bottom"/>
            <w:tcBorders>
              <w:right w:val="single" w:sz="8" w:color="auto"/>
            </w:tcBorders>
          </w:tcPr>
          <w:p>
            <w:pPr>
              <w:jc w:val="center"/>
              <w:ind w:left="533"/>
              <w:spacing w:after="0"/>
              <w:rPr>
                <w:sz w:val="20"/>
                <w:szCs w:val="20"/>
                <w:color w:val="auto"/>
              </w:rPr>
            </w:pPr>
            <w:r>
              <w:rPr>
                <w:rFonts w:ascii="Calibri" w:cs="Calibri" w:eastAsia="Calibri" w:hAnsi="Calibri"/>
                <w:sz w:val="17"/>
                <w:szCs w:val="17"/>
                <w:color w:val="auto"/>
                <w:w w:val="99"/>
              </w:rPr>
              <w:t>560,000</w:t>
            </w:r>
          </w:p>
        </w:tc>
        <w:tc>
          <w:tcPr>
            <w:tcW w:w="1760" w:type="dxa"/>
            <w:vAlign w:val="bottom"/>
            <w:tcBorders>
              <w:right w:val="single" w:sz="8" w:color="auto"/>
            </w:tcBorders>
          </w:tcPr>
          <w:p>
            <w:pPr>
              <w:jc w:val="center"/>
              <w:ind w:left="553"/>
              <w:spacing w:after="0"/>
              <w:rPr>
                <w:sz w:val="20"/>
                <w:szCs w:val="20"/>
                <w:color w:val="auto"/>
              </w:rPr>
            </w:pPr>
            <w:r>
              <w:rPr>
                <w:rFonts w:ascii="Calibri" w:cs="Calibri" w:eastAsia="Calibri" w:hAnsi="Calibri"/>
                <w:sz w:val="17"/>
                <w:szCs w:val="17"/>
                <w:color w:val="auto"/>
                <w:w w:val="99"/>
              </w:rPr>
              <w:t>336,000</w:t>
            </w:r>
          </w:p>
        </w:tc>
        <w:tc>
          <w:tcPr>
            <w:tcW w:w="2040" w:type="dxa"/>
            <w:vAlign w:val="bottom"/>
            <w:tcBorders>
              <w:right w:val="single" w:sz="8" w:color="auto"/>
            </w:tcBorders>
          </w:tcPr>
          <w:p>
            <w:pPr>
              <w:jc w:val="center"/>
              <w:ind w:left="533"/>
              <w:spacing w:after="0"/>
              <w:rPr>
                <w:sz w:val="20"/>
                <w:szCs w:val="20"/>
                <w:color w:val="auto"/>
              </w:rPr>
            </w:pPr>
            <w:r>
              <w:rPr>
                <w:rFonts w:ascii="Calibri" w:cs="Calibri" w:eastAsia="Calibri" w:hAnsi="Calibri"/>
                <w:sz w:val="17"/>
                <w:szCs w:val="17"/>
                <w:color w:val="auto"/>
                <w:w w:val="96"/>
              </w:rPr>
              <w:t>504,000</w:t>
            </w:r>
          </w:p>
        </w:tc>
        <w:tc>
          <w:tcPr>
            <w:tcW w:w="1600" w:type="dxa"/>
            <w:vAlign w:val="bottom"/>
          </w:tcPr>
          <w:p>
            <w:pPr>
              <w:jc w:val="center"/>
              <w:ind w:left="533"/>
              <w:spacing w:after="0"/>
              <w:rPr>
                <w:sz w:val="20"/>
                <w:szCs w:val="20"/>
                <w:color w:val="auto"/>
              </w:rPr>
            </w:pPr>
            <w:r>
              <w:rPr>
                <w:rFonts w:ascii="Calibri" w:cs="Calibri" w:eastAsia="Calibri" w:hAnsi="Calibri"/>
                <w:sz w:val="17"/>
                <w:szCs w:val="17"/>
                <w:color w:val="auto"/>
              </w:rPr>
              <w:t>1,500,000</w:t>
            </w:r>
          </w:p>
        </w:tc>
      </w:tr>
      <w:tr>
        <w:trPr>
          <w:trHeight w:val="127"/>
        </w:trPr>
        <w:tc>
          <w:tcPr>
            <w:tcW w:w="30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r>
      <w:tr>
        <w:trPr>
          <w:trHeight w:val="269"/>
        </w:trPr>
        <w:tc>
          <w:tcPr>
            <w:tcW w:w="308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Vikas Bhalla</w:t>
            </w:r>
          </w:p>
        </w:tc>
        <w:tc>
          <w:tcPr>
            <w:tcW w:w="2140" w:type="dxa"/>
            <w:vAlign w:val="bottom"/>
            <w:tcBorders>
              <w:right w:val="single" w:sz="8" w:color="auto"/>
            </w:tcBorders>
          </w:tcPr>
          <w:p>
            <w:pPr>
              <w:jc w:val="center"/>
              <w:ind w:left="533"/>
              <w:spacing w:after="0"/>
              <w:rPr>
                <w:sz w:val="20"/>
                <w:szCs w:val="20"/>
                <w:color w:val="auto"/>
              </w:rPr>
            </w:pPr>
            <w:r>
              <w:rPr>
                <w:rFonts w:ascii="Calibri" w:cs="Calibri" w:eastAsia="Calibri" w:hAnsi="Calibri"/>
                <w:sz w:val="17"/>
                <w:szCs w:val="17"/>
                <w:color w:val="auto"/>
                <w:w w:val="99"/>
              </w:rPr>
              <w:t>600,000</w:t>
            </w:r>
          </w:p>
        </w:tc>
        <w:tc>
          <w:tcPr>
            <w:tcW w:w="1760" w:type="dxa"/>
            <w:vAlign w:val="bottom"/>
            <w:tcBorders>
              <w:right w:val="single" w:sz="8" w:color="auto"/>
            </w:tcBorders>
          </w:tcPr>
          <w:p>
            <w:pPr>
              <w:jc w:val="center"/>
              <w:ind w:left="553"/>
              <w:spacing w:after="0"/>
              <w:rPr>
                <w:sz w:val="20"/>
                <w:szCs w:val="20"/>
                <w:color w:val="auto"/>
              </w:rPr>
            </w:pPr>
            <w:r>
              <w:rPr>
                <w:rFonts w:ascii="Calibri" w:cs="Calibri" w:eastAsia="Calibri" w:hAnsi="Calibri"/>
                <w:sz w:val="17"/>
                <w:szCs w:val="17"/>
                <w:color w:val="auto"/>
                <w:w w:val="99"/>
              </w:rPr>
              <w:t>360,000</w:t>
            </w:r>
          </w:p>
        </w:tc>
        <w:tc>
          <w:tcPr>
            <w:tcW w:w="2040" w:type="dxa"/>
            <w:vAlign w:val="bottom"/>
            <w:tcBorders>
              <w:right w:val="single" w:sz="8" w:color="auto"/>
            </w:tcBorders>
          </w:tcPr>
          <w:p>
            <w:pPr>
              <w:jc w:val="center"/>
              <w:ind w:left="533"/>
              <w:spacing w:after="0"/>
              <w:rPr>
                <w:sz w:val="20"/>
                <w:szCs w:val="20"/>
                <w:color w:val="auto"/>
              </w:rPr>
            </w:pPr>
            <w:r>
              <w:rPr>
                <w:rFonts w:ascii="Calibri" w:cs="Calibri" w:eastAsia="Calibri" w:hAnsi="Calibri"/>
                <w:sz w:val="17"/>
                <w:szCs w:val="17"/>
                <w:color w:val="auto"/>
                <w:w w:val="96"/>
              </w:rPr>
              <w:t>540,000</w:t>
            </w:r>
          </w:p>
        </w:tc>
        <w:tc>
          <w:tcPr>
            <w:tcW w:w="1600" w:type="dxa"/>
            <w:vAlign w:val="bottom"/>
          </w:tcPr>
          <w:p>
            <w:pPr>
              <w:jc w:val="center"/>
              <w:ind w:left="533"/>
              <w:spacing w:after="0"/>
              <w:rPr>
                <w:sz w:val="20"/>
                <w:szCs w:val="20"/>
                <w:color w:val="auto"/>
              </w:rPr>
            </w:pPr>
            <w:r>
              <w:rPr>
                <w:rFonts w:ascii="Calibri" w:cs="Calibri" w:eastAsia="Calibri" w:hAnsi="Calibri"/>
                <w:sz w:val="17"/>
                <w:szCs w:val="17"/>
                <w:color w:val="auto"/>
              </w:rPr>
              <w:t>3,000,000</w:t>
            </w:r>
          </w:p>
        </w:tc>
      </w:tr>
      <w:tr>
        <w:trPr>
          <w:trHeight w:val="127"/>
        </w:trPr>
        <w:tc>
          <w:tcPr>
            <w:tcW w:w="30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r>
      <w:tr>
        <w:trPr>
          <w:trHeight w:val="269"/>
        </w:trPr>
        <w:tc>
          <w:tcPr>
            <w:tcW w:w="308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Vivek Jetley</w:t>
            </w:r>
          </w:p>
        </w:tc>
        <w:tc>
          <w:tcPr>
            <w:tcW w:w="2140" w:type="dxa"/>
            <w:vAlign w:val="bottom"/>
            <w:tcBorders>
              <w:right w:val="single" w:sz="8" w:color="auto"/>
            </w:tcBorders>
          </w:tcPr>
          <w:p>
            <w:pPr>
              <w:jc w:val="center"/>
              <w:ind w:left="533"/>
              <w:spacing w:after="0"/>
              <w:rPr>
                <w:sz w:val="20"/>
                <w:szCs w:val="20"/>
                <w:color w:val="auto"/>
              </w:rPr>
            </w:pPr>
            <w:r>
              <w:rPr>
                <w:rFonts w:ascii="Calibri" w:cs="Calibri" w:eastAsia="Calibri" w:hAnsi="Calibri"/>
                <w:sz w:val="17"/>
                <w:szCs w:val="17"/>
                <w:color w:val="auto"/>
                <w:w w:val="99"/>
              </w:rPr>
              <w:t>600,000</w:t>
            </w:r>
          </w:p>
        </w:tc>
        <w:tc>
          <w:tcPr>
            <w:tcW w:w="1760" w:type="dxa"/>
            <w:vAlign w:val="bottom"/>
            <w:tcBorders>
              <w:right w:val="single" w:sz="8" w:color="auto"/>
            </w:tcBorders>
          </w:tcPr>
          <w:p>
            <w:pPr>
              <w:jc w:val="center"/>
              <w:ind w:left="553"/>
              <w:spacing w:after="0"/>
              <w:rPr>
                <w:sz w:val="20"/>
                <w:szCs w:val="20"/>
                <w:color w:val="auto"/>
              </w:rPr>
            </w:pPr>
            <w:r>
              <w:rPr>
                <w:rFonts w:ascii="Calibri" w:cs="Calibri" w:eastAsia="Calibri" w:hAnsi="Calibri"/>
                <w:sz w:val="17"/>
                <w:szCs w:val="17"/>
                <w:color w:val="auto"/>
                <w:w w:val="99"/>
              </w:rPr>
              <w:t>360,000</w:t>
            </w:r>
          </w:p>
        </w:tc>
        <w:tc>
          <w:tcPr>
            <w:tcW w:w="2040" w:type="dxa"/>
            <w:vAlign w:val="bottom"/>
            <w:tcBorders>
              <w:right w:val="single" w:sz="8" w:color="auto"/>
            </w:tcBorders>
          </w:tcPr>
          <w:p>
            <w:pPr>
              <w:jc w:val="center"/>
              <w:ind w:left="533"/>
              <w:spacing w:after="0"/>
              <w:rPr>
                <w:sz w:val="20"/>
                <w:szCs w:val="20"/>
                <w:color w:val="auto"/>
              </w:rPr>
            </w:pPr>
            <w:r>
              <w:rPr>
                <w:rFonts w:ascii="Calibri" w:cs="Calibri" w:eastAsia="Calibri" w:hAnsi="Calibri"/>
                <w:sz w:val="17"/>
                <w:szCs w:val="17"/>
                <w:color w:val="auto"/>
                <w:w w:val="96"/>
              </w:rPr>
              <w:t>540,000</w:t>
            </w:r>
          </w:p>
        </w:tc>
        <w:tc>
          <w:tcPr>
            <w:tcW w:w="1600" w:type="dxa"/>
            <w:vAlign w:val="bottom"/>
          </w:tcPr>
          <w:p>
            <w:pPr>
              <w:jc w:val="center"/>
              <w:ind w:left="533"/>
              <w:spacing w:after="0"/>
              <w:rPr>
                <w:sz w:val="20"/>
                <w:szCs w:val="20"/>
                <w:color w:val="auto"/>
              </w:rPr>
            </w:pPr>
            <w:r>
              <w:rPr>
                <w:rFonts w:ascii="Calibri" w:cs="Calibri" w:eastAsia="Calibri" w:hAnsi="Calibri"/>
                <w:sz w:val="17"/>
                <w:szCs w:val="17"/>
                <w:color w:val="auto"/>
              </w:rPr>
              <w:t>3,000,000</w:t>
            </w:r>
          </w:p>
        </w:tc>
      </w:tr>
      <w:tr>
        <w:trPr>
          <w:trHeight w:val="127"/>
        </w:trPr>
        <w:tc>
          <w:tcPr>
            <w:tcW w:w="30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r>
      <w:tr>
        <w:trPr>
          <w:trHeight w:val="269"/>
        </w:trPr>
        <w:tc>
          <w:tcPr>
            <w:tcW w:w="308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Anita Mahon</w:t>
            </w:r>
          </w:p>
        </w:tc>
        <w:tc>
          <w:tcPr>
            <w:tcW w:w="2140" w:type="dxa"/>
            <w:vAlign w:val="bottom"/>
            <w:tcBorders>
              <w:right w:val="single" w:sz="8" w:color="auto"/>
            </w:tcBorders>
          </w:tcPr>
          <w:p>
            <w:pPr>
              <w:jc w:val="center"/>
              <w:ind w:left="533"/>
              <w:spacing w:after="0"/>
              <w:rPr>
                <w:sz w:val="20"/>
                <w:szCs w:val="20"/>
                <w:color w:val="auto"/>
              </w:rPr>
            </w:pPr>
            <w:r>
              <w:rPr>
                <w:rFonts w:ascii="Calibri" w:cs="Calibri" w:eastAsia="Calibri" w:hAnsi="Calibri"/>
                <w:sz w:val="17"/>
                <w:szCs w:val="17"/>
                <w:color w:val="auto"/>
                <w:w w:val="99"/>
              </w:rPr>
              <w:t>440,000</w:t>
            </w:r>
          </w:p>
        </w:tc>
        <w:tc>
          <w:tcPr>
            <w:tcW w:w="1760" w:type="dxa"/>
            <w:vAlign w:val="bottom"/>
            <w:tcBorders>
              <w:right w:val="single" w:sz="8" w:color="auto"/>
            </w:tcBorders>
          </w:tcPr>
          <w:p>
            <w:pPr>
              <w:jc w:val="center"/>
              <w:ind w:left="553"/>
              <w:spacing w:after="0"/>
              <w:rPr>
                <w:sz w:val="20"/>
                <w:szCs w:val="20"/>
                <w:color w:val="auto"/>
              </w:rPr>
            </w:pPr>
            <w:r>
              <w:rPr>
                <w:rFonts w:ascii="Calibri" w:cs="Calibri" w:eastAsia="Calibri" w:hAnsi="Calibri"/>
                <w:sz w:val="17"/>
                <w:szCs w:val="17"/>
                <w:color w:val="auto"/>
                <w:w w:val="99"/>
              </w:rPr>
              <w:t>264,000</w:t>
            </w:r>
          </w:p>
        </w:tc>
        <w:tc>
          <w:tcPr>
            <w:tcW w:w="2040" w:type="dxa"/>
            <w:vAlign w:val="bottom"/>
            <w:tcBorders>
              <w:right w:val="single" w:sz="8" w:color="auto"/>
            </w:tcBorders>
          </w:tcPr>
          <w:p>
            <w:pPr>
              <w:jc w:val="center"/>
              <w:ind w:left="533"/>
              <w:spacing w:after="0"/>
              <w:rPr>
                <w:sz w:val="20"/>
                <w:szCs w:val="20"/>
                <w:color w:val="auto"/>
              </w:rPr>
            </w:pPr>
            <w:r>
              <w:rPr>
                <w:rFonts w:ascii="Calibri" w:cs="Calibri" w:eastAsia="Calibri" w:hAnsi="Calibri"/>
                <w:sz w:val="17"/>
                <w:szCs w:val="17"/>
                <w:color w:val="auto"/>
                <w:w w:val="96"/>
              </w:rPr>
              <w:t>396,000</w:t>
            </w:r>
          </w:p>
        </w:tc>
        <w:tc>
          <w:tcPr>
            <w:tcW w:w="1600" w:type="dxa"/>
            <w:vAlign w:val="bottom"/>
          </w:tcPr>
          <w:p>
            <w:pPr>
              <w:jc w:val="center"/>
              <w:ind w:left="533"/>
              <w:spacing w:after="0"/>
              <w:rPr>
                <w:sz w:val="20"/>
                <w:szCs w:val="20"/>
                <w:color w:val="auto"/>
              </w:rPr>
            </w:pPr>
            <w:r>
              <w:rPr>
                <w:rFonts w:ascii="Calibri" w:cs="Calibri" w:eastAsia="Calibri" w:hAnsi="Calibri"/>
                <w:sz w:val="17"/>
                <w:szCs w:val="17"/>
                <w:color w:val="auto"/>
              </w:rPr>
              <w:t>1,500,000</w:t>
            </w:r>
          </w:p>
        </w:tc>
      </w:tr>
      <w:tr>
        <w:trPr>
          <w:trHeight w:val="133"/>
        </w:trPr>
        <w:tc>
          <w:tcPr>
            <w:tcW w:w="3080" w:type="dxa"/>
            <w:vAlign w:val="bottom"/>
            <w:tcBorders>
              <w:bottom w:val="single" w:sz="8" w:color="FB4E0B"/>
              <w:right w:val="single" w:sz="8" w:color="auto"/>
            </w:tcBorders>
          </w:tcPr>
          <w:p>
            <w:pPr>
              <w:spacing w:after="0"/>
              <w:rPr>
                <w:sz w:val="11"/>
                <w:szCs w:val="11"/>
                <w:color w:val="auto"/>
              </w:rPr>
            </w:pPr>
          </w:p>
        </w:tc>
        <w:tc>
          <w:tcPr>
            <w:tcW w:w="2140" w:type="dxa"/>
            <w:vAlign w:val="bottom"/>
            <w:tcBorders>
              <w:bottom w:val="single" w:sz="8" w:color="FB4E0B"/>
              <w:right w:val="single" w:sz="8" w:color="auto"/>
            </w:tcBorders>
          </w:tcPr>
          <w:p>
            <w:pPr>
              <w:spacing w:after="0"/>
              <w:rPr>
                <w:sz w:val="11"/>
                <w:szCs w:val="11"/>
                <w:color w:val="auto"/>
              </w:rPr>
            </w:pPr>
          </w:p>
        </w:tc>
        <w:tc>
          <w:tcPr>
            <w:tcW w:w="1760" w:type="dxa"/>
            <w:vAlign w:val="bottom"/>
            <w:tcBorders>
              <w:bottom w:val="single" w:sz="8" w:color="FB4E0B"/>
              <w:right w:val="single" w:sz="8" w:color="auto"/>
            </w:tcBorders>
          </w:tcPr>
          <w:p>
            <w:pPr>
              <w:spacing w:after="0"/>
              <w:rPr>
                <w:sz w:val="11"/>
                <w:szCs w:val="11"/>
                <w:color w:val="auto"/>
              </w:rPr>
            </w:pPr>
          </w:p>
        </w:tc>
        <w:tc>
          <w:tcPr>
            <w:tcW w:w="2040" w:type="dxa"/>
            <w:vAlign w:val="bottom"/>
            <w:tcBorders>
              <w:bottom w:val="single" w:sz="8" w:color="FB4E0B"/>
              <w:right w:val="single" w:sz="8" w:color="auto"/>
            </w:tcBorders>
          </w:tcPr>
          <w:p>
            <w:pPr>
              <w:spacing w:after="0"/>
              <w:rPr>
                <w:sz w:val="11"/>
                <w:szCs w:val="11"/>
                <w:color w:val="auto"/>
              </w:rPr>
            </w:pPr>
          </w:p>
        </w:tc>
        <w:tc>
          <w:tcPr>
            <w:tcW w:w="1600" w:type="dxa"/>
            <w:vAlign w:val="bottom"/>
            <w:tcBorders>
              <w:bottom w:val="single" w:sz="8" w:color="FB4E0B"/>
            </w:tcBorders>
          </w:tcPr>
          <w:p>
            <w:pPr>
              <w:spacing w:after="0"/>
              <w:rPr>
                <w:sz w:val="11"/>
                <w:szCs w:val="11"/>
                <w:color w:val="auto"/>
              </w:rPr>
            </w:pPr>
          </w:p>
        </w:tc>
      </w:tr>
    </w:tbl>
    <w:p>
      <w:pPr>
        <w:spacing w:after="0" w:line="44" w:lineRule="exact"/>
        <w:rPr>
          <w:sz w:val="20"/>
          <w:szCs w:val="20"/>
          <w:color w:val="auto"/>
        </w:rPr>
      </w:pPr>
    </w:p>
    <w:p>
      <w:pPr>
        <w:ind w:left="1140" w:right="160" w:hanging="407"/>
        <w:spacing w:after="0" w:line="239" w:lineRule="auto"/>
        <w:tabs>
          <w:tab w:leader="none" w:pos="1140" w:val="left"/>
        </w:tabs>
        <w:numPr>
          <w:ilvl w:val="0"/>
          <w:numId w:val="32"/>
        </w:numPr>
        <w:rPr>
          <w:rFonts w:ascii="Calibri" w:cs="Calibri" w:eastAsia="Calibri" w:hAnsi="Calibri"/>
          <w:sz w:val="17"/>
          <w:szCs w:val="17"/>
          <w:color w:val="auto"/>
        </w:rPr>
      </w:pPr>
      <w:r>
        <w:rPr>
          <w:rFonts w:ascii="Calibri" w:cs="Calibri" w:eastAsia="Calibri" w:hAnsi="Calibri"/>
          <w:sz w:val="17"/>
          <w:szCs w:val="17"/>
          <w:color w:val="auto"/>
        </w:rPr>
        <w:t>The “Time-Vested RSUs” will vest in increments of 25% on each of the frst four anniversaries of the grant date, subject to contnuous service with the Company through the applicable vestng date.</w:t>
      </w:r>
    </w:p>
    <w:p>
      <w:pPr>
        <w:spacing w:after="0" w:line="120" w:lineRule="exact"/>
        <w:rPr>
          <w:rFonts w:ascii="Calibri" w:cs="Calibri" w:eastAsia="Calibri" w:hAnsi="Calibri"/>
          <w:sz w:val="17"/>
          <w:szCs w:val="17"/>
          <w:color w:val="auto"/>
        </w:rPr>
      </w:pPr>
    </w:p>
    <w:p>
      <w:pPr>
        <w:ind w:left="1580" w:right="540" w:hanging="416"/>
        <w:spacing w:after="0" w:line="239" w:lineRule="auto"/>
        <w:rPr>
          <w:rFonts w:ascii="Calibri" w:cs="Calibri" w:eastAsia="Calibri" w:hAnsi="Calibri"/>
          <w:sz w:val="17"/>
          <w:szCs w:val="17"/>
          <w:color w:val="auto"/>
        </w:rPr>
      </w:pPr>
      <w:r>
        <w:rPr>
          <w:rFonts w:ascii="Calibri" w:cs="Calibri" w:eastAsia="Calibri" w:hAnsi="Calibri"/>
          <w:sz w:val="17"/>
          <w:szCs w:val="17"/>
          <w:color w:val="auto"/>
        </w:rPr>
        <w:t>–The Compensaton and Talent Management Commitee believes these Time-Vested RSUs provide an important role in promotng retenton of our executve ofcers.</w:t>
      </w:r>
    </w:p>
    <w:p>
      <w:pPr>
        <w:spacing w:after="0" w:line="120" w:lineRule="exact"/>
        <w:rPr>
          <w:rFonts w:ascii="Calibri" w:cs="Calibri" w:eastAsia="Calibri" w:hAnsi="Calibri"/>
          <w:sz w:val="17"/>
          <w:szCs w:val="17"/>
          <w:color w:val="auto"/>
        </w:rPr>
      </w:pPr>
    </w:p>
    <w:p>
      <w:pPr>
        <w:ind w:left="1140" w:right="660" w:hanging="407"/>
        <w:spacing w:after="0" w:line="239" w:lineRule="auto"/>
        <w:tabs>
          <w:tab w:leader="none" w:pos="1140" w:val="left"/>
        </w:tabs>
        <w:numPr>
          <w:ilvl w:val="0"/>
          <w:numId w:val="32"/>
        </w:numPr>
        <w:rPr>
          <w:rFonts w:ascii="Calibri" w:cs="Calibri" w:eastAsia="Calibri" w:hAnsi="Calibri"/>
          <w:sz w:val="17"/>
          <w:szCs w:val="17"/>
          <w:color w:val="auto"/>
        </w:rPr>
      </w:pPr>
      <w:r>
        <w:rPr>
          <w:rFonts w:ascii="Calibri" w:cs="Calibri" w:eastAsia="Calibri" w:hAnsi="Calibri"/>
          <w:sz w:val="17"/>
          <w:szCs w:val="17"/>
          <w:color w:val="auto"/>
        </w:rPr>
        <w:t>The “Performance-Vested” porton of the 2023 RSUs (“PRSUs”) are split into two types that each vest based on separate performance measures as follows:</w:t>
      </w:r>
    </w:p>
    <w:p>
      <w:pPr>
        <w:spacing w:after="0" w:line="120" w:lineRule="exact"/>
        <w:rPr>
          <w:rFonts w:ascii="Calibri" w:cs="Calibri" w:eastAsia="Calibri" w:hAnsi="Calibri"/>
          <w:sz w:val="17"/>
          <w:szCs w:val="17"/>
          <w:color w:val="auto"/>
        </w:rPr>
      </w:pPr>
    </w:p>
    <w:p>
      <w:pPr>
        <w:ind w:left="1580" w:right="180" w:hanging="416"/>
        <w:spacing w:after="0" w:line="255" w:lineRule="auto"/>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b w:val="1"/>
          <w:bCs w:val="1"/>
          <w:color w:val="auto"/>
        </w:rPr>
        <w:t xml:space="preserve">Revenue-Linked PRSUs: </w:t>
      </w:r>
      <w:r>
        <w:rPr>
          <w:rFonts w:ascii="Calibri" w:cs="Calibri" w:eastAsia="Calibri" w:hAnsi="Calibri"/>
          <w:sz w:val="16"/>
          <w:szCs w:val="16"/>
          <w:color w:val="auto"/>
        </w:rPr>
        <w:t>40% of these performance-based restricted stock unit awards will clif-vest on December 31 of the third fscal</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year in the performance period, subject to achievement of threshold Company revenues against an aggregate revenue target over the grant’s three-year performance period of January 1, 2023, to December 31, 2025, and contnuous employment through December 31, 2025. The ultmate amount of Revenue-Linked PRSUs that a recipient earns may be up to 200% of the target award of Revenue-Linked PRSUs. To the extent the Company’s revenue falls in between the outlined target achievements, the percentage of Revenue-Based PRSUs earned will be determined based on straight line interpolaton. The chart below sets forth the revenue target achievement</w:t>
      </w:r>
    </w:p>
    <w:p>
      <w:pPr>
        <w:spacing w:after="0" w:line="2"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6240" w:type="dxa"/>
            <w:vAlign w:val="bottom"/>
            <w:gridSpan w:val="2"/>
          </w:tcPr>
          <w:p>
            <w:pPr>
              <w:ind w:left="1180"/>
              <w:spacing w:after="0"/>
              <w:rPr>
                <w:sz w:val="20"/>
                <w:szCs w:val="20"/>
                <w:color w:val="auto"/>
              </w:rPr>
            </w:pPr>
            <w:r>
              <w:rPr>
                <w:rFonts w:ascii="Calibri" w:cs="Calibri" w:eastAsia="Calibri" w:hAnsi="Calibri"/>
                <w:sz w:val="17"/>
                <w:szCs w:val="17"/>
                <w:color w:val="auto"/>
              </w:rPr>
              <w:t>thresholds and corresponding funding percentage:</w:t>
            </w:r>
          </w:p>
        </w:tc>
        <w:tc>
          <w:tcPr>
            <w:tcW w:w="4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Revenue target achievement</w:t>
            </w:r>
          </w:p>
        </w:tc>
        <w:tc>
          <w:tcPr>
            <w:tcW w:w="4300" w:type="dxa"/>
            <w:vAlign w:val="bottom"/>
          </w:tcPr>
          <w:p>
            <w:pPr>
              <w:ind w:left="1160"/>
              <w:spacing w:after="0"/>
              <w:rPr>
                <w:sz w:val="20"/>
                <w:szCs w:val="20"/>
                <w:color w:val="auto"/>
              </w:rPr>
            </w:pPr>
            <w:r>
              <w:rPr>
                <w:rFonts w:ascii="Calibri" w:cs="Calibri" w:eastAsia="Calibri" w:hAnsi="Calibri"/>
                <w:sz w:val="17"/>
                <w:szCs w:val="17"/>
                <w:b w:val="1"/>
                <w:bCs w:val="1"/>
                <w:color w:val="FB4E0B"/>
                <w:w w:val="98"/>
              </w:rPr>
              <w:t>Percentage of Revenue-Linked PRSUs earned</w:t>
            </w:r>
          </w:p>
        </w:tc>
        <w:tc>
          <w:tcPr>
            <w:tcW w:w="0" w:type="dxa"/>
            <w:vAlign w:val="bottom"/>
          </w:tcPr>
          <w:p>
            <w:pPr>
              <w:spacing w:after="0"/>
              <w:rPr>
                <w:sz w:val="1"/>
                <w:szCs w:val="1"/>
                <w:color w:val="auto"/>
              </w:rPr>
            </w:pPr>
          </w:p>
        </w:tc>
      </w:tr>
      <w:tr>
        <w:trPr>
          <w:trHeight w:val="55"/>
        </w:trPr>
        <w:tc>
          <w:tcPr>
            <w:tcW w:w="1200" w:type="dxa"/>
            <w:vAlign w:val="bottom"/>
          </w:tcPr>
          <w:p>
            <w:pPr>
              <w:spacing w:after="0"/>
              <w:rPr>
                <w:sz w:val="4"/>
                <w:szCs w:val="4"/>
                <w:color w:val="auto"/>
              </w:rPr>
            </w:pPr>
          </w:p>
        </w:tc>
        <w:tc>
          <w:tcPr>
            <w:tcW w:w="5040" w:type="dxa"/>
            <w:vAlign w:val="bottom"/>
            <w:tcBorders>
              <w:bottom w:val="single" w:sz="8" w:color="FB4E0B"/>
            </w:tcBorders>
          </w:tcPr>
          <w:p>
            <w:pPr>
              <w:spacing w:after="0"/>
              <w:rPr>
                <w:sz w:val="4"/>
                <w:szCs w:val="4"/>
                <w:color w:val="auto"/>
              </w:rPr>
            </w:pPr>
          </w:p>
        </w:tc>
        <w:tc>
          <w:tcPr>
            <w:tcW w:w="4300" w:type="dxa"/>
            <w:vAlign w:val="bottom"/>
            <w:tcBorders>
              <w:bottom w:val="single" w:sz="8" w:color="FB4E0B"/>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200" w:type="dxa"/>
            <w:vAlign w:val="bottom"/>
          </w:tcPr>
          <w:p>
            <w:pPr>
              <w:spacing w:after="0"/>
              <w:rPr>
                <w:sz w:val="24"/>
                <w:szCs w:val="24"/>
                <w:color w:val="auto"/>
              </w:rPr>
            </w:pPr>
          </w:p>
        </w:tc>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110% or more</w:t>
            </w:r>
          </w:p>
        </w:tc>
        <w:tc>
          <w:tcPr>
            <w:tcW w:w="4300" w:type="dxa"/>
            <w:vAlign w:val="bottom"/>
          </w:tcPr>
          <w:p>
            <w:pPr>
              <w:jc w:val="center"/>
              <w:ind w:left="1073"/>
              <w:spacing w:after="0"/>
              <w:rPr>
                <w:sz w:val="20"/>
                <w:szCs w:val="20"/>
                <w:color w:val="auto"/>
              </w:rPr>
            </w:pPr>
            <w:r>
              <w:rPr>
                <w:rFonts w:ascii="Calibri" w:cs="Calibri" w:eastAsia="Calibri" w:hAnsi="Calibri"/>
                <w:sz w:val="17"/>
                <w:szCs w:val="17"/>
                <w:color w:val="auto"/>
                <w:w w:val="99"/>
              </w:rPr>
              <w:t>200%</w:t>
            </w:r>
          </w:p>
        </w:tc>
        <w:tc>
          <w:tcPr>
            <w:tcW w:w="0" w:type="dxa"/>
            <w:vAlign w:val="bottom"/>
          </w:tcPr>
          <w:p>
            <w:pPr>
              <w:spacing w:after="0"/>
              <w:rPr>
                <w:sz w:val="1"/>
                <w:szCs w:val="1"/>
                <w:color w:val="auto"/>
              </w:rPr>
            </w:pPr>
          </w:p>
        </w:tc>
      </w:tr>
      <w:tr>
        <w:trPr>
          <w:trHeight w:val="127"/>
        </w:trPr>
        <w:tc>
          <w:tcPr>
            <w:tcW w:w="1200" w:type="dxa"/>
            <w:vAlign w:val="bottom"/>
          </w:tcPr>
          <w:p>
            <w:pPr>
              <w:spacing w:after="0"/>
              <w:rPr>
                <w:sz w:val="11"/>
                <w:szCs w:val="11"/>
                <w:color w:val="auto"/>
              </w:rPr>
            </w:pPr>
          </w:p>
        </w:tc>
        <w:tc>
          <w:tcPr>
            <w:tcW w:w="504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1200" w:type="dxa"/>
            <w:vAlign w:val="bottom"/>
          </w:tcPr>
          <w:p>
            <w:pPr>
              <w:spacing w:after="0"/>
              <w:rPr>
                <w:sz w:val="23"/>
                <w:szCs w:val="23"/>
                <w:color w:val="auto"/>
              </w:rPr>
            </w:pPr>
          </w:p>
        </w:tc>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At 100%</w:t>
            </w:r>
          </w:p>
        </w:tc>
        <w:tc>
          <w:tcPr>
            <w:tcW w:w="4300" w:type="dxa"/>
            <w:vAlign w:val="bottom"/>
          </w:tcPr>
          <w:p>
            <w:pPr>
              <w:jc w:val="center"/>
              <w:ind w:left="1073"/>
              <w:spacing w:after="0"/>
              <w:rPr>
                <w:sz w:val="20"/>
                <w:szCs w:val="20"/>
                <w:color w:val="auto"/>
              </w:rPr>
            </w:pPr>
            <w:r>
              <w:rPr>
                <w:rFonts w:ascii="Calibri" w:cs="Calibri" w:eastAsia="Calibri" w:hAnsi="Calibri"/>
                <w:sz w:val="17"/>
                <w:szCs w:val="17"/>
                <w:color w:val="auto"/>
                <w:w w:val="99"/>
              </w:rPr>
              <w:t>100%</w:t>
            </w:r>
          </w:p>
        </w:tc>
        <w:tc>
          <w:tcPr>
            <w:tcW w:w="0" w:type="dxa"/>
            <w:vAlign w:val="bottom"/>
          </w:tcPr>
          <w:p>
            <w:pPr>
              <w:spacing w:after="0"/>
              <w:rPr>
                <w:sz w:val="1"/>
                <w:szCs w:val="1"/>
                <w:color w:val="auto"/>
              </w:rPr>
            </w:pPr>
          </w:p>
        </w:tc>
      </w:tr>
      <w:tr>
        <w:trPr>
          <w:trHeight w:val="127"/>
        </w:trPr>
        <w:tc>
          <w:tcPr>
            <w:tcW w:w="1200" w:type="dxa"/>
            <w:vAlign w:val="bottom"/>
          </w:tcPr>
          <w:p>
            <w:pPr>
              <w:spacing w:after="0"/>
              <w:rPr>
                <w:sz w:val="11"/>
                <w:szCs w:val="11"/>
                <w:color w:val="auto"/>
              </w:rPr>
            </w:pPr>
          </w:p>
        </w:tc>
        <w:tc>
          <w:tcPr>
            <w:tcW w:w="504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6240" w:type="dxa"/>
            <w:vAlign w:val="bottom"/>
            <w:tcBorders>
              <w:right w:val="single" w:sz="8" w:color="auto"/>
            </w:tcBorders>
            <w:gridSpan w:val="2"/>
          </w:tcPr>
          <w:p>
            <w:pPr>
              <w:jc w:val="center"/>
              <w:ind w:left="1093"/>
              <w:spacing w:after="0"/>
              <w:rPr>
                <w:sz w:val="20"/>
                <w:szCs w:val="20"/>
                <w:color w:val="auto"/>
              </w:rPr>
            </w:pPr>
            <w:r>
              <w:rPr>
                <w:rFonts w:ascii="Calibri" w:cs="Calibri" w:eastAsia="Calibri" w:hAnsi="Calibri"/>
                <w:sz w:val="17"/>
                <w:szCs w:val="17"/>
                <w:b w:val="1"/>
                <w:bCs w:val="1"/>
                <w:color w:val="auto"/>
              </w:rPr>
              <w:t>90%</w:t>
            </w:r>
          </w:p>
        </w:tc>
        <w:tc>
          <w:tcPr>
            <w:tcW w:w="4300" w:type="dxa"/>
            <w:vAlign w:val="bottom"/>
          </w:tcPr>
          <w:p>
            <w:pPr>
              <w:jc w:val="center"/>
              <w:ind w:left="1073"/>
              <w:spacing w:after="0"/>
              <w:rPr>
                <w:sz w:val="20"/>
                <w:szCs w:val="20"/>
                <w:color w:val="auto"/>
              </w:rPr>
            </w:pPr>
            <w:r>
              <w:rPr>
                <w:rFonts w:ascii="Calibri" w:cs="Calibri" w:eastAsia="Calibri" w:hAnsi="Calibri"/>
                <w:sz w:val="17"/>
                <w:szCs w:val="17"/>
                <w:color w:val="auto"/>
              </w:rPr>
              <w:t>25%</w:t>
            </w:r>
          </w:p>
        </w:tc>
        <w:tc>
          <w:tcPr>
            <w:tcW w:w="0" w:type="dxa"/>
            <w:vAlign w:val="bottom"/>
          </w:tcPr>
          <w:p>
            <w:pPr>
              <w:spacing w:after="0"/>
              <w:rPr>
                <w:sz w:val="1"/>
                <w:szCs w:val="1"/>
                <w:color w:val="auto"/>
              </w:rPr>
            </w:pPr>
          </w:p>
        </w:tc>
      </w:tr>
      <w:tr>
        <w:trPr>
          <w:trHeight w:val="133"/>
        </w:trPr>
        <w:tc>
          <w:tcPr>
            <w:tcW w:w="1200" w:type="dxa"/>
            <w:vAlign w:val="bottom"/>
          </w:tcPr>
          <w:p>
            <w:pPr>
              <w:spacing w:after="0"/>
              <w:rPr>
                <w:sz w:val="11"/>
                <w:szCs w:val="11"/>
                <w:color w:val="auto"/>
              </w:rPr>
            </w:pPr>
          </w:p>
        </w:tc>
        <w:tc>
          <w:tcPr>
            <w:tcW w:w="5040" w:type="dxa"/>
            <w:vAlign w:val="bottom"/>
            <w:tcBorders>
              <w:bottom w:val="single" w:sz="8" w:color="FB4E0B"/>
              <w:right w:val="single" w:sz="8" w:color="auto"/>
            </w:tcBorders>
          </w:tcPr>
          <w:p>
            <w:pPr>
              <w:spacing w:after="0"/>
              <w:rPr>
                <w:sz w:val="11"/>
                <w:szCs w:val="11"/>
                <w:color w:val="auto"/>
              </w:rPr>
            </w:pPr>
          </w:p>
        </w:tc>
        <w:tc>
          <w:tcPr>
            <w:tcW w:w="430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r>
        <w:trPr>
          <w:trHeight w:val="328"/>
        </w:trPr>
        <w:tc>
          <w:tcPr>
            <w:tcW w:w="6240" w:type="dxa"/>
            <w:vAlign w:val="bottom"/>
            <w:gridSpan w:val="2"/>
            <w:vMerge w:val="restart"/>
          </w:tcPr>
          <w:p>
            <w:pPr>
              <w:spacing w:after="0"/>
              <w:rPr>
                <w:sz w:val="20"/>
                <w:szCs w:val="20"/>
                <w:color w:val="auto"/>
              </w:rPr>
            </w:pPr>
            <w:r>
              <w:rPr>
                <w:rFonts w:ascii="Calibri" w:cs="Calibri" w:eastAsia="Calibri" w:hAnsi="Calibri"/>
                <w:sz w:val="17"/>
                <w:szCs w:val="17"/>
                <w:b w:val="1"/>
                <w:bCs w:val="1"/>
                <w:color w:val="auto"/>
              </w:rPr>
              <w:t xml:space="preserve">78    </w:t>
            </w:r>
            <w:r>
              <w:rPr>
                <w:rFonts w:ascii="Calibri" w:cs="Calibri" w:eastAsia="Calibri" w:hAnsi="Calibri"/>
                <w:sz w:val="27"/>
                <w:szCs w:val="27"/>
                <w:b w:val="1"/>
                <w:bCs w:val="1"/>
                <w:color w:val="FB4E0B"/>
              </w:rPr>
              <w:t>/</w:t>
            </w:r>
            <w:r>
              <w:rPr>
                <w:rFonts w:ascii="Calibri" w:cs="Calibri" w:eastAsia="Calibri" w:hAnsi="Calibri"/>
                <w:sz w:val="17"/>
                <w:szCs w:val="17"/>
                <w:b w:val="1"/>
                <w:bCs w:val="1"/>
                <w:color w:val="auto"/>
              </w:rPr>
              <w:t xml:space="preserve"> </w:t>
            </w:r>
            <w:r>
              <w:rPr>
                <w:rFonts w:ascii="Calibri" w:cs="Calibri" w:eastAsia="Calibri" w:hAnsi="Calibri"/>
                <w:sz w:val="13"/>
                <w:szCs w:val="13"/>
                <w:color w:val="auto"/>
              </w:rPr>
              <w:t xml:space="preserve">   EXL 2024 Proxy Statement</w:t>
            </w:r>
          </w:p>
        </w:tc>
        <w:tc>
          <w:tcPr>
            <w:tcW w:w="4300" w:type="dxa"/>
            <w:vAlign w:val="bottom"/>
          </w:tcPr>
          <w:p>
            <w:pPr>
              <w:ind w:left="39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6240" w:type="dxa"/>
            <w:vAlign w:val="bottom"/>
            <w:gridSpan w:val="2"/>
            <w:vMerge w:val="continue"/>
          </w:tcPr>
          <w:p>
            <w:pPr>
              <w:spacing w:after="0"/>
              <w:rPr>
                <w:sz w:val="10"/>
                <w:szCs w:val="10"/>
                <w:color w:val="auto"/>
              </w:rPr>
            </w:pPr>
          </w:p>
        </w:tc>
        <w:tc>
          <w:tcPr>
            <w:tcW w:w="4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48" w:lineRule="exact"/>
        <w:rPr>
          <w:sz w:val="20"/>
          <w:szCs w:val="20"/>
          <w:color w:val="auto"/>
        </w:rPr>
      </w:pPr>
    </w:p>
    <w:p>
      <w:pPr>
        <w:ind w:left="1580" w:right="20" w:hanging="416"/>
        <w:spacing w:after="0"/>
        <w:rPr>
          <w:sz w:val="20"/>
          <w:szCs w:val="20"/>
          <w:color w:val="auto"/>
        </w:rPr>
      </w:pPr>
      <w:r>
        <w:rPr>
          <w:rFonts w:ascii="Calibri" w:cs="Calibri" w:eastAsia="Calibri" w:hAnsi="Calibri"/>
          <w:sz w:val="17"/>
          <w:szCs w:val="17"/>
          <w:color w:val="auto"/>
        </w:rPr>
        <w:t>–</w:t>
      </w:r>
      <w:r>
        <w:rPr>
          <w:rFonts w:ascii="Calibri" w:cs="Calibri" w:eastAsia="Calibri" w:hAnsi="Calibri"/>
          <w:sz w:val="17"/>
          <w:szCs w:val="17"/>
          <w:b w:val="1"/>
          <w:bCs w:val="1"/>
          <w:color w:val="auto"/>
        </w:rPr>
        <w:t xml:space="preserve">Relatve TSR-Linked PRSUs: </w:t>
      </w:r>
      <w:r>
        <w:rPr>
          <w:rFonts w:ascii="Calibri" w:cs="Calibri" w:eastAsia="Calibri" w:hAnsi="Calibri"/>
          <w:sz w:val="17"/>
          <w:szCs w:val="17"/>
          <w:color w:val="auto"/>
        </w:rPr>
        <w:t>The remaining 60% of the performance-based restricted stock unit awards clif-vests on December 31 of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third fscal year in the performance period, based on the achievement of a threshold level of relatve total stockholder return performance of the Company against a performance peer group over the grant’s three-year performance period of January 1, 2023, to December 31, 2025, and contnuous employment through December 31, 2025. The Company’s TSR for the TSR performance period will be computed and then compared to the TSR of the companies in the “performance peer group,” which is comprised of the public companies traded on either the NYSE or NASDAQ stock markets in our 8-digit Global Industry Classifcaton Standard sub-industry group. In the Compensaton and Talent Management Commitee’s view, this comparator set is more appropriate than the compensaton peer group for this purpose as it provides a more robust comparison of our performance to the marketplace by the inclusion of more companies and eliminaton of size as a selecton criterion, which is more relevant for compensaton than performance comparison. For the Relatve TSR-Linked PRSUs granted in 2023, the Company included a negatve TSR cap. Under the negatve TSR cap, if the total stockholder return is negatve over the course of the three-year performance period, no named executve ofcer may receive greater than 100% funding of the TSR-Linked PRSUs.</w:t>
      </w:r>
    </w:p>
    <w:p>
      <w:pPr>
        <w:spacing w:after="0" w:line="242" w:lineRule="exact"/>
        <w:rPr>
          <w:sz w:val="20"/>
          <w:szCs w:val="20"/>
          <w:color w:val="auto"/>
        </w:rPr>
      </w:pPr>
    </w:p>
    <w:p>
      <w:pPr>
        <w:ind w:left="1580" w:right="780" w:hanging="418"/>
        <w:spacing w:after="0" w:line="239" w:lineRule="auto"/>
        <w:tabs>
          <w:tab w:leader="none" w:pos="1580" w:val="left"/>
        </w:tabs>
        <w:numPr>
          <w:ilvl w:val="0"/>
          <w:numId w:val="34"/>
        </w:numPr>
        <w:rPr>
          <w:rFonts w:ascii="Calibri" w:cs="Calibri" w:eastAsia="Calibri" w:hAnsi="Calibri"/>
          <w:sz w:val="17"/>
          <w:szCs w:val="17"/>
          <w:color w:val="auto"/>
        </w:rPr>
      </w:pPr>
      <w:r>
        <w:rPr>
          <w:rFonts w:ascii="Calibri" w:cs="Calibri" w:eastAsia="Calibri" w:hAnsi="Calibri"/>
          <w:sz w:val="17"/>
          <w:szCs w:val="17"/>
          <w:color w:val="auto"/>
        </w:rPr>
        <w:t>The percentage of Relatve TSR-Linked PRSUs earned will be determined based on straight-line interpolaton to the extent the Company’s TSR falls in between the 20th and 80th percentles, as per the chart below:</w:t>
      </w:r>
    </w:p>
    <w:p>
      <w:pPr>
        <w:spacing w:after="0" w:line="236" w:lineRule="exact"/>
        <w:rPr>
          <w:sz w:val="20"/>
          <w:szCs w:val="20"/>
          <w:color w:val="auto"/>
        </w:rPr>
      </w:pPr>
    </w:p>
    <w:tbl>
      <w:tblPr>
        <w:tblLayout w:type="fixed"/>
        <w:tblInd w:w="1600" w:type="dxa"/>
        <w:tblCellMar>
          <w:top w:w="0" w:type="dxa"/>
          <w:left w:w="0" w:type="dxa"/>
          <w:bottom w:w="0" w:type="dxa"/>
          <w:right w:w="0" w:type="dxa"/>
        </w:tblCellMar>
      </w:tblPr>
      <w:tr>
        <w:trPr>
          <w:trHeight w:val="221"/>
        </w:trPr>
        <w:tc>
          <w:tcPr>
            <w:tcW w:w="5040" w:type="dxa"/>
            <w:vAlign w:val="bottom"/>
          </w:tcPr>
          <w:p>
            <w:pPr>
              <w:jc w:val="center"/>
              <w:spacing w:after="0"/>
              <w:rPr>
                <w:sz w:val="20"/>
                <w:szCs w:val="20"/>
                <w:color w:val="auto"/>
              </w:rPr>
            </w:pPr>
            <w:r>
              <w:rPr>
                <w:rFonts w:ascii="Calibri" w:cs="Calibri" w:eastAsia="Calibri" w:hAnsi="Calibri"/>
                <w:sz w:val="17"/>
                <w:szCs w:val="17"/>
                <w:b w:val="1"/>
                <w:bCs w:val="1"/>
                <w:color w:val="FB4E0B"/>
              </w:rPr>
              <w:t>TSR peer group percentle</w:t>
            </w:r>
          </w:p>
        </w:tc>
        <w:tc>
          <w:tcPr>
            <w:tcW w:w="4300" w:type="dxa"/>
            <w:vAlign w:val="bottom"/>
          </w:tcPr>
          <w:p>
            <w:pPr>
              <w:ind w:left="920"/>
              <w:spacing w:after="0"/>
              <w:rPr>
                <w:sz w:val="20"/>
                <w:szCs w:val="20"/>
                <w:color w:val="auto"/>
              </w:rPr>
            </w:pPr>
            <w:r>
              <w:rPr>
                <w:rFonts w:ascii="Calibri" w:cs="Calibri" w:eastAsia="Calibri" w:hAnsi="Calibri"/>
                <w:sz w:val="17"/>
                <w:szCs w:val="17"/>
                <w:b w:val="1"/>
                <w:bCs w:val="1"/>
                <w:color w:val="FB4E0B"/>
                <w:w w:val="99"/>
              </w:rPr>
              <w:t>Percentage of Relatve TSR-Linked PRSUs earned</w:t>
            </w:r>
          </w:p>
        </w:tc>
      </w:tr>
      <w:tr>
        <w:trPr>
          <w:trHeight w:val="55"/>
        </w:trPr>
        <w:tc>
          <w:tcPr>
            <w:tcW w:w="5040" w:type="dxa"/>
            <w:vAlign w:val="bottom"/>
            <w:tcBorders>
              <w:bottom w:val="single" w:sz="8" w:color="FB4E0B"/>
            </w:tcBorders>
          </w:tcPr>
          <w:p>
            <w:pPr>
              <w:spacing w:after="0"/>
              <w:rPr>
                <w:sz w:val="4"/>
                <w:szCs w:val="4"/>
                <w:color w:val="auto"/>
              </w:rPr>
            </w:pPr>
          </w:p>
        </w:tc>
        <w:tc>
          <w:tcPr>
            <w:tcW w:w="4300" w:type="dxa"/>
            <w:vAlign w:val="bottom"/>
            <w:tcBorders>
              <w:bottom w:val="single" w:sz="8" w:color="FB4E0B"/>
            </w:tcBorders>
          </w:tcPr>
          <w:p>
            <w:pPr>
              <w:spacing w:after="0"/>
              <w:rPr>
                <w:sz w:val="4"/>
                <w:szCs w:val="4"/>
                <w:color w:val="auto"/>
              </w:rPr>
            </w:pPr>
          </w:p>
        </w:tc>
      </w:tr>
      <w:tr>
        <w:trPr>
          <w:trHeight w:val="289"/>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80.0 or more</w:t>
            </w:r>
          </w:p>
        </w:tc>
        <w:tc>
          <w:tcPr>
            <w:tcW w:w="4300" w:type="dxa"/>
            <w:vAlign w:val="bottom"/>
          </w:tcPr>
          <w:p>
            <w:pPr>
              <w:jc w:val="center"/>
              <w:ind w:left="833"/>
              <w:spacing w:after="0"/>
              <w:rPr>
                <w:sz w:val="20"/>
                <w:szCs w:val="20"/>
                <w:color w:val="auto"/>
              </w:rPr>
            </w:pPr>
            <w:r>
              <w:rPr>
                <w:rFonts w:ascii="Calibri" w:cs="Calibri" w:eastAsia="Calibri" w:hAnsi="Calibri"/>
                <w:sz w:val="17"/>
                <w:szCs w:val="17"/>
                <w:color w:val="auto"/>
                <w:w w:val="99"/>
              </w:rPr>
              <w:t>200%</w:t>
            </w:r>
          </w:p>
        </w:tc>
      </w:tr>
      <w:tr>
        <w:trPr>
          <w:trHeight w:val="127"/>
        </w:trPr>
        <w:tc>
          <w:tcPr>
            <w:tcW w:w="504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r>
      <w:tr>
        <w:trPr>
          <w:trHeight w:val="269"/>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65.0</w:t>
            </w:r>
          </w:p>
        </w:tc>
        <w:tc>
          <w:tcPr>
            <w:tcW w:w="4300" w:type="dxa"/>
            <w:vAlign w:val="bottom"/>
          </w:tcPr>
          <w:p>
            <w:pPr>
              <w:jc w:val="center"/>
              <w:ind w:left="833"/>
              <w:spacing w:after="0"/>
              <w:rPr>
                <w:sz w:val="20"/>
                <w:szCs w:val="20"/>
                <w:color w:val="auto"/>
              </w:rPr>
            </w:pPr>
            <w:r>
              <w:rPr>
                <w:rFonts w:ascii="Calibri" w:cs="Calibri" w:eastAsia="Calibri" w:hAnsi="Calibri"/>
                <w:sz w:val="17"/>
                <w:szCs w:val="17"/>
                <w:color w:val="auto"/>
                <w:w w:val="99"/>
              </w:rPr>
              <w:t>150%</w:t>
            </w:r>
          </w:p>
        </w:tc>
      </w:tr>
      <w:tr>
        <w:trPr>
          <w:trHeight w:val="127"/>
        </w:trPr>
        <w:tc>
          <w:tcPr>
            <w:tcW w:w="504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r>
      <w:tr>
        <w:trPr>
          <w:trHeight w:val="269"/>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50.0</w:t>
            </w:r>
          </w:p>
        </w:tc>
        <w:tc>
          <w:tcPr>
            <w:tcW w:w="4300" w:type="dxa"/>
            <w:vAlign w:val="bottom"/>
          </w:tcPr>
          <w:p>
            <w:pPr>
              <w:jc w:val="center"/>
              <w:ind w:left="833"/>
              <w:spacing w:after="0"/>
              <w:rPr>
                <w:sz w:val="20"/>
                <w:szCs w:val="20"/>
                <w:color w:val="auto"/>
              </w:rPr>
            </w:pPr>
            <w:r>
              <w:rPr>
                <w:rFonts w:ascii="Calibri" w:cs="Calibri" w:eastAsia="Calibri" w:hAnsi="Calibri"/>
                <w:sz w:val="17"/>
                <w:szCs w:val="17"/>
                <w:color w:val="auto"/>
                <w:w w:val="99"/>
              </w:rPr>
              <w:t>100%</w:t>
            </w:r>
          </w:p>
        </w:tc>
      </w:tr>
      <w:tr>
        <w:trPr>
          <w:trHeight w:val="127"/>
        </w:trPr>
        <w:tc>
          <w:tcPr>
            <w:tcW w:w="504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r>
      <w:tr>
        <w:trPr>
          <w:trHeight w:val="269"/>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35.0</w:t>
            </w:r>
          </w:p>
        </w:tc>
        <w:tc>
          <w:tcPr>
            <w:tcW w:w="4300" w:type="dxa"/>
            <w:vAlign w:val="bottom"/>
          </w:tcPr>
          <w:p>
            <w:pPr>
              <w:jc w:val="center"/>
              <w:ind w:left="813"/>
              <w:spacing w:after="0"/>
              <w:rPr>
                <w:sz w:val="20"/>
                <w:szCs w:val="20"/>
                <w:color w:val="auto"/>
              </w:rPr>
            </w:pPr>
            <w:r>
              <w:rPr>
                <w:rFonts w:ascii="Calibri" w:cs="Calibri" w:eastAsia="Calibri" w:hAnsi="Calibri"/>
                <w:sz w:val="17"/>
                <w:szCs w:val="17"/>
                <w:color w:val="auto"/>
                <w:w w:val="95"/>
              </w:rPr>
              <w:t>50%</w:t>
            </w:r>
          </w:p>
        </w:tc>
      </w:tr>
      <w:tr>
        <w:trPr>
          <w:trHeight w:val="127"/>
        </w:trPr>
        <w:tc>
          <w:tcPr>
            <w:tcW w:w="504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r>
      <w:tr>
        <w:trPr>
          <w:trHeight w:val="269"/>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21.0</w:t>
            </w:r>
          </w:p>
        </w:tc>
        <w:tc>
          <w:tcPr>
            <w:tcW w:w="4300" w:type="dxa"/>
            <w:vAlign w:val="bottom"/>
          </w:tcPr>
          <w:p>
            <w:pPr>
              <w:jc w:val="center"/>
              <w:ind w:left="833"/>
              <w:spacing w:after="0"/>
              <w:rPr>
                <w:sz w:val="20"/>
                <w:szCs w:val="20"/>
                <w:color w:val="auto"/>
              </w:rPr>
            </w:pPr>
            <w:r>
              <w:rPr>
                <w:rFonts w:ascii="Calibri" w:cs="Calibri" w:eastAsia="Calibri" w:hAnsi="Calibri"/>
                <w:sz w:val="17"/>
                <w:szCs w:val="17"/>
                <w:color w:val="auto"/>
                <w:w w:val="99"/>
              </w:rPr>
              <w:t>3.33%</w:t>
            </w:r>
          </w:p>
        </w:tc>
      </w:tr>
      <w:tr>
        <w:trPr>
          <w:trHeight w:val="127"/>
        </w:trPr>
        <w:tc>
          <w:tcPr>
            <w:tcW w:w="504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r>
      <w:tr>
        <w:trPr>
          <w:trHeight w:val="269"/>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7"/>
              </w:rPr>
              <w:t>20.0 or less</w:t>
            </w:r>
          </w:p>
        </w:tc>
        <w:tc>
          <w:tcPr>
            <w:tcW w:w="4300" w:type="dxa"/>
            <w:vAlign w:val="bottom"/>
          </w:tcPr>
          <w:p>
            <w:pPr>
              <w:jc w:val="center"/>
              <w:ind w:left="813"/>
              <w:spacing w:after="0"/>
              <w:rPr>
                <w:sz w:val="20"/>
                <w:szCs w:val="20"/>
                <w:color w:val="auto"/>
              </w:rPr>
            </w:pPr>
            <w:r>
              <w:rPr>
                <w:rFonts w:ascii="Calibri" w:cs="Calibri" w:eastAsia="Calibri" w:hAnsi="Calibri"/>
                <w:sz w:val="17"/>
                <w:szCs w:val="17"/>
                <w:color w:val="auto"/>
                <w:w w:val="96"/>
              </w:rPr>
              <w:t>0%</w:t>
            </w:r>
          </w:p>
        </w:tc>
      </w:tr>
      <w:tr>
        <w:trPr>
          <w:trHeight w:val="133"/>
        </w:trPr>
        <w:tc>
          <w:tcPr>
            <w:tcW w:w="5040" w:type="dxa"/>
            <w:vAlign w:val="bottom"/>
            <w:tcBorders>
              <w:bottom w:val="single" w:sz="8" w:color="FB4E0B"/>
              <w:right w:val="single" w:sz="8" w:color="auto"/>
            </w:tcBorders>
          </w:tcPr>
          <w:p>
            <w:pPr>
              <w:spacing w:after="0"/>
              <w:rPr>
                <w:sz w:val="11"/>
                <w:szCs w:val="11"/>
                <w:color w:val="auto"/>
              </w:rPr>
            </w:pPr>
          </w:p>
        </w:tc>
        <w:tc>
          <w:tcPr>
            <w:tcW w:w="4300" w:type="dxa"/>
            <w:vAlign w:val="bottom"/>
            <w:tcBorders>
              <w:bottom w:val="single" w:sz="8" w:color="FB4E0B"/>
            </w:tcBorders>
          </w:tcPr>
          <w:p>
            <w:pPr>
              <w:spacing w:after="0"/>
              <w:rPr>
                <w:sz w:val="11"/>
                <w:szCs w:val="11"/>
                <w:color w:val="auto"/>
              </w:rPr>
            </w:pPr>
          </w:p>
        </w:tc>
      </w:tr>
    </w:tbl>
    <w:p>
      <w:pPr>
        <w:spacing w:after="0" w:line="96" w:lineRule="exact"/>
        <w:rPr>
          <w:sz w:val="20"/>
          <w:szCs w:val="20"/>
          <w:color w:val="auto"/>
        </w:rPr>
      </w:pPr>
    </w:p>
    <w:p>
      <w:pPr>
        <w:ind w:left="1580" w:right="560" w:hanging="416"/>
        <w:spacing w:after="0" w:line="239" w:lineRule="auto"/>
        <w:rPr>
          <w:sz w:val="20"/>
          <w:szCs w:val="20"/>
          <w:color w:val="auto"/>
        </w:rPr>
      </w:pPr>
      <w:r>
        <w:rPr>
          <w:rFonts w:ascii="Calibri" w:cs="Calibri" w:eastAsia="Calibri" w:hAnsi="Calibri"/>
          <w:sz w:val="17"/>
          <w:szCs w:val="17"/>
          <w:color w:val="auto"/>
        </w:rPr>
        <w:t>–The Compensaton and Talent Management Commitee believes the PRSUs focus our executves on key drivers of our Company’s business that will ultmately lead to creaton of additonal stockholder value.</w:t>
      </w:r>
    </w:p>
    <w:p>
      <w:pPr>
        <w:spacing w:after="0" w:line="120" w:lineRule="exact"/>
        <w:rPr>
          <w:sz w:val="20"/>
          <w:szCs w:val="20"/>
          <w:color w:val="auto"/>
        </w:rPr>
      </w:pPr>
    </w:p>
    <w:p>
      <w:pPr>
        <w:ind w:left="1140" w:right="100" w:hanging="407"/>
        <w:spacing w:after="0" w:line="239" w:lineRule="auto"/>
        <w:tabs>
          <w:tab w:leader="none" w:pos="1140" w:val="left"/>
        </w:tabs>
        <w:numPr>
          <w:ilvl w:val="0"/>
          <w:numId w:val="35"/>
        </w:numPr>
        <w:rPr>
          <w:rFonts w:ascii="Calibri" w:cs="Calibri" w:eastAsia="Calibri" w:hAnsi="Calibri"/>
          <w:sz w:val="17"/>
          <w:szCs w:val="17"/>
          <w:color w:val="auto"/>
        </w:rPr>
      </w:pPr>
      <w:r>
        <w:rPr>
          <w:rFonts w:ascii="Calibri" w:cs="Calibri" w:eastAsia="Calibri" w:hAnsi="Calibri"/>
          <w:sz w:val="17"/>
          <w:szCs w:val="17"/>
          <w:color w:val="auto"/>
        </w:rPr>
        <w:t>The Optons were granted to all NEOs other than the CEO and they will vest in increments of 25% on each of the frst four anniversaries of the grant date, subject to contnuous service with the Company through the applicable vestng date.</w:t>
      </w:r>
    </w:p>
    <w:p>
      <w:pPr>
        <w:spacing w:after="0" w:line="120" w:lineRule="exact"/>
        <w:rPr>
          <w:rFonts w:ascii="Calibri" w:cs="Calibri" w:eastAsia="Calibri" w:hAnsi="Calibri"/>
          <w:sz w:val="17"/>
          <w:szCs w:val="17"/>
          <w:color w:val="auto"/>
        </w:rPr>
      </w:pPr>
    </w:p>
    <w:p>
      <w:pPr>
        <w:ind w:left="1580" w:right="260" w:hanging="416"/>
        <w:spacing w:after="0" w:line="239" w:lineRule="auto"/>
        <w:rPr>
          <w:rFonts w:ascii="Calibri" w:cs="Calibri" w:eastAsia="Calibri" w:hAnsi="Calibri"/>
          <w:sz w:val="17"/>
          <w:szCs w:val="17"/>
          <w:color w:val="auto"/>
        </w:rPr>
      </w:pPr>
      <w:r>
        <w:rPr>
          <w:rFonts w:ascii="Calibri" w:cs="Calibri" w:eastAsia="Calibri" w:hAnsi="Calibri"/>
          <w:sz w:val="17"/>
          <w:szCs w:val="17"/>
          <w:color w:val="auto"/>
        </w:rPr>
        <w:t>–The Compensaton and Talent Management Commitee believes these optons serve an important retentve purpose by making 2023 target total direct compensaton levels for the NEOs (other than the CEO) compettve, and incentvizing these NEOs to increase the value of the Company’s stock price.</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Payout of awards granted in prior fscal years</w:t>
      </w:r>
    </w:p>
    <w:p>
      <w:pPr>
        <w:spacing w:after="0" w:line="106" w:lineRule="exact"/>
        <w:rPr>
          <w:sz w:val="20"/>
          <w:szCs w:val="20"/>
          <w:color w:val="auto"/>
        </w:rPr>
      </w:pPr>
    </w:p>
    <w:p>
      <w:pPr>
        <w:jc w:val="both"/>
        <w:ind w:left="320" w:right="380"/>
        <w:spacing w:after="0" w:line="239" w:lineRule="auto"/>
        <w:rPr>
          <w:sz w:val="20"/>
          <w:szCs w:val="20"/>
          <w:color w:val="auto"/>
        </w:rPr>
      </w:pPr>
      <w:r>
        <w:rPr>
          <w:rFonts w:ascii="Calibri" w:cs="Calibri" w:eastAsia="Calibri" w:hAnsi="Calibri"/>
          <w:sz w:val="17"/>
          <w:szCs w:val="17"/>
          <w:color w:val="auto"/>
        </w:rPr>
        <w:t>This was the third and fnal performance year for the 2021 performance-based restricted stock units, which exclusively had a relatve TSR metric. The Company’s TSR performance was at the 96</w:t>
      </w:r>
      <w:r>
        <w:rPr>
          <w:rFonts w:ascii="Calibri" w:cs="Calibri" w:eastAsia="Calibri" w:hAnsi="Calibri"/>
          <w:sz w:val="13"/>
          <w:szCs w:val="13"/>
          <w:color w:val="auto"/>
        </w:rPr>
        <w:t>th</w:t>
      </w:r>
      <w:r>
        <w:rPr>
          <w:rFonts w:ascii="Calibri" w:cs="Calibri" w:eastAsia="Calibri" w:hAnsi="Calibri"/>
          <w:sz w:val="17"/>
          <w:szCs w:val="17"/>
          <w:color w:val="auto"/>
        </w:rPr>
        <w:t xml:space="preserve"> percentle among its peer group, resultng in the executves earning 200% of the 2021 relatve TSR-linked restricted stock units pursuant to the terms of the original grant.</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780" w:type="dxa"/>
            <w:vAlign w:val="bottom"/>
          </w:tcPr>
          <w:p>
            <w:pPr>
              <w:spacing w:after="0"/>
              <w:rPr>
                <w:sz w:val="18"/>
                <w:szCs w:val="18"/>
                <w:color w:val="auto"/>
              </w:rPr>
            </w:pPr>
          </w:p>
        </w:tc>
        <w:tc>
          <w:tcPr>
            <w:tcW w:w="1960" w:type="dxa"/>
            <w:vAlign w:val="bottom"/>
          </w:tcPr>
          <w:p>
            <w:pPr>
              <w:jc w:val="center"/>
              <w:ind w:left="133"/>
              <w:spacing w:after="0"/>
              <w:rPr>
                <w:sz w:val="20"/>
                <w:szCs w:val="20"/>
                <w:color w:val="auto"/>
              </w:rPr>
            </w:pPr>
            <w:r>
              <w:rPr>
                <w:rFonts w:ascii="Calibri" w:cs="Calibri" w:eastAsia="Calibri" w:hAnsi="Calibri"/>
                <w:sz w:val="17"/>
                <w:szCs w:val="17"/>
                <w:b w:val="1"/>
                <w:bCs w:val="1"/>
                <w:color w:val="FB4E0B"/>
                <w:w w:val="99"/>
              </w:rPr>
              <w:t>Threshold</w:t>
            </w:r>
          </w:p>
        </w:tc>
        <w:tc>
          <w:tcPr>
            <w:tcW w:w="1960" w:type="dxa"/>
            <w:vAlign w:val="bottom"/>
          </w:tcPr>
          <w:p>
            <w:pPr>
              <w:spacing w:after="0"/>
              <w:rPr>
                <w:sz w:val="18"/>
                <w:szCs w:val="18"/>
                <w:color w:val="auto"/>
              </w:rPr>
            </w:pPr>
          </w:p>
        </w:tc>
        <w:tc>
          <w:tcPr>
            <w:tcW w:w="1960" w:type="dxa"/>
            <w:vAlign w:val="bottom"/>
          </w:tcPr>
          <w:p>
            <w:pPr>
              <w:jc w:val="center"/>
              <w:ind w:left="153"/>
              <w:spacing w:after="0"/>
              <w:rPr>
                <w:sz w:val="20"/>
                <w:szCs w:val="20"/>
                <w:color w:val="auto"/>
              </w:rPr>
            </w:pPr>
            <w:r>
              <w:rPr>
                <w:rFonts w:ascii="Calibri" w:cs="Calibri" w:eastAsia="Calibri" w:hAnsi="Calibri"/>
                <w:sz w:val="17"/>
                <w:szCs w:val="17"/>
                <w:b w:val="1"/>
                <w:bCs w:val="1"/>
                <w:color w:val="FB4E0B"/>
                <w:w w:val="99"/>
              </w:rPr>
              <w:t>Maximum</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780" w:type="dxa"/>
            <w:vAlign w:val="bottom"/>
          </w:tcPr>
          <w:p>
            <w:pPr>
              <w:spacing w:after="0"/>
              <w:rPr>
                <w:sz w:val="20"/>
                <w:szCs w:val="20"/>
                <w:color w:val="auto"/>
              </w:rPr>
            </w:pPr>
            <w:r>
              <w:rPr>
                <w:rFonts w:ascii="Calibri" w:cs="Calibri" w:eastAsia="Calibri" w:hAnsi="Calibri"/>
                <w:sz w:val="17"/>
                <w:szCs w:val="17"/>
                <w:b w:val="1"/>
                <w:bCs w:val="1"/>
                <w:color w:val="FB4E0B"/>
              </w:rPr>
              <w:t>Performance Metric</w:t>
            </w:r>
          </w:p>
        </w:tc>
        <w:tc>
          <w:tcPr>
            <w:tcW w:w="1960" w:type="dxa"/>
            <w:vAlign w:val="bottom"/>
          </w:tcPr>
          <w:p>
            <w:pPr>
              <w:jc w:val="center"/>
              <w:ind w:left="133"/>
              <w:spacing w:after="0"/>
              <w:rPr>
                <w:sz w:val="20"/>
                <w:szCs w:val="20"/>
                <w:color w:val="auto"/>
              </w:rPr>
            </w:pPr>
            <w:r>
              <w:rPr>
                <w:rFonts w:ascii="Calibri" w:cs="Calibri" w:eastAsia="Calibri" w:hAnsi="Calibri"/>
                <w:sz w:val="17"/>
                <w:szCs w:val="17"/>
                <w:b w:val="1"/>
                <w:bCs w:val="1"/>
                <w:color w:val="FB4E0B"/>
              </w:rPr>
              <w:t>(3.33%)</w:t>
            </w:r>
          </w:p>
        </w:tc>
        <w:tc>
          <w:tcPr>
            <w:tcW w:w="1960" w:type="dxa"/>
            <w:vAlign w:val="bottom"/>
          </w:tcPr>
          <w:p>
            <w:pPr>
              <w:jc w:val="center"/>
              <w:ind w:left="153"/>
              <w:spacing w:after="0"/>
              <w:rPr>
                <w:sz w:val="20"/>
                <w:szCs w:val="20"/>
                <w:color w:val="auto"/>
              </w:rPr>
            </w:pPr>
            <w:r>
              <w:rPr>
                <w:rFonts w:ascii="Calibri" w:cs="Calibri" w:eastAsia="Calibri" w:hAnsi="Calibri"/>
                <w:sz w:val="17"/>
                <w:szCs w:val="17"/>
                <w:b w:val="1"/>
                <w:bCs w:val="1"/>
                <w:color w:val="FB4E0B"/>
                <w:w w:val="97"/>
              </w:rPr>
              <w:t>Target (100%)</w:t>
            </w:r>
          </w:p>
        </w:tc>
        <w:tc>
          <w:tcPr>
            <w:tcW w:w="1960" w:type="dxa"/>
            <w:vAlign w:val="bottom"/>
          </w:tcPr>
          <w:p>
            <w:pPr>
              <w:jc w:val="center"/>
              <w:ind w:left="153"/>
              <w:spacing w:after="0"/>
              <w:rPr>
                <w:sz w:val="20"/>
                <w:szCs w:val="20"/>
                <w:color w:val="auto"/>
              </w:rPr>
            </w:pPr>
            <w:r>
              <w:rPr>
                <w:rFonts w:ascii="Calibri" w:cs="Calibri" w:eastAsia="Calibri" w:hAnsi="Calibri"/>
                <w:sz w:val="17"/>
                <w:szCs w:val="17"/>
                <w:b w:val="1"/>
                <w:bCs w:val="1"/>
                <w:color w:val="FB4E0B"/>
                <w:w w:val="98"/>
              </w:rPr>
              <w:t>(200%)</w:t>
            </w:r>
          </w:p>
        </w:tc>
        <w:tc>
          <w:tcPr>
            <w:tcW w:w="1960" w:type="dxa"/>
            <w:vAlign w:val="bottom"/>
          </w:tcPr>
          <w:p>
            <w:pPr>
              <w:jc w:val="center"/>
              <w:ind w:left="173"/>
              <w:spacing w:after="0"/>
              <w:rPr>
                <w:sz w:val="20"/>
                <w:szCs w:val="20"/>
                <w:color w:val="auto"/>
              </w:rPr>
            </w:pPr>
            <w:r>
              <w:rPr>
                <w:rFonts w:ascii="Calibri" w:cs="Calibri" w:eastAsia="Calibri" w:hAnsi="Calibri"/>
                <w:sz w:val="17"/>
                <w:szCs w:val="17"/>
                <w:b w:val="1"/>
                <w:bCs w:val="1"/>
                <w:color w:val="FB4E0B"/>
                <w:w w:val="98"/>
              </w:rPr>
              <w:t>Actual Performance</w:t>
            </w:r>
          </w:p>
        </w:tc>
        <w:tc>
          <w:tcPr>
            <w:tcW w:w="0" w:type="dxa"/>
            <w:vAlign w:val="bottom"/>
          </w:tcPr>
          <w:p>
            <w:pPr>
              <w:spacing w:after="0"/>
              <w:rPr>
                <w:sz w:val="1"/>
                <w:szCs w:val="1"/>
                <w:color w:val="auto"/>
              </w:rPr>
            </w:pPr>
          </w:p>
        </w:tc>
      </w:tr>
      <w:tr>
        <w:trPr>
          <w:trHeight w:val="55"/>
        </w:trPr>
        <w:tc>
          <w:tcPr>
            <w:tcW w:w="2780" w:type="dxa"/>
            <w:vAlign w:val="bottom"/>
            <w:tcBorders>
              <w:bottom w:val="single" w:sz="8" w:color="FB4E0B"/>
            </w:tcBorders>
          </w:tcPr>
          <w:p>
            <w:pPr>
              <w:spacing w:after="0"/>
              <w:rPr>
                <w:sz w:val="4"/>
                <w:szCs w:val="4"/>
                <w:color w:val="auto"/>
              </w:rPr>
            </w:pPr>
          </w:p>
        </w:tc>
        <w:tc>
          <w:tcPr>
            <w:tcW w:w="1960" w:type="dxa"/>
            <w:vAlign w:val="bottom"/>
            <w:tcBorders>
              <w:bottom w:val="single" w:sz="8" w:color="FB4E0B"/>
            </w:tcBorders>
          </w:tcPr>
          <w:p>
            <w:pPr>
              <w:spacing w:after="0"/>
              <w:rPr>
                <w:sz w:val="4"/>
                <w:szCs w:val="4"/>
                <w:color w:val="auto"/>
              </w:rPr>
            </w:pPr>
          </w:p>
        </w:tc>
        <w:tc>
          <w:tcPr>
            <w:tcW w:w="1960" w:type="dxa"/>
            <w:vAlign w:val="bottom"/>
            <w:tcBorders>
              <w:bottom w:val="single" w:sz="8" w:color="FB4E0B"/>
            </w:tcBorders>
          </w:tcPr>
          <w:p>
            <w:pPr>
              <w:spacing w:after="0"/>
              <w:rPr>
                <w:sz w:val="4"/>
                <w:szCs w:val="4"/>
                <w:color w:val="auto"/>
              </w:rPr>
            </w:pPr>
          </w:p>
        </w:tc>
        <w:tc>
          <w:tcPr>
            <w:tcW w:w="1960" w:type="dxa"/>
            <w:vAlign w:val="bottom"/>
            <w:tcBorders>
              <w:bottom w:val="single" w:sz="8" w:color="FB4E0B"/>
            </w:tcBorders>
          </w:tcPr>
          <w:p>
            <w:pPr>
              <w:spacing w:after="0"/>
              <w:rPr>
                <w:sz w:val="4"/>
                <w:szCs w:val="4"/>
                <w:color w:val="auto"/>
              </w:rPr>
            </w:pPr>
          </w:p>
        </w:tc>
        <w:tc>
          <w:tcPr>
            <w:tcW w:w="1960" w:type="dxa"/>
            <w:vAlign w:val="bottom"/>
            <w:tcBorders>
              <w:bottom w:val="single" w:sz="8" w:color="FB4E0B"/>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780" w:type="dxa"/>
            <w:vAlign w:val="bottom"/>
            <w:tcBorders>
              <w:right w:val="single" w:sz="8" w:color="auto"/>
            </w:tcBorders>
          </w:tcPr>
          <w:p>
            <w:pPr>
              <w:spacing w:after="0"/>
              <w:rPr>
                <w:sz w:val="20"/>
                <w:szCs w:val="20"/>
                <w:color w:val="auto"/>
              </w:rPr>
            </w:pPr>
            <w:r>
              <w:rPr>
                <w:rFonts w:ascii="Calibri" w:cs="Calibri" w:eastAsia="Calibri" w:hAnsi="Calibri"/>
                <w:sz w:val="17"/>
                <w:szCs w:val="17"/>
                <w:color w:val="auto"/>
              </w:rPr>
              <w:t>TSR</w:t>
            </w:r>
            <w:r>
              <w:rPr>
                <w:rFonts w:ascii="Calibri" w:cs="Calibri" w:eastAsia="Calibri" w:hAnsi="Calibri"/>
                <w:sz w:val="13"/>
                <w:szCs w:val="13"/>
                <w:b w:val="1"/>
                <w:bCs w:val="1"/>
                <w:color w:val="auto"/>
              </w:rPr>
              <w:t>(1)</w:t>
            </w:r>
          </w:p>
        </w:tc>
        <w:tc>
          <w:tcPr>
            <w:tcW w:w="1960" w:type="dxa"/>
            <w:vAlign w:val="bottom"/>
            <w:tcBorders>
              <w:right w:val="single" w:sz="8" w:color="auto"/>
            </w:tcBorders>
          </w:tcPr>
          <w:p>
            <w:pPr>
              <w:jc w:val="center"/>
              <w:ind w:left="133"/>
              <w:spacing w:after="0"/>
              <w:rPr>
                <w:sz w:val="20"/>
                <w:szCs w:val="20"/>
                <w:color w:val="auto"/>
              </w:rPr>
            </w:pPr>
            <w:r>
              <w:rPr>
                <w:rFonts w:ascii="Calibri" w:cs="Calibri" w:eastAsia="Calibri" w:hAnsi="Calibri"/>
                <w:sz w:val="17"/>
                <w:szCs w:val="17"/>
                <w:color w:val="auto"/>
                <w:w w:val="97"/>
              </w:rPr>
              <w:t>21</w:t>
            </w:r>
            <w:r>
              <w:rPr>
                <w:rFonts w:ascii="Calibri" w:cs="Calibri" w:eastAsia="Calibri" w:hAnsi="Calibri"/>
                <w:sz w:val="13"/>
                <w:szCs w:val="13"/>
                <w:color w:val="auto"/>
                <w:w w:val="97"/>
              </w:rPr>
              <w:t>st</w:t>
            </w:r>
          </w:p>
        </w:tc>
        <w:tc>
          <w:tcPr>
            <w:tcW w:w="1960" w:type="dxa"/>
            <w:vAlign w:val="bottom"/>
            <w:tcBorders>
              <w:right w:val="single" w:sz="8" w:color="auto"/>
            </w:tcBorders>
          </w:tcPr>
          <w:p>
            <w:pPr>
              <w:jc w:val="center"/>
              <w:ind w:left="153"/>
              <w:spacing w:after="0"/>
              <w:rPr>
                <w:sz w:val="20"/>
                <w:szCs w:val="20"/>
                <w:color w:val="auto"/>
              </w:rPr>
            </w:pPr>
            <w:r>
              <w:rPr>
                <w:rFonts w:ascii="Calibri" w:cs="Calibri" w:eastAsia="Calibri" w:hAnsi="Calibri"/>
                <w:sz w:val="17"/>
                <w:szCs w:val="17"/>
                <w:color w:val="auto"/>
                <w:w w:val="98"/>
              </w:rPr>
              <w:t>50</w:t>
            </w:r>
            <w:r>
              <w:rPr>
                <w:rFonts w:ascii="Calibri" w:cs="Calibri" w:eastAsia="Calibri" w:hAnsi="Calibri"/>
                <w:sz w:val="13"/>
                <w:szCs w:val="13"/>
                <w:color w:val="auto"/>
                <w:w w:val="98"/>
              </w:rPr>
              <w:t>th</w:t>
            </w:r>
          </w:p>
        </w:tc>
        <w:tc>
          <w:tcPr>
            <w:tcW w:w="1960" w:type="dxa"/>
            <w:vAlign w:val="bottom"/>
            <w:tcBorders>
              <w:right w:val="single" w:sz="8" w:color="auto"/>
            </w:tcBorders>
          </w:tcPr>
          <w:p>
            <w:pPr>
              <w:jc w:val="center"/>
              <w:ind w:left="153"/>
              <w:spacing w:after="0"/>
              <w:rPr>
                <w:sz w:val="20"/>
                <w:szCs w:val="20"/>
                <w:color w:val="auto"/>
              </w:rPr>
            </w:pPr>
            <w:r>
              <w:rPr>
                <w:rFonts w:ascii="Calibri" w:cs="Calibri" w:eastAsia="Calibri" w:hAnsi="Calibri"/>
                <w:sz w:val="17"/>
                <w:szCs w:val="17"/>
                <w:color w:val="auto"/>
              </w:rPr>
              <w:t>80</w:t>
            </w:r>
            <w:r>
              <w:rPr>
                <w:rFonts w:ascii="Calibri" w:cs="Calibri" w:eastAsia="Calibri" w:hAnsi="Calibri"/>
                <w:sz w:val="13"/>
                <w:szCs w:val="13"/>
                <w:color w:val="auto"/>
              </w:rPr>
              <w:t>th</w:t>
            </w:r>
            <w:r>
              <w:rPr>
                <w:rFonts w:ascii="Calibri" w:cs="Calibri" w:eastAsia="Calibri" w:hAnsi="Calibri"/>
                <w:sz w:val="17"/>
                <w:szCs w:val="17"/>
                <w:color w:val="auto"/>
              </w:rPr>
              <w:t xml:space="preserve"> or &gt;</w:t>
            </w:r>
          </w:p>
        </w:tc>
        <w:tc>
          <w:tcPr>
            <w:tcW w:w="1960" w:type="dxa"/>
            <w:vAlign w:val="bottom"/>
            <w:vMerge w:val="restart"/>
          </w:tcPr>
          <w:p>
            <w:pPr>
              <w:jc w:val="center"/>
              <w:ind w:left="173"/>
              <w:spacing w:after="0"/>
              <w:rPr>
                <w:sz w:val="20"/>
                <w:szCs w:val="20"/>
                <w:color w:val="auto"/>
              </w:rPr>
            </w:pPr>
            <w:r>
              <w:rPr>
                <w:rFonts w:ascii="Calibri" w:cs="Calibri" w:eastAsia="Calibri" w:hAnsi="Calibri"/>
                <w:sz w:val="17"/>
                <w:szCs w:val="17"/>
                <w:color w:val="auto"/>
              </w:rPr>
              <w:t>96</w:t>
            </w:r>
            <w:r>
              <w:rPr>
                <w:rFonts w:ascii="Calibri" w:cs="Calibri" w:eastAsia="Calibri" w:hAnsi="Calibri"/>
                <w:sz w:val="13"/>
                <w:szCs w:val="13"/>
                <w:color w:val="auto"/>
              </w:rPr>
              <w:t>th</w:t>
            </w:r>
            <w:r>
              <w:rPr>
                <w:rFonts w:ascii="Calibri" w:cs="Calibri" w:eastAsia="Calibri" w:hAnsi="Calibri"/>
                <w:sz w:val="17"/>
                <w:szCs w:val="17"/>
                <w:color w:val="auto"/>
              </w:rPr>
              <w:t xml:space="preserve"> percentle</w:t>
            </w: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restart"/>
          </w:tcPr>
          <w:p>
            <w:pPr>
              <w:jc w:val="center"/>
              <w:ind w:left="133"/>
              <w:spacing w:after="0"/>
              <w:rPr>
                <w:sz w:val="20"/>
                <w:szCs w:val="20"/>
                <w:color w:val="auto"/>
              </w:rPr>
            </w:pPr>
            <w:r>
              <w:rPr>
                <w:rFonts w:ascii="Calibri" w:cs="Calibri" w:eastAsia="Calibri" w:hAnsi="Calibri"/>
                <w:sz w:val="17"/>
                <w:szCs w:val="17"/>
                <w:color w:val="auto"/>
              </w:rPr>
              <w:t>percentle</w:t>
            </w:r>
          </w:p>
        </w:tc>
        <w:tc>
          <w:tcPr>
            <w:tcW w:w="1960" w:type="dxa"/>
            <w:vAlign w:val="bottom"/>
            <w:tcBorders>
              <w:right w:val="single" w:sz="8" w:color="auto"/>
            </w:tcBorders>
            <w:vMerge w:val="restart"/>
          </w:tcPr>
          <w:p>
            <w:pPr>
              <w:jc w:val="center"/>
              <w:ind w:left="153"/>
              <w:spacing w:after="0"/>
              <w:rPr>
                <w:sz w:val="20"/>
                <w:szCs w:val="20"/>
                <w:color w:val="auto"/>
              </w:rPr>
            </w:pPr>
            <w:r>
              <w:rPr>
                <w:rFonts w:ascii="Calibri" w:cs="Calibri" w:eastAsia="Calibri" w:hAnsi="Calibri"/>
                <w:sz w:val="17"/>
                <w:szCs w:val="17"/>
                <w:color w:val="auto"/>
              </w:rPr>
              <w:t>percentle</w:t>
            </w:r>
          </w:p>
        </w:tc>
        <w:tc>
          <w:tcPr>
            <w:tcW w:w="1960" w:type="dxa"/>
            <w:vAlign w:val="bottom"/>
            <w:tcBorders>
              <w:right w:val="single" w:sz="8" w:color="auto"/>
            </w:tcBorders>
            <w:vMerge w:val="restart"/>
          </w:tcPr>
          <w:p>
            <w:pPr>
              <w:jc w:val="center"/>
              <w:ind w:left="153"/>
              <w:spacing w:after="0"/>
              <w:rPr>
                <w:sz w:val="20"/>
                <w:szCs w:val="20"/>
                <w:color w:val="auto"/>
              </w:rPr>
            </w:pPr>
            <w:r>
              <w:rPr>
                <w:rFonts w:ascii="Calibri" w:cs="Calibri" w:eastAsia="Calibri" w:hAnsi="Calibri"/>
                <w:sz w:val="17"/>
                <w:szCs w:val="17"/>
                <w:color w:val="auto"/>
              </w:rPr>
              <w:t>percentle</w:t>
            </w: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78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right"/>
        <w:spacing w:after="0"/>
        <w:rPr>
          <w:sz w:val="20"/>
          <w:szCs w:val="20"/>
          <w:color w:val="auto"/>
        </w:rPr>
      </w:pPr>
      <w:r>
        <w:rPr>
          <w:rFonts w:ascii="Calibri" w:cs="Calibri" w:eastAsia="Calibri" w:hAnsi="Calibri"/>
          <w:sz w:val="17"/>
          <w:szCs w:val="17"/>
          <w:color w:val="auto"/>
        </w:rPr>
        <w:t>2021-2023 PSU Final Payout Percentage: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80645</wp:posOffset>
            </wp:positionV>
            <wp:extent cx="6740525" cy="165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166" w:lineRule="exact"/>
        <w:rPr>
          <w:sz w:val="20"/>
          <w:szCs w:val="20"/>
          <w:color w:val="auto"/>
        </w:rPr>
      </w:pPr>
    </w:p>
    <w:p>
      <w:pPr>
        <w:ind w:left="1040" w:right="200" w:hanging="411"/>
        <w:spacing w:after="0" w:line="251" w:lineRule="auto"/>
        <w:tabs>
          <w:tab w:leader="none" w:pos="1040" w:val="left"/>
        </w:tabs>
        <w:numPr>
          <w:ilvl w:val="0"/>
          <w:numId w:val="36"/>
        </w:numPr>
        <w:rPr>
          <w:rFonts w:ascii="Calibri" w:cs="Calibri" w:eastAsia="Calibri" w:hAnsi="Calibri"/>
          <w:sz w:val="13"/>
          <w:szCs w:val="13"/>
          <w:color w:val="auto"/>
        </w:rPr>
      </w:pPr>
      <w:r>
        <w:rPr>
          <w:rFonts w:ascii="Calibri" w:cs="Calibri" w:eastAsia="Calibri" w:hAnsi="Calibri"/>
          <w:sz w:val="13"/>
          <w:szCs w:val="13"/>
          <w:color w:val="auto"/>
        </w:rPr>
        <w:t>As noted above, the TSR peer group for this performance metric is comprised of the public companies traded on either the NYSE or NASDAQ stock markets in our 8-digit Global Industry Classifcaton Standard sub-industry group.</w:t>
      </w:r>
    </w:p>
    <w:p>
      <w:pPr>
        <w:spacing w:after="0" w:line="29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Benefts and perquisites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ofer employee benefts coverage in order to:</w:t>
      </w:r>
    </w:p>
    <w:p>
      <w:pPr>
        <w:spacing w:after="0" w:line="118" w:lineRule="exact"/>
        <w:rPr>
          <w:sz w:val="20"/>
          <w:szCs w:val="20"/>
          <w:color w:val="auto"/>
        </w:rPr>
      </w:pPr>
    </w:p>
    <w:p>
      <w:pPr>
        <w:ind w:left="1140" w:hanging="407"/>
        <w:spacing w:after="0"/>
        <w:tabs>
          <w:tab w:leader="none" w:pos="1140" w:val="left"/>
        </w:tabs>
        <w:numPr>
          <w:ilvl w:val="0"/>
          <w:numId w:val="37"/>
        </w:numPr>
        <w:rPr>
          <w:rFonts w:ascii="Calibri" w:cs="Calibri" w:eastAsia="Calibri" w:hAnsi="Calibri"/>
          <w:sz w:val="17"/>
          <w:szCs w:val="17"/>
          <w:color w:val="auto"/>
        </w:rPr>
      </w:pPr>
      <w:r>
        <w:rPr>
          <w:rFonts w:ascii="Calibri" w:cs="Calibri" w:eastAsia="Calibri" w:hAnsi="Calibri"/>
          <w:sz w:val="17"/>
          <w:szCs w:val="17"/>
          <w:color w:val="auto"/>
        </w:rPr>
        <w:t>provide our global workforce with a reasonable level of fnancial support in the event of illness or injury;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37"/>
        </w:numPr>
        <w:rPr>
          <w:rFonts w:ascii="Calibri" w:cs="Calibri" w:eastAsia="Calibri" w:hAnsi="Calibri"/>
          <w:sz w:val="17"/>
          <w:szCs w:val="17"/>
          <w:color w:val="auto"/>
        </w:rPr>
      </w:pPr>
      <w:r>
        <w:rPr>
          <w:rFonts w:ascii="Calibri" w:cs="Calibri" w:eastAsia="Calibri" w:hAnsi="Calibri"/>
          <w:sz w:val="17"/>
          <w:szCs w:val="17"/>
          <w:color w:val="auto"/>
        </w:rPr>
        <w:t>provide market-compettve benefts that enhance productvity and job satsfacton through programs that focus on work/life balance.</w:t>
      </w:r>
    </w:p>
    <w:p>
      <w:pPr>
        <w:spacing w:after="0" w:line="210" w:lineRule="exact"/>
        <w:rPr>
          <w:sz w:val="20"/>
          <w:szCs w:val="20"/>
          <w:color w:val="auto"/>
        </w:rPr>
      </w:pPr>
    </w:p>
    <w:p>
      <w:pPr>
        <w:ind w:left="320" w:right="360"/>
        <w:spacing w:after="0"/>
        <w:rPr>
          <w:sz w:val="20"/>
          <w:szCs w:val="20"/>
          <w:color w:val="auto"/>
        </w:rPr>
      </w:pPr>
      <w:r>
        <w:rPr>
          <w:rFonts w:ascii="Calibri" w:cs="Calibri" w:eastAsia="Calibri" w:hAnsi="Calibri"/>
          <w:sz w:val="17"/>
          <w:szCs w:val="17"/>
          <w:color w:val="auto"/>
        </w:rPr>
        <w:t>The benefts available for all U.S. employees include customary medical and dental coverage, disability insurance, life insurance and a 401(k) plan. A number of our U.S. employees, including our U.S.-based named executve ofcers, partcipate in these plans. The cost of employee benefts is partally borne by our employees, including our named executve ofcers. Our named executve ofcer in India, Mr. Bhalla, is eligible to partcipate in the Company’s pension beneft, health and welfare and fringe beneft plans otherwise available to executve employees in India.</w:t>
      </w:r>
    </w:p>
    <w:p>
      <w:pPr>
        <w:spacing w:after="0" w:line="211"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We generally do not provide signifcant perquisites or personal benefts to executve ofcers other than our CEO and executve ofcers in India. Our CEO is provided a limited number of perquisites which we believe are reasonable and consistent with market trends, and which are intended to be part of a compettve overall compensaton program. A discussion of the benefts provided to our CEO is provided under “NEO Employment agreements” beginning on page 87.</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Clawback Policy</w:t>
      </w:r>
    </w:p>
    <w:p>
      <w:pPr>
        <w:spacing w:after="0" w:line="115"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In 2023, we updated our clawback policy to bring it into compliance with new NASDAQ listng standards implementng clawback rules under the Dodd-Frank Wall Street Reform and Consumer Protecton Act. In the event a restatement of our fnancial statements is required, incentve-based compensaton ted to a fnancial reportng measure that was “received” under the rules by covered executve ofcers in the three prior completed fscal years will be recalculated (if applicable) based on the updated fnancial statements. Incentve compensaton deemed to have been erroneously received as a result of the restatement will be subject to recoupment. The method of recoupment will be determined by the board or a commitee of the board.</w:t>
      </w:r>
    </w:p>
    <w:p>
      <w:pPr>
        <w:spacing w:after="0" w:line="211" w:lineRule="exact"/>
        <w:rPr>
          <w:sz w:val="20"/>
          <w:szCs w:val="20"/>
          <w:color w:val="auto"/>
        </w:rPr>
      </w:pPr>
    </w:p>
    <w:p>
      <w:pPr>
        <w:jc w:val="both"/>
        <w:ind w:left="320" w:right="80"/>
        <w:spacing w:after="0" w:line="239" w:lineRule="auto"/>
        <w:rPr>
          <w:sz w:val="20"/>
          <w:szCs w:val="20"/>
          <w:color w:val="auto"/>
        </w:rPr>
      </w:pPr>
      <w:r>
        <w:rPr>
          <w:rFonts w:ascii="Calibri" w:cs="Calibri" w:eastAsia="Calibri" w:hAnsi="Calibri"/>
          <w:sz w:val="17"/>
          <w:szCs w:val="17"/>
          <w:color w:val="auto"/>
        </w:rPr>
        <w:t>In additon, our clawback policy contains an additonal recoupment trigger in the event of executve ofcer misconduct. If the board or a commitee of the board determines that an executve violated material Company policies, misstated fnancial or other material informaton about the Company, commited fraud or misconduct, breached a restrictve covenant or other agreement</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80 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48"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with the Company, engaged in other conduct that is detrimental to the business or reputaton of the Company, or was identfed by the Department of Justce as having engaged in wrongdoing (including through supervisory actvity), the board or a commitee of the board may in its sole discreton recoup compensaton (including tme-based equity awards) from that executve ofcer. Amounts recoupable under the misconduct trigger may include compensaton that would not otherwise be subject to recoupment under the NASDAQ listng standards.</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Stock Ownership Policy</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executve stock ownership policy requires:</w:t>
      </w:r>
    </w:p>
    <w:p>
      <w:pPr>
        <w:spacing w:after="0" w:line="119" w:lineRule="exact"/>
        <w:rPr>
          <w:sz w:val="20"/>
          <w:szCs w:val="20"/>
          <w:color w:val="auto"/>
        </w:rPr>
      </w:pPr>
    </w:p>
    <w:p>
      <w:pPr>
        <w:ind w:left="1140" w:right="280" w:hanging="407"/>
        <w:spacing w:after="0" w:line="239" w:lineRule="auto"/>
        <w:tabs>
          <w:tab w:leader="none" w:pos="1140" w:val="left"/>
        </w:tabs>
        <w:numPr>
          <w:ilvl w:val="0"/>
          <w:numId w:val="38"/>
        </w:numPr>
        <w:rPr>
          <w:rFonts w:ascii="Calibri" w:cs="Calibri" w:eastAsia="Calibri" w:hAnsi="Calibri"/>
          <w:sz w:val="17"/>
          <w:szCs w:val="17"/>
          <w:color w:val="auto"/>
        </w:rPr>
      </w:pPr>
      <w:r>
        <w:rPr>
          <w:rFonts w:ascii="Calibri" w:cs="Calibri" w:eastAsia="Calibri" w:hAnsi="Calibri"/>
          <w:sz w:val="17"/>
          <w:szCs w:val="17"/>
          <w:color w:val="auto"/>
        </w:rPr>
        <w:t>Our CEO to maintain aggregate stock ownership equal to at least six tmes his base salary (countng common stock, vested restricted stock units and unvested tme-based restricted stock units) and three tmes his base salary (when excluding unvested tme-based restricted stock units).</w:t>
      </w:r>
    </w:p>
    <w:p>
      <w:pPr>
        <w:spacing w:after="0" w:line="121" w:lineRule="exact"/>
        <w:rPr>
          <w:rFonts w:ascii="Calibri" w:cs="Calibri" w:eastAsia="Calibri" w:hAnsi="Calibri"/>
          <w:sz w:val="17"/>
          <w:szCs w:val="17"/>
          <w:color w:val="auto"/>
        </w:rPr>
      </w:pPr>
    </w:p>
    <w:p>
      <w:pPr>
        <w:ind w:left="1140" w:right="160" w:hanging="407"/>
        <w:spacing w:after="0" w:line="239" w:lineRule="auto"/>
        <w:tabs>
          <w:tab w:leader="none" w:pos="1140" w:val="left"/>
        </w:tabs>
        <w:numPr>
          <w:ilvl w:val="0"/>
          <w:numId w:val="38"/>
        </w:numPr>
        <w:rPr>
          <w:rFonts w:ascii="Calibri" w:cs="Calibri" w:eastAsia="Calibri" w:hAnsi="Calibri"/>
          <w:sz w:val="17"/>
          <w:szCs w:val="17"/>
          <w:color w:val="auto"/>
        </w:rPr>
      </w:pPr>
      <w:r>
        <w:rPr>
          <w:rFonts w:ascii="Calibri" w:cs="Calibri" w:eastAsia="Calibri" w:hAnsi="Calibri"/>
          <w:sz w:val="17"/>
          <w:szCs w:val="17"/>
          <w:color w:val="auto"/>
        </w:rPr>
        <w:t>Other members of our executve commitee (including our named executve ofcers) to maintain aggregate stock ownership equal to at least two tmes their base salary (countng common stock and vested restricted stock units).</w:t>
      </w:r>
    </w:p>
    <w:p>
      <w:pPr>
        <w:spacing w:after="0" w:line="211"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Common stock is counted toward the ownership requirement if it is owned by or for the beneft of the executve, the executve’s spouse or the executve’s children sharing the same household. Unearned performance-based restricted stock units and unexercised optons (including in-the-money optons) do not count toward the ownership requirement.</w:t>
      </w:r>
    </w:p>
    <w:p>
      <w:pPr>
        <w:spacing w:after="0" w:line="2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New executves generally have fve years to meet the ownership requirement, whereas existng executves generally have three years to meet any increased ownership requirements as a result of base salary increases. During the applicable phase-in period, executves generally must retain at least 50% of shares delivered (net of tax) following the vestng of an equity award untl the ownership requirement is met. If the ownership requirement is not met at the end of the phase-in period, executves generally may not sell any shares (other than to satsfy taxes) untl the ownership requirement is met.</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All covered executves were in compliance with the executve stock ownership policy as of the December 15, 2023 measurement date.</w:t>
      </w:r>
    </w:p>
    <w:p>
      <w:pPr>
        <w:spacing w:after="0" w:line="30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Compensaton risk assessment</w:t>
      </w:r>
    </w:p>
    <w:p>
      <w:pPr>
        <w:spacing w:after="0" w:line="115"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Our Compensaton and Talent Management Commitee has taken into account its discussions with management and Farient regarding our compensaton practces and has concluded that any risks arising from our compensaton policies and practces are not reasonably likely to have a material adverse efect on the Company. This conclusion was based on the features of our compensaton programs, practces and policies set forth under “Executve compensaton program, practces and policies” on page 65.</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Severance and change-in-control benefts</w:t>
      </w:r>
    </w:p>
    <w:p>
      <w:pPr>
        <w:spacing w:after="0" w:line="115" w:lineRule="exact"/>
        <w:rPr>
          <w:sz w:val="20"/>
          <w:szCs w:val="20"/>
          <w:color w:val="auto"/>
        </w:rPr>
      </w:pPr>
    </w:p>
    <w:p>
      <w:pPr>
        <w:jc w:val="both"/>
        <w:ind w:left="320" w:right="220"/>
        <w:spacing w:after="0" w:line="239" w:lineRule="auto"/>
        <w:rPr>
          <w:sz w:val="20"/>
          <w:szCs w:val="20"/>
          <w:color w:val="auto"/>
        </w:rPr>
      </w:pPr>
      <w:r>
        <w:rPr>
          <w:rFonts w:ascii="Calibri" w:cs="Calibri" w:eastAsia="Calibri" w:hAnsi="Calibri"/>
          <w:sz w:val="17"/>
          <w:szCs w:val="17"/>
          <w:color w:val="auto"/>
        </w:rPr>
        <w:t>Each named executve ofcer is party to an employment agreement that sets forth the terms of his or her employment, including compensaton, which was negotated through arms’-length contract negotatons. Under these employment agreements or leters, we are obligated to pay severance or other enhanced benefts upon terminaton of their employment. A discussion of the</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81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8"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severance and other enhanced benefts provided to our named executve ofcers is provided under “Potental payments upon terminaton or change in control at fscal 2023 year-end” beginning on page 90.</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have provided change-in-control severance protecton for some of our executve ofcers, including our named executve ofcers. Our Compensaton and Talent Management Commitee believes that such protecton is intended to preserve employee morale and productvity and encourage retenton in the face of the disruptve impact of an actual or rumored change in control. In additon, for executve ofcers, the program is intended to align executve ofcers’ and stockholders’ interests by enabling executve ofcers to consider corporate transactons that are in the best interests of our stockholders and other consttuents without undue concern over whether the transactons may jeopardize the executve ofcers’ own employment.</w:t>
      </w:r>
    </w:p>
    <w:p>
      <w:pPr>
        <w:spacing w:after="0" w:line="211"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Senior executve ofcers, including our named executve ofcers, have enhanced levels of benefts based on their job level, seniority and probable loss of employment afer a change in control. We also consider it likely that it will take more tme for senior executve ofcers to fnd new employment.</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82 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71" w:right="7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Compensaton and Talent Management Commitee Report</w:t>
      </w:r>
    </w:p>
    <w:p>
      <w:pPr>
        <w:spacing w:after="0" w:line="21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Compensaton and Talent Management Commitee of the board of directors of ExlService Holdings, Inc. has reviewed and discussed the Compensaton Discussion and Analysis with our management and, based on such review and discussion, has recommended to the board of directors of ExlService Holdings, Inc. that the Compensaton Discussion and Analysis be included in our Annual Report on Form 10-K for the fscal year ended December 31, 2023, and our Proxy Statement relatng to the Annual Meetng.</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Compensaton and Talent Management Commitee</w:t>
      </w:r>
    </w:p>
    <w:p>
      <w:pPr>
        <w:spacing w:after="0" w:line="105"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Jaynie Studenmund (Chair)</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Som Mital</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Vikram Pandit</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Kristy Pipes</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83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Summary compensaton table for fscal year 2023</w:t>
      </w: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sets forth informaton for compensaton earned in fscal years 2021, 2022 and 2023 by our named executve ofcers:</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2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spacing w:after="0" w:line="167" w:lineRule="exact"/>
              <w:rPr>
                <w:sz w:val="20"/>
                <w:szCs w:val="20"/>
                <w:color w:val="auto"/>
              </w:rPr>
            </w:pPr>
            <w:r>
              <w:rPr>
                <w:rFonts w:ascii="Calibri" w:cs="Calibri" w:eastAsia="Calibri" w:hAnsi="Calibri"/>
                <w:sz w:val="14"/>
                <w:szCs w:val="14"/>
                <w:b w:val="1"/>
                <w:bCs w:val="1"/>
                <w:color w:val="auto"/>
              </w:rPr>
              <w:t>Change in</w:t>
            </w:r>
          </w:p>
        </w:tc>
        <w:tc>
          <w:tcPr>
            <w:tcW w:w="10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6"/>
              </w:rPr>
              <w:t>pension value</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and</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Non-equity</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nonqualifed</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incentve</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deferred</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Stock</w:t>
            </w:r>
          </w:p>
        </w:tc>
        <w:tc>
          <w:tcPr>
            <w:tcW w:w="7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Opton</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4"/>
              </w:rPr>
              <w:t>plan</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All other</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line="169" w:lineRule="exact"/>
              <w:rPr>
                <w:sz w:val="20"/>
                <w:szCs w:val="20"/>
                <w:color w:val="auto"/>
              </w:rPr>
            </w:pPr>
            <w:r>
              <w:rPr>
                <w:rFonts w:ascii="Calibri" w:cs="Calibri" w:eastAsia="Calibri" w:hAnsi="Calibri"/>
                <w:sz w:val="14"/>
                <w:szCs w:val="14"/>
                <w:b w:val="1"/>
                <w:bCs w:val="1"/>
                <w:color w:val="FB4E0B"/>
              </w:rPr>
              <w:t>  Name and</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291"/>
              <w:spacing w:after="0" w:line="169" w:lineRule="exact"/>
              <w:rPr>
                <w:sz w:val="20"/>
                <w:szCs w:val="20"/>
                <w:color w:val="auto"/>
              </w:rPr>
            </w:pPr>
            <w:r>
              <w:rPr>
                <w:rFonts w:ascii="Calibri" w:cs="Calibri" w:eastAsia="Calibri" w:hAnsi="Calibri"/>
                <w:sz w:val="14"/>
                <w:szCs w:val="14"/>
                <w:b w:val="1"/>
                <w:bCs w:val="1"/>
                <w:color w:val="auto"/>
              </w:rPr>
              <w:t>Salary</w:t>
            </w:r>
          </w:p>
        </w:tc>
        <w:tc>
          <w:tcPr>
            <w:tcW w:w="960" w:type="dxa"/>
            <w:vAlign w:val="bottom"/>
          </w:tcPr>
          <w:p>
            <w:pPr>
              <w:jc w:val="right"/>
              <w:ind w:right="251"/>
              <w:spacing w:after="0" w:line="169" w:lineRule="exact"/>
              <w:rPr>
                <w:sz w:val="20"/>
                <w:szCs w:val="20"/>
                <w:color w:val="auto"/>
              </w:rPr>
            </w:pPr>
            <w:r>
              <w:rPr>
                <w:rFonts w:ascii="Calibri" w:cs="Calibri" w:eastAsia="Calibri" w:hAnsi="Calibri"/>
                <w:sz w:val="14"/>
                <w:szCs w:val="14"/>
                <w:b w:val="1"/>
                <w:bCs w:val="1"/>
                <w:color w:val="auto"/>
              </w:rPr>
              <w:t>Bonus</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4"/>
              </w:rPr>
              <w:t>awards</w:t>
            </w:r>
          </w:p>
        </w:tc>
        <w:tc>
          <w:tcPr>
            <w:tcW w:w="7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4"/>
              </w:rPr>
              <w:t>awards</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10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earnings</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400" w:type="dxa"/>
            <w:vAlign w:val="bottom"/>
          </w:tcPr>
          <w:p>
            <w:pPr>
              <w:spacing w:after="0"/>
              <w:rPr>
                <w:sz w:val="14"/>
                <w:szCs w:val="14"/>
                <w:color w:val="auto"/>
              </w:rPr>
            </w:pPr>
          </w:p>
        </w:tc>
        <w:tc>
          <w:tcPr>
            <w:tcW w:w="940" w:type="dxa"/>
            <w:vAlign w:val="bottom"/>
          </w:tcPr>
          <w:p>
            <w:pPr>
              <w:jc w:val="right"/>
              <w:ind w:right="251"/>
              <w:spacing w:after="0" w:line="169" w:lineRule="exact"/>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252"/>
        </w:trPr>
        <w:tc>
          <w:tcPr>
            <w:tcW w:w="2120" w:type="dxa"/>
            <w:vAlign w:val="bottom"/>
            <w:tcBorders>
              <w:bottom w:val="single" w:sz="8" w:color="auto"/>
            </w:tcBorders>
          </w:tcPr>
          <w:p>
            <w:pPr>
              <w:spacing w:after="0" w:line="169" w:lineRule="exact"/>
              <w:rPr>
                <w:sz w:val="20"/>
                <w:szCs w:val="20"/>
                <w:color w:val="auto"/>
              </w:rPr>
            </w:pPr>
            <w:r>
              <w:rPr>
                <w:rFonts w:ascii="Calibri" w:cs="Calibri" w:eastAsia="Calibri" w:hAnsi="Calibri"/>
                <w:sz w:val="14"/>
                <w:szCs w:val="14"/>
                <w:b w:val="1"/>
                <w:bCs w:val="1"/>
                <w:color w:val="FB4E0B"/>
              </w:rPr>
              <w:t>  principal positon</w:t>
            </w:r>
          </w:p>
        </w:tc>
        <w:tc>
          <w:tcPr>
            <w:tcW w:w="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b w:val="1"/>
                <w:bCs w:val="1"/>
                <w:color w:val="auto"/>
              </w:rPr>
              <w:t>Year</w:t>
            </w:r>
          </w:p>
        </w:tc>
        <w:tc>
          <w:tcPr>
            <w:tcW w:w="960" w:type="dxa"/>
            <w:vAlign w:val="bottom"/>
            <w:tcBorders>
              <w:bottom w:val="single" w:sz="8" w:color="auto"/>
            </w:tcBorders>
          </w:tcPr>
          <w:p>
            <w:pPr>
              <w:jc w:val="right"/>
              <w:ind w:right="331"/>
              <w:spacing w:after="0"/>
              <w:rPr>
                <w:sz w:val="20"/>
                <w:szCs w:val="20"/>
                <w:color w:val="auto"/>
              </w:rPr>
            </w:pPr>
            <w:r>
              <w:rPr>
                <w:rFonts w:ascii="Calibri" w:cs="Calibri" w:eastAsia="Calibri" w:hAnsi="Calibri"/>
                <w:sz w:val="14"/>
                <w:szCs w:val="14"/>
                <w:b w:val="1"/>
                <w:bCs w:val="1"/>
                <w:color w:val="auto"/>
              </w:rPr>
              <w:t>($)</w:t>
            </w:r>
            <w:r>
              <w:rPr>
                <w:rFonts w:ascii="Calibri" w:cs="Calibri" w:eastAsia="Calibri" w:hAnsi="Calibri"/>
                <w:sz w:val="20"/>
                <w:szCs w:val="20"/>
                <w:b w:val="1"/>
                <w:bCs w:val="1"/>
                <w:color w:val="auto"/>
                <w:vertAlign w:val="superscript"/>
              </w:rPr>
              <w:t>(1)</w:t>
            </w:r>
          </w:p>
        </w:tc>
        <w:tc>
          <w:tcPr>
            <w:tcW w:w="960" w:type="dxa"/>
            <w:vAlign w:val="bottom"/>
            <w:tcBorders>
              <w:bottom w:val="single" w:sz="8" w:color="auto"/>
            </w:tcBorders>
          </w:tcPr>
          <w:p>
            <w:pPr>
              <w:jc w:val="right"/>
              <w:ind w:right="291"/>
              <w:spacing w:after="0"/>
              <w:rPr>
                <w:sz w:val="20"/>
                <w:szCs w:val="20"/>
                <w:color w:val="auto"/>
              </w:rPr>
            </w:pPr>
            <w:r>
              <w:rPr>
                <w:rFonts w:ascii="Calibri" w:cs="Calibri" w:eastAsia="Calibri" w:hAnsi="Calibri"/>
                <w:sz w:val="14"/>
                <w:szCs w:val="14"/>
                <w:b w:val="1"/>
                <w:bCs w:val="1"/>
                <w:color w:val="auto"/>
              </w:rPr>
              <w:t>($)</w:t>
            </w:r>
            <w:r>
              <w:rPr>
                <w:rFonts w:ascii="Calibri" w:cs="Calibri" w:eastAsia="Calibri" w:hAnsi="Calibri"/>
                <w:sz w:val="20"/>
                <w:szCs w:val="20"/>
                <w:b w:val="1"/>
                <w:bCs w:val="1"/>
                <w:color w:val="auto"/>
                <w:vertAlign w:val="superscript"/>
              </w:rPr>
              <w:t>(2)</w:t>
            </w:r>
          </w:p>
        </w:tc>
        <w:tc>
          <w:tcPr>
            <w:tcW w:w="8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(3)</w:t>
            </w:r>
          </w:p>
        </w:tc>
        <w:tc>
          <w:tcPr>
            <w:tcW w:w="7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(3)</w:t>
            </w:r>
          </w:p>
        </w:tc>
        <w:tc>
          <w:tcPr>
            <w:tcW w:w="104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(4)</w:t>
            </w:r>
          </w:p>
        </w:tc>
        <w:tc>
          <w:tcPr>
            <w:tcW w:w="10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83"/>
              </w:rPr>
              <w:t>($)</w:t>
            </w:r>
            <w:r>
              <w:rPr>
                <w:rFonts w:ascii="Calibri" w:cs="Calibri" w:eastAsia="Calibri" w:hAnsi="Calibri"/>
                <w:sz w:val="20"/>
                <w:szCs w:val="20"/>
                <w:b w:val="1"/>
                <w:bCs w:val="1"/>
                <w:color w:val="auto"/>
                <w:w w:val="83"/>
                <w:vertAlign w:val="superscript"/>
              </w:rPr>
              <w:t>(5)</w:t>
            </w:r>
          </w:p>
        </w:tc>
        <w:tc>
          <w:tcPr>
            <w:tcW w:w="104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1"/>
              <w:spacing w:after="0" w:line="169" w:lineRule="exact"/>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159"/>
        </w:trPr>
        <w:tc>
          <w:tcPr>
            <w:tcW w:w="2120" w:type="dxa"/>
            <w:vAlign w:val="bottom"/>
          </w:tcPr>
          <w:p>
            <w:pPr>
              <w:spacing w:after="0" w:line="159" w:lineRule="exact"/>
              <w:rPr>
                <w:sz w:val="20"/>
                <w:szCs w:val="20"/>
                <w:color w:val="auto"/>
              </w:rPr>
            </w:pPr>
            <w:r>
              <w:rPr>
                <w:rFonts w:ascii="Calibri" w:cs="Calibri" w:eastAsia="Calibri" w:hAnsi="Calibri"/>
                <w:sz w:val="14"/>
                <w:szCs w:val="14"/>
                <w:b w:val="1"/>
                <w:bCs w:val="1"/>
                <w:color w:val="auto"/>
              </w:rPr>
              <w:t>  Rohit Kapoor</w:t>
            </w:r>
          </w:p>
        </w:tc>
        <w:tc>
          <w:tcPr>
            <w:tcW w:w="540" w:type="dxa"/>
            <w:vAlign w:val="bottom"/>
            <w:gridSpan w:val="2"/>
          </w:tcPr>
          <w:p>
            <w:pPr>
              <w:ind w:left="220"/>
              <w:spacing w:after="0" w:line="159" w:lineRule="exact"/>
              <w:rPr>
                <w:sz w:val="20"/>
                <w:szCs w:val="20"/>
                <w:color w:val="auto"/>
              </w:rPr>
            </w:pPr>
            <w:r>
              <w:rPr>
                <w:rFonts w:ascii="Calibri" w:cs="Calibri" w:eastAsia="Calibri" w:hAnsi="Calibri"/>
                <w:sz w:val="14"/>
                <w:szCs w:val="14"/>
                <w:color w:val="auto"/>
              </w:rPr>
              <w:t>2023</w:t>
            </w:r>
          </w:p>
        </w:tc>
        <w:tc>
          <w:tcPr>
            <w:tcW w:w="960" w:type="dxa"/>
            <w:vAlign w:val="bottom"/>
          </w:tcPr>
          <w:p>
            <w:pPr>
              <w:jc w:val="right"/>
              <w:ind w:right="211"/>
              <w:spacing w:after="0" w:line="159" w:lineRule="exact"/>
              <w:rPr>
                <w:sz w:val="20"/>
                <w:szCs w:val="20"/>
                <w:color w:val="auto"/>
              </w:rPr>
            </w:pPr>
            <w:r>
              <w:rPr>
                <w:rFonts w:ascii="Calibri" w:cs="Calibri" w:eastAsia="Calibri" w:hAnsi="Calibri"/>
                <w:sz w:val="14"/>
                <w:szCs w:val="14"/>
                <w:color w:val="auto"/>
              </w:rPr>
              <w:t>815,000</w:t>
            </w:r>
          </w:p>
        </w:tc>
        <w:tc>
          <w:tcPr>
            <w:tcW w:w="960" w:type="dxa"/>
            <w:vAlign w:val="bottom"/>
          </w:tcPr>
          <w:p>
            <w:pPr>
              <w:jc w:val="right"/>
              <w:ind w:right="171"/>
              <w:spacing w:after="0" w:line="159" w:lineRule="exact"/>
              <w:rPr>
                <w:sz w:val="20"/>
                <w:szCs w:val="20"/>
                <w:color w:val="auto"/>
              </w:rPr>
            </w:pPr>
            <w:r>
              <w:rPr>
                <w:rFonts w:ascii="Calibri" w:cs="Calibri" w:eastAsia="Calibri" w:hAnsi="Calibri"/>
                <w:sz w:val="14"/>
                <w:szCs w:val="14"/>
                <w:color w:val="auto"/>
              </w:rPr>
              <w:t>—</w:t>
            </w:r>
          </w:p>
        </w:tc>
        <w:tc>
          <w:tcPr>
            <w:tcW w:w="820" w:type="dxa"/>
            <w:vAlign w:val="bottom"/>
          </w:tcPr>
          <w:p>
            <w:pPr>
              <w:jc w:val="right"/>
              <w:ind w:right="71"/>
              <w:spacing w:after="0" w:line="159" w:lineRule="exact"/>
              <w:rPr>
                <w:sz w:val="20"/>
                <w:szCs w:val="20"/>
                <w:color w:val="auto"/>
              </w:rPr>
            </w:pPr>
            <w:r>
              <w:rPr>
                <w:rFonts w:ascii="Calibri" w:cs="Calibri" w:eastAsia="Calibri" w:hAnsi="Calibri"/>
                <w:sz w:val="14"/>
                <w:szCs w:val="14"/>
                <w:color w:val="auto"/>
              </w:rPr>
              <w:t>9,982,605</w:t>
            </w:r>
          </w:p>
        </w:tc>
        <w:tc>
          <w:tcPr>
            <w:tcW w:w="78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1,514,253</w:t>
            </w:r>
          </w:p>
        </w:tc>
        <w:tc>
          <w:tcPr>
            <w:tcW w:w="102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51"/>
              <w:spacing w:after="0" w:line="159" w:lineRule="exact"/>
              <w:rPr>
                <w:sz w:val="20"/>
                <w:szCs w:val="20"/>
                <w:color w:val="auto"/>
              </w:rPr>
            </w:pPr>
            <w:r>
              <w:rPr>
                <w:rFonts w:ascii="Calibri" w:cs="Calibri" w:eastAsia="Calibri" w:hAnsi="Calibri"/>
                <w:sz w:val="14"/>
                <w:szCs w:val="14"/>
                <w:color w:val="auto"/>
              </w:rPr>
              <w:t>34,148</w:t>
            </w:r>
          </w:p>
        </w:tc>
        <w:tc>
          <w:tcPr>
            <w:tcW w:w="400" w:type="dxa"/>
            <w:vAlign w:val="bottom"/>
          </w:tcPr>
          <w:p>
            <w:pPr>
              <w:jc w:val="center"/>
              <w:spacing w:after="0"/>
              <w:rPr>
                <w:sz w:val="20"/>
                <w:szCs w:val="20"/>
                <w:color w:val="auto"/>
              </w:rPr>
            </w:pPr>
            <w:r>
              <w:rPr>
                <w:rFonts w:ascii="Calibri" w:cs="Calibri" w:eastAsia="Calibri" w:hAnsi="Calibri"/>
                <w:sz w:val="10"/>
                <w:szCs w:val="10"/>
                <w:color w:val="auto"/>
              </w:rPr>
              <w:t>(7)</w:t>
            </w:r>
          </w:p>
        </w:tc>
        <w:tc>
          <w:tcPr>
            <w:tcW w:w="940" w:type="dxa"/>
            <w:vAlign w:val="bottom"/>
          </w:tcPr>
          <w:p>
            <w:pPr>
              <w:jc w:val="right"/>
              <w:ind w:right="11"/>
              <w:spacing w:after="0" w:line="159" w:lineRule="exact"/>
              <w:rPr>
                <w:sz w:val="20"/>
                <w:szCs w:val="20"/>
                <w:color w:val="auto"/>
              </w:rPr>
            </w:pPr>
            <w:r>
              <w:rPr>
                <w:rFonts w:ascii="Calibri" w:cs="Calibri" w:eastAsia="Calibri" w:hAnsi="Calibri"/>
                <w:sz w:val="14"/>
                <w:szCs w:val="14"/>
                <w:color w:val="auto"/>
              </w:rPr>
              <w:t xml:space="preserve">12,346,006   </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20"/>
                <w:szCs w:val="20"/>
                <w:color w:val="auto"/>
              </w:rPr>
            </w:pPr>
            <w:r>
              <w:rPr>
                <w:rFonts w:ascii="Calibri" w:cs="Calibri" w:eastAsia="Calibri" w:hAnsi="Calibri"/>
                <w:sz w:val="14"/>
                <w:szCs w:val="14"/>
                <w:color w:val="auto"/>
              </w:rPr>
              <w:t>  Chair &amp; CEO</w:t>
            </w:r>
          </w:p>
        </w:tc>
        <w:tc>
          <w:tcPr>
            <w:tcW w:w="540" w:type="dxa"/>
            <w:vAlign w:val="bottom"/>
            <w:gridSpan w:val="2"/>
          </w:tcPr>
          <w:p>
            <w:pPr>
              <w:ind w:left="220"/>
              <w:spacing w:after="0"/>
              <w:rPr>
                <w:sz w:val="20"/>
                <w:szCs w:val="20"/>
                <w:color w:val="auto"/>
              </w:rPr>
            </w:pPr>
            <w:r>
              <w:rPr>
                <w:rFonts w:ascii="Calibri" w:cs="Calibri" w:eastAsia="Calibri" w:hAnsi="Calibri"/>
                <w:sz w:val="14"/>
                <w:szCs w:val="14"/>
                <w:color w:val="auto"/>
              </w:rPr>
              <w:t>2022</w:t>
            </w:r>
          </w:p>
        </w:tc>
        <w:tc>
          <w:tcPr>
            <w:tcW w:w="960" w:type="dxa"/>
            <w:vAlign w:val="bottom"/>
          </w:tcPr>
          <w:p>
            <w:pPr>
              <w:jc w:val="right"/>
              <w:ind w:right="211"/>
              <w:spacing w:after="0"/>
              <w:rPr>
                <w:sz w:val="20"/>
                <w:szCs w:val="20"/>
                <w:color w:val="auto"/>
              </w:rPr>
            </w:pPr>
            <w:r>
              <w:rPr>
                <w:rFonts w:ascii="Calibri" w:cs="Calibri" w:eastAsia="Calibri" w:hAnsi="Calibri"/>
                <w:sz w:val="14"/>
                <w:szCs w:val="14"/>
                <w:color w:val="auto"/>
              </w:rPr>
              <w:t>766,384</w:t>
            </w:r>
          </w:p>
        </w:tc>
        <w:tc>
          <w:tcPr>
            <w:tcW w:w="960" w:type="dxa"/>
            <w:vAlign w:val="bottom"/>
          </w:tcPr>
          <w:p>
            <w:pPr>
              <w:jc w:val="right"/>
              <w:ind w:right="17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71"/>
              <w:spacing w:after="0"/>
              <w:rPr>
                <w:sz w:val="20"/>
                <w:szCs w:val="20"/>
                <w:color w:val="auto"/>
              </w:rPr>
            </w:pPr>
            <w:r>
              <w:rPr>
                <w:rFonts w:ascii="Calibri" w:cs="Calibri" w:eastAsia="Calibri" w:hAnsi="Calibri"/>
                <w:sz w:val="14"/>
                <w:szCs w:val="14"/>
                <w:color w:val="auto"/>
              </w:rPr>
              <w:t>8,356,213</w:t>
            </w:r>
          </w:p>
        </w:tc>
        <w:tc>
          <w:tcPr>
            <w:tcW w:w="78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1,829,887</w:t>
            </w:r>
          </w:p>
        </w:tc>
        <w:tc>
          <w:tcPr>
            <w:tcW w:w="102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58,423</w:t>
            </w:r>
          </w:p>
        </w:tc>
        <w:tc>
          <w:tcPr>
            <w:tcW w:w="400" w:type="dxa"/>
            <w:vAlign w:val="bottom"/>
          </w:tcPr>
          <w:p>
            <w:pPr>
              <w:spacing w:after="0"/>
              <w:rPr>
                <w:sz w:val="15"/>
                <w:szCs w:val="15"/>
                <w:color w:val="auto"/>
              </w:rPr>
            </w:pPr>
          </w:p>
        </w:tc>
        <w:tc>
          <w:tcPr>
            <w:tcW w:w="940" w:type="dxa"/>
            <w:vAlign w:val="bottom"/>
          </w:tcPr>
          <w:p>
            <w:pPr>
              <w:jc w:val="right"/>
              <w:ind w:right="11"/>
              <w:spacing w:after="0"/>
              <w:rPr>
                <w:sz w:val="20"/>
                <w:szCs w:val="20"/>
                <w:color w:val="auto"/>
              </w:rPr>
            </w:pPr>
            <w:r>
              <w:rPr>
                <w:rFonts w:ascii="Calibri" w:cs="Calibri" w:eastAsia="Calibri" w:hAnsi="Calibri"/>
                <w:sz w:val="14"/>
                <w:szCs w:val="14"/>
                <w:color w:val="auto"/>
              </w:rPr>
              <w:t xml:space="preserve">11,010,906   </w:t>
            </w:r>
          </w:p>
        </w:tc>
        <w:tc>
          <w:tcPr>
            <w:tcW w:w="0" w:type="dxa"/>
            <w:vAlign w:val="bottom"/>
          </w:tcPr>
          <w:p>
            <w:pPr>
              <w:spacing w:after="0"/>
              <w:rPr>
                <w:sz w:val="1"/>
                <w:szCs w:val="1"/>
                <w:color w:val="auto"/>
              </w:rPr>
            </w:pPr>
          </w:p>
        </w:tc>
      </w:tr>
      <w:tr>
        <w:trPr>
          <w:trHeight w:val="204"/>
        </w:trPr>
        <w:tc>
          <w:tcPr>
            <w:tcW w:w="2120" w:type="dxa"/>
            <w:vAlign w:val="bottom"/>
          </w:tcPr>
          <w:p>
            <w:pPr>
              <w:spacing w:after="0"/>
              <w:rPr>
                <w:sz w:val="17"/>
                <w:szCs w:val="17"/>
                <w:color w:val="auto"/>
              </w:rPr>
            </w:pPr>
          </w:p>
        </w:tc>
        <w:tc>
          <w:tcPr>
            <w:tcW w:w="540" w:type="dxa"/>
            <w:vAlign w:val="bottom"/>
            <w:gridSpan w:val="2"/>
          </w:tcPr>
          <w:p>
            <w:pPr>
              <w:ind w:left="220"/>
              <w:spacing w:after="0"/>
              <w:rPr>
                <w:sz w:val="20"/>
                <w:szCs w:val="20"/>
                <w:color w:val="auto"/>
              </w:rPr>
            </w:pPr>
            <w:r>
              <w:rPr>
                <w:rFonts w:ascii="Calibri" w:cs="Calibri" w:eastAsia="Calibri" w:hAnsi="Calibri"/>
                <w:sz w:val="14"/>
                <w:szCs w:val="14"/>
                <w:color w:val="auto"/>
              </w:rPr>
              <w:t>2021</w:t>
            </w:r>
          </w:p>
        </w:tc>
        <w:tc>
          <w:tcPr>
            <w:tcW w:w="960" w:type="dxa"/>
            <w:vAlign w:val="bottom"/>
          </w:tcPr>
          <w:p>
            <w:pPr>
              <w:jc w:val="right"/>
              <w:ind w:right="211"/>
              <w:spacing w:after="0"/>
              <w:rPr>
                <w:sz w:val="20"/>
                <w:szCs w:val="20"/>
                <w:color w:val="auto"/>
              </w:rPr>
            </w:pPr>
            <w:r>
              <w:rPr>
                <w:rFonts w:ascii="Calibri" w:cs="Calibri" w:eastAsia="Calibri" w:hAnsi="Calibri"/>
                <w:sz w:val="14"/>
                <w:szCs w:val="14"/>
                <w:color w:val="auto"/>
              </w:rPr>
              <w:t>742,603</w:t>
            </w:r>
          </w:p>
        </w:tc>
        <w:tc>
          <w:tcPr>
            <w:tcW w:w="960" w:type="dxa"/>
            <w:vAlign w:val="bottom"/>
          </w:tcPr>
          <w:p>
            <w:pPr>
              <w:jc w:val="right"/>
              <w:ind w:right="17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71"/>
              <w:spacing w:after="0"/>
              <w:rPr>
                <w:sz w:val="20"/>
                <w:szCs w:val="20"/>
                <w:color w:val="auto"/>
              </w:rPr>
            </w:pPr>
            <w:r>
              <w:rPr>
                <w:rFonts w:ascii="Calibri" w:cs="Calibri" w:eastAsia="Calibri" w:hAnsi="Calibri"/>
                <w:sz w:val="14"/>
                <w:szCs w:val="14"/>
                <w:color w:val="auto"/>
              </w:rPr>
              <w:t>7,209,918</w:t>
            </w:r>
          </w:p>
        </w:tc>
        <w:tc>
          <w:tcPr>
            <w:tcW w:w="78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2,050,000</w:t>
            </w:r>
          </w:p>
        </w:tc>
        <w:tc>
          <w:tcPr>
            <w:tcW w:w="102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31,068</w:t>
            </w:r>
          </w:p>
        </w:tc>
        <w:tc>
          <w:tcPr>
            <w:tcW w:w="400" w:type="dxa"/>
            <w:vAlign w:val="bottom"/>
          </w:tcPr>
          <w:p>
            <w:pPr>
              <w:spacing w:after="0"/>
              <w:rPr>
                <w:sz w:val="17"/>
                <w:szCs w:val="17"/>
                <w:color w:val="auto"/>
              </w:rPr>
            </w:pPr>
          </w:p>
        </w:tc>
        <w:tc>
          <w:tcPr>
            <w:tcW w:w="940" w:type="dxa"/>
            <w:vAlign w:val="bottom"/>
          </w:tcPr>
          <w:p>
            <w:pPr>
              <w:jc w:val="right"/>
              <w:ind w:right="11"/>
              <w:spacing w:after="0"/>
              <w:rPr>
                <w:sz w:val="20"/>
                <w:szCs w:val="20"/>
                <w:color w:val="auto"/>
              </w:rPr>
            </w:pPr>
            <w:r>
              <w:rPr>
                <w:rFonts w:ascii="Calibri" w:cs="Calibri" w:eastAsia="Calibri" w:hAnsi="Calibri"/>
                <w:sz w:val="14"/>
                <w:szCs w:val="14"/>
                <w:color w:val="auto"/>
              </w:rPr>
              <w:t xml:space="preserve">10,033,589   </w:t>
            </w:r>
          </w:p>
        </w:tc>
        <w:tc>
          <w:tcPr>
            <w:tcW w:w="0" w:type="dxa"/>
            <w:vAlign w:val="bottom"/>
          </w:tcPr>
          <w:p>
            <w:pPr>
              <w:spacing w:after="0"/>
              <w:rPr>
                <w:sz w:val="1"/>
                <w:szCs w:val="1"/>
                <w:color w:val="auto"/>
              </w:rPr>
            </w:pPr>
          </w:p>
        </w:tc>
      </w:tr>
      <w:tr>
        <w:trPr>
          <w:trHeight w:val="186"/>
        </w:trPr>
        <w:tc>
          <w:tcPr>
            <w:tcW w:w="2120" w:type="dxa"/>
            <w:vAlign w:val="bottom"/>
            <w:shd w:val="clear" w:color="auto" w:fill="DCF3FA"/>
          </w:tcPr>
          <w:p>
            <w:pPr>
              <w:spacing w:after="0"/>
              <w:rPr>
                <w:sz w:val="20"/>
                <w:szCs w:val="20"/>
                <w:color w:val="auto"/>
              </w:rPr>
            </w:pPr>
            <w:r>
              <w:rPr>
                <w:rFonts w:ascii="Calibri" w:cs="Calibri" w:eastAsia="Calibri" w:hAnsi="Calibri"/>
                <w:sz w:val="14"/>
                <w:szCs w:val="14"/>
                <w:b w:val="1"/>
                <w:bCs w:val="1"/>
                <w:color w:val="auto"/>
              </w:rPr>
              <w:t>  Maurizio Nicolelli</w:t>
            </w:r>
          </w:p>
        </w:tc>
        <w:tc>
          <w:tcPr>
            <w:tcW w:w="540" w:type="dxa"/>
            <w:vAlign w:val="bottom"/>
            <w:gridSpan w:val="2"/>
            <w:shd w:val="clear" w:color="auto" w:fill="DCF3FA"/>
          </w:tcPr>
          <w:p>
            <w:pPr>
              <w:ind w:left="220"/>
              <w:spacing w:after="0"/>
              <w:rPr>
                <w:sz w:val="20"/>
                <w:szCs w:val="20"/>
                <w:color w:val="auto"/>
              </w:rPr>
            </w:pPr>
            <w:r>
              <w:rPr>
                <w:rFonts w:ascii="Calibri" w:cs="Calibri" w:eastAsia="Calibri" w:hAnsi="Calibri"/>
                <w:sz w:val="14"/>
                <w:szCs w:val="14"/>
                <w:color w:val="auto"/>
              </w:rPr>
              <w:t>2023</w:t>
            </w:r>
          </w:p>
        </w:tc>
        <w:tc>
          <w:tcPr>
            <w:tcW w:w="960" w:type="dxa"/>
            <w:vAlign w:val="bottom"/>
            <w:shd w:val="clear" w:color="auto" w:fill="DCF3FA"/>
          </w:tcPr>
          <w:p>
            <w:pPr>
              <w:jc w:val="right"/>
              <w:ind w:right="211"/>
              <w:spacing w:after="0"/>
              <w:rPr>
                <w:sz w:val="20"/>
                <w:szCs w:val="20"/>
                <w:color w:val="auto"/>
              </w:rPr>
            </w:pPr>
            <w:r>
              <w:rPr>
                <w:rFonts w:ascii="Calibri" w:cs="Calibri" w:eastAsia="Calibri" w:hAnsi="Calibri"/>
                <w:sz w:val="14"/>
                <w:szCs w:val="14"/>
                <w:color w:val="auto"/>
              </w:rPr>
              <w:t>510,000</w:t>
            </w:r>
          </w:p>
        </w:tc>
        <w:tc>
          <w:tcPr>
            <w:tcW w:w="960" w:type="dxa"/>
            <w:vAlign w:val="bottom"/>
            <w:shd w:val="clear" w:color="auto" w:fill="DCF3FA"/>
          </w:tcPr>
          <w:p>
            <w:pPr>
              <w:jc w:val="right"/>
              <w:ind w:right="171"/>
              <w:spacing w:after="0"/>
              <w:rPr>
                <w:sz w:val="20"/>
                <w:szCs w:val="20"/>
                <w:color w:val="auto"/>
              </w:rPr>
            </w:pPr>
            <w:r>
              <w:rPr>
                <w:rFonts w:ascii="Calibri" w:cs="Calibri" w:eastAsia="Calibri" w:hAnsi="Calibri"/>
                <w:sz w:val="14"/>
                <w:szCs w:val="14"/>
                <w:color w:val="auto"/>
              </w:rPr>
              <w:t>—</w:t>
            </w:r>
          </w:p>
        </w:tc>
        <w:tc>
          <w:tcPr>
            <w:tcW w:w="820" w:type="dxa"/>
            <w:vAlign w:val="bottom"/>
            <w:shd w:val="clear" w:color="auto" w:fill="DCF3FA"/>
          </w:tcPr>
          <w:p>
            <w:pPr>
              <w:jc w:val="right"/>
              <w:ind w:right="71"/>
              <w:spacing w:after="0"/>
              <w:rPr>
                <w:sz w:val="20"/>
                <w:szCs w:val="20"/>
                <w:color w:val="auto"/>
              </w:rPr>
            </w:pPr>
            <w:r>
              <w:rPr>
                <w:rFonts w:ascii="Calibri" w:cs="Calibri" w:eastAsia="Calibri" w:hAnsi="Calibri"/>
                <w:sz w:val="14"/>
                <w:szCs w:val="14"/>
                <w:color w:val="auto"/>
              </w:rPr>
              <w:t>1,570,763</w:t>
            </w:r>
          </w:p>
        </w:tc>
        <w:tc>
          <w:tcPr>
            <w:tcW w:w="780" w:type="dxa"/>
            <w:vAlign w:val="bottom"/>
            <w:shd w:val="clear" w:color="auto" w:fill="DCF3FA"/>
          </w:tcPr>
          <w:p>
            <w:pPr>
              <w:jc w:val="right"/>
              <w:ind w:right="31"/>
              <w:spacing w:after="0"/>
              <w:rPr>
                <w:sz w:val="20"/>
                <w:szCs w:val="20"/>
                <w:color w:val="auto"/>
              </w:rPr>
            </w:pPr>
            <w:r>
              <w:rPr>
                <w:rFonts w:ascii="Calibri" w:cs="Calibri" w:eastAsia="Calibri" w:hAnsi="Calibri"/>
                <w:sz w:val="14"/>
                <w:szCs w:val="14"/>
                <w:color w:val="auto"/>
              </w:rPr>
              <w:t>1,615,392</w:t>
            </w:r>
          </w:p>
        </w:tc>
        <w:tc>
          <w:tcPr>
            <w:tcW w:w="1040" w:type="dxa"/>
            <w:vAlign w:val="bottom"/>
            <w:shd w:val="clear" w:color="auto" w:fill="DCF3FA"/>
          </w:tcPr>
          <w:p>
            <w:pPr>
              <w:jc w:val="right"/>
              <w:ind w:right="31"/>
              <w:spacing w:after="0"/>
              <w:rPr>
                <w:sz w:val="20"/>
                <w:szCs w:val="20"/>
                <w:color w:val="auto"/>
              </w:rPr>
            </w:pPr>
            <w:r>
              <w:rPr>
                <w:rFonts w:ascii="Calibri" w:cs="Calibri" w:eastAsia="Calibri" w:hAnsi="Calibri"/>
                <w:sz w:val="14"/>
                <w:szCs w:val="14"/>
                <w:color w:val="auto"/>
              </w:rPr>
              <w:t>459,441</w:t>
            </w:r>
          </w:p>
        </w:tc>
        <w:tc>
          <w:tcPr>
            <w:tcW w:w="1020" w:type="dxa"/>
            <w:vAlign w:val="bottom"/>
            <w:shd w:val="clear" w:color="auto" w:fill="DCF3FA"/>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CF3FA"/>
          </w:tcPr>
          <w:p>
            <w:pPr>
              <w:jc w:val="right"/>
              <w:ind w:right="51"/>
              <w:spacing w:after="0"/>
              <w:rPr>
                <w:sz w:val="20"/>
                <w:szCs w:val="20"/>
                <w:color w:val="auto"/>
              </w:rPr>
            </w:pPr>
            <w:r>
              <w:rPr>
                <w:rFonts w:ascii="Calibri" w:cs="Calibri" w:eastAsia="Calibri" w:hAnsi="Calibri"/>
                <w:sz w:val="14"/>
                <w:szCs w:val="14"/>
                <w:color w:val="auto"/>
              </w:rPr>
              <w:t>10,947</w:t>
            </w:r>
          </w:p>
        </w:tc>
        <w:tc>
          <w:tcPr>
            <w:tcW w:w="400" w:type="dxa"/>
            <w:vAlign w:val="bottom"/>
            <w:shd w:val="clear" w:color="auto" w:fill="DCF3FA"/>
          </w:tcPr>
          <w:p>
            <w:pPr>
              <w:jc w:val="center"/>
              <w:spacing w:after="0"/>
              <w:rPr>
                <w:sz w:val="20"/>
                <w:szCs w:val="20"/>
                <w:color w:val="auto"/>
              </w:rPr>
            </w:pPr>
            <w:r>
              <w:rPr>
                <w:rFonts w:ascii="Calibri" w:cs="Calibri" w:eastAsia="Calibri" w:hAnsi="Calibri"/>
                <w:sz w:val="10"/>
                <w:szCs w:val="10"/>
                <w:color w:val="auto"/>
              </w:rPr>
              <w:t>(8)</w:t>
            </w:r>
          </w:p>
        </w:tc>
        <w:tc>
          <w:tcPr>
            <w:tcW w:w="940" w:type="dxa"/>
            <w:vAlign w:val="bottom"/>
            <w:shd w:val="clear" w:color="auto" w:fill="DCF3FA"/>
          </w:tcPr>
          <w:p>
            <w:pPr>
              <w:jc w:val="right"/>
              <w:ind w:right="11"/>
              <w:spacing w:after="0"/>
              <w:rPr>
                <w:sz w:val="20"/>
                <w:szCs w:val="20"/>
                <w:color w:val="auto"/>
              </w:rPr>
            </w:pPr>
            <w:r>
              <w:rPr>
                <w:rFonts w:ascii="Calibri" w:cs="Calibri" w:eastAsia="Calibri" w:hAnsi="Calibri"/>
                <w:sz w:val="14"/>
                <w:szCs w:val="14"/>
                <w:color w:val="auto"/>
              </w:rPr>
              <w:t xml:space="preserve">4,166,543   </w:t>
            </w:r>
          </w:p>
        </w:tc>
        <w:tc>
          <w:tcPr>
            <w:tcW w:w="0" w:type="dxa"/>
            <w:vAlign w:val="bottom"/>
          </w:tcPr>
          <w:p>
            <w:pPr>
              <w:spacing w:after="0"/>
              <w:rPr>
                <w:sz w:val="1"/>
                <w:szCs w:val="1"/>
                <w:color w:val="auto"/>
              </w:rPr>
            </w:pPr>
          </w:p>
        </w:tc>
      </w:tr>
      <w:tr>
        <w:trPr>
          <w:trHeight w:val="195"/>
        </w:trPr>
        <w:tc>
          <w:tcPr>
            <w:tcW w:w="2120" w:type="dxa"/>
            <w:vAlign w:val="bottom"/>
            <w:shd w:val="clear" w:color="auto" w:fill="DCF3FA"/>
          </w:tcPr>
          <w:p>
            <w:pPr>
              <w:spacing w:after="0"/>
              <w:rPr>
                <w:sz w:val="20"/>
                <w:szCs w:val="20"/>
                <w:color w:val="auto"/>
              </w:rPr>
            </w:pPr>
            <w:r>
              <w:rPr>
                <w:rFonts w:ascii="Calibri" w:cs="Calibri" w:eastAsia="Calibri" w:hAnsi="Calibri"/>
                <w:sz w:val="14"/>
                <w:szCs w:val="14"/>
                <w:color w:val="auto"/>
              </w:rPr>
              <w:t>  Executve Vice</w:t>
            </w:r>
          </w:p>
        </w:tc>
        <w:tc>
          <w:tcPr>
            <w:tcW w:w="180" w:type="dxa"/>
            <w:vAlign w:val="bottom"/>
            <w:shd w:val="clear" w:color="auto" w:fill="DCF3FA"/>
          </w:tcPr>
          <w:p>
            <w:pPr>
              <w:spacing w:after="0"/>
              <w:rPr>
                <w:sz w:val="16"/>
                <w:szCs w:val="16"/>
                <w:color w:val="auto"/>
              </w:rPr>
            </w:pPr>
          </w:p>
        </w:tc>
        <w:tc>
          <w:tcPr>
            <w:tcW w:w="360" w:type="dxa"/>
            <w:vAlign w:val="bottom"/>
            <w:shd w:val="clear" w:color="auto" w:fill="DCF3FA"/>
          </w:tcPr>
          <w:p>
            <w:pPr>
              <w:ind w:left="40"/>
              <w:spacing w:after="0"/>
              <w:rPr>
                <w:sz w:val="20"/>
                <w:szCs w:val="20"/>
                <w:color w:val="auto"/>
              </w:rPr>
            </w:pPr>
            <w:r>
              <w:rPr>
                <w:rFonts w:ascii="Calibri" w:cs="Calibri" w:eastAsia="Calibri" w:hAnsi="Calibri"/>
                <w:sz w:val="14"/>
                <w:szCs w:val="14"/>
                <w:color w:val="auto"/>
              </w:rPr>
              <w:t>2022</w:t>
            </w:r>
          </w:p>
        </w:tc>
        <w:tc>
          <w:tcPr>
            <w:tcW w:w="960" w:type="dxa"/>
            <w:vAlign w:val="bottom"/>
            <w:shd w:val="clear" w:color="auto" w:fill="DCF3FA"/>
          </w:tcPr>
          <w:p>
            <w:pPr>
              <w:jc w:val="right"/>
              <w:ind w:right="211"/>
              <w:spacing w:after="0"/>
              <w:rPr>
                <w:sz w:val="20"/>
                <w:szCs w:val="20"/>
                <w:color w:val="auto"/>
              </w:rPr>
            </w:pPr>
            <w:r>
              <w:rPr>
                <w:rFonts w:ascii="Calibri" w:cs="Calibri" w:eastAsia="Calibri" w:hAnsi="Calibri"/>
                <w:sz w:val="14"/>
                <w:szCs w:val="14"/>
                <w:color w:val="auto"/>
              </w:rPr>
              <w:t>483,822</w:t>
            </w:r>
          </w:p>
        </w:tc>
        <w:tc>
          <w:tcPr>
            <w:tcW w:w="960" w:type="dxa"/>
            <w:vAlign w:val="bottom"/>
            <w:shd w:val="clear" w:color="auto" w:fill="DCF3FA"/>
          </w:tcPr>
          <w:p>
            <w:pPr>
              <w:jc w:val="right"/>
              <w:ind w:right="171"/>
              <w:spacing w:after="0"/>
              <w:rPr>
                <w:sz w:val="20"/>
                <w:szCs w:val="20"/>
                <w:color w:val="auto"/>
              </w:rPr>
            </w:pPr>
            <w:r>
              <w:rPr>
                <w:rFonts w:ascii="Calibri" w:cs="Calibri" w:eastAsia="Calibri" w:hAnsi="Calibri"/>
                <w:sz w:val="14"/>
                <w:szCs w:val="14"/>
                <w:color w:val="auto"/>
              </w:rPr>
              <w:t>—</w:t>
            </w:r>
          </w:p>
        </w:tc>
        <w:tc>
          <w:tcPr>
            <w:tcW w:w="820" w:type="dxa"/>
            <w:vAlign w:val="bottom"/>
            <w:shd w:val="clear" w:color="auto" w:fill="DCF3FA"/>
          </w:tcPr>
          <w:p>
            <w:pPr>
              <w:jc w:val="right"/>
              <w:ind w:right="71"/>
              <w:spacing w:after="0"/>
              <w:rPr>
                <w:sz w:val="20"/>
                <w:szCs w:val="20"/>
                <w:color w:val="auto"/>
              </w:rPr>
            </w:pPr>
            <w:r>
              <w:rPr>
                <w:rFonts w:ascii="Calibri" w:cs="Calibri" w:eastAsia="Calibri" w:hAnsi="Calibri"/>
                <w:sz w:val="14"/>
                <w:szCs w:val="14"/>
                <w:color w:val="auto"/>
              </w:rPr>
              <w:t>1,810,865</w:t>
            </w:r>
          </w:p>
        </w:tc>
        <w:tc>
          <w:tcPr>
            <w:tcW w:w="780" w:type="dxa"/>
            <w:vAlign w:val="bottom"/>
            <w:shd w:val="clear" w:color="auto" w:fill="DCF3FA"/>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CF3FA"/>
          </w:tcPr>
          <w:p>
            <w:pPr>
              <w:jc w:val="right"/>
              <w:ind w:right="31"/>
              <w:spacing w:after="0"/>
              <w:rPr>
                <w:sz w:val="20"/>
                <w:szCs w:val="20"/>
                <w:color w:val="auto"/>
              </w:rPr>
            </w:pPr>
            <w:r>
              <w:rPr>
                <w:rFonts w:ascii="Calibri" w:cs="Calibri" w:eastAsia="Calibri" w:hAnsi="Calibri"/>
                <w:sz w:val="14"/>
                <w:szCs w:val="14"/>
                <w:color w:val="auto"/>
              </w:rPr>
              <w:t>554,929</w:t>
            </w:r>
          </w:p>
        </w:tc>
        <w:tc>
          <w:tcPr>
            <w:tcW w:w="1020" w:type="dxa"/>
            <w:vAlign w:val="bottom"/>
            <w:shd w:val="clear" w:color="auto" w:fill="DCF3FA"/>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CF3FA"/>
          </w:tcPr>
          <w:p>
            <w:pPr>
              <w:jc w:val="right"/>
              <w:ind w:right="51"/>
              <w:spacing w:after="0"/>
              <w:rPr>
                <w:sz w:val="20"/>
                <w:szCs w:val="20"/>
                <w:color w:val="auto"/>
              </w:rPr>
            </w:pPr>
            <w:r>
              <w:rPr>
                <w:rFonts w:ascii="Calibri" w:cs="Calibri" w:eastAsia="Calibri" w:hAnsi="Calibri"/>
                <w:sz w:val="14"/>
                <w:szCs w:val="14"/>
                <w:color w:val="auto"/>
              </w:rPr>
              <w:t>9,654</w:t>
            </w:r>
          </w:p>
        </w:tc>
        <w:tc>
          <w:tcPr>
            <w:tcW w:w="400" w:type="dxa"/>
            <w:vAlign w:val="bottom"/>
            <w:shd w:val="clear" w:color="auto" w:fill="DCF3FA"/>
          </w:tcPr>
          <w:p>
            <w:pPr>
              <w:spacing w:after="0"/>
              <w:rPr>
                <w:sz w:val="16"/>
                <w:szCs w:val="16"/>
                <w:color w:val="auto"/>
              </w:rPr>
            </w:pPr>
          </w:p>
        </w:tc>
        <w:tc>
          <w:tcPr>
            <w:tcW w:w="940" w:type="dxa"/>
            <w:vAlign w:val="bottom"/>
            <w:shd w:val="clear" w:color="auto" w:fill="DCF3FA"/>
          </w:tcPr>
          <w:p>
            <w:pPr>
              <w:jc w:val="right"/>
              <w:ind w:right="11"/>
              <w:spacing w:after="0"/>
              <w:rPr>
                <w:sz w:val="20"/>
                <w:szCs w:val="20"/>
                <w:color w:val="auto"/>
              </w:rPr>
            </w:pPr>
            <w:r>
              <w:rPr>
                <w:rFonts w:ascii="Calibri" w:cs="Calibri" w:eastAsia="Calibri" w:hAnsi="Calibri"/>
                <w:sz w:val="14"/>
                <w:szCs w:val="14"/>
                <w:color w:val="auto"/>
              </w:rPr>
              <w:t xml:space="preserve">2,859,270   </w:t>
            </w:r>
          </w:p>
        </w:tc>
        <w:tc>
          <w:tcPr>
            <w:tcW w:w="0" w:type="dxa"/>
            <w:vAlign w:val="bottom"/>
          </w:tcPr>
          <w:p>
            <w:pPr>
              <w:spacing w:after="0"/>
              <w:rPr>
                <w:sz w:val="1"/>
                <w:szCs w:val="1"/>
                <w:color w:val="auto"/>
              </w:rPr>
            </w:pPr>
          </w:p>
        </w:tc>
      </w:tr>
      <w:tr>
        <w:trPr>
          <w:trHeight w:val="200"/>
        </w:trPr>
        <w:tc>
          <w:tcPr>
            <w:tcW w:w="2120" w:type="dxa"/>
            <w:vAlign w:val="bottom"/>
            <w:shd w:val="clear" w:color="auto" w:fill="DCF3FA"/>
          </w:tcPr>
          <w:p>
            <w:pPr>
              <w:spacing w:after="0" w:line="169" w:lineRule="exact"/>
              <w:rPr>
                <w:sz w:val="20"/>
                <w:szCs w:val="20"/>
                <w:color w:val="auto"/>
              </w:rPr>
            </w:pPr>
            <w:r>
              <w:rPr>
                <w:rFonts w:ascii="Calibri" w:cs="Calibri" w:eastAsia="Calibri" w:hAnsi="Calibri"/>
                <w:sz w:val="14"/>
                <w:szCs w:val="14"/>
                <w:color w:val="auto"/>
              </w:rPr>
              <w:t>  President and CFO</w:t>
            </w:r>
          </w:p>
        </w:tc>
        <w:tc>
          <w:tcPr>
            <w:tcW w:w="180" w:type="dxa"/>
            <w:vAlign w:val="bottom"/>
            <w:shd w:val="clear" w:color="auto" w:fill="DCF3FA"/>
          </w:tcPr>
          <w:p>
            <w:pPr>
              <w:spacing w:after="0"/>
              <w:rPr>
                <w:sz w:val="17"/>
                <w:szCs w:val="17"/>
                <w:color w:val="auto"/>
              </w:rPr>
            </w:pPr>
          </w:p>
        </w:tc>
        <w:tc>
          <w:tcPr>
            <w:tcW w:w="360" w:type="dxa"/>
            <w:vAlign w:val="bottom"/>
            <w:shd w:val="clear" w:color="auto" w:fill="DCF3FA"/>
          </w:tcPr>
          <w:p>
            <w:pPr>
              <w:ind w:left="40"/>
              <w:spacing w:after="0" w:line="169" w:lineRule="exact"/>
              <w:rPr>
                <w:sz w:val="20"/>
                <w:szCs w:val="20"/>
                <w:color w:val="auto"/>
              </w:rPr>
            </w:pPr>
            <w:r>
              <w:rPr>
                <w:rFonts w:ascii="Calibri" w:cs="Calibri" w:eastAsia="Calibri" w:hAnsi="Calibri"/>
                <w:sz w:val="14"/>
                <w:szCs w:val="14"/>
                <w:color w:val="auto"/>
              </w:rPr>
              <w:t>2021</w:t>
            </w:r>
          </w:p>
        </w:tc>
        <w:tc>
          <w:tcPr>
            <w:tcW w:w="960" w:type="dxa"/>
            <w:vAlign w:val="bottom"/>
            <w:shd w:val="clear" w:color="auto" w:fill="DCF3FA"/>
          </w:tcPr>
          <w:p>
            <w:pPr>
              <w:jc w:val="right"/>
              <w:ind w:right="211"/>
              <w:spacing w:after="0" w:line="169" w:lineRule="exact"/>
              <w:rPr>
                <w:sz w:val="20"/>
                <w:szCs w:val="20"/>
                <w:color w:val="auto"/>
              </w:rPr>
            </w:pPr>
            <w:r>
              <w:rPr>
                <w:rFonts w:ascii="Calibri" w:cs="Calibri" w:eastAsia="Calibri" w:hAnsi="Calibri"/>
                <w:sz w:val="14"/>
                <w:szCs w:val="14"/>
                <w:color w:val="auto"/>
              </w:rPr>
              <w:t>475,000</w:t>
            </w:r>
          </w:p>
        </w:tc>
        <w:tc>
          <w:tcPr>
            <w:tcW w:w="960" w:type="dxa"/>
            <w:vAlign w:val="bottom"/>
            <w:shd w:val="clear" w:color="auto" w:fill="DCF3FA"/>
          </w:tcPr>
          <w:p>
            <w:pPr>
              <w:jc w:val="right"/>
              <w:ind w:right="51"/>
              <w:spacing w:after="0" w:line="200" w:lineRule="exact"/>
              <w:rPr>
                <w:sz w:val="20"/>
                <w:szCs w:val="20"/>
                <w:color w:val="auto"/>
              </w:rPr>
            </w:pPr>
            <w:r>
              <w:rPr>
                <w:rFonts w:ascii="Calibri" w:cs="Calibri" w:eastAsia="Calibri" w:hAnsi="Calibri"/>
                <w:sz w:val="14"/>
                <w:szCs w:val="14"/>
                <w:color w:val="auto"/>
              </w:rPr>
              <w:t>100,000</w:t>
            </w:r>
            <w:r>
              <w:rPr>
                <w:rFonts w:ascii="Calibri" w:cs="Calibri" w:eastAsia="Calibri" w:hAnsi="Calibri"/>
                <w:sz w:val="20"/>
                <w:szCs w:val="20"/>
                <w:b w:val="1"/>
                <w:bCs w:val="1"/>
                <w:color w:val="auto"/>
                <w:vertAlign w:val="superscript"/>
              </w:rPr>
              <w:t>(6)</w:t>
            </w:r>
          </w:p>
        </w:tc>
        <w:tc>
          <w:tcPr>
            <w:tcW w:w="820" w:type="dxa"/>
            <w:vAlign w:val="bottom"/>
            <w:shd w:val="clear" w:color="auto" w:fill="DCF3FA"/>
          </w:tcPr>
          <w:p>
            <w:pPr>
              <w:jc w:val="right"/>
              <w:ind w:right="71"/>
              <w:spacing w:after="0" w:line="169" w:lineRule="exact"/>
              <w:rPr>
                <w:sz w:val="20"/>
                <w:szCs w:val="20"/>
                <w:color w:val="auto"/>
              </w:rPr>
            </w:pPr>
            <w:r>
              <w:rPr>
                <w:rFonts w:ascii="Calibri" w:cs="Calibri" w:eastAsia="Calibri" w:hAnsi="Calibri"/>
                <w:sz w:val="14"/>
                <w:szCs w:val="14"/>
                <w:color w:val="auto"/>
              </w:rPr>
              <w:t>2,220,441</w:t>
            </w:r>
          </w:p>
        </w:tc>
        <w:tc>
          <w:tcPr>
            <w:tcW w:w="780" w:type="dxa"/>
            <w:vAlign w:val="bottom"/>
            <w:shd w:val="clear" w:color="auto" w:fill="DCF3FA"/>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shd w:val="clear" w:color="auto" w:fill="DCF3FA"/>
          </w:tcPr>
          <w:p>
            <w:pPr>
              <w:jc w:val="right"/>
              <w:ind w:right="31"/>
              <w:spacing w:after="0" w:line="169" w:lineRule="exact"/>
              <w:rPr>
                <w:sz w:val="20"/>
                <w:szCs w:val="20"/>
                <w:color w:val="auto"/>
              </w:rPr>
            </w:pPr>
            <w:r>
              <w:rPr>
                <w:rFonts w:ascii="Calibri" w:cs="Calibri" w:eastAsia="Calibri" w:hAnsi="Calibri"/>
                <w:sz w:val="14"/>
                <w:szCs w:val="14"/>
                <w:color w:val="auto"/>
              </w:rPr>
              <w:t>640,498</w:t>
            </w:r>
          </w:p>
        </w:tc>
        <w:tc>
          <w:tcPr>
            <w:tcW w:w="1020" w:type="dxa"/>
            <w:vAlign w:val="bottom"/>
            <w:shd w:val="clear" w:color="auto" w:fill="DCF3FA"/>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shd w:val="clear" w:color="auto" w:fill="DCF3FA"/>
          </w:tcPr>
          <w:p>
            <w:pPr>
              <w:jc w:val="right"/>
              <w:ind w:right="51"/>
              <w:spacing w:after="0" w:line="169" w:lineRule="exact"/>
              <w:rPr>
                <w:sz w:val="20"/>
                <w:szCs w:val="20"/>
                <w:color w:val="auto"/>
              </w:rPr>
            </w:pPr>
            <w:r>
              <w:rPr>
                <w:rFonts w:ascii="Calibri" w:cs="Calibri" w:eastAsia="Calibri" w:hAnsi="Calibri"/>
                <w:sz w:val="14"/>
                <w:szCs w:val="14"/>
                <w:color w:val="auto"/>
              </w:rPr>
              <w:t>9,204</w:t>
            </w:r>
          </w:p>
        </w:tc>
        <w:tc>
          <w:tcPr>
            <w:tcW w:w="400" w:type="dxa"/>
            <w:vAlign w:val="bottom"/>
            <w:shd w:val="clear" w:color="auto" w:fill="DCF3FA"/>
          </w:tcPr>
          <w:p>
            <w:pPr>
              <w:spacing w:after="0"/>
              <w:rPr>
                <w:sz w:val="17"/>
                <w:szCs w:val="17"/>
                <w:color w:val="auto"/>
              </w:rPr>
            </w:pPr>
          </w:p>
        </w:tc>
        <w:tc>
          <w:tcPr>
            <w:tcW w:w="940" w:type="dxa"/>
            <w:vAlign w:val="bottom"/>
            <w:shd w:val="clear" w:color="auto" w:fill="DCF3FA"/>
          </w:tcPr>
          <w:p>
            <w:pPr>
              <w:jc w:val="right"/>
              <w:ind w:right="11"/>
              <w:spacing w:after="0" w:line="169" w:lineRule="exact"/>
              <w:rPr>
                <w:sz w:val="20"/>
                <w:szCs w:val="20"/>
                <w:color w:val="auto"/>
              </w:rPr>
            </w:pPr>
            <w:r>
              <w:rPr>
                <w:rFonts w:ascii="Calibri" w:cs="Calibri" w:eastAsia="Calibri" w:hAnsi="Calibri"/>
                <w:sz w:val="14"/>
                <w:szCs w:val="14"/>
                <w:color w:val="auto"/>
              </w:rPr>
              <w:t xml:space="preserve">3,445,143   </w:t>
            </w:r>
          </w:p>
        </w:tc>
        <w:tc>
          <w:tcPr>
            <w:tcW w:w="0" w:type="dxa"/>
            <w:vAlign w:val="bottom"/>
          </w:tcPr>
          <w:p>
            <w:pPr>
              <w:spacing w:after="0"/>
              <w:rPr>
                <w:sz w:val="1"/>
                <w:szCs w:val="1"/>
                <w:color w:val="auto"/>
              </w:rPr>
            </w:pPr>
          </w:p>
        </w:tc>
      </w:tr>
      <w:tr>
        <w:trPr>
          <w:trHeight w:val="177"/>
        </w:trPr>
        <w:tc>
          <w:tcPr>
            <w:tcW w:w="2120" w:type="dxa"/>
            <w:vAlign w:val="bottom"/>
          </w:tcPr>
          <w:p>
            <w:pPr>
              <w:spacing w:after="0"/>
              <w:rPr>
                <w:sz w:val="20"/>
                <w:szCs w:val="20"/>
                <w:color w:val="auto"/>
              </w:rPr>
            </w:pPr>
            <w:r>
              <w:rPr>
                <w:rFonts w:ascii="Calibri" w:cs="Calibri" w:eastAsia="Calibri" w:hAnsi="Calibri"/>
                <w:sz w:val="14"/>
                <w:szCs w:val="14"/>
                <w:b w:val="1"/>
                <w:bCs w:val="1"/>
                <w:color w:val="auto"/>
              </w:rPr>
              <w:t>  Vikas Bhalla</w:t>
            </w:r>
          </w:p>
        </w:tc>
        <w:tc>
          <w:tcPr>
            <w:tcW w:w="540" w:type="dxa"/>
            <w:vAlign w:val="bottom"/>
            <w:gridSpan w:val="2"/>
          </w:tcPr>
          <w:p>
            <w:pPr>
              <w:ind w:left="220"/>
              <w:spacing w:after="0"/>
              <w:rPr>
                <w:sz w:val="20"/>
                <w:szCs w:val="20"/>
                <w:color w:val="auto"/>
              </w:rPr>
            </w:pPr>
            <w:r>
              <w:rPr>
                <w:rFonts w:ascii="Calibri" w:cs="Calibri" w:eastAsia="Calibri" w:hAnsi="Calibri"/>
                <w:sz w:val="14"/>
                <w:szCs w:val="14"/>
                <w:color w:val="auto"/>
              </w:rPr>
              <w:t>2023</w:t>
            </w:r>
          </w:p>
        </w:tc>
        <w:tc>
          <w:tcPr>
            <w:tcW w:w="960" w:type="dxa"/>
            <w:vAlign w:val="bottom"/>
          </w:tcPr>
          <w:p>
            <w:pPr>
              <w:jc w:val="right"/>
              <w:ind w:right="211"/>
              <w:spacing w:after="0"/>
              <w:rPr>
                <w:sz w:val="20"/>
                <w:szCs w:val="20"/>
                <w:color w:val="auto"/>
              </w:rPr>
            </w:pPr>
            <w:r>
              <w:rPr>
                <w:rFonts w:ascii="Calibri" w:cs="Calibri" w:eastAsia="Calibri" w:hAnsi="Calibri"/>
                <w:sz w:val="14"/>
                <w:szCs w:val="14"/>
                <w:color w:val="auto"/>
              </w:rPr>
              <w:t>300,188</w:t>
            </w:r>
          </w:p>
        </w:tc>
        <w:tc>
          <w:tcPr>
            <w:tcW w:w="960" w:type="dxa"/>
            <w:vAlign w:val="bottom"/>
          </w:tcPr>
          <w:p>
            <w:pPr>
              <w:jc w:val="right"/>
              <w:ind w:right="17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71"/>
              <w:spacing w:after="0"/>
              <w:rPr>
                <w:sz w:val="20"/>
                <w:szCs w:val="20"/>
                <w:color w:val="auto"/>
              </w:rPr>
            </w:pPr>
            <w:r>
              <w:rPr>
                <w:rFonts w:ascii="Calibri" w:cs="Calibri" w:eastAsia="Calibri" w:hAnsi="Calibri"/>
                <w:sz w:val="14"/>
                <w:szCs w:val="14"/>
                <w:color w:val="auto"/>
              </w:rPr>
              <w:t>1,681,606</w:t>
            </w:r>
          </w:p>
        </w:tc>
        <w:tc>
          <w:tcPr>
            <w:tcW w:w="780" w:type="dxa"/>
            <w:vAlign w:val="bottom"/>
          </w:tcPr>
          <w:p>
            <w:pPr>
              <w:jc w:val="right"/>
              <w:ind w:right="31"/>
              <w:spacing w:after="0"/>
              <w:rPr>
                <w:sz w:val="20"/>
                <w:szCs w:val="20"/>
                <w:color w:val="auto"/>
              </w:rPr>
            </w:pPr>
            <w:r>
              <w:rPr>
                <w:rFonts w:ascii="Calibri" w:cs="Calibri" w:eastAsia="Calibri" w:hAnsi="Calibri"/>
                <w:sz w:val="14"/>
                <w:szCs w:val="14"/>
                <w:color w:val="auto"/>
              </w:rPr>
              <w:t>3,230,785</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320,917</w:t>
            </w:r>
          </w:p>
        </w:tc>
        <w:tc>
          <w:tcPr>
            <w:tcW w:w="1020" w:type="dxa"/>
            <w:vAlign w:val="bottom"/>
          </w:tcPr>
          <w:p>
            <w:pPr>
              <w:jc w:val="right"/>
              <w:ind w:right="31"/>
              <w:spacing w:after="0"/>
              <w:rPr>
                <w:sz w:val="20"/>
                <w:szCs w:val="20"/>
                <w:color w:val="auto"/>
              </w:rPr>
            </w:pPr>
            <w:r>
              <w:rPr>
                <w:rFonts w:ascii="Calibri" w:cs="Calibri" w:eastAsia="Calibri" w:hAnsi="Calibri"/>
                <w:sz w:val="14"/>
                <w:szCs w:val="14"/>
                <w:color w:val="auto"/>
              </w:rPr>
              <w:t>5,642</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18,383</w:t>
            </w:r>
          </w:p>
        </w:tc>
        <w:tc>
          <w:tcPr>
            <w:tcW w:w="400" w:type="dxa"/>
            <w:vAlign w:val="bottom"/>
          </w:tcPr>
          <w:p>
            <w:pPr>
              <w:jc w:val="center"/>
              <w:spacing w:after="0"/>
              <w:rPr>
                <w:sz w:val="20"/>
                <w:szCs w:val="20"/>
                <w:color w:val="auto"/>
              </w:rPr>
            </w:pPr>
            <w:r>
              <w:rPr>
                <w:rFonts w:ascii="Calibri" w:cs="Calibri" w:eastAsia="Calibri" w:hAnsi="Calibri"/>
                <w:sz w:val="10"/>
                <w:szCs w:val="10"/>
                <w:color w:val="auto"/>
              </w:rPr>
              <w:t>(9)</w:t>
            </w:r>
          </w:p>
        </w:tc>
        <w:tc>
          <w:tcPr>
            <w:tcW w:w="940" w:type="dxa"/>
            <w:vAlign w:val="bottom"/>
          </w:tcPr>
          <w:p>
            <w:pPr>
              <w:jc w:val="right"/>
              <w:ind w:right="11"/>
              <w:spacing w:after="0"/>
              <w:rPr>
                <w:sz w:val="20"/>
                <w:szCs w:val="20"/>
                <w:color w:val="auto"/>
              </w:rPr>
            </w:pPr>
            <w:r>
              <w:rPr>
                <w:rFonts w:ascii="Calibri" w:cs="Calibri" w:eastAsia="Calibri" w:hAnsi="Calibri"/>
                <w:sz w:val="14"/>
                <w:szCs w:val="14"/>
                <w:color w:val="auto"/>
              </w:rPr>
              <w:t xml:space="preserve">5,557,521   </w:t>
            </w:r>
          </w:p>
        </w:tc>
        <w:tc>
          <w:tcPr>
            <w:tcW w:w="0" w:type="dxa"/>
            <w:vAlign w:val="bottom"/>
          </w:tcPr>
          <w:p>
            <w:pPr>
              <w:spacing w:after="0"/>
              <w:rPr>
                <w:sz w:val="1"/>
                <w:szCs w:val="1"/>
                <w:color w:val="auto"/>
              </w:rPr>
            </w:pPr>
          </w:p>
        </w:tc>
      </w:tr>
      <w:tr>
        <w:trPr>
          <w:trHeight w:val="195"/>
        </w:trPr>
        <w:tc>
          <w:tcPr>
            <w:tcW w:w="2120" w:type="dxa"/>
            <w:vAlign w:val="bottom"/>
          </w:tcPr>
          <w:p>
            <w:pPr>
              <w:spacing w:after="0"/>
              <w:rPr>
                <w:sz w:val="20"/>
                <w:szCs w:val="20"/>
                <w:color w:val="auto"/>
              </w:rPr>
            </w:pPr>
            <w:r>
              <w:rPr>
                <w:rFonts w:ascii="Calibri" w:cs="Calibri" w:eastAsia="Calibri" w:hAnsi="Calibri"/>
                <w:sz w:val="14"/>
                <w:szCs w:val="14"/>
                <w:color w:val="auto"/>
              </w:rPr>
              <w:t>  President of EXL</w:t>
            </w:r>
          </w:p>
        </w:tc>
        <w:tc>
          <w:tcPr>
            <w:tcW w:w="540" w:type="dxa"/>
            <w:vAlign w:val="bottom"/>
            <w:gridSpan w:val="2"/>
          </w:tcPr>
          <w:p>
            <w:pPr>
              <w:ind w:left="220"/>
              <w:spacing w:after="0"/>
              <w:rPr>
                <w:sz w:val="20"/>
                <w:szCs w:val="20"/>
                <w:color w:val="auto"/>
              </w:rPr>
            </w:pPr>
            <w:r>
              <w:rPr>
                <w:rFonts w:ascii="Calibri" w:cs="Calibri" w:eastAsia="Calibri" w:hAnsi="Calibri"/>
                <w:sz w:val="14"/>
                <w:szCs w:val="14"/>
                <w:color w:val="auto"/>
              </w:rPr>
              <w:t>2022</w:t>
            </w:r>
          </w:p>
        </w:tc>
        <w:tc>
          <w:tcPr>
            <w:tcW w:w="960" w:type="dxa"/>
            <w:vAlign w:val="bottom"/>
          </w:tcPr>
          <w:p>
            <w:pPr>
              <w:jc w:val="right"/>
              <w:ind w:right="211"/>
              <w:spacing w:after="0"/>
              <w:rPr>
                <w:sz w:val="20"/>
                <w:szCs w:val="20"/>
                <w:color w:val="auto"/>
              </w:rPr>
            </w:pPr>
            <w:r>
              <w:rPr>
                <w:rFonts w:ascii="Calibri" w:cs="Calibri" w:eastAsia="Calibri" w:hAnsi="Calibri"/>
                <w:sz w:val="14"/>
                <w:szCs w:val="14"/>
                <w:color w:val="auto"/>
              </w:rPr>
              <w:t>265,432</w:t>
            </w:r>
          </w:p>
        </w:tc>
        <w:tc>
          <w:tcPr>
            <w:tcW w:w="960" w:type="dxa"/>
            <w:vAlign w:val="bottom"/>
          </w:tcPr>
          <w:p>
            <w:pPr>
              <w:jc w:val="right"/>
              <w:ind w:right="17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71"/>
              <w:spacing w:after="0"/>
              <w:rPr>
                <w:sz w:val="20"/>
                <w:szCs w:val="20"/>
                <w:color w:val="auto"/>
              </w:rPr>
            </w:pPr>
            <w:r>
              <w:rPr>
                <w:rFonts w:ascii="Calibri" w:cs="Calibri" w:eastAsia="Calibri" w:hAnsi="Calibri"/>
                <w:sz w:val="14"/>
                <w:szCs w:val="14"/>
                <w:color w:val="auto"/>
              </w:rPr>
              <w:t>1,964,960</w:t>
            </w:r>
          </w:p>
        </w:tc>
        <w:tc>
          <w:tcPr>
            <w:tcW w:w="78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357,340</w:t>
            </w:r>
          </w:p>
        </w:tc>
        <w:tc>
          <w:tcPr>
            <w:tcW w:w="1020" w:type="dxa"/>
            <w:vAlign w:val="bottom"/>
          </w:tcPr>
          <w:p>
            <w:pPr>
              <w:jc w:val="right"/>
              <w:ind w:right="31"/>
              <w:spacing w:after="0"/>
              <w:rPr>
                <w:sz w:val="20"/>
                <w:szCs w:val="20"/>
                <w:color w:val="auto"/>
              </w:rPr>
            </w:pPr>
            <w:r>
              <w:rPr>
                <w:rFonts w:ascii="Calibri" w:cs="Calibri" w:eastAsia="Calibri" w:hAnsi="Calibri"/>
                <w:sz w:val="14"/>
                <w:szCs w:val="14"/>
                <w:color w:val="auto"/>
              </w:rPr>
              <w:t>20,200</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18,233</w:t>
            </w:r>
          </w:p>
        </w:tc>
        <w:tc>
          <w:tcPr>
            <w:tcW w:w="40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Calibri" w:cs="Calibri" w:eastAsia="Calibri" w:hAnsi="Calibri"/>
                <w:sz w:val="14"/>
                <w:szCs w:val="14"/>
                <w:color w:val="auto"/>
              </w:rPr>
              <w:t xml:space="preserve">2,626,165   </w:t>
            </w:r>
          </w:p>
        </w:tc>
        <w:tc>
          <w:tcPr>
            <w:tcW w:w="0" w:type="dxa"/>
            <w:vAlign w:val="bottom"/>
          </w:tcPr>
          <w:p>
            <w:pPr>
              <w:spacing w:after="0"/>
              <w:rPr>
                <w:sz w:val="1"/>
                <w:szCs w:val="1"/>
                <w:color w:val="auto"/>
              </w:rPr>
            </w:pPr>
          </w:p>
        </w:tc>
      </w:tr>
      <w:tr>
        <w:trPr>
          <w:trHeight w:val="169"/>
        </w:trPr>
        <w:tc>
          <w:tcPr>
            <w:tcW w:w="2120" w:type="dxa"/>
            <w:vAlign w:val="bottom"/>
          </w:tcPr>
          <w:p>
            <w:pPr>
              <w:spacing w:after="0" w:line="169" w:lineRule="exact"/>
              <w:rPr>
                <w:sz w:val="20"/>
                <w:szCs w:val="20"/>
                <w:color w:val="auto"/>
              </w:rPr>
            </w:pPr>
            <w:r>
              <w:rPr>
                <w:rFonts w:ascii="Calibri" w:cs="Calibri" w:eastAsia="Calibri" w:hAnsi="Calibri"/>
                <w:sz w:val="14"/>
                <w:szCs w:val="14"/>
                <w:color w:val="auto"/>
              </w:rPr>
              <w:t>  and Business</w:t>
            </w:r>
          </w:p>
        </w:tc>
        <w:tc>
          <w:tcPr>
            <w:tcW w:w="540" w:type="dxa"/>
            <w:vAlign w:val="bottom"/>
            <w:gridSpan w:val="2"/>
            <w:vMerge w:val="restart"/>
          </w:tcPr>
          <w:p>
            <w:pPr>
              <w:ind w:left="220"/>
              <w:spacing w:after="0"/>
              <w:rPr>
                <w:sz w:val="20"/>
                <w:szCs w:val="20"/>
                <w:color w:val="auto"/>
              </w:rPr>
            </w:pPr>
            <w:r>
              <w:rPr>
                <w:rFonts w:ascii="Calibri" w:cs="Calibri" w:eastAsia="Calibri" w:hAnsi="Calibri"/>
                <w:sz w:val="14"/>
                <w:szCs w:val="14"/>
                <w:color w:val="auto"/>
              </w:rPr>
              <w:t>2021</w:t>
            </w:r>
          </w:p>
        </w:tc>
        <w:tc>
          <w:tcPr>
            <w:tcW w:w="960" w:type="dxa"/>
            <w:vAlign w:val="bottom"/>
            <w:vMerge w:val="restart"/>
          </w:tcPr>
          <w:p>
            <w:pPr>
              <w:jc w:val="right"/>
              <w:ind w:right="211"/>
              <w:spacing w:after="0"/>
              <w:rPr>
                <w:sz w:val="20"/>
                <w:szCs w:val="20"/>
                <w:color w:val="auto"/>
              </w:rPr>
            </w:pPr>
            <w:r>
              <w:rPr>
                <w:rFonts w:ascii="Calibri" w:cs="Calibri" w:eastAsia="Calibri" w:hAnsi="Calibri"/>
                <w:sz w:val="14"/>
                <w:szCs w:val="14"/>
                <w:color w:val="auto"/>
              </w:rPr>
              <w:t>276,716</w:t>
            </w:r>
          </w:p>
        </w:tc>
        <w:tc>
          <w:tcPr>
            <w:tcW w:w="960" w:type="dxa"/>
            <w:vAlign w:val="bottom"/>
            <w:vMerge w:val="restart"/>
          </w:tcPr>
          <w:p>
            <w:pPr>
              <w:jc w:val="right"/>
              <w:ind w:right="171"/>
              <w:spacing w:after="0"/>
              <w:rPr>
                <w:sz w:val="20"/>
                <w:szCs w:val="20"/>
                <w:color w:val="auto"/>
              </w:rPr>
            </w:pPr>
            <w:r>
              <w:rPr>
                <w:rFonts w:ascii="Calibri" w:cs="Calibri" w:eastAsia="Calibri" w:hAnsi="Calibri"/>
                <w:sz w:val="14"/>
                <w:szCs w:val="14"/>
                <w:color w:val="auto"/>
              </w:rPr>
              <w:t>—</w:t>
            </w:r>
          </w:p>
        </w:tc>
        <w:tc>
          <w:tcPr>
            <w:tcW w:w="820" w:type="dxa"/>
            <w:vAlign w:val="bottom"/>
            <w:vMerge w:val="restart"/>
          </w:tcPr>
          <w:p>
            <w:pPr>
              <w:jc w:val="right"/>
              <w:ind w:right="71"/>
              <w:spacing w:after="0"/>
              <w:rPr>
                <w:sz w:val="20"/>
                <w:szCs w:val="20"/>
                <w:color w:val="auto"/>
              </w:rPr>
            </w:pPr>
            <w:r>
              <w:rPr>
                <w:rFonts w:ascii="Calibri" w:cs="Calibri" w:eastAsia="Calibri" w:hAnsi="Calibri"/>
                <w:sz w:val="14"/>
                <w:szCs w:val="14"/>
                <w:color w:val="auto"/>
              </w:rPr>
              <w:t>2,711,454</w:t>
            </w:r>
          </w:p>
        </w:tc>
        <w:tc>
          <w:tcPr>
            <w:tcW w:w="78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444,718</w:t>
            </w:r>
          </w:p>
        </w:tc>
        <w:tc>
          <w:tcPr>
            <w:tcW w:w="102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16,865</w:t>
            </w:r>
          </w:p>
        </w:tc>
        <w:tc>
          <w:tcPr>
            <w:tcW w:w="104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19,034</w:t>
            </w:r>
          </w:p>
        </w:tc>
        <w:tc>
          <w:tcPr>
            <w:tcW w:w="400" w:type="dxa"/>
            <w:vAlign w:val="bottom"/>
          </w:tcPr>
          <w:p>
            <w:pPr>
              <w:spacing w:after="0"/>
              <w:rPr>
                <w:sz w:val="14"/>
                <w:szCs w:val="14"/>
                <w:color w:val="auto"/>
              </w:rPr>
            </w:pPr>
          </w:p>
        </w:tc>
        <w:tc>
          <w:tcPr>
            <w:tcW w:w="940" w:type="dxa"/>
            <w:vAlign w:val="bottom"/>
            <w:vMerge w:val="restart"/>
          </w:tcPr>
          <w:p>
            <w:pPr>
              <w:jc w:val="right"/>
              <w:ind w:right="11"/>
              <w:spacing w:after="0"/>
              <w:rPr>
                <w:sz w:val="20"/>
                <w:szCs w:val="20"/>
                <w:color w:val="auto"/>
              </w:rPr>
            </w:pPr>
            <w:r>
              <w:rPr>
                <w:rFonts w:ascii="Calibri" w:cs="Calibri" w:eastAsia="Calibri" w:hAnsi="Calibri"/>
                <w:sz w:val="14"/>
                <w:szCs w:val="14"/>
                <w:color w:val="auto"/>
              </w:rPr>
              <w:t xml:space="preserve">3,468,787   </w:t>
            </w:r>
          </w:p>
        </w:tc>
        <w:tc>
          <w:tcPr>
            <w:tcW w:w="0" w:type="dxa"/>
            <w:vAlign w:val="bottom"/>
          </w:tcPr>
          <w:p>
            <w:pPr>
              <w:spacing w:after="0"/>
              <w:rPr>
                <w:sz w:val="1"/>
                <w:szCs w:val="1"/>
                <w:color w:val="auto"/>
              </w:rPr>
            </w:pPr>
          </w:p>
        </w:tc>
      </w:tr>
      <w:tr>
        <w:trPr>
          <w:trHeight w:val="91"/>
        </w:trPr>
        <w:tc>
          <w:tcPr>
            <w:tcW w:w="2120" w:type="dxa"/>
            <w:vAlign w:val="bottom"/>
            <w:vMerge w:val="restart"/>
          </w:tcPr>
          <w:p>
            <w:pPr>
              <w:spacing w:after="0" w:line="169" w:lineRule="exact"/>
              <w:rPr>
                <w:sz w:val="20"/>
                <w:szCs w:val="20"/>
                <w:color w:val="auto"/>
              </w:rPr>
            </w:pPr>
            <w:r>
              <w:rPr>
                <w:rFonts w:ascii="Calibri" w:cs="Calibri" w:eastAsia="Calibri" w:hAnsi="Calibri"/>
                <w:sz w:val="14"/>
                <w:szCs w:val="14"/>
                <w:color w:val="auto"/>
              </w:rPr>
              <w:t>  Head, Insurance</w:t>
            </w:r>
          </w:p>
        </w:tc>
        <w:tc>
          <w:tcPr>
            <w:tcW w:w="540" w:type="dxa"/>
            <w:vAlign w:val="bottom"/>
            <w:gridSpan w:val="2"/>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1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1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120" w:type="dxa"/>
            <w:vAlign w:val="bottom"/>
            <w:shd w:val="clear" w:color="auto" w:fill="DCF3FA"/>
          </w:tcPr>
          <w:p>
            <w:pPr>
              <w:spacing w:after="0"/>
              <w:rPr>
                <w:sz w:val="20"/>
                <w:szCs w:val="20"/>
                <w:color w:val="auto"/>
              </w:rPr>
            </w:pPr>
            <w:r>
              <w:rPr>
                <w:rFonts w:ascii="Calibri" w:cs="Calibri" w:eastAsia="Calibri" w:hAnsi="Calibri"/>
                <w:sz w:val="14"/>
                <w:szCs w:val="14"/>
                <w:b w:val="1"/>
                <w:bCs w:val="1"/>
                <w:color w:val="auto"/>
              </w:rPr>
              <w:t>  Vivek Jetley</w:t>
            </w:r>
          </w:p>
        </w:tc>
        <w:tc>
          <w:tcPr>
            <w:tcW w:w="540" w:type="dxa"/>
            <w:vAlign w:val="bottom"/>
            <w:gridSpan w:val="2"/>
            <w:shd w:val="clear" w:color="auto" w:fill="DCF3FA"/>
          </w:tcPr>
          <w:p>
            <w:pPr>
              <w:ind w:left="220"/>
              <w:spacing w:after="0"/>
              <w:rPr>
                <w:sz w:val="20"/>
                <w:szCs w:val="20"/>
                <w:color w:val="auto"/>
              </w:rPr>
            </w:pPr>
            <w:r>
              <w:rPr>
                <w:rFonts w:ascii="Calibri" w:cs="Calibri" w:eastAsia="Calibri" w:hAnsi="Calibri"/>
                <w:sz w:val="14"/>
                <w:szCs w:val="14"/>
                <w:color w:val="auto"/>
              </w:rPr>
              <w:t>2023</w:t>
            </w:r>
          </w:p>
        </w:tc>
        <w:tc>
          <w:tcPr>
            <w:tcW w:w="960" w:type="dxa"/>
            <w:vAlign w:val="bottom"/>
            <w:shd w:val="clear" w:color="auto" w:fill="DCF3FA"/>
          </w:tcPr>
          <w:p>
            <w:pPr>
              <w:jc w:val="right"/>
              <w:ind w:right="211"/>
              <w:spacing w:after="0"/>
              <w:rPr>
                <w:sz w:val="20"/>
                <w:szCs w:val="20"/>
                <w:color w:val="auto"/>
              </w:rPr>
            </w:pPr>
            <w:r>
              <w:rPr>
                <w:rFonts w:ascii="Calibri" w:cs="Calibri" w:eastAsia="Calibri" w:hAnsi="Calibri"/>
                <w:sz w:val="14"/>
                <w:szCs w:val="14"/>
                <w:color w:val="auto"/>
              </w:rPr>
              <w:t>500,000</w:t>
            </w:r>
          </w:p>
        </w:tc>
        <w:tc>
          <w:tcPr>
            <w:tcW w:w="960" w:type="dxa"/>
            <w:vAlign w:val="bottom"/>
            <w:shd w:val="clear" w:color="auto" w:fill="DCF3FA"/>
          </w:tcPr>
          <w:p>
            <w:pPr>
              <w:jc w:val="right"/>
              <w:ind w:right="171"/>
              <w:spacing w:after="0"/>
              <w:rPr>
                <w:sz w:val="20"/>
                <w:szCs w:val="20"/>
                <w:color w:val="auto"/>
              </w:rPr>
            </w:pPr>
            <w:r>
              <w:rPr>
                <w:rFonts w:ascii="Calibri" w:cs="Calibri" w:eastAsia="Calibri" w:hAnsi="Calibri"/>
                <w:sz w:val="14"/>
                <w:szCs w:val="14"/>
                <w:color w:val="auto"/>
              </w:rPr>
              <w:t>—</w:t>
            </w:r>
          </w:p>
        </w:tc>
        <w:tc>
          <w:tcPr>
            <w:tcW w:w="820" w:type="dxa"/>
            <w:vAlign w:val="bottom"/>
            <w:shd w:val="clear" w:color="auto" w:fill="DCF3FA"/>
          </w:tcPr>
          <w:p>
            <w:pPr>
              <w:jc w:val="right"/>
              <w:ind w:right="71"/>
              <w:spacing w:after="0"/>
              <w:rPr>
                <w:sz w:val="20"/>
                <w:szCs w:val="20"/>
                <w:color w:val="auto"/>
              </w:rPr>
            </w:pPr>
            <w:r>
              <w:rPr>
                <w:rFonts w:ascii="Calibri" w:cs="Calibri" w:eastAsia="Calibri" w:hAnsi="Calibri"/>
                <w:sz w:val="14"/>
                <w:szCs w:val="14"/>
                <w:color w:val="auto"/>
              </w:rPr>
              <w:t>1,681,606</w:t>
            </w:r>
          </w:p>
        </w:tc>
        <w:tc>
          <w:tcPr>
            <w:tcW w:w="780" w:type="dxa"/>
            <w:vAlign w:val="bottom"/>
            <w:shd w:val="clear" w:color="auto" w:fill="DCF3FA"/>
          </w:tcPr>
          <w:p>
            <w:pPr>
              <w:jc w:val="right"/>
              <w:ind w:right="31"/>
              <w:spacing w:after="0"/>
              <w:rPr>
                <w:sz w:val="20"/>
                <w:szCs w:val="20"/>
                <w:color w:val="auto"/>
              </w:rPr>
            </w:pPr>
            <w:r>
              <w:rPr>
                <w:rFonts w:ascii="Calibri" w:cs="Calibri" w:eastAsia="Calibri" w:hAnsi="Calibri"/>
                <w:sz w:val="14"/>
                <w:szCs w:val="14"/>
                <w:color w:val="auto"/>
              </w:rPr>
              <w:t>3,230,785</w:t>
            </w:r>
          </w:p>
        </w:tc>
        <w:tc>
          <w:tcPr>
            <w:tcW w:w="1040" w:type="dxa"/>
            <w:vAlign w:val="bottom"/>
            <w:shd w:val="clear" w:color="auto" w:fill="DCF3FA"/>
          </w:tcPr>
          <w:p>
            <w:pPr>
              <w:jc w:val="right"/>
              <w:ind w:right="31"/>
              <w:spacing w:after="0"/>
              <w:rPr>
                <w:sz w:val="20"/>
                <w:szCs w:val="20"/>
                <w:color w:val="auto"/>
              </w:rPr>
            </w:pPr>
            <w:r>
              <w:rPr>
                <w:rFonts w:ascii="Calibri" w:cs="Calibri" w:eastAsia="Calibri" w:hAnsi="Calibri"/>
                <w:sz w:val="14"/>
                <w:szCs w:val="14"/>
                <w:color w:val="auto"/>
              </w:rPr>
              <w:t>422,307</w:t>
            </w:r>
          </w:p>
        </w:tc>
        <w:tc>
          <w:tcPr>
            <w:tcW w:w="1020" w:type="dxa"/>
            <w:vAlign w:val="bottom"/>
            <w:shd w:val="clear" w:color="auto" w:fill="DCF3FA"/>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CF3FA"/>
          </w:tcPr>
          <w:p>
            <w:pPr>
              <w:jc w:val="right"/>
              <w:ind w:right="51"/>
              <w:spacing w:after="0"/>
              <w:rPr>
                <w:sz w:val="20"/>
                <w:szCs w:val="20"/>
                <w:color w:val="auto"/>
              </w:rPr>
            </w:pPr>
            <w:r>
              <w:rPr>
                <w:rFonts w:ascii="Calibri" w:cs="Calibri" w:eastAsia="Calibri" w:hAnsi="Calibri"/>
                <w:sz w:val="14"/>
                <w:szCs w:val="14"/>
                <w:color w:val="auto"/>
              </w:rPr>
              <w:t>10,404</w:t>
            </w:r>
          </w:p>
        </w:tc>
        <w:tc>
          <w:tcPr>
            <w:tcW w:w="400" w:type="dxa"/>
            <w:vAlign w:val="bottom"/>
            <w:shd w:val="clear" w:color="auto" w:fill="DCF3FA"/>
          </w:tcPr>
          <w:p>
            <w:pPr>
              <w:spacing w:after="0"/>
              <w:rPr>
                <w:sz w:val="15"/>
                <w:szCs w:val="15"/>
                <w:color w:val="auto"/>
              </w:rPr>
            </w:pPr>
          </w:p>
        </w:tc>
        <w:tc>
          <w:tcPr>
            <w:tcW w:w="940" w:type="dxa"/>
            <w:vAlign w:val="bottom"/>
            <w:shd w:val="clear" w:color="auto" w:fill="DCF3FA"/>
          </w:tcPr>
          <w:p>
            <w:pPr>
              <w:jc w:val="right"/>
              <w:ind w:right="11"/>
              <w:spacing w:after="0"/>
              <w:rPr>
                <w:sz w:val="20"/>
                <w:szCs w:val="20"/>
                <w:color w:val="auto"/>
              </w:rPr>
            </w:pPr>
            <w:r>
              <w:rPr>
                <w:rFonts w:ascii="Calibri" w:cs="Calibri" w:eastAsia="Calibri" w:hAnsi="Calibri"/>
                <w:sz w:val="14"/>
                <w:szCs w:val="14"/>
                <w:color w:val="auto"/>
              </w:rPr>
              <w:t xml:space="preserve">5,845,102   </w:t>
            </w:r>
          </w:p>
        </w:tc>
        <w:tc>
          <w:tcPr>
            <w:tcW w:w="0" w:type="dxa"/>
            <w:vAlign w:val="bottom"/>
          </w:tcPr>
          <w:p>
            <w:pPr>
              <w:spacing w:after="0"/>
              <w:rPr>
                <w:sz w:val="1"/>
                <w:szCs w:val="1"/>
                <w:color w:val="auto"/>
              </w:rPr>
            </w:pPr>
          </w:p>
        </w:tc>
      </w:tr>
      <w:tr>
        <w:trPr>
          <w:trHeight w:val="195"/>
        </w:trPr>
        <w:tc>
          <w:tcPr>
            <w:tcW w:w="2120" w:type="dxa"/>
            <w:vAlign w:val="bottom"/>
            <w:shd w:val="clear" w:color="auto" w:fill="DCF3FA"/>
          </w:tcPr>
          <w:p>
            <w:pPr>
              <w:spacing w:after="0"/>
              <w:rPr>
                <w:sz w:val="20"/>
                <w:szCs w:val="20"/>
                <w:color w:val="auto"/>
              </w:rPr>
            </w:pPr>
            <w:r>
              <w:rPr>
                <w:rFonts w:ascii="Calibri" w:cs="Calibri" w:eastAsia="Calibri" w:hAnsi="Calibri"/>
                <w:sz w:val="14"/>
                <w:szCs w:val="14"/>
                <w:color w:val="auto"/>
              </w:rPr>
              <w:t>  President of EXL</w:t>
            </w:r>
          </w:p>
        </w:tc>
        <w:tc>
          <w:tcPr>
            <w:tcW w:w="180" w:type="dxa"/>
            <w:vAlign w:val="bottom"/>
            <w:shd w:val="clear" w:color="auto" w:fill="DCF3FA"/>
          </w:tcPr>
          <w:p>
            <w:pPr>
              <w:spacing w:after="0"/>
              <w:rPr>
                <w:sz w:val="16"/>
                <w:szCs w:val="16"/>
                <w:color w:val="auto"/>
              </w:rPr>
            </w:pPr>
          </w:p>
        </w:tc>
        <w:tc>
          <w:tcPr>
            <w:tcW w:w="360" w:type="dxa"/>
            <w:vAlign w:val="bottom"/>
            <w:shd w:val="clear" w:color="auto" w:fill="DCF3FA"/>
          </w:tcPr>
          <w:p>
            <w:pPr>
              <w:ind w:left="40"/>
              <w:spacing w:after="0"/>
              <w:rPr>
                <w:sz w:val="20"/>
                <w:szCs w:val="20"/>
                <w:color w:val="auto"/>
              </w:rPr>
            </w:pPr>
            <w:r>
              <w:rPr>
                <w:rFonts w:ascii="Calibri" w:cs="Calibri" w:eastAsia="Calibri" w:hAnsi="Calibri"/>
                <w:sz w:val="14"/>
                <w:szCs w:val="14"/>
                <w:color w:val="auto"/>
              </w:rPr>
              <w:t>2022</w:t>
            </w:r>
          </w:p>
        </w:tc>
        <w:tc>
          <w:tcPr>
            <w:tcW w:w="960" w:type="dxa"/>
            <w:vAlign w:val="bottom"/>
            <w:shd w:val="clear" w:color="auto" w:fill="DCF3FA"/>
          </w:tcPr>
          <w:p>
            <w:pPr>
              <w:jc w:val="right"/>
              <w:ind w:right="211"/>
              <w:spacing w:after="0"/>
              <w:rPr>
                <w:sz w:val="20"/>
                <w:szCs w:val="20"/>
                <w:color w:val="auto"/>
              </w:rPr>
            </w:pPr>
            <w:r>
              <w:rPr>
                <w:rFonts w:ascii="Calibri" w:cs="Calibri" w:eastAsia="Calibri" w:hAnsi="Calibri"/>
                <w:sz w:val="14"/>
                <w:szCs w:val="14"/>
                <w:color w:val="auto"/>
              </w:rPr>
              <w:t>440,164</w:t>
            </w:r>
          </w:p>
        </w:tc>
        <w:tc>
          <w:tcPr>
            <w:tcW w:w="960" w:type="dxa"/>
            <w:vAlign w:val="bottom"/>
            <w:shd w:val="clear" w:color="auto" w:fill="DCF3FA"/>
          </w:tcPr>
          <w:p>
            <w:pPr>
              <w:jc w:val="right"/>
              <w:ind w:right="171"/>
              <w:spacing w:after="0"/>
              <w:rPr>
                <w:sz w:val="20"/>
                <w:szCs w:val="20"/>
                <w:color w:val="auto"/>
              </w:rPr>
            </w:pPr>
            <w:r>
              <w:rPr>
                <w:rFonts w:ascii="Calibri" w:cs="Calibri" w:eastAsia="Calibri" w:hAnsi="Calibri"/>
                <w:sz w:val="14"/>
                <w:szCs w:val="14"/>
                <w:color w:val="auto"/>
              </w:rPr>
              <w:t>—</w:t>
            </w:r>
          </w:p>
        </w:tc>
        <w:tc>
          <w:tcPr>
            <w:tcW w:w="820" w:type="dxa"/>
            <w:vAlign w:val="bottom"/>
            <w:shd w:val="clear" w:color="auto" w:fill="DCF3FA"/>
          </w:tcPr>
          <w:p>
            <w:pPr>
              <w:jc w:val="right"/>
              <w:ind w:right="71"/>
              <w:spacing w:after="0"/>
              <w:rPr>
                <w:sz w:val="20"/>
                <w:szCs w:val="20"/>
                <w:color w:val="auto"/>
              </w:rPr>
            </w:pPr>
            <w:r>
              <w:rPr>
                <w:rFonts w:ascii="Calibri" w:cs="Calibri" w:eastAsia="Calibri" w:hAnsi="Calibri"/>
                <w:sz w:val="14"/>
                <w:szCs w:val="14"/>
                <w:color w:val="auto"/>
              </w:rPr>
              <w:t>1,862,689</w:t>
            </w:r>
          </w:p>
        </w:tc>
        <w:tc>
          <w:tcPr>
            <w:tcW w:w="780" w:type="dxa"/>
            <w:vAlign w:val="bottom"/>
            <w:shd w:val="clear" w:color="auto" w:fill="DCF3FA"/>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CF3FA"/>
          </w:tcPr>
          <w:p>
            <w:pPr>
              <w:jc w:val="right"/>
              <w:ind w:right="31"/>
              <w:spacing w:after="0"/>
              <w:rPr>
                <w:sz w:val="20"/>
                <w:szCs w:val="20"/>
                <w:color w:val="auto"/>
              </w:rPr>
            </w:pPr>
            <w:r>
              <w:rPr>
                <w:rFonts w:ascii="Calibri" w:cs="Calibri" w:eastAsia="Calibri" w:hAnsi="Calibri"/>
                <w:sz w:val="14"/>
                <w:szCs w:val="14"/>
                <w:color w:val="auto"/>
              </w:rPr>
              <w:t>525,488</w:t>
            </w:r>
          </w:p>
        </w:tc>
        <w:tc>
          <w:tcPr>
            <w:tcW w:w="1020" w:type="dxa"/>
            <w:vAlign w:val="bottom"/>
            <w:shd w:val="clear" w:color="auto" w:fill="DCF3FA"/>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CF3FA"/>
          </w:tcPr>
          <w:p>
            <w:pPr>
              <w:jc w:val="right"/>
              <w:ind w:right="51"/>
              <w:spacing w:after="0"/>
              <w:rPr>
                <w:sz w:val="20"/>
                <w:szCs w:val="20"/>
                <w:color w:val="auto"/>
              </w:rPr>
            </w:pPr>
            <w:r>
              <w:rPr>
                <w:rFonts w:ascii="Calibri" w:cs="Calibri" w:eastAsia="Calibri" w:hAnsi="Calibri"/>
                <w:sz w:val="14"/>
                <w:szCs w:val="14"/>
                <w:color w:val="auto"/>
              </w:rPr>
              <w:t>9,654</w:t>
            </w:r>
          </w:p>
        </w:tc>
        <w:tc>
          <w:tcPr>
            <w:tcW w:w="400" w:type="dxa"/>
            <w:vAlign w:val="bottom"/>
            <w:shd w:val="clear" w:color="auto" w:fill="DCF3FA"/>
          </w:tcPr>
          <w:p>
            <w:pPr>
              <w:jc w:val="center"/>
              <w:spacing w:after="0"/>
              <w:rPr>
                <w:sz w:val="20"/>
                <w:szCs w:val="20"/>
                <w:color w:val="auto"/>
              </w:rPr>
            </w:pPr>
            <w:r>
              <w:rPr>
                <w:rFonts w:ascii="Calibri" w:cs="Calibri" w:eastAsia="Calibri" w:hAnsi="Calibri"/>
                <w:sz w:val="10"/>
                <w:szCs w:val="10"/>
                <w:color w:val="auto"/>
                <w:w w:val="98"/>
              </w:rPr>
              <w:t>(10)</w:t>
            </w:r>
          </w:p>
        </w:tc>
        <w:tc>
          <w:tcPr>
            <w:tcW w:w="940" w:type="dxa"/>
            <w:vAlign w:val="bottom"/>
            <w:shd w:val="clear" w:color="auto" w:fill="DCF3FA"/>
          </w:tcPr>
          <w:p>
            <w:pPr>
              <w:jc w:val="right"/>
              <w:ind w:right="11"/>
              <w:spacing w:after="0"/>
              <w:rPr>
                <w:sz w:val="20"/>
                <w:szCs w:val="20"/>
                <w:color w:val="auto"/>
              </w:rPr>
            </w:pPr>
            <w:r>
              <w:rPr>
                <w:rFonts w:ascii="Calibri" w:cs="Calibri" w:eastAsia="Calibri" w:hAnsi="Calibri"/>
                <w:sz w:val="14"/>
                <w:szCs w:val="14"/>
                <w:color w:val="auto"/>
              </w:rPr>
              <w:t xml:space="preserve">2,837,996   </w:t>
            </w:r>
          </w:p>
        </w:tc>
        <w:tc>
          <w:tcPr>
            <w:tcW w:w="0" w:type="dxa"/>
            <w:vAlign w:val="bottom"/>
          </w:tcPr>
          <w:p>
            <w:pPr>
              <w:spacing w:after="0"/>
              <w:rPr>
                <w:sz w:val="1"/>
                <w:szCs w:val="1"/>
                <w:color w:val="auto"/>
              </w:rPr>
            </w:pPr>
          </w:p>
        </w:tc>
      </w:tr>
      <w:tr>
        <w:trPr>
          <w:trHeight w:val="169"/>
        </w:trPr>
        <w:tc>
          <w:tcPr>
            <w:tcW w:w="2120" w:type="dxa"/>
            <w:vAlign w:val="bottom"/>
            <w:shd w:val="clear" w:color="auto" w:fill="DCF3FA"/>
          </w:tcPr>
          <w:p>
            <w:pPr>
              <w:spacing w:after="0" w:line="169" w:lineRule="exact"/>
              <w:rPr>
                <w:sz w:val="20"/>
                <w:szCs w:val="20"/>
                <w:color w:val="auto"/>
              </w:rPr>
            </w:pPr>
            <w:r>
              <w:rPr>
                <w:rFonts w:ascii="Calibri" w:cs="Calibri" w:eastAsia="Calibri" w:hAnsi="Calibri"/>
                <w:sz w:val="14"/>
                <w:szCs w:val="14"/>
                <w:color w:val="auto"/>
              </w:rPr>
              <w:t>  and Business</w:t>
            </w:r>
          </w:p>
        </w:tc>
        <w:tc>
          <w:tcPr>
            <w:tcW w:w="180" w:type="dxa"/>
            <w:vAlign w:val="bottom"/>
            <w:shd w:val="clear" w:color="auto" w:fill="DCF3FA"/>
          </w:tcPr>
          <w:p>
            <w:pPr>
              <w:spacing w:after="0"/>
              <w:rPr>
                <w:sz w:val="14"/>
                <w:szCs w:val="14"/>
                <w:color w:val="auto"/>
              </w:rPr>
            </w:pPr>
          </w:p>
        </w:tc>
        <w:tc>
          <w:tcPr>
            <w:tcW w:w="360" w:type="dxa"/>
            <w:vAlign w:val="bottom"/>
            <w:vMerge w:val="restart"/>
            <w:shd w:val="clear" w:color="auto" w:fill="DCF3FA"/>
          </w:tcPr>
          <w:p>
            <w:pPr>
              <w:ind w:left="40"/>
              <w:spacing w:after="0"/>
              <w:rPr>
                <w:sz w:val="20"/>
                <w:szCs w:val="20"/>
                <w:color w:val="auto"/>
              </w:rPr>
            </w:pPr>
            <w:r>
              <w:rPr>
                <w:rFonts w:ascii="Calibri" w:cs="Calibri" w:eastAsia="Calibri" w:hAnsi="Calibri"/>
                <w:sz w:val="14"/>
                <w:szCs w:val="14"/>
                <w:color w:val="auto"/>
              </w:rPr>
              <w:t>2021</w:t>
            </w:r>
          </w:p>
        </w:tc>
        <w:tc>
          <w:tcPr>
            <w:tcW w:w="960" w:type="dxa"/>
            <w:vAlign w:val="bottom"/>
            <w:vMerge w:val="restart"/>
            <w:shd w:val="clear" w:color="auto" w:fill="DCF3FA"/>
          </w:tcPr>
          <w:p>
            <w:pPr>
              <w:jc w:val="right"/>
              <w:ind w:right="211"/>
              <w:spacing w:after="0"/>
              <w:rPr>
                <w:sz w:val="20"/>
                <w:szCs w:val="20"/>
                <w:color w:val="auto"/>
              </w:rPr>
            </w:pPr>
            <w:r>
              <w:rPr>
                <w:rFonts w:ascii="Calibri" w:cs="Calibri" w:eastAsia="Calibri" w:hAnsi="Calibri"/>
                <w:sz w:val="14"/>
                <w:szCs w:val="14"/>
                <w:color w:val="auto"/>
              </w:rPr>
              <w:t>415,068</w:t>
            </w:r>
          </w:p>
        </w:tc>
        <w:tc>
          <w:tcPr>
            <w:tcW w:w="960" w:type="dxa"/>
            <w:vAlign w:val="bottom"/>
            <w:vMerge w:val="restart"/>
            <w:shd w:val="clear" w:color="auto" w:fill="DCF3FA"/>
          </w:tcPr>
          <w:p>
            <w:pPr>
              <w:jc w:val="right"/>
              <w:ind w:right="171"/>
              <w:spacing w:after="0"/>
              <w:rPr>
                <w:sz w:val="20"/>
                <w:szCs w:val="20"/>
                <w:color w:val="auto"/>
              </w:rPr>
            </w:pPr>
            <w:r>
              <w:rPr>
                <w:rFonts w:ascii="Calibri" w:cs="Calibri" w:eastAsia="Calibri" w:hAnsi="Calibri"/>
                <w:sz w:val="14"/>
                <w:szCs w:val="14"/>
                <w:color w:val="auto"/>
              </w:rPr>
              <w:t>—</w:t>
            </w:r>
          </w:p>
        </w:tc>
        <w:tc>
          <w:tcPr>
            <w:tcW w:w="820" w:type="dxa"/>
            <w:vAlign w:val="bottom"/>
            <w:vMerge w:val="restart"/>
            <w:shd w:val="clear" w:color="auto" w:fill="DCF3FA"/>
          </w:tcPr>
          <w:p>
            <w:pPr>
              <w:jc w:val="right"/>
              <w:ind w:right="71"/>
              <w:spacing w:after="0"/>
              <w:rPr>
                <w:sz w:val="20"/>
                <w:szCs w:val="20"/>
                <w:color w:val="auto"/>
              </w:rPr>
            </w:pPr>
            <w:r>
              <w:rPr>
                <w:rFonts w:ascii="Calibri" w:cs="Calibri" w:eastAsia="Calibri" w:hAnsi="Calibri"/>
                <w:sz w:val="14"/>
                <w:szCs w:val="14"/>
                <w:color w:val="auto"/>
              </w:rPr>
              <w:t>2,429,371</w:t>
            </w:r>
          </w:p>
        </w:tc>
        <w:tc>
          <w:tcPr>
            <w:tcW w:w="780" w:type="dxa"/>
            <w:vAlign w:val="bottom"/>
            <w:vMerge w:val="restart"/>
            <w:shd w:val="clear" w:color="auto" w:fill="DCF3FA"/>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vMerge w:val="restart"/>
            <w:shd w:val="clear" w:color="auto" w:fill="DCF3FA"/>
          </w:tcPr>
          <w:p>
            <w:pPr>
              <w:jc w:val="right"/>
              <w:ind w:right="31"/>
              <w:spacing w:after="0"/>
              <w:rPr>
                <w:sz w:val="20"/>
                <w:szCs w:val="20"/>
                <w:color w:val="auto"/>
              </w:rPr>
            </w:pPr>
            <w:r>
              <w:rPr>
                <w:rFonts w:ascii="Calibri" w:cs="Calibri" w:eastAsia="Calibri" w:hAnsi="Calibri"/>
                <w:sz w:val="14"/>
                <w:szCs w:val="14"/>
                <w:color w:val="auto"/>
              </w:rPr>
              <w:t>586,146</w:t>
            </w:r>
          </w:p>
        </w:tc>
        <w:tc>
          <w:tcPr>
            <w:tcW w:w="1020" w:type="dxa"/>
            <w:vAlign w:val="bottom"/>
            <w:vMerge w:val="restart"/>
            <w:shd w:val="clear" w:color="auto" w:fill="DCF3FA"/>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vMerge w:val="restart"/>
            <w:shd w:val="clear" w:color="auto" w:fill="DCF3FA"/>
          </w:tcPr>
          <w:p>
            <w:pPr>
              <w:jc w:val="right"/>
              <w:ind w:right="51"/>
              <w:spacing w:after="0"/>
              <w:rPr>
                <w:sz w:val="20"/>
                <w:szCs w:val="20"/>
                <w:color w:val="auto"/>
              </w:rPr>
            </w:pPr>
            <w:r>
              <w:rPr>
                <w:rFonts w:ascii="Calibri" w:cs="Calibri" w:eastAsia="Calibri" w:hAnsi="Calibri"/>
                <w:sz w:val="14"/>
                <w:szCs w:val="14"/>
                <w:color w:val="auto"/>
              </w:rPr>
              <w:t>9,204</w:t>
            </w:r>
          </w:p>
        </w:tc>
        <w:tc>
          <w:tcPr>
            <w:tcW w:w="400" w:type="dxa"/>
            <w:vAlign w:val="bottom"/>
            <w:shd w:val="clear" w:color="auto" w:fill="DCF3FA"/>
          </w:tcPr>
          <w:p>
            <w:pPr>
              <w:spacing w:after="0"/>
              <w:rPr>
                <w:sz w:val="14"/>
                <w:szCs w:val="14"/>
                <w:color w:val="auto"/>
              </w:rPr>
            </w:pPr>
          </w:p>
        </w:tc>
        <w:tc>
          <w:tcPr>
            <w:tcW w:w="940" w:type="dxa"/>
            <w:vAlign w:val="bottom"/>
            <w:vMerge w:val="restart"/>
            <w:shd w:val="clear" w:color="auto" w:fill="DCF3FA"/>
          </w:tcPr>
          <w:p>
            <w:pPr>
              <w:jc w:val="right"/>
              <w:ind w:right="11"/>
              <w:spacing w:after="0"/>
              <w:rPr>
                <w:sz w:val="20"/>
                <w:szCs w:val="20"/>
                <w:color w:val="auto"/>
              </w:rPr>
            </w:pPr>
            <w:r>
              <w:rPr>
                <w:rFonts w:ascii="Calibri" w:cs="Calibri" w:eastAsia="Calibri" w:hAnsi="Calibri"/>
                <w:sz w:val="14"/>
                <w:szCs w:val="14"/>
                <w:color w:val="auto"/>
              </w:rPr>
              <w:t xml:space="preserve">3,439,789   </w:t>
            </w:r>
          </w:p>
        </w:tc>
        <w:tc>
          <w:tcPr>
            <w:tcW w:w="0" w:type="dxa"/>
            <w:vAlign w:val="bottom"/>
          </w:tcPr>
          <w:p>
            <w:pPr>
              <w:spacing w:after="0"/>
              <w:rPr>
                <w:sz w:val="1"/>
                <w:szCs w:val="1"/>
                <w:color w:val="auto"/>
              </w:rPr>
            </w:pPr>
          </w:p>
        </w:tc>
      </w:tr>
      <w:tr>
        <w:trPr>
          <w:trHeight w:val="91"/>
        </w:trPr>
        <w:tc>
          <w:tcPr>
            <w:tcW w:w="2120" w:type="dxa"/>
            <w:vAlign w:val="bottom"/>
            <w:vMerge w:val="restart"/>
            <w:shd w:val="clear" w:color="auto" w:fill="DCF3FA"/>
          </w:tcPr>
          <w:p>
            <w:pPr>
              <w:spacing w:after="0" w:line="169" w:lineRule="exact"/>
              <w:rPr>
                <w:sz w:val="20"/>
                <w:szCs w:val="20"/>
                <w:color w:val="auto"/>
              </w:rPr>
            </w:pPr>
            <w:r>
              <w:rPr>
                <w:rFonts w:ascii="Calibri" w:cs="Calibri" w:eastAsia="Calibri" w:hAnsi="Calibri"/>
                <w:sz w:val="14"/>
                <w:szCs w:val="14"/>
                <w:color w:val="auto"/>
              </w:rPr>
              <w:t>  Head, Analytcs</w:t>
            </w:r>
          </w:p>
        </w:tc>
        <w:tc>
          <w:tcPr>
            <w:tcW w:w="180" w:type="dxa"/>
            <w:vAlign w:val="bottom"/>
            <w:shd w:val="clear" w:color="auto" w:fill="DCF3FA"/>
          </w:tcPr>
          <w:p>
            <w:pPr>
              <w:spacing w:after="0"/>
              <w:rPr>
                <w:sz w:val="7"/>
                <w:szCs w:val="7"/>
                <w:color w:val="auto"/>
              </w:rPr>
            </w:pPr>
          </w:p>
        </w:tc>
        <w:tc>
          <w:tcPr>
            <w:tcW w:w="360" w:type="dxa"/>
            <w:vAlign w:val="bottom"/>
            <w:vMerge w:val="continue"/>
            <w:shd w:val="clear" w:color="auto" w:fill="DCF3FA"/>
          </w:tcPr>
          <w:p>
            <w:pPr>
              <w:spacing w:after="0"/>
              <w:rPr>
                <w:sz w:val="7"/>
                <w:szCs w:val="7"/>
                <w:color w:val="auto"/>
              </w:rPr>
            </w:pPr>
          </w:p>
        </w:tc>
        <w:tc>
          <w:tcPr>
            <w:tcW w:w="960" w:type="dxa"/>
            <w:vAlign w:val="bottom"/>
            <w:vMerge w:val="continue"/>
            <w:shd w:val="clear" w:color="auto" w:fill="DCF3FA"/>
          </w:tcPr>
          <w:p>
            <w:pPr>
              <w:spacing w:after="0"/>
              <w:rPr>
                <w:sz w:val="7"/>
                <w:szCs w:val="7"/>
                <w:color w:val="auto"/>
              </w:rPr>
            </w:pPr>
          </w:p>
        </w:tc>
        <w:tc>
          <w:tcPr>
            <w:tcW w:w="960" w:type="dxa"/>
            <w:vAlign w:val="bottom"/>
            <w:vMerge w:val="continue"/>
            <w:shd w:val="clear" w:color="auto" w:fill="DCF3FA"/>
          </w:tcPr>
          <w:p>
            <w:pPr>
              <w:spacing w:after="0"/>
              <w:rPr>
                <w:sz w:val="7"/>
                <w:szCs w:val="7"/>
                <w:color w:val="auto"/>
              </w:rPr>
            </w:pPr>
          </w:p>
        </w:tc>
        <w:tc>
          <w:tcPr>
            <w:tcW w:w="820" w:type="dxa"/>
            <w:vAlign w:val="bottom"/>
            <w:vMerge w:val="continue"/>
            <w:shd w:val="clear" w:color="auto" w:fill="DCF3FA"/>
          </w:tcPr>
          <w:p>
            <w:pPr>
              <w:spacing w:after="0"/>
              <w:rPr>
                <w:sz w:val="7"/>
                <w:szCs w:val="7"/>
                <w:color w:val="auto"/>
              </w:rPr>
            </w:pPr>
          </w:p>
        </w:tc>
        <w:tc>
          <w:tcPr>
            <w:tcW w:w="780" w:type="dxa"/>
            <w:vAlign w:val="bottom"/>
            <w:vMerge w:val="continue"/>
            <w:shd w:val="clear" w:color="auto" w:fill="DCF3FA"/>
          </w:tcPr>
          <w:p>
            <w:pPr>
              <w:spacing w:after="0"/>
              <w:rPr>
                <w:sz w:val="7"/>
                <w:szCs w:val="7"/>
                <w:color w:val="auto"/>
              </w:rPr>
            </w:pPr>
          </w:p>
        </w:tc>
        <w:tc>
          <w:tcPr>
            <w:tcW w:w="1040" w:type="dxa"/>
            <w:vAlign w:val="bottom"/>
            <w:vMerge w:val="continue"/>
            <w:shd w:val="clear" w:color="auto" w:fill="DCF3FA"/>
          </w:tcPr>
          <w:p>
            <w:pPr>
              <w:spacing w:after="0"/>
              <w:rPr>
                <w:sz w:val="7"/>
                <w:szCs w:val="7"/>
                <w:color w:val="auto"/>
              </w:rPr>
            </w:pPr>
          </w:p>
        </w:tc>
        <w:tc>
          <w:tcPr>
            <w:tcW w:w="1020" w:type="dxa"/>
            <w:vAlign w:val="bottom"/>
            <w:vMerge w:val="continue"/>
            <w:shd w:val="clear" w:color="auto" w:fill="DCF3FA"/>
          </w:tcPr>
          <w:p>
            <w:pPr>
              <w:spacing w:after="0"/>
              <w:rPr>
                <w:sz w:val="7"/>
                <w:szCs w:val="7"/>
                <w:color w:val="auto"/>
              </w:rPr>
            </w:pPr>
          </w:p>
        </w:tc>
        <w:tc>
          <w:tcPr>
            <w:tcW w:w="1040" w:type="dxa"/>
            <w:vAlign w:val="bottom"/>
            <w:vMerge w:val="continue"/>
            <w:shd w:val="clear" w:color="auto" w:fill="DCF3FA"/>
          </w:tcPr>
          <w:p>
            <w:pPr>
              <w:spacing w:after="0"/>
              <w:rPr>
                <w:sz w:val="7"/>
                <w:szCs w:val="7"/>
                <w:color w:val="auto"/>
              </w:rPr>
            </w:pPr>
          </w:p>
        </w:tc>
        <w:tc>
          <w:tcPr>
            <w:tcW w:w="400" w:type="dxa"/>
            <w:vAlign w:val="bottom"/>
            <w:shd w:val="clear" w:color="auto" w:fill="DCF3FA"/>
          </w:tcPr>
          <w:p>
            <w:pPr>
              <w:spacing w:after="0"/>
              <w:rPr>
                <w:sz w:val="7"/>
                <w:szCs w:val="7"/>
                <w:color w:val="auto"/>
              </w:rPr>
            </w:pPr>
          </w:p>
        </w:tc>
        <w:tc>
          <w:tcPr>
            <w:tcW w:w="940" w:type="dxa"/>
            <w:vAlign w:val="bottom"/>
            <w:vMerge w:val="continue"/>
            <w:shd w:val="clear" w:color="auto" w:fill="DCF3FA"/>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120" w:type="dxa"/>
            <w:vAlign w:val="bottom"/>
            <w:tcBorders>
              <w:bottom w:val="single" w:sz="8" w:color="DCF3FA"/>
            </w:tcBorders>
            <w:vMerge w:val="continue"/>
            <w:shd w:val="clear" w:color="auto" w:fill="DCF3FA"/>
          </w:tcPr>
          <w:p>
            <w:pPr>
              <w:spacing w:after="0"/>
              <w:rPr>
                <w:sz w:val="7"/>
                <w:szCs w:val="7"/>
                <w:color w:val="auto"/>
              </w:rPr>
            </w:pPr>
          </w:p>
        </w:tc>
        <w:tc>
          <w:tcPr>
            <w:tcW w:w="180" w:type="dxa"/>
            <w:vAlign w:val="bottom"/>
            <w:tcBorders>
              <w:bottom w:val="single" w:sz="8" w:color="DCF3FA"/>
            </w:tcBorders>
            <w:shd w:val="clear" w:color="auto" w:fill="DCF3FA"/>
          </w:tcPr>
          <w:p>
            <w:pPr>
              <w:spacing w:after="0"/>
              <w:rPr>
                <w:sz w:val="7"/>
                <w:szCs w:val="7"/>
                <w:color w:val="auto"/>
              </w:rPr>
            </w:pPr>
          </w:p>
        </w:tc>
        <w:tc>
          <w:tcPr>
            <w:tcW w:w="360" w:type="dxa"/>
            <w:vAlign w:val="bottom"/>
            <w:tcBorders>
              <w:bottom w:val="single" w:sz="8" w:color="DCF3FA"/>
            </w:tcBorders>
            <w:shd w:val="clear" w:color="auto" w:fill="DCF3FA"/>
          </w:tcPr>
          <w:p>
            <w:pPr>
              <w:spacing w:after="0"/>
              <w:rPr>
                <w:sz w:val="7"/>
                <w:szCs w:val="7"/>
                <w:color w:val="auto"/>
              </w:rPr>
            </w:pPr>
          </w:p>
        </w:tc>
        <w:tc>
          <w:tcPr>
            <w:tcW w:w="960" w:type="dxa"/>
            <w:vAlign w:val="bottom"/>
            <w:tcBorders>
              <w:bottom w:val="single" w:sz="8" w:color="DCF3FA"/>
            </w:tcBorders>
            <w:shd w:val="clear" w:color="auto" w:fill="DCF3FA"/>
          </w:tcPr>
          <w:p>
            <w:pPr>
              <w:spacing w:after="0"/>
              <w:rPr>
                <w:sz w:val="7"/>
                <w:szCs w:val="7"/>
                <w:color w:val="auto"/>
              </w:rPr>
            </w:pPr>
          </w:p>
        </w:tc>
        <w:tc>
          <w:tcPr>
            <w:tcW w:w="960" w:type="dxa"/>
            <w:vAlign w:val="bottom"/>
            <w:tcBorders>
              <w:bottom w:val="single" w:sz="8" w:color="DCF3FA"/>
            </w:tcBorders>
            <w:shd w:val="clear" w:color="auto" w:fill="DCF3FA"/>
          </w:tcPr>
          <w:p>
            <w:pPr>
              <w:spacing w:after="0"/>
              <w:rPr>
                <w:sz w:val="7"/>
                <w:szCs w:val="7"/>
                <w:color w:val="auto"/>
              </w:rPr>
            </w:pPr>
          </w:p>
        </w:tc>
        <w:tc>
          <w:tcPr>
            <w:tcW w:w="820" w:type="dxa"/>
            <w:vAlign w:val="bottom"/>
            <w:tcBorders>
              <w:bottom w:val="single" w:sz="8" w:color="DCF3FA"/>
            </w:tcBorders>
            <w:shd w:val="clear" w:color="auto" w:fill="DCF3FA"/>
          </w:tcPr>
          <w:p>
            <w:pPr>
              <w:spacing w:after="0"/>
              <w:rPr>
                <w:sz w:val="7"/>
                <w:szCs w:val="7"/>
                <w:color w:val="auto"/>
              </w:rPr>
            </w:pPr>
          </w:p>
        </w:tc>
        <w:tc>
          <w:tcPr>
            <w:tcW w:w="780" w:type="dxa"/>
            <w:vAlign w:val="bottom"/>
            <w:tcBorders>
              <w:bottom w:val="single" w:sz="8" w:color="DCF3FA"/>
            </w:tcBorders>
            <w:shd w:val="clear" w:color="auto" w:fill="DCF3FA"/>
          </w:tcPr>
          <w:p>
            <w:pPr>
              <w:spacing w:after="0"/>
              <w:rPr>
                <w:sz w:val="7"/>
                <w:szCs w:val="7"/>
                <w:color w:val="auto"/>
              </w:rPr>
            </w:pPr>
          </w:p>
        </w:tc>
        <w:tc>
          <w:tcPr>
            <w:tcW w:w="1040" w:type="dxa"/>
            <w:vAlign w:val="bottom"/>
            <w:tcBorders>
              <w:bottom w:val="single" w:sz="8" w:color="DCF3FA"/>
            </w:tcBorders>
            <w:shd w:val="clear" w:color="auto" w:fill="DCF3FA"/>
          </w:tcPr>
          <w:p>
            <w:pPr>
              <w:spacing w:after="0"/>
              <w:rPr>
                <w:sz w:val="7"/>
                <w:szCs w:val="7"/>
                <w:color w:val="auto"/>
              </w:rPr>
            </w:pPr>
          </w:p>
        </w:tc>
        <w:tc>
          <w:tcPr>
            <w:tcW w:w="1020" w:type="dxa"/>
            <w:vAlign w:val="bottom"/>
            <w:tcBorders>
              <w:bottom w:val="single" w:sz="8" w:color="DCF3FA"/>
            </w:tcBorders>
            <w:shd w:val="clear" w:color="auto" w:fill="DCF3FA"/>
          </w:tcPr>
          <w:p>
            <w:pPr>
              <w:spacing w:after="0"/>
              <w:rPr>
                <w:sz w:val="7"/>
                <w:szCs w:val="7"/>
                <w:color w:val="auto"/>
              </w:rPr>
            </w:pPr>
          </w:p>
        </w:tc>
        <w:tc>
          <w:tcPr>
            <w:tcW w:w="1040" w:type="dxa"/>
            <w:vAlign w:val="bottom"/>
            <w:tcBorders>
              <w:bottom w:val="single" w:sz="8" w:color="DCF3FA"/>
            </w:tcBorders>
            <w:shd w:val="clear" w:color="auto" w:fill="DCF3FA"/>
          </w:tcPr>
          <w:p>
            <w:pPr>
              <w:spacing w:after="0"/>
              <w:rPr>
                <w:sz w:val="7"/>
                <w:szCs w:val="7"/>
                <w:color w:val="auto"/>
              </w:rPr>
            </w:pPr>
          </w:p>
        </w:tc>
        <w:tc>
          <w:tcPr>
            <w:tcW w:w="400" w:type="dxa"/>
            <w:vAlign w:val="bottom"/>
            <w:tcBorders>
              <w:bottom w:val="single" w:sz="8" w:color="DCF3FA"/>
            </w:tcBorders>
            <w:shd w:val="clear" w:color="auto" w:fill="DCF3FA"/>
          </w:tcPr>
          <w:p>
            <w:pPr>
              <w:spacing w:after="0"/>
              <w:rPr>
                <w:sz w:val="7"/>
                <w:szCs w:val="7"/>
                <w:color w:val="auto"/>
              </w:rPr>
            </w:pPr>
          </w:p>
        </w:tc>
        <w:tc>
          <w:tcPr>
            <w:tcW w:w="940" w:type="dxa"/>
            <w:vAlign w:val="bottom"/>
            <w:tcBorders>
              <w:bottom w:val="single" w:sz="8" w:color="DCF3FA"/>
            </w:tcBorders>
            <w:shd w:val="clear" w:color="auto" w:fill="DCF3FA"/>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120" w:type="dxa"/>
            <w:vAlign w:val="bottom"/>
          </w:tcPr>
          <w:p>
            <w:pPr>
              <w:spacing w:after="0"/>
              <w:rPr>
                <w:sz w:val="20"/>
                <w:szCs w:val="20"/>
                <w:color w:val="auto"/>
              </w:rPr>
            </w:pPr>
            <w:r>
              <w:rPr>
                <w:rFonts w:ascii="Calibri" w:cs="Calibri" w:eastAsia="Calibri" w:hAnsi="Calibri"/>
                <w:sz w:val="14"/>
                <w:szCs w:val="14"/>
                <w:b w:val="1"/>
                <w:bCs w:val="1"/>
                <w:color w:val="auto"/>
              </w:rPr>
              <w:t>  Anita Mahon</w:t>
            </w:r>
          </w:p>
        </w:tc>
        <w:tc>
          <w:tcPr>
            <w:tcW w:w="540" w:type="dxa"/>
            <w:vAlign w:val="bottom"/>
            <w:gridSpan w:val="2"/>
          </w:tcPr>
          <w:p>
            <w:pPr>
              <w:ind w:left="220"/>
              <w:spacing w:after="0"/>
              <w:rPr>
                <w:sz w:val="20"/>
                <w:szCs w:val="20"/>
                <w:color w:val="auto"/>
              </w:rPr>
            </w:pPr>
            <w:r>
              <w:rPr>
                <w:rFonts w:ascii="Calibri" w:cs="Calibri" w:eastAsia="Calibri" w:hAnsi="Calibri"/>
                <w:sz w:val="14"/>
                <w:szCs w:val="14"/>
                <w:color w:val="auto"/>
              </w:rPr>
              <w:t>2023</w:t>
            </w:r>
          </w:p>
        </w:tc>
        <w:tc>
          <w:tcPr>
            <w:tcW w:w="960" w:type="dxa"/>
            <w:vAlign w:val="bottom"/>
          </w:tcPr>
          <w:p>
            <w:pPr>
              <w:jc w:val="right"/>
              <w:ind w:right="211"/>
              <w:spacing w:after="0"/>
              <w:rPr>
                <w:sz w:val="20"/>
                <w:szCs w:val="20"/>
                <w:color w:val="auto"/>
              </w:rPr>
            </w:pPr>
            <w:r>
              <w:rPr>
                <w:rFonts w:ascii="Calibri" w:cs="Calibri" w:eastAsia="Calibri" w:hAnsi="Calibri"/>
                <w:sz w:val="14"/>
                <w:szCs w:val="14"/>
                <w:color w:val="auto"/>
              </w:rPr>
              <w:t>450,000</w:t>
            </w:r>
          </w:p>
        </w:tc>
        <w:tc>
          <w:tcPr>
            <w:tcW w:w="960" w:type="dxa"/>
            <w:vAlign w:val="bottom"/>
          </w:tcPr>
          <w:p>
            <w:pPr>
              <w:jc w:val="right"/>
              <w:ind w:right="17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71"/>
              <w:spacing w:after="0"/>
              <w:rPr>
                <w:sz w:val="20"/>
                <w:szCs w:val="20"/>
                <w:color w:val="auto"/>
              </w:rPr>
            </w:pPr>
            <w:r>
              <w:rPr>
                <w:rFonts w:ascii="Calibri" w:cs="Calibri" w:eastAsia="Calibri" w:hAnsi="Calibri"/>
                <w:sz w:val="14"/>
                <w:szCs w:val="14"/>
                <w:color w:val="auto"/>
              </w:rPr>
              <w:t>1,234,421</w:t>
            </w:r>
          </w:p>
        </w:tc>
        <w:tc>
          <w:tcPr>
            <w:tcW w:w="780" w:type="dxa"/>
            <w:vAlign w:val="bottom"/>
          </w:tcPr>
          <w:p>
            <w:pPr>
              <w:jc w:val="right"/>
              <w:ind w:right="31"/>
              <w:spacing w:after="0"/>
              <w:rPr>
                <w:sz w:val="20"/>
                <w:szCs w:val="20"/>
                <w:color w:val="auto"/>
              </w:rPr>
            </w:pPr>
            <w:r>
              <w:rPr>
                <w:rFonts w:ascii="Calibri" w:cs="Calibri" w:eastAsia="Calibri" w:hAnsi="Calibri"/>
                <w:sz w:val="14"/>
                <w:szCs w:val="14"/>
                <w:color w:val="auto"/>
              </w:rPr>
              <w:t>1,615,392</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447,577</w:t>
            </w:r>
          </w:p>
        </w:tc>
        <w:tc>
          <w:tcPr>
            <w:tcW w:w="102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10,404</w:t>
            </w:r>
          </w:p>
        </w:tc>
        <w:tc>
          <w:tcPr>
            <w:tcW w:w="400" w:type="dxa"/>
            <w:vAlign w:val="bottom"/>
          </w:tcPr>
          <w:p>
            <w:pPr>
              <w:jc w:val="center"/>
              <w:spacing w:after="0"/>
              <w:rPr>
                <w:sz w:val="20"/>
                <w:szCs w:val="20"/>
                <w:color w:val="auto"/>
              </w:rPr>
            </w:pPr>
            <w:r>
              <w:rPr>
                <w:rFonts w:ascii="Calibri" w:cs="Calibri" w:eastAsia="Calibri" w:hAnsi="Calibri"/>
                <w:sz w:val="10"/>
                <w:szCs w:val="10"/>
                <w:color w:val="auto"/>
                <w:w w:val="98"/>
              </w:rPr>
              <w:t>(11)</w:t>
            </w:r>
          </w:p>
        </w:tc>
        <w:tc>
          <w:tcPr>
            <w:tcW w:w="940" w:type="dxa"/>
            <w:vAlign w:val="bottom"/>
          </w:tcPr>
          <w:p>
            <w:pPr>
              <w:jc w:val="right"/>
              <w:ind w:right="11"/>
              <w:spacing w:after="0"/>
              <w:rPr>
                <w:sz w:val="20"/>
                <w:szCs w:val="20"/>
                <w:color w:val="auto"/>
              </w:rPr>
            </w:pPr>
            <w:r>
              <w:rPr>
                <w:rFonts w:ascii="Calibri" w:cs="Calibri" w:eastAsia="Calibri" w:hAnsi="Calibri"/>
                <w:sz w:val="14"/>
                <w:szCs w:val="14"/>
                <w:color w:val="auto"/>
              </w:rPr>
              <w:t xml:space="preserve">3,757,795   </w:t>
            </w:r>
          </w:p>
        </w:tc>
        <w:tc>
          <w:tcPr>
            <w:tcW w:w="0" w:type="dxa"/>
            <w:vAlign w:val="bottom"/>
          </w:tcPr>
          <w:p>
            <w:pPr>
              <w:spacing w:after="0"/>
              <w:rPr>
                <w:sz w:val="1"/>
                <w:szCs w:val="1"/>
                <w:color w:val="auto"/>
              </w:rPr>
            </w:pPr>
          </w:p>
        </w:tc>
      </w:tr>
      <w:tr>
        <w:trPr>
          <w:trHeight w:val="195"/>
        </w:trPr>
        <w:tc>
          <w:tcPr>
            <w:tcW w:w="2120" w:type="dxa"/>
            <w:vAlign w:val="bottom"/>
          </w:tcPr>
          <w:p>
            <w:pPr>
              <w:spacing w:after="0"/>
              <w:rPr>
                <w:sz w:val="20"/>
                <w:szCs w:val="20"/>
                <w:color w:val="auto"/>
              </w:rPr>
            </w:pPr>
            <w:r>
              <w:rPr>
                <w:rFonts w:ascii="Calibri" w:cs="Calibri" w:eastAsia="Calibri" w:hAnsi="Calibri"/>
                <w:sz w:val="14"/>
                <w:szCs w:val="14"/>
                <w:color w:val="auto"/>
              </w:rPr>
              <w:t>  Executve Vice</w:t>
            </w:r>
          </w:p>
        </w:tc>
        <w:tc>
          <w:tcPr>
            <w:tcW w:w="540" w:type="dxa"/>
            <w:vAlign w:val="bottom"/>
            <w:gridSpan w:val="2"/>
          </w:tcPr>
          <w:p>
            <w:pPr>
              <w:ind w:left="220"/>
              <w:spacing w:after="0"/>
              <w:rPr>
                <w:sz w:val="20"/>
                <w:szCs w:val="20"/>
                <w:color w:val="auto"/>
              </w:rPr>
            </w:pPr>
            <w:r>
              <w:rPr>
                <w:rFonts w:ascii="Calibri" w:cs="Calibri" w:eastAsia="Calibri" w:hAnsi="Calibri"/>
                <w:sz w:val="14"/>
                <w:szCs w:val="14"/>
                <w:color w:val="auto"/>
              </w:rPr>
              <w:t>2022</w:t>
            </w:r>
          </w:p>
        </w:tc>
        <w:tc>
          <w:tcPr>
            <w:tcW w:w="960" w:type="dxa"/>
            <w:vAlign w:val="bottom"/>
          </w:tcPr>
          <w:p>
            <w:pPr>
              <w:jc w:val="right"/>
              <w:ind w:right="211"/>
              <w:spacing w:after="0"/>
              <w:rPr>
                <w:sz w:val="20"/>
                <w:szCs w:val="20"/>
                <w:color w:val="auto"/>
              </w:rPr>
            </w:pPr>
            <w:r>
              <w:rPr>
                <w:rFonts w:ascii="Calibri" w:cs="Calibri" w:eastAsia="Calibri" w:hAnsi="Calibri"/>
                <w:sz w:val="14"/>
                <w:szCs w:val="14"/>
                <w:color w:val="auto"/>
              </w:rPr>
              <w:t>—</w:t>
            </w:r>
          </w:p>
        </w:tc>
        <w:tc>
          <w:tcPr>
            <w:tcW w:w="960" w:type="dxa"/>
            <w:vAlign w:val="bottom"/>
          </w:tcPr>
          <w:p>
            <w:pPr>
              <w:jc w:val="right"/>
              <w:ind w:right="17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71"/>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02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Calibri" w:cs="Calibri" w:eastAsia="Calibri" w:hAnsi="Calibri"/>
                <w:sz w:val="14"/>
                <w:szCs w:val="14"/>
                <w:color w:val="auto"/>
              </w:rPr>
              <w:t xml:space="preserve">—   </w:t>
            </w:r>
          </w:p>
        </w:tc>
        <w:tc>
          <w:tcPr>
            <w:tcW w:w="0" w:type="dxa"/>
            <w:vAlign w:val="bottom"/>
          </w:tcPr>
          <w:p>
            <w:pPr>
              <w:spacing w:after="0"/>
              <w:rPr>
                <w:sz w:val="1"/>
                <w:szCs w:val="1"/>
                <w:color w:val="auto"/>
              </w:rPr>
            </w:pPr>
          </w:p>
        </w:tc>
      </w:tr>
      <w:tr>
        <w:trPr>
          <w:trHeight w:val="169"/>
        </w:trPr>
        <w:tc>
          <w:tcPr>
            <w:tcW w:w="2120" w:type="dxa"/>
            <w:vAlign w:val="bottom"/>
          </w:tcPr>
          <w:p>
            <w:pPr>
              <w:spacing w:after="0" w:line="169" w:lineRule="exact"/>
              <w:rPr>
                <w:sz w:val="20"/>
                <w:szCs w:val="20"/>
                <w:color w:val="auto"/>
              </w:rPr>
            </w:pPr>
            <w:r>
              <w:rPr>
                <w:rFonts w:ascii="Calibri" w:cs="Calibri" w:eastAsia="Calibri" w:hAnsi="Calibri"/>
                <w:sz w:val="14"/>
                <w:szCs w:val="14"/>
                <w:color w:val="auto"/>
              </w:rPr>
              <w:t>  President and Global Head,</w:t>
            </w:r>
          </w:p>
        </w:tc>
        <w:tc>
          <w:tcPr>
            <w:tcW w:w="540" w:type="dxa"/>
            <w:vAlign w:val="bottom"/>
            <w:gridSpan w:val="2"/>
            <w:vMerge w:val="restart"/>
          </w:tcPr>
          <w:p>
            <w:pPr>
              <w:ind w:left="220"/>
              <w:spacing w:after="0"/>
              <w:rPr>
                <w:sz w:val="20"/>
                <w:szCs w:val="20"/>
                <w:color w:val="auto"/>
              </w:rPr>
            </w:pPr>
            <w:r>
              <w:rPr>
                <w:rFonts w:ascii="Calibri" w:cs="Calibri" w:eastAsia="Calibri" w:hAnsi="Calibri"/>
                <w:sz w:val="14"/>
                <w:szCs w:val="14"/>
                <w:color w:val="auto"/>
              </w:rPr>
              <w:t>2021</w:t>
            </w:r>
          </w:p>
        </w:tc>
        <w:tc>
          <w:tcPr>
            <w:tcW w:w="960" w:type="dxa"/>
            <w:vAlign w:val="bottom"/>
            <w:vMerge w:val="restart"/>
          </w:tcPr>
          <w:p>
            <w:pPr>
              <w:jc w:val="right"/>
              <w:ind w:right="211"/>
              <w:spacing w:after="0"/>
              <w:rPr>
                <w:sz w:val="20"/>
                <w:szCs w:val="20"/>
                <w:color w:val="auto"/>
              </w:rPr>
            </w:pPr>
            <w:r>
              <w:rPr>
                <w:rFonts w:ascii="Calibri" w:cs="Calibri" w:eastAsia="Calibri" w:hAnsi="Calibri"/>
                <w:sz w:val="14"/>
                <w:szCs w:val="14"/>
                <w:color w:val="auto"/>
              </w:rPr>
              <w:t>—</w:t>
            </w:r>
          </w:p>
        </w:tc>
        <w:tc>
          <w:tcPr>
            <w:tcW w:w="960" w:type="dxa"/>
            <w:vAlign w:val="bottom"/>
            <w:vMerge w:val="restart"/>
          </w:tcPr>
          <w:p>
            <w:pPr>
              <w:jc w:val="right"/>
              <w:ind w:right="171"/>
              <w:spacing w:after="0"/>
              <w:rPr>
                <w:sz w:val="20"/>
                <w:szCs w:val="20"/>
                <w:color w:val="auto"/>
              </w:rPr>
            </w:pPr>
            <w:r>
              <w:rPr>
                <w:rFonts w:ascii="Calibri" w:cs="Calibri" w:eastAsia="Calibri" w:hAnsi="Calibri"/>
                <w:sz w:val="14"/>
                <w:szCs w:val="14"/>
                <w:color w:val="auto"/>
              </w:rPr>
              <w:t>—</w:t>
            </w:r>
          </w:p>
        </w:tc>
        <w:tc>
          <w:tcPr>
            <w:tcW w:w="820" w:type="dxa"/>
            <w:vAlign w:val="bottom"/>
            <w:vMerge w:val="restart"/>
          </w:tcPr>
          <w:p>
            <w:pPr>
              <w:jc w:val="right"/>
              <w:ind w:right="71"/>
              <w:spacing w:after="0"/>
              <w:rPr>
                <w:sz w:val="20"/>
                <w:szCs w:val="20"/>
                <w:color w:val="auto"/>
              </w:rPr>
            </w:pPr>
            <w:r>
              <w:rPr>
                <w:rFonts w:ascii="Calibri" w:cs="Calibri" w:eastAsia="Calibri" w:hAnsi="Calibri"/>
                <w:sz w:val="14"/>
                <w:szCs w:val="14"/>
                <w:color w:val="auto"/>
              </w:rPr>
              <w:t>—</w:t>
            </w:r>
          </w:p>
        </w:tc>
        <w:tc>
          <w:tcPr>
            <w:tcW w:w="78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w:t>
            </w:r>
          </w:p>
        </w:tc>
        <w:tc>
          <w:tcPr>
            <w:tcW w:w="102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4"/>
                <w:szCs w:val="14"/>
                <w:color w:val="auto"/>
              </w:rPr>
            </w:pPr>
          </w:p>
        </w:tc>
        <w:tc>
          <w:tcPr>
            <w:tcW w:w="940" w:type="dxa"/>
            <w:vAlign w:val="bottom"/>
            <w:vMerge w:val="restart"/>
          </w:tcPr>
          <w:p>
            <w:pPr>
              <w:jc w:val="right"/>
              <w:ind w:right="11"/>
              <w:spacing w:after="0"/>
              <w:rPr>
                <w:sz w:val="20"/>
                <w:szCs w:val="20"/>
                <w:color w:val="auto"/>
              </w:rPr>
            </w:pPr>
            <w:r>
              <w:rPr>
                <w:rFonts w:ascii="Calibri" w:cs="Calibri" w:eastAsia="Calibri" w:hAnsi="Calibri"/>
                <w:sz w:val="14"/>
                <w:szCs w:val="14"/>
                <w:color w:val="auto"/>
              </w:rPr>
              <w:t xml:space="preserve">—   </w:t>
            </w:r>
          </w:p>
        </w:tc>
        <w:tc>
          <w:tcPr>
            <w:tcW w:w="0" w:type="dxa"/>
            <w:vAlign w:val="bottom"/>
          </w:tcPr>
          <w:p>
            <w:pPr>
              <w:spacing w:after="0"/>
              <w:rPr>
                <w:sz w:val="1"/>
                <w:szCs w:val="1"/>
                <w:color w:val="auto"/>
              </w:rPr>
            </w:pPr>
          </w:p>
        </w:tc>
      </w:tr>
      <w:tr>
        <w:trPr>
          <w:trHeight w:val="91"/>
        </w:trPr>
        <w:tc>
          <w:tcPr>
            <w:tcW w:w="2120" w:type="dxa"/>
            <w:vAlign w:val="bottom"/>
            <w:vMerge w:val="restart"/>
          </w:tcPr>
          <w:p>
            <w:pPr>
              <w:spacing w:after="0" w:line="169" w:lineRule="exact"/>
              <w:rPr>
                <w:sz w:val="20"/>
                <w:szCs w:val="20"/>
                <w:color w:val="auto"/>
              </w:rPr>
            </w:pPr>
            <w:r>
              <w:rPr>
                <w:rFonts w:ascii="Calibri" w:cs="Calibri" w:eastAsia="Calibri" w:hAnsi="Calibri"/>
                <w:sz w:val="14"/>
                <w:szCs w:val="14"/>
                <w:color w:val="auto"/>
              </w:rPr>
              <w:t>  Healthcare</w:t>
            </w:r>
          </w:p>
        </w:tc>
        <w:tc>
          <w:tcPr>
            <w:tcW w:w="540" w:type="dxa"/>
            <w:vAlign w:val="bottom"/>
            <w:gridSpan w:val="2"/>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1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20" w:right="400" w:hanging="4"/>
        <w:spacing w:after="0" w:line="236" w:lineRule="auto"/>
        <w:tabs>
          <w:tab w:leader="none" w:pos="506"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The amount set forth in the “Salary” column for Mr. Bhalla includes $117,357 of base salary, $104,382 of a cash supplementary allowance, $46,640 of housing allowance (which Mr. Bhalla elected to receive instead in cash), $9,776 of travel allowance (which Mr. Bhalla elected to receive instead in cash), and $22,033 of a special car allowance (which Mr. Bhalla elected to receive instead in cash).</w:t>
      </w:r>
    </w:p>
    <w:p>
      <w:pPr>
        <w:ind w:left="500" w:hanging="184"/>
        <w:spacing w:after="0" w:line="237" w:lineRule="auto"/>
        <w:tabs>
          <w:tab w:leader="none" w:pos="500"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There were no discretonary bonuses paid in 2023.</w:t>
      </w:r>
    </w:p>
    <w:p>
      <w:pPr>
        <w:spacing w:after="0" w:line="3" w:lineRule="exact"/>
        <w:rPr>
          <w:rFonts w:ascii="Calibri" w:cs="Calibri" w:eastAsia="Calibri" w:hAnsi="Calibri"/>
          <w:sz w:val="14"/>
          <w:szCs w:val="14"/>
          <w:color w:val="auto"/>
        </w:rPr>
      </w:pPr>
    </w:p>
    <w:p>
      <w:pPr>
        <w:ind w:left="320" w:right="20" w:hanging="4"/>
        <w:spacing w:after="0" w:line="237" w:lineRule="auto"/>
        <w:tabs>
          <w:tab w:leader="none" w:pos="506"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Amounts refect the total grant date fair value of awards (RSUs and revenue-based PRSUs), Monte Carlo value of awards (TSR-based PRSUs) and Black Scholes value of awards (optons) (recognized for fnancial statement reportng purposes for the fscal years ended December 31, 2021, 2022 and 2023, as applicable, in accordance with FASB ASC Topic 718 (disregarding any forfeiture assumptons)). Assumptons used in the calculaton of these amounts are included (i) for 2023 , in footnotes 2 and 23 to the audited fnancial statements for the fscal year ended December 31, 2023, included in our Annual Report on Form 10-K fled with the Securites and Exchange Commission on February 29, 2024; (ii) for 2022, in footnotes 2 and 23 to the audited fnancial statements for the fscal year ended December 31, 2022, included in our Annual Report on Form 10-K fled with the Securites and Exchange Commission on February 23, 2023; and (iii) for 2021, in footnotes 2 and 22 to the audited fnancial statements for the fscal year ended December 31, 2021, included in our Annual Report on Form 10-K fled with the Securites and Exchange Commission on February 24, 2022. With respect to stock awards granted in 2023, the table below sets forth the value atributable to performance restricted stock units valued at target achievement. Performance restricted stock units granted in 2023 may pay out up to 200% of the target award, which would have amounted to the grant date fair values listed as the maximum total grant date fair value for each named executve ofcer in the table below.</w:t>
      </w:r>
    </w:p>
    <w:p>
      <w:pPr>
        <w:spacing w:after="0" w:line="115"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4260" w:type="dxa"/>
            <w:vAlign w:val="bottom"/>
            <w:tcBorders>
              <w:bottom w:val="single" w:sz="8" w:color="FB4E0B"/>
            </w:tcBorders>
          </w:tcPr>
          <w:p>
            <w:pPr>
              <w:spacing w:after="0"/>
              <w:rPr>
                <w:sz w:val="20"/>
                <w:szCs w:val="20"/>
                <w:color w:val="auto"/>
              </w:rPr>
            </w:pPr>
            <w:r>
              <w:rPr>
                <w:rFonts w:ascii="Calibri" w:cs="Calibri" w:eastAsia="Calibri" w:hAnsi="Calibri"/>
                <w:sz w:val="14"/>
                <w:szCs w:val="14"/>
                <w:b w:val="1"/>
                <w:bCs w:val="1"/>
                <w:color w:val="FB4E0B"/>
              </w:rPr>
              <w:t>  Name</w:t>
            </w:r>
          </w:p>
        </w:tc>
        <w:tc>
          <w:tcPr>
            <w:tcW w:w="3180" w:type="dxa"/>
            <w:vAlign w:val="bottom"/>
            <w:tcBorders>
              <w:bottom w:val="single" w:sz="8" w:color="FB4E0B"/>
            </w:tcBorders>
          </w:tcPr>
          <w:p>
            <w:pPr>
              <w:jc w:val="right"/>
              <w:ind w:right="291"/>
              <w:spacing w:after="0"/>
              <w:rPr>
                <w:sz w:val="20"/>
                <w:szCs w:val="20"/>
                <w:color w:val="auto"/>
              </w:rPr>
            </w:pPr>
            <w:r>
              <w:rPr>
                <w:rFonts w:ascii="Calibri" w:cs="Calibri" w:eastAsia="Calibri" w:hAnsi="Calibri"/>
                <w:sz w:val="14"/>
                <w:szCs w:val="14"/>
                <w:b w:val="1"/>
                <w:bCs w:val="1"/>
                <w:color w:val="FB4E0B"/>
              </w:rPr>
              <w:t xml:space="preserve">         Total grant date fair value ($)       </w:t>
            </w:r>
          </w:p>
        </w:tc>
        <w:tc>
          <w:tcPr>
            <w:tcW w:w="3180" w:type="dxa"/>
            <w:vAlign w:val="bottom"/>
            <w:tcBorders>
              <w:bottom w:val="single" w:sz="8" w:color="FB4E0B"/>
            </w:tcBorders>
          </w:tcPr>
          <w:p>
            <w:pPr>
              <w:ind w:left="420"/>
              <w:spacing w:after="0"/>
              <w:rPr>
                <w:sz w:val="20"/>
                <w:szCs w:val="20"/>
                <w:color w:val="auto"/>
              </w:rPr>
            </w:pPr>
            <w:r>
              <w:rPr>
                <w:rFonts w:ascii="Calibri" w:cs="Calibri" w:eastAsia="Calibri" w:hAnsi="Calibri"/>
                <w:sz w:val="14"/>
                <w:szCs w:val="14"/>
                <w:b w:val="1"/>
                <w:bCs w:val="1"/>
                <w:color w:val="FB4E0B"/>
              </w:rPr>
              <w:t>   Maximum total grant date fair value ($)</w:t>
            </w:r>
          </w:p>
        </w:tc>
      </w:tr>
      <w:tr>
        <w:trPr>
          <w:trHeight w:val="203"/>
        </w:trPr>
        <w:tc>
          <w:tcPr>
            <w:tcW w:w="4260" w:type="dxa"/>
            <w:vAlign w:val="bottom"/>
            <w:tcBorders>
              <w:right w:val="single" w:sz="8" w:color="auto"/>
            </w:tcBorders>
          </w:tcPr>
          <w:p>
            <w:pPr>
              <w:spacing w:after="0"/>
              <w:rPr>
                <w:sz w:val="20"/>
                <w:szCs w:val="20"/>
                <w:color w:val="auto"/>
              </w:rPr>
            </w:pPr>
            <w:r>
              <w:rPr>
                <w:rFonts w:ascii="Calibri" w:cs="Calibri" w:eastAsia="Calibri" w:hAnsi="Calibri"/>
                <w:sz w:val="14"/>
                <w:szCs w:val="14"/>
                <w:b w:val="1"/>
                <w:bCs w:val="1"/>
                <w:color w:val="auto"/>
              </w:rPr>
              <w:t>  Rohit Kapoor</w:t>
            </w:r>
          </w:p>
        </w:tc>
        <w:tc>
          <w:tcPr>
            <w:tcW w:w="3180" w:type="dxa"/>
            <w:vAlign w:val="bottom"/>
            <w:tcBorders>
              <w:right w:val="single" w:sz="8" w:color="auto"/>
            </w:tcBorders>
          </w:tcPr>
          <w:p>
            <w:pPr>
              <w:jc w:val="right"/>
              <w:ind w:right="1151"/>
              <w:spacing w:after="0"/>
              <w:rPr>
                <w:sz w:val="20"/>
                <w:szCs w:val="20"/>
                <w:color w:val="auto"/>
              </w:rPr>
            </w:pPr>
            <w:r>
              <w:rPr>
                <w:rFonts w:ascii="Calibri" w:cs="Calibri" w:eastAsia="Calibri" w:hAnsi="Calibri"/>
                <w:sz w:val="14"/>
                <w:szCs w:val="14"/>
                <w:color w:val="auto"/>
              </w:rPr>
              <w:t>6,371,776</w:t>
            </w:r>
          </w:p>
        </w:tc>
        <w:tc>
          <w:tcPr>
            <w:tcW w:w="3180" w:type="dxa"/>
            <w:vAlign w:val="bottom"/>
          </w:tcPr>
          <w:p>
            <w:pPr>
              <w:jc w:val="center"/>
              <w:ind w:left="131"/>
              <w:spacing w:after="0"/>
              <w:rPr>
                <w:sz w:val="20"/>
                <w:szCs w:val="20"/>
                <w:color w:val="auto"/>
              </w:rPr>
            </w:pPr>
            <w:r>
              <w:rPr>
                <w:rFonts w:ascii="Calibri" w:cs="Calibri" w:eastAsia="Calibri" w:hAnsi="Calibri"/>
                <w:sz w:val="14"/>
                <w:szCs w:val="14"/>
                <w:color w:val="auto"/>
                <w:w w:val="97"/>
              </w:rPr>
              <w:t>12,743,552</w:t>
            </w:r>
          </w:p>
        </w:tc>
      </w:tr>
      <w:tr>
        <w:trPr>
          <w:trHeight w:val="122"/>
        </w:trPr>
        <w:tc>
          <w:tcPr>
            <w:tcW w:w="4260" w:type="dxa"/>
            <w:vAlign w:val="bottom"/>
            <w:tcBorders>
              <w:bottom w:val="single" w:sz="8" w:color="auto"/>
              <w:right w:val="single" w:sz="8" w:color="auto"/>
            </w:tcBorders>
          </w:tcPr>
          <w:p>
            <w:pPr>
              <w:spacing w:after="0"/>
              <w:rPr>
                <w:sz w:val="10"/>
                <w:szCs w:val="10"/>
                <w:color w:val="auto"/>
              </w:rPr>
            </w:pPr>
          </w:p>
        </w:tc>
        <w:tc>
          <w:tcPr>
            <w:tcW w:w="3180" w:type="dxa"/>
            <w:vAlign w:val="bottom"/>
            <w:tcBorders>
              <w:bottom w:val="single" w:sz="8" w:color="auto"/>
              <w:right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r>
      <w:tr>
        <w:trPr>
          <w:trHeight w:val="196"/>
        </w:trPr>
        <w:tc>
          <w:tcPr>
            <w:tcW w:w="4260" w:type="dxa"/>
            <w:vAlign w:val="bottom"/>
            <w:tcBorders>
              <w:right w:val="single" w:sz="8" w:color="auto"/>
            </w:tcBorders>
          </w:tcPr>
          <w:p>
            <w:pPr>
              <w:spacing w:after="0"/>
              <w:rPr>
                <w:sz w:val="20"/>
                <w:szCs w:val="20"/>
                <w:color w:val="auto"/>
              </w:rPr>
            </w:pPr>
            <w:r>
              <w:rPr>
                <w:rFonts w:ascii="Calibri" w:cs="Calibri" w:eastAsia="Calibri" w:hAnsi="Calibri"/>
                <w:sz w:val="14"/>
                <w:szCs w:val="14"/>
                <w:b w:val="1"/>
                <w:bCs w:val="1"/>
                <w:color w:val="auto"/>
              </w:rPr>
              <w:t>  Maurizio Nicolelli</w:t>
            </w:r>
          </w:p>
        </w:tc>
        <w:tc>
          <w:tcPr>
            <w:tcW w:w="3180" w:type="dxa"/>
            <w:vAlign w:val="bottom"/>
            <w:tcBorders>
              <w:right w:val="single" w:sz="8" w:color="auto"/>
            </w:tcBorders>
          </w:tcPr>
          <w:p>
            <w:pPr>
              <w:jc w:val="right"/>
              <w:ind w:right="1151"/>
              <w:spacing w:after="0"/>
              <w:rPr>
                <w:sz w:val="20"/>
                <w:szCs w:val="20"/>
                <w:color w:val="auto"/>
              </w:rPr>
            </w:pPr>
            <w:r>
              <w:rPr>
                <w:rFonts w:ascii="Calibri" w:cs="Calibri" w:eastAsia="Calibri" w:hAnsi="Calibri"/>
                <w:sz w:val="14"/>
                <w:szCs w:val="14"/>
                <w:color w:val="auto"/>
              </w:rPr>
              <w:t>1,002,596</w:t>
            </w:r>
          </w:p>
        </w:tc>
        <w:tc>
          <w:tcPr>
            <w:tcW w:w="3180" w:type="dxa"/>
            <w:vAlign w:val="bottom"/>
          </w:tcPr>
          <w:p>
            <w:pPr>
              <w:jc w:val="center"/>
              <w:ind w:left="111"/>
              <w:spacing w:after="0"/>
              <w:rPr>
                <w:sz w:val="20"/>
                <w:szCs w:val="20"/>
                <w:color w:val="auto"/>
              </w:rPr>
            </w:pPr>
            <w:r>
              <w:rPr>
                <w:rFonts w:ascii="Calibri" w:cs="Calibri" w:eastAsia="Calibri" w:hAnsi="Calibri"/>
                <w:sz w:val="14"/>
                <w:szCs w:val="14"/>
                <w:color w:val="auto"/>
                <w:w w:val="98"/>
              </w:rPr>
              <w:t>2,005,193</w:t>
            </w:r>
          </w:p>
        </w:tc>
      </w:tr>
      <w:tr>
        <w:trPr>
          <w:trHeight w:val="122"/>
        </w:trPr>
        <w:tc>
          <w:tcPr>
            <w:tcW w:w="4260" w:type="dxa"/>
            <w:vAlign w:val="bottom"/>
            <w:tcBorders>
              <w:bottom w:val="single" w:sz="8" w:color="auto"/>
              <w:right w:val="single" w:sz="8" w:color="auto"/>
            </w:tcBorders>
          </w:tcPr>
          <w:p>
            <w:pPr>
              <w:spacing w:after="0"/>
              <w:rPr>
                <w:sz w:val="10"/>
                <w:szCs w:val="10"/>
                <w:color w:val="auto"/>
              </w:rPr>
            </w:pPr>
          </w:p>
        </w:tc>
        <w:tc>
          <w:tcPr>
            <w:tcW w:w="3180" w:type="dxa"/>
            <w:vAlign w:val="bottom"/>
            <w:tcBorders>
              <w:bottom w:val="single" w:sz="8" w:color="auto"/>
              <w:right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r>
      <w:tr>
        <w:trPr>
          <w:trHeight w:val="196"/>
        </w:trPr>
        <w:tc>
          <w:tcPr>
            <w:tcW w:w="4260" w:type="dxa"/>
            <w:vAlign w:val="bottom"/>
            <w:tcBorders>
              <w:right w:val="single" w:sz="8" w:color="auto"/>
            </w:tcBorders>
          </w:tcPr>
          <w:p>
            <w:pPr>
              <w:spacing w:after="0"/>
              <w:rPr>
                <w:sz w:val="20"/>
                <w:szCs w:val="20"/>
                <w:color w:val="auto"/>
              </w:rPr>
            </w:pPr>
            <w:r>
              <w:rPr>
                <w:rFonts w:ascii="Calibri" w:cs="Calibri" w:eastAsia="Calibri" w:hAnsi="Calibri"/>
                <w:sz w:val="14"/>
                <w:szCs w:val="14"/>
                <w:b w:val="1"/>
                <w:bCs w:val="1"/>
                <w:color w:val="auto"/>
              </w:rPr>
              <w:t>  Vikas Bhalla</w:t>
            </w:r>
          </w:p>
        </w:tc>
        <w:tc>
          <w:tcPr>
            <w:tcW w:w="3180" w:type="dxa"/>
            <w:vAlign w:val="bottom"/>
            <w:tcBorders>
              <w:right w:val="single" w:sz="8" w:color="auto"/>
            </w:tcBorders>
          </w:tcPr>
          <w:p>
            <w:pPr>
              <w:jc w:val="right"/>
              <w:ind w:right="1151"/>
              <w:spacing w:after="0"/>
              <w:rPr>
                <w:sz w:val="20"/>
                <w:szCs w:val="20"/>
                <w:color w:val="auto"/>
              </w:rPr>
            </w:pPr>
            <w:r>
              <w:rPr>
                <w:rFonts w:ascii="Calibri" w:cs="Calibri" w:eastAsia="Calibri" w:hAnsi="Calibri"/>
                <w:sz w:val="14"/>
                <w:szCs w:val="14"/>
                <w:color w:val="auto"/>
              </w:rPr>
              <w:t>1,073,350</w:t>
            </w:r>
          </w:p>
        </w:tc>
        <w:tc>
          <w:tcPr>
            <w:tcW w:w="3180" w:type="dxa"/>
            <w:vAlign w:val="bottom"/>
          </w:tcPr>
          <w:p>
            <w:pPr>
              <w:jc w:val="center"/>
              <w:ind w:left="111"/>
              <w:spacing w:after="0"/>
              <w:rPr>
                <w:sz w:val="20"/>
                <w:szCs w:val="20"/>
                <w:color w:val="auto"/>
              </w:rPr>
            </w:pPr>
            <w:r>
              <w:rPr>
                <w:rFonts w:ascii="Calibri" w:cs="Calibri" w:eastAsia="Calibri" w:hAnsi="Calibri"/>
                <w:sz w:val="14"/>
                <w:szCs w:val="14"/>
                <w:color w:val="auto"/>
                <w:w w:val="98"/>
              </w:rPr>
              <w:t>2,146,700</w:t>
            </w:r>
          </w:p>
        </w:tc>
      </w:tr>
      <w:tr>
        <w:trPr>
          <w:trHeight w:val="122"/>
        </w:trPr>
        <w:tc>
          <w:tcPr>
            <w:tcW w:w="4260" w:type="dxa"/>
            <w:vAlign w:val="bottom"/>
            <w:tcBorders>
              <w:bottom w:val="single" w:sz="8" w:color="auto"/>
              <w:right w:val="single" w:sz="8" w:color="auto"/>
            </w:tcBorders>
          </w:tcPr>
          <w:p>
            <w:pPr>
              <w:spacing w:after="0"/>
              <w:rPr>
                <w:sz w:val="10"/>
                <w:szCs w:val="10"/>
                <w:color w:val="auto"/>
              </w:rPr>
            </w:pPr>
          </w:p>
        </w:tc>
        <w:tc>
          <w:tcPr>
            <w:tcW w:w="3180" w:type="dxa"/>
            <w:vAlign w:val="bottom"/>
            <w:tcBorders>
              <w:bottom w:val="single" w:sz="8" w:color="auto"/>
              <w:right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r>
    </w:tbl>
    <w:p>
      <w:pPr>
        <w:spacing w:after="0" w:line="10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84 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180" w:type="dxa"/>
            <w:vAlign w:val="bottom"/>
          </w:tcPr>
          <w:p>
            <w:pPr>
              <w:jc w:val="right"/>
              <w:spacing w:after="0"/>
              <w:rPr>
                <w:sz w:val="20"/>
                <w:szCs w:val="20"/>
                <w:color w:val="auto"/>
              </w:rPr>
            </w:pPr>
            <w:r>
              <w:rPr>
                <w:rFonts w:ascii="Calibri" w:cs="Calibri" w:eastAsia="Calibri" w:hAnsi="Calibri"/>
                <w:sz w:val="14"/>
                <w:szCs w:val="14"/>
                <w:b w:val="1"/>
                <w:bCs w:val="1"/>
                <w:color w:val="005071"/>
              </w:rPr>
              <w:t>Executve compensaton</w:t>
            </w:r>
          </w:p>
        </w:tc>
      </w:tr>
      <w:tr>
        <w:trPr>
          <w:trHeight w:val="544"/>
        </w:trPr>
        <w:tc>
          <w:tcPr>
            <w:tcW w:w="4260" w:type="dxa"/>
            <w:vAlign w:val="bottom"/>
            <w:tcBorders>
              <w:bottom w:val="single" w:sz="8" w:color="FB4E0B"/>
            </w:tcBorders>
          </w:tcPr>
          <w:p>
            <w:pPr>
              <w:spacing w:after="0"/>
              <w:rPr>
                <w:sz w:val="20"/>
                <w:szCs w:val="20"/>
                <w:color w:val="auto"/>
              </w:rPr>
            </w:pPr>
            <w:r>
              <w:rPr>
                <w:rFonts w:ascii="Calibri" w:cs="Calibri" w:eastAsia="Calibri" w:hAnsi="Calibri"/>
                <w:sz w:val="14"/>
                <w:szCs w:val="14"/>
                <w:b w:val="1"/>
                <w:bCs w:val="1"/>
                <w:color w:val="FB4E0B"/>
              </w:rPr>
              <w:t>  Name</w:t>
            </w:r>
          </w:p>
        </w:tc>
        <w:tc>
          <w:tcPr>
            <w:tcW w:w="3180" w:type="dxa"/>
            <w:vAlign w:val="bottom"/>
            <w:tcBorders>
              <w:bottom w:val="single" w:sz="8" w:color="FB4E0B"/>
            </w:tcBorders>
          </w:tcPr>
          <w:p>
            <w:pPr>
              <w:ind w:left="440"/>
              <w:spacing w:after="0"/>
              <w:rPr>
                <w:sz w:val="20"/>
                <w:szCs w:val="20"/>
                <w:color w:val="auto"/>
              </w:rPr>
            </w:pPr>
            <w:r>
              <w:rPr>
                <w:rFonts w:ascii="Calibri" w:cs="Calibri" w:eastAsia="Calibri" w:hAnsi="Calibri"/>
                <w:sz w:val="14"/>
                <w:szCs w:val="14"/>
                <w:b w:val="1"/>
                <w:bCs w:val="1"/>
                <w:color w:val="FB4E0B"/>
              </w:rPr>
              <w:t xml:space="preserve">         Total grant date fair value ($)       </w:t>
            </w:r>
          </w:p>
        </w:tc>
        <w:tc>
          <w:tcPr>
            <w:tcW w:w="3180" w:type="dxa"/>
            <w:vAlign w:val="bottom"/>
            <w:tcBorders>
              <w:bottom w:val="single" w:sz="8" w:color="FB4E0B"/>
            </w:tcBorders>
          </w:tcPr>
          <w:p>
            <w:pPr>
              <w:jc w:val="right"/>
              <w:ind w:right="291"/>
              <w:spacing w:after="0"/>
              <w:rPr>
                <w:sz w:val="20"/>
                <w:szCs w:val="20"/>
                <w:color w:val="auto"/>
              </w:rPr>
            </w:pPr>
            <w:r>
              <w:rPr>
                <w:rFonts w:ascii="Calibri" w:cs="Calibri" w:eastAsia="Calibri" w:hAnsi="Calibri"/>
                <w:sz w:val="14"/>
                <w:szCs w:val="14"/>
                <w:b w:val="1"/>
                <w:bCs w:val="1"/>
                <w:color w:val="FB4E0B"/>
              </w:rPr>
              <w:t>   Maximum total grant date fair value ($)</w:t>
            </w:r>
          </w:p>
        </w:tc>
      </w:tr>
      <w:tr>
        <w:trPr>
          <w:trHeight w:val="203"/>
        </w:trPr>
        <w:tc>
          <w:tcPr>
            <w:tcW w:w="4260" w:type="dxa"/>
            <w:vAlign w:val="bottom"/>
            <w:tcBorders>
              <w:right w:val="single" w:sz="8" w:color="auto"/>
            </w:tcBorders>
          </w:tcPr>
          <w:p>
            <w:pPr>
              <w:spacing w:after="0"/>
              <w:rPr>
                <w:sz w:val="20"/>
                <w:szCs w:val="20"/>
                <w:color w:val="auto"/>
              </w:rPr>
            </w:pPr>
            <w:r>
              <w:rPr>
                <w:rFonts w:ascii="Calibri" w:cs="Calibri" w:eastAsia="Calibri" w:hAnsi="Calibri"/>
                <w:sz w:val="14"/>
                <w:szCs w:val="14"/>
                <w:b w:val="1"/>
                <w:bCs w:val="1"/>
                <w:color w:val="auto"/>
              </w:rPr>
              <w:t>  Vivek Jetley</w:t>
            </w:r>
          </w:p>
        </w:tc>
        <w:tc>
          <w:tcPr>
            <w:tcW w:w="3180" w:type="dxa"/>
            <w:vAlign w:val="bottom"/>
            <w:tcBorders>
              <w:right w:val="single" w:sz="8" w:color="auto"/>
            </w:tcBorders>
          </w:tcPr>
          <w:p>
            <w:pPr>
              <w:jc w:val="right"/>
              <w:ind w:right="1151"/>
              <w:spacing w:after="0"/>
              <w:rPr>
                <w:sz w:val="20"/>
                <w:szCs w:val="20"/>
                <w:color w:val="auto"/>
              </w:rPr>
            </w:pPr>
            <w:r>
              <w:rPr>
                <w:rFonts w:ascii="Calibri" w:cs="Calibri" w:eastAsia="Calibri" w:hAnsi="Calibri"/>
                <w:sz w:val="14"/>
                <w:szCs w:val="14"/>
                <w:color w:val="auto"/>
              </w:rPr>
              <w:t>1,073,350</w:t>
            </w:r>
          </w:p>
        </w:tc>
        <w:tc>
          <w:tcPr>
            <w:tcW w:w="3180" w:type="dxa"/>
            <w:vAlign w:val="bottom"/>
          </w:tcPr>
          <w:p>
            <w:pPr>
              <w:jc w:val="right"/>
              <w:ind w:right="1151"/>
              <w:spacing w:after="0"/>
              <w:rPr>
                <w:sz w:val="20"/>
                <w:szCs w:val="20"/>
                <w:color w:val="auto"/>
              </w:rPr>
            </w:pPr>
            <w:r>
              <w:rPr>
                <w:rFonts w:ascii="Calibri" w:cs="Calibri" w:eastAsia="Calibri" w:hAnsi="Calibri"/>
                <w:sz w:val="14"/>
                <w:szCs w:val="14"/>
                <w:color w:val="auto"/>
              </w:rPr>
              <w:t>2,146,700</w:t>
            </w:r>
          </w:p>
        </w:tc>
      </w:tr>
      <w:tr>
        <w:trPr>
          <w:trHeight w:val="122"/>
        </w:trPr>
        <w:tc>
          <w:tcPr>
            <w:tcW w:w="4260" w:type="dxa"/>
            <w:vAlign w:val="bottom"/>
            <w:tcBorders>
              <w:bottom w:val="single" w:sz="8" w:color="auto"/>
              <w:right w:val="single" w:sz="8" w:color="auto"/>
            </w:tcBorders>
          </w:tcPr>
          <w:p>
            <w:pPr>
              <w:spacing w:after="0"/>
              <w:rPr>
                <w:sz w:val="10"/>
                <w:szCs w:val="10"/>
                <w:color w:val="auto"/>
              </w:rPr>
            </w:pPr>
          </w:p>
        </w:tc>
        <w:tc>
          <w:tcPr>
            <w:tcW w:w="3180" w:type="dxa"/>
            <w:vAlign w:val="bottom"/>
            <w:tcBorders>
              <w:bottom w:val="single" w:sz="8" w:color="auto"/>
              <w:right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r>
      <w:tr>
        <w:trPr>
          <w:trHeight w:val="196"/>
        </w:trPr>
        <w:tc>
          <w:tcPr>
            <w:tcW w:w="4260" w:type="dxa"/>
            <w:vAlign w:val="bottom"/>
            <w:tcBorders>
              <w:right w:val="single" w:sz="8" w:color="auto"/>
            </w:tcBorders>
          </w:tcPr>
          <w:p>
            <w:pPr>
              <w:spacing w:after="0"/>
              <w:rPr>
                <w:sz w:val="20"/>
                <w:szCs w:val="20"/>
                <w:color w:val="auto"/>
              </w:rPr>
            </w:pPr>
            <w:r>
              <w:rPr>
                <w:rFonts w:ascii="Calibri" w:cs="Calibri" w:eastAsia="Calibri" w:hAnsi="Calibri"/>
                <w:sz w:val="14"/>
                <w:szCs w:val="14"/>
                <w:b w:val="1"/>
                <w:bCs w:val="1"/>
                <w:color w:val="auto"/>
              </w:rPr>
              <w:t>  Anita Mahon</w:t>
            </w:r>
          </w:p>
        </w:tc>
        <w:tc>
          <w:tcPr>
            <w:tcW w:w="3180" w:type="dxa"/>
            <w:vAlign w:val="bottom"/>
            <w:tcBorders>
              <w:right w:val="single" w:sz="8" w:color="auto"/>
            </w:tcBorders>
          </w:tcPr>
          <w:p>
            <w:pPr>
              <w:jc w:val="right"/>
              <w:ind w:right="1211"/>
              <w:spacing w:after="0"/>
              <w:rPr>
                <w:sz w:val="20"/>
                <w:szCs w:val="20"/>
                <w:color w:val="auto"/>
              </w:rPr>
            </w:pPr>
            <w:r>
              <w:rPr>
                <w:rFonts w:ascii="Calibri" w:cs="Calibri" w:eastAsia="Calibri" w:hAnsi="Calibri"/>
                <w:sz w:val="14"/>
                <w:szCs w:val="14"/>
                <w:color w:val="auto"/>
              </w:rPr>
              <w:t>787,906</w:t>
            </w:r>
          </w:p>
        </w:tc>
        <w:tc>
          <w:tcPr>
            <w:tcW w:w="3180" w:type="dxa"/>
            <w:vAlign w:val="bottom"/>
          </w:tcPr>
          <w:p>
            <w:pPr>
              <w:jc w:val="right"/>
              <w:ind w:right="1151"/>
              <w:spacing w:after="0"/>
              <w:rPr>
                <w:sz w:val="20"/>
                <w:szCs w:val="20"/>
                <w:color w:val="auto"/>
              </w:rPr>
            </w:pPr>
            <w:r>
              <w:rPr>
                <w:rFonts w:ascii="Calibri" w:cs="Calibri" w:eastAsia="Calibri" w:hAnsi="Calibri"/>
                <w:sz w:val="14"/>
                <w:szCs w:val="14"/>
                <w:color w:val="auto"/>
              </w:rPr>
              <w:t>1,575,812</w:t>
            </w:r>
          </w:p>
        </w:tc>
      </w:tr>
      <w:tr>
        <w:trPr>
          <w:trHeight w:val="128"/>
        </w:trPr>
        <w:tc>
          <w:tcPr>
            <w:tcW w:w="4260" w:type="dxa"/>
            <w:vAlign w:val="bottom"/>
            <w:tcBorders>
              <w:bottom w:val="single" w:sz="8" w:color="FB4E0B"/>
              <w:right w:val="single" w:sz="8" w:color="auto"/>
            </w:tcBorders>
          </w:tcPr>
          <w:p>
            <w:pPr>
              <w:spacing w:after="0"/>
              <w:rPr>
                <w:sz w:val="11"/>
                <w:szCs w:val="11"/>
                <w:color w:val="auto"/>
              </w:rPr>
            </w:pPr>
          </w:p>
        </w:tc>
        <w:tc>
          <w:tcPr>
            <w:tcW w:w="3180" w:type="dxa"/>
            <w:vAlign w:val="bottom"/>
            <w:tcBorders>
              <w:bottom w:val="single" w:sz="8" w:color="FB4E0B"/>
              <w:right w:val="single" w:sz="8" w:color="auto"/>
            </w:tcBorders>
          </w:tcPr>
          <w:p>
            <w:pPr>
              <w:spacing w:after="0"/>
              <w:rPr>
                <w:sz w:val="11"/>
                <w:szCs w:val="11"/>
                <w:color w:val="auto"/>
              </w:rPr>
            </w:pPr>
          </w:p>
        </w:tc>
        <w:tc>
          <w:tcPr>
            <w:tcW w:w="3180" w:type="dxa"/>
            <w:vAlign w:val="bottom"/>
            <w:tcBorders>
              <w:bottom w:val="single" w:sz="8" w:color="FB4E0B"/>
            </w:tcBorders>
          </w:tcPr>
          <w:p>
            <w:pPr>
              <w:spacing w:after="0"/>
              <w:rPr>
                <w:sz w:val="11"/>
                <w:szCs w:val="11"/>
                <w:color w:val="auto"/>
              </w:rPr>
            </w:pPr>
          </w:p>
        </w:tc>
      </w:tr>
    </w:tbl>
    <w:p>
      <w:pPr>
        <w:spacing w:after="0" w:line="24" w:lineRule="exact"/>
        <w:rPr>
          <w:sz w:val="20"/>
          <w:szCs w:val="20"/>
          <w:color w:val="auto"/>
        </w:rPr>
      </w:pPr>
    </w:p>
    <w:p>
      <w:pPr>
        <w:ind w:left="320" w:right="400" w:hanging="4"/>
        <w:spacing w:after="0" w:line="235" w:lineRule="auto"/>
        <w:tabs>
          <w:tab w:leader="none" w:pos="506" w:val="left"/>
        </w:tabs>
        <w:numPr>
          <w:ilvl w:val="0"/>
          <w:numId w:val="40"/>
        </w:numPr>
        <w:rPr>
          <w:rFonts w:ascii="Calibri" w:cs="Calibri" w:eastAsia="Calibri" w:hAnsi="Calibri"/>
          <w:sz w:val="14"/>
          <w:szCs w:val="14"/>
          <w:color w:val="auto"/>
        </w:rPr>
      </w:pPr>
      <w:r>
        <w:rPr>
          <w:rFonts w:ascii="Calibri" w:cs="Calibri" w:eastAsia="Calibri" w:hAnsi="Calibri"/>
          <w:sz w:val="14"/>
          <w:szCs w:val="14"/>
          <w:color w:val="auto"/>
        </w:rPr>
        <w:t>Refects the annual incentve awards earned in respect of 2023 and paid in 2024. For details on our annual incentve program, see “Compensaton Discussion and Analysis—Annual incentves” beginning on page 72.</w:t>
      </w:r>
    </w:p>
    <w:p>
      <w:pPr>
        <w:spacing w:after="0" w:line="3" w:lineRule="exact"/>
        <w:rPr>
          <w:rFonts w:ascii="Calibri" w:cs="Calibri" w:eastAsia="Calibri" w:hAnsi="Calibri"/>
          <w:sz w:val="14"/>
          <w:szCs w:val="14"/>
          <w:color w:val="auto"/>
        </w:rPr>
      </w:pPr>
    </w:p>
    <w:p>
      <w:pPr>
        <w:ind w:left="320" w:right="60" w:hanging="4"/>
        <w:spacing w:after="0" w:line="235" w:lineRule="auto"/>
        <w:tabs>
          <w:tab w:leader="none" w:pos="506" w:val="left"/>
        </w:tabs>
        <w:numPr>
          <w:ilvl w:val="0"/>
          <w:numId w:val="40"/>
        </w:numPr>
        <w:rPr>
          <w:rFonts w:ascii="Calibri" w:cs="Calibri" w:eastAsia="Calibri" w:hAnsi="Calibri"/>
          <w:sz w:val="14"/>
          <w:szCs w:val="14"/>
          <w:color w:val="auto"/>
        </w:rPr>
      </w:pPr>
      <w:r>
        <w:rPr>
          <w:rFonts w:ascii="Calibri" w:cs="Calibri" w:eastAsia="Calibri" w:hAnsi="Calibri"/>
          <w:sz w:val="14"/>
          <w:szCs w:val="14"/>
          <w:color w:val="auto"/>
        </w:rPr>
        <w:t>Refects the present value of accruals under the Gratuity Plan for Indian employees. Informaton regarding our Gratuity Plan (including the assumptons used to calculate these amounts) may be found under “Pension benefts for fscal year 2023” beginning on page 90.</w:t>
      </w:r>
    </w:p>
    <w:p>
      <w:pPr>
        <w:spacing w:after="0" w:line="3" w:lineRule="exact"/>
        <w:rPr>
          <w:rFonts w:ascii="Calibri" w:cs="Calibri" w:eastAsia="Calibri" w:hAnsi="Calibri"/>
          <w:sz w:val="14"/>
          <w:szCs w:val="14"/>
          <w:color w:val="auto"/>
        </w:rPr>
      </w:pPr>
    </w:p>
    <w:p>
      <w:pPr>
        <w:ind w:left="320" w:right="60" w:hanging="4"/>
        <w:spacing w:after="0" w:line="235" w:lineRule="auto"/>
        <w:tabs>
          <w:tab w:leader="none" w:pos="506" w:val="left"/>
        </w:tabs>
        <w:numPr>
          <w:ilvl w:val="0"/>
          <w:numId w:val="40"/>
        </w:numPr>
        <w:rPr>
          <w:rFonts w:ascii="Calibri" w:cs="Calibri" w:eastAsia="Calibri" w:hAnsi="Calibri"/>
          <w:sz w:val="14"/>
          <w:szCs w:val="14"/>
          <w:color w:val="auto"/>
        </w:rPr>
      </w:pPr>
      <w:r>
        <w:rPr>
          <w:rFonts w:ascii="Calibri" w:cs="Calibri" w:eastAsia="Calibri" w:hAnsi="Calibri"/>
          <w:sz w:val="14"/>
          <w:szCs w:val="14"/>
          <w:color w:val="auto"/>
        </w:rPr>
        <w:t>Mr. Nicolelli received a joining bonus of $225,000 in connecton with his commencement of employment in 2020, $125,000 of which was paid in 2020 and $100,000 of which was paid in 2021. This amount represents the second and fnal installment of such joining bonus.</w:t>
      </w:r>
    </w:p>
    <w:p>
      <w:pPr>
        <w:spacing w:after="0" w:line="3" w:lineRule="exact"/>
        <w:rPr>
          <w:rFonts w:ascii="Calibri" w:cs="Calibri" w:eastAsia="Calibri" w:hAnsi="Calibri"/>
          <w:sz w:val="14"/>
          <w:szCs w:val="14"/>
          <w:color w:val="auto"/>
        </w:rPr>
      </w:pPr>
    </w:p>
    <w:p>
      <w:pPr>
        <w:ind w:left="320" w:right="20" w:hanging="4"/>
        <w:spacing w:after="0" w:line="236" w:lineRule="auto"/>
        <w:tabs>
          <w:tab w:leader="none" w:pos="506" w:val="left"/>
        </w:tabs>
        <w:numPr>
          <w:ilvl w:val="0"/>
          <w:numId w:val="40"/>
        </w:numPr>
        <w:rPr>
          <w:rFonts w:ascii="Calibri" w:cs="Calibri" w:eastAsia="Calibri" w:hAnsi="Calibri"/>
          <w:sz w:val="14"/>
          <w:szCs w:val="14"/>
          <w:color w:val="auto"/>
        </w:rPr>
      </w:pPr>
      <w:r>
        <w:rPr>
          <w:rFonts w:ascii="Calibri" w:cs="Calibri" w:eastAsia="Calibri" w:hAnsi="Calibri"/>
          <w:sz w:val="14"/>
          <w:szCs w:val="14"/>
          <w:color w:val="auto"/>
        </w:rPr>
        <w:t>Amount for Mr. Kapoor includes the travel allowance ($23,744) provided for under his employment agreement, to be used for once-a-year business class airfare for himself and his family between the United States and India, contributon to our 401(k) plan ($9,900), and Company-paid life insurance premiums ($504). In additon, certain travel expenses for Mr. Kapoor’s spouse to accompany him on business trips were provided at no incremental cost to the Company.</w:t>
      </w:r>
    </w:p>
    <w:p>
      <w:pPr>
        <w:ind w:left="500" w:hanging="184"/>
        <w:spacing w:after="0" w:line="237" w:lineRule="auto"/>
        <w:tabs>
          <w:tab w:leader="none" w:pos="500" w:val="left"/>
        </w:tabs>
        <w:numPr>
          <w:ilvl w:val="0"/>
          <w:numId w:val="40"/>
        </w:numPr>
        <w:rPr>
          <w:rFonts w:ascii="Calibri" w:cs="Calibri" w:eastAsia="Calibri" w:hAnsi="Calibri"/>
          <w:sz w:val="14"/>
          <w:szCs w:val="14"/>
          <w:color w:val="auto"/>
        </w:rPr>
      </w:pPr>
      <w:r>
        <w:rPr>
          <w:rFonts w:ascii="Calibri" w:cs="Calibri" w:eastAsia="Calibri" w:hAnsi="Calibri"/>
          <w:sz w:val="14"/>
          <w:szCs w:val="14"/>
          <w:color w:val="auto"/>
        </w:rPr>
        <w:t>Amount for Mr. Nicolelli includes contributon to our 401(k) plan ($9,900), travel expenses ($543) and Company-paid Life Insurance premiums ($504).</w:t>
      </w:r>
    </w:p>
    <w:p>
      <w:pPr>
        <w:spacing w:after="0" w:line="3" w:lineRule="exact"/>
        <w:rPr>
          <w:rFonts w:ascii="Calibri" w:cs="Calibri" w:eastAsia="Calibri" w:hAnsi="Calibri"/>
          <w:sz w:val="14"/>
          <w:szCs w:val="14"/>
          <w:color w:val="auto"/>
        </w:rPr>
      </w:pPr>
    </w:p>
    <w:p>
      <w:pPr>
        <w:ind w:left="320" w:right="380" w:hanging="4"/>
        <w:spacing w:after="0" w:line="235" w:lineRule="auto"/>
        <w:tabs>
          <w:tab w:leader="none" w:pos="506" w:val="left"/>
        </w:tabs>
        <w:numPr>
          <w:ilvl w:val="0"/>
          <w:numId w:val="40"/>
        </w:numPr>
        <w:rPr>
          <w:rFonts w:ascii="Calibri" w:cs="Calibri" w:eastAsia="Calibri" w:hAnsi="Calibri"/>
          <w:sz w:val="14"/>
          <w:szCs w:val="14"/>
          <w:color w:val="auto"/>
        </w:rPr>
      </w:pPr>
      <w:r>
        <w:rPr>
          <w:rFonts w:ascii="Calibri" w:cs="Calibri" w:eastAsia="Calibri" w:hAnsi="Calibri"/>
          <w:sz w:val="14"/>
          <w:szCs w:val="14"/>
          <w:color w:val="auto"/>
        </w:rPr>
        <w:t>Amount for Mr. Bhalla includes contributons to the Employees’ Provident Fund Scheme (a statutorily required defned contributon program for Indian employees) ($14,083), costs associated with use of an automobile and driver in India ($3,351), and home internet and telephone charges ($950).</w:t>
      </w:r>
    </w:p>
    <w:p>
      <w:pPr>
        <w:ind w:left="580" w:hanging="264"/>
        <w:spacing w:after="0" w:line="237" w:lineRule="auto"/>
        <w:tabs>
          <w:tab w:leader="none" w:pos="580" w:val="left"/>
        </w:tabs>
        <w:numPr>
          <w:ilvl w:val="0"/>
          <w:numId w:val="40"/>
        </w:numPr>
        <w:rPr>
          <w:rFonts w:ascii="Calibri" w:cs="Calibri" w:eastAsia="Calibri" w:hAnsi="Calibri"/>
          <w:sz w:val="14"/>
          <w:szCs w:val="14"/>
          <w:color w:val="auto"/>
        </w:rPr>
      </w:pPr>
      <w:r>
        <w:rPr>
          <w:rFonts w:ascii="Calibri" w:cs="Calibri" w:eastAsia="Calibri" w:hAnsi="Calibri"/>
          <w:sz w:val="14"/>
          <w:szCs w:val="14"/>
          <w:color w:val="auto"/>
        </w:rPr>
        <w:t>Amount for Mr. Jetley includes contributons to 401(k) plan ($9,900) and Company-paid Life Insurance premiums ($504).</w:t>
      </w:r>
    </w:p>
    <w:p>
      <w:pPr>
        <w:ind w:left="580" w:hanging="264"/>
        <w:spacing w:after="0" w:line="237" w:lineRule="auto"/>
        <w:tabs>
          <w:tab w:leader="none" w:pos="580" w:val="left"/>
        </w:tabs>
        <w:numPr>
          <w:ilvl w:val="0"/>
          <w:numId w:val="40"/>
        </w:numPr>
        <w:rPr>
          <w:rFonts w:ascii="Calibri" w:cs="Calibri" w:eastAsia="Calibri" w:hAnsi="Calibri"/>
          <w:sz w:val="14"/>
          <w:szCs w:val="14"/>
          <w:color w:val="auto"/>
        </w:rPr>
      </w:pPr>
      <w:r>
        <w:rPr>
          <w:rFonts w:ascii="Calibri" w:cs="Calibri" w:eastAsia="Calibri" w:hAnsi="Calibri"/>
          <w:sz w:val="14"/>
          <w:szCs w:val="14"/>
          <w:color w:val="auto"/>
        </w:rPr>
        <w:t>Amount for Ms. Mahon includes contributons to 401(k) plan ($9,900) and Company-paid Life Insurance premiums ($504).</w:t>
      </w:r>
    </w:p>
    <w:p>
      <w:pPr>
        <w:spacing w:after="0" w:line="167" w:lineRule="exact"/>
        <w:rPr>
          <w:sz w:val="20"/>
          <w:szCs w:val="20"/>
          <w:color w:val="auto"/>
        </w:rPr>
      </w:pPr>
    </w:p>
    <w:p>
      <w:pPr>
        <w:jc w:val="both"/>
        <w:ind w:left="320" w:right="220"/>
        <w:spacing w:after="0" w:line="239" w:lineRule="auto"/>
        <w:rPr>
          <w:sz w:val="20"/>
          <w:szCs w:val="20"/>
          <w:color w:val="auto"/>
        </w:rPr>
      </w:pPr>
      <w:r>
        <w:rPr>
          <w:rFonts w:ascii="Calibri" w:cs="Calibri" w:eastAsia="Calibri" w:hAnsi="Calibri"/>
          <w:sz w:val="17"/>
          <w:szCs w:val="17"/>
          <w:color w:val="auto"/>
        </w:rPr>
        <w:t>Unless otherwise specifed, U.S. dollar fgures in this Proxy Statement have been converted from Indian rupees at a rate of 83.21 Indian rupees to $1.00, the Indian rupee to U.S. dollar exchange rate in efect as of December 29, 2023. Some of the informaton in the Summary Compensaton Tables for fscal years 2022 and 2021 was converted using the exchange rates in efect as set forth below:</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78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Fiscal year</w:t>
            </w:r>
          </w:p>
        </w:tc>
        <w:tc>
          <w:tcPr>
            <w:tcW w:w="3080" w:type="dxa"/>
            <w:vAlign w:val="bottom"/>
          </w:tcPr>
          <w:p>
            <w:pPr>
              <w:ind w:left="480"/>
              <w:spacing w:after="0"/>
              <w:rPr>
                <w:sz w:val="20"/>
                <w:szCs w:val="20"/>
                <w:color w:val="auto"/>
              </w:rPr>
            </w:pPr>
            <w:r>
              <w:rPr>
                <w:rFonts w:ascii="Calibri" w:cs="Calibri" w:eastAsia="Calibri" w:hAnsi="Calibri"/>
                <w:sz w:val="17"/>
                <w:szCs w:val="17"/>
                <w:b w:val="1"/>
                <w:bCs w:val="1"/>
                <w:color w:val="FB4E0B"/>
              </w:rPr>
              <w:t xml:space="preserve">                  Rate                </w:t>
            </w:r>
          </w:p>
        </w:tc>
        <w:tc>
          <w:tcPr>
            <w:tcW w:w="4000" w:type="dxa"/>
            <w:vAlign w:val="bottom"/>
          </w:tcPr>
          <w:p>
            <w:pPr>
              <w:jc w:val="right"/>
              <w:spacing w:after="0"/>
              <w:rPr>
                <w:sz w:val="20"/>
                <w:szCs w:val="20"/>
                <w:color w:val="auto"/>
              </w:rPr>
            </w:pPr>
            <w:r>
              <w:rPr>
                <w:rFonts w:ascii="Calibri" w:cs="Calibri" w:eastAsia="Calibri" w:hAnsi="Calibri"/>
                <w:sz w:val="17"/>
                <w:szCs w:val="17"/>
                <w:b w:val="1"/>
                <w:bCs w:val="1"/>
                <w:color w:val="FB4E0B"/>
              </w:rPr>
              <w:t xml:space="preserve">               Exchange rate of INR to US $1       </w:t>
            </w:r>
          </w:p>
        </w:tc>
        <w:tc>
          <w:tcPr>
            <w:tcW w:w="760" w:type="dxa"/>
            <w:vAlign w:val="bottom"/>
          </w:tcPr>
          <w:p>
            <w:pPr>
              <w:ind w:left="80"/>
              <w:spacing w:after="0"/>
              <w:rPr>
                <w:sz w:val="20"/>
                <w:szCs w:val="20"/>
                <w:color w:val="auto"/>
              </w:rPr>
            </w:pPr>
            <w:r>
              <w:rPr>
                <w:rFonts w:ascii="Calibri" w:cs="Calibri" w:eastAsia="Calibri" w:hAnsi="Calibri"/>
                <w:sz w:val="17"/>
                <w:szCs w:val="17"/>
                <w:b w:val="1"/>
                <w:bCs w:val="1"/>
                <w:color w:val="FB4E0B"/>
              </w:rPr>
              <w:t xml:space="preserve">    </w:t>
            </w:r>
          </w:p>
        </w:tc>
        <w:tc>
          <w:tcPr>
            <w:tcW w:w="0" w:type="dxa"/>
            <w:vAlign w:val="bottom"/>
          </w:tcPr>
          <w:p>
            <w:pPr>
              <w:spacing w:after="0"/>
              <w:rPr>
                <w:sz w:val="1"/>
                <w:szCs w:val="1"/>
                <w:color w:val="auto"/>
              </w:rPr>
            </w:pPr>
          </w:p>
        </w:tc>
      </w:tr>
      <w:tr>
        <w:trPr>
          <w:trHeight w:val="29"/>
        </w:trPr>
        <w:tc>
          <w:tcPr>
            <w:tcW w:w="2780" w:type="dxa"/>
            <w:vAlign w:val="bottom"/>
            <w:tcBorders>
              <w:bottom w:val="single" w:sz="8" w:color="FB4E0B"/>
            </w:tcBorders>
          </w:tcPr>
          <w:p>
            <w:pPr>
              <w:spacing w:after="0"/>
              <w:rPr>
                <w:sz w:val="2"/>
                <w:szCs w:val="2"/>
                <w:color w:val="auto"/>
              </w:rPr>
            </w:pPr>
          </w:p>
        </w:tc>
        <w:tc>
          <w:tcPr>
            <w:tcW w:w="3080" w:type="dxa"/>
            <w:vAlign w:val="bottom"/>
            <w:tcBorders>
              <w:bottom w:val="single" w:sz="8" w:color="FB4E0B"/>
            </w:tcBorders>
          </w:tcPr>
          <w:p>
            <w:pPr>
              <w:spacing w:after="0"/>
              <w:rPr>
                <w:sz w:val="2"/>
                <w:szCs w:val="2"/>
                <w:color w:val="auto"/>
              </w:rPr>
            </w:pPr>
          </w:p>
        </w:tc>
        <w:tc>
          <w:tcPr>
            <w:tcW w:w="4000" w:type="dxa"/>
            <w:vAlign w:val="bottom"/>
            <w:tcBorders>
              <w:bottom w:val="single" w:sz="8" w:color="FB4E0B"/>
            </w:tcBorders>
          </w:tcPr>
          <w:p>
            <w:pPr>
              <w:spacing w:after="0"/>
              <w:rPr>
                <w:sz w:val="2"/>
                <w:szCs w:val="2"/>
                <w:color w:val="auto"/>
              </w:rPr>
            </w:pPr>
          </w:p>
        </w:tc>
        <w:tc>
          <w:tcPr>
            <w:tcW w:w="760" w:type="dxa"/>
            <w:vAlign w:val="bottom"/>
            <w:tcBorders>
              <w:bottom w:val="single" w:sz="8" w:color="FB4E0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2022</w:t>
            </w:r>
          </w:p>
        </w:tc>
        <w:tc>
          <w:tcPr>
            <w:tcW w:w="3080" w:type="dxa"/>
            <w:vAlign w:val="bottom"/>
            <w:tcBorders>
              <w:right w:val="single" w:sz="8" w:color="auto"/>
            </w:tcBorders>
          </w:tcPr>
          <w:p>
            <w:pPr>
              <w:ind w:left="1000"/>
              <w:spacing w:after="0"/>
              <w:rPr>
                <w:sz w:val="20"/>
                <w:szCs w:val="20"/>
                <w:color w:val="auto"/>
              </w:rPr>
            </w:pPr>
            <w:r>
              <w:rPr>
                <w:rFonts w:ascii="Calibri" w:cs="Calibri" w:eastAsia="Calibri" w:hAnsi="Calibri"/>
                <w:sz w:val="17"/>
                <w:szCs w:val="17"/>
                <w:color w:val="auto"/>
              </w:rPr>
              <w:t>December 30, 2022</w:t>
            </w:r>
          </w:p>
        </w:tc>
        <w:tc>
          <w:tcPr>
            <w:tcW w:w="4000" w:type="dxa"/>
            <w:vAlign w:val="bottom"/>
          </w:tcPr>
          <w:p>
            <w:pPr>
              <w:jc w:val="right"/>
              <w:ind w:right="1199"/>
              <w:spacing w:after="0"/>
              <w:rPr>
                <w:sz w:val="20"/>
                <w:szCs w:val="20"/>
                <w:color w:val="auto"/>
              </w:rPr>
            </w:pPr>
            <w:r>
              <w:rPr>
                <w:rFonts w:ascii="Calibri" w:cs="Calibri" w:eastAsia="Calibri" w:hAnsi="Calibri"/>
                <w:sz w:val="17"/>
                <w:szCs w:val="17"/>
                <w:color w:val="auto"/>
              </w:rPr>
              <w:t>82.72</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780" w:type="dxa"/>
            <w:vAlign w:val="bottom"/>
            <w:tcBorders>
              <w:bottom w:val="single" w:sz="8" w:color="auto"/>
              <w:right w:val="single" w:sz="8" w:color="auto"/>
            </w:tcBorders>
          </w:tcPr>
          <w:p>
            <w:pPr>
              <w:spacing w:after="0"/>
              <w:rPr>
                <w:sz w:val="11"/>
                <w:szCs w:val="11"/>
                <w:color w:val="auto"/>
              </w:rPr>
            </w:pPr>
          </w:p>
        </w:tc>
        <w:tc>
          <w:tcPr>
            <w:tcW w:w="3080" w:type="dxa"/>
            <w:vAlign w:val="bottom"/>
            <w:tcBorders>
              <w:bottom w:val="single" w:sz="8" w:color="auto"/>
              <w:right w:val="single" w:sz="8" w:color="auto"/>
            </w:tcBorders>
          </w:tcPr>
          <w:p>
            <w:pPr>
              <w:spacing w:after="0"/>
              <w:rPr>
                <w:sz w:val="11"/>
                <w:szCs w:val="11"/>
                <w:color w:val="auto"/>
              </w:rPr>
            </w:pPr>
          </w:p>
        </w:tc>
        <w:tc>
          <w:tcPr>
            <w:tcW w:w="40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2021</w:t>
            </w:r>
          </w:p>
        </w:tc>
        <w:tc>
          <w:tcPr>
            <w:tcW w:w="3080" w:type="dxa"/>
            <w:vAlign w:val="bottom"/>
            <w:tcBorders>
              <w:right w:val="single" w:sz="8" w:color="auto"/>
            </w:tcBorders>
          </w:tcPr>
          <w:p>
            <w:pPr>
              <w:ind w:left="1000"/>
              <w:spacing w:after="0"/>
              <w:rPr>
                <w:sz w:val="20"/>
                <w:szCs w:val="20"/>
                <w:color w:val="auto"/>
              </w:rPr>
            </w:pPr>
            <w:r>
              <w:rPr>
                <w:rFonts w:ascii="Calibri" w:cs="Calibri" w:eastAsia="Calibri" w:hAnsi="Calibri"/>
                <w:sz w:val="17"/>
                <w:szCs w:val="17"/>
                <w:color w:val="auto"/>
              </w:rPr>
              <w:t>December 31, 2021</w:t>
            </w:r>
          </w:p>
        </w:tc>
        <w:tc>
          <w:tcPr>
            <w:tcW w:w="4000" w:type="dxa"/>
            <w:vAlign w:val="bottom"/>
          </w:tcPr>
          <w:p>
            <w:pPr>
              <w:jc w:val="right"/>
              <w:ind w:right="1199"/>
              <w:spacing w:after="0"/>
              <w:rPr>
                <w:sz w:val="20"/>
                <w:szCs w:val="20"/>
                <w:color w:val="auto"/>
              </w:rPr>
            </w:pPr>
            <w:r>
              <w:rPr>
                <w:rFonts w:ascii="Calibri" w:cs="Calibri" w:eastAsia="Calibri" w:hAnsi="Calibri"/>
                <w:sz w:val="17"/>
                <w:szCs w:val="17"/>
                <w:color w:val="auto"/>
              </w:rPr>
              <w:t>74.33</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780" w:type="dxa"/>
            <w:vAlign w:val="bottom"/>
            <w:tcBorders>
              <w:bottom w:val="single" w:sz="8" w:color="FB4E0B"/>
              <w:right w:val="single" w:sz="8" w:color="auto"/>
            </w:tcBorders>
          </w:tcPr>
          <w:p>
            <w:pPr>
              <w:spacing w:after="0"/>
              <w:rPr>
                <w:sz w:val="11"/>
                <w:szCs w:val="11"/>
                <w:color w:val="auto"/>
              </w:rPr>
            </w:pPr>
          </w:p>
        </w:tc>
        <w:tc>
          <w:tcPr>
            <w:tcW w:w="3080" w:type="dxa"/>
            <w:vAlign w:val="bottom"/>
            <w:tcBorders>
              <w:bottom w:val="single" w:sz="8" w:color="FB4E0B"/>
              <w:right w:val="single" w:sz="8" w:color="auto"/>
            </w:tcBorders>
          </w:tcPr>
          <w:p>
            <w:pPr>
              <w:spacing w:after="0"/>
              <w:rPr>
                <w:sz w:val="11"/>
                <w:szCs w:val="11"/>
                <w:color w:val="auto"/>
              </w:rPr>
            </w:pPr>
          </w:p>
        </w:tc>
        <w:tc>
          <w:tcPr>
            <w:tcW w:w="4000" w:type="dxa"/>
            <w:vAlign w:val="bottom"/>
            <w:tcBorders>
              <w:bottom w:val="single" w:sz="8" w:color="FB4E0B"/>
            </w:tcBorders>
          </w:tcPr>
          <w:p>
            <w:pPr>
              <w:spacing w:after="0"/>
              <w:rPr>
                <w:sz w:val="11"/>
                <w:szCs w:val="11"/>
                <w:color w:val="auto"/>
              </w:rPr>
            </w:pPr>
          </w:p>
        </w:tc>
        <w:tc>
          <w:tcPr>
            <w:tcW w:w="76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r>
        <w:trPr>
          <w:trHeight w:val="497"/>
        </w:trPr>
        <w:tc>
          <w:tcPr>
            <w:tcW w:w="278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3080" w:type="dxa"/>
            <w:vAlign w:val="bottom"/>
          </w:tcPr>
          <w:p>
            <w:pPr>
              <w:spacing w:after="0"/>
              <w:rPr>
                <w:sz w:val="24"/>
                <w:szCs w:val="24"/>
                <w:color w:val="auto"/>
              </w:rPr>
            </w:pPr>
          </w:p>
        </w:tc>
        <w:tc>
          <w:tcPr>
            <w:tcW w:w="4000" w:type="dxa"/>
            <w:vAlign w:val="bottom"/>
            <w:vMerge w:val="restart"/>
          </w:tcPr>
          <w:p>
            <w:pPr>
              <w:jc w:val="right"/>
              <w:ind w:right="59"/>
              <w:spacing w:after="0"/>
              <w:rPr>
                <w:sz w:val="20"/>
                <w:szCs w:val="20"/>
                <w:color w:val="auto"/>
              </w:rPr>
            </w:pPr>
            <w:r>
              <w:rPr>
                <w:rFonts w:ascii="Calibri" w:cs="Calibri" w:eastAsia="Calibri" w:hAnsi="Calibri"/>
                <w:sz w:val="13"/>
                <w:szCs w:val="13"/>
                <w:color w:val="auto"/>
              </w:rPr>
              <w:t>EXL 2024 Proxy Statement </w:t>
            </w:r>
          </w:p>
        </w:tc>
        <w:tc>
          <w:tcPr>
            <w:tcW w:w="760" w:type="dxa"/>
            <w:vAlign w:val="bottom"/>
            <w:vMerge w:val="restart"/>
          </w:tcPr>
          <w:p>
            <w:pPr>
              <w:ind w:left="6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85</w:t>
            </w: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40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Grants of plan-based awards table for fscal year 2023</w:t>
      </w:r>
    </w:p>
    <w:p>
      <w:pPr>
        <w:spacing w:after="0" w:line="114" w:lineRule="exact"/>
        <w:rPr>
          <w:sz w:val="20"/>
          <w:szCs w:val="20"/>
          <w:color w:val="auto"/>
        </w:rPr>
      </w:pPr>
    </w:p>
    <w:p>
      <w:pPr>
        <w:ind w:left="320" w:right="460"/>
        <w:spacing w:after="0" w:line="239" w:lineRule="auto"/>
        <w:rPr>
          <w:sz w:val="20"/>
          <w:szCs w:val="20"/>
          <w:color w:val="auto"/>
        </w:rPr>
      </w:pPr>
      <w:r>
        <w:rPr>
          <w:rFonts w:ascii="Calibri" w:cs="Calibri" w:eastAsia="Calibri" w:hAnsi="Calibri"/>
          <w:sz w:val="17"/>
          <w:szCs w:val="17"/>
          <w:color w:val="auto"/>
        </w:rPr>
        <w:t>The following table sets forth informaton concerning grants of stock and opton awards and non-equity incentve plan awards granted to our named executve ofcers during fscal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405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320" w:type="dxa"/>
        <w:tblCellMar>
          <w:top w:w="0" w:type="dxa"/>
          <w:left w:w="0" w:type="dxa"/>
          <w:bottom w:w="0" w:type="dxa"/>
          <w:right w:w="0" w:type="dxa"/>
        </w:tblCellMar>
      </w:tblPr>
      <w:tr>
        <w:trPr>
          <w:trHeight w:val="124"/>
        </w:trPr>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3"/>
            <w:vMerge w:val="restart"/>
          </w:tcPr>
          <w:p>
            <w:pPr>
              <w:jc w:val="right"/>
              <w:ind w:right="456"/>
              <w:spacing w:after="0"/>
              <w:rPr>
                <w:sz w:val="20"/>
                <w:szCs w:val="20"/>
                <w:color w:val="auto"/>
              </w:rPr>
            </w:pPr>
            <w:r>
              <w:rPr>
                <w:rFonts w:ascii="Calibri" w:cs="Calibri" w:eastAsia="Calibri" w:hAnsi="Calibri"/>
                <w:sz w:val="10"/>
                <w:szCs w:val="10"/>
                <w:color w:val="auto"/>
              </w:rPr>
              <w:t>Estmated future payouts under</w:t>
            </w:r>
          </w:p>
        </w:tc>
        <w:tc>
          <w:tcPr>
            <w:tcW w:w="1920" w:type="dxa"/>
            <w:vAlign w:val="bottom"/>
            <w:gridSpan w:val="3"/>
            <w:vMerge w:val="restart"/>
          </w:tcPr>
          <w:p>
            <w:pPr>
              <w:jc w:val="right"/>
              <w:ind w:right="354"/>
              <w:spacing w:after="0"/>
              <w:rPr>
                <w:sz w:val="20"/>
                <w:szCs w:val="20"/>
                <w:color w:val="auto"/>
              </w:rPr>
            </w:pPr>
            <w:r>
              <w:rPr>
                <w:rFonts w:ascii="Calibri" w:cs="Calibri" w:eastAsia="Calibri" w:hAnsi="Calibri"/>
                <w:sz w:val="10"/>
                <w:szCs w:val="10"/>
                <w:color w:val="auto"/>
              </w:rPr>
              <w:t>Estmated future payouts</w:t>
            </w:r>
          </w:p>
        </w:tc>
        <w:tc>
          <w:tcPr>
            <w:tcW w:w="840" w:type="dxa"/>
            <w:vAlign w:val="bottom"/>
          </w:tcPr>
          <w:p>
            <w:pPr>
              <w:spacing w:after="0"/>
              <w:rPr>
                <w:sz w:val="10"/>
                <w:szCs w:val="10"/>
                <w:color w:val="auto"/>
              </w:rPr>
            </w:pPr>
          </w:p>
        </w:tc>
        <w:tc>
          <w:tcPr>
            <w:tcW w:w="700" w:type="dxa"/>
            <w:vAlign w:val="bottom"/>
          </w:tcPr>
          <w:p>
            <w:pPr>
              <w:jc w:val="center"/>
              <w:ind w:right="82"/>
              <w:spacing w:after="0"/>
              <w:rPr>
                <w:sz w:val="20"/>
                <w:szCs w:val="20"/>
                <w:color w:val="auto"/>
              </w:rPr>
            </w:pPr>
            <w:r>
              <w:rPr>
                <w:rFonts w:ascii="Calibri" w:cs="Calibri" w:eastAsia="Calibri" w:hAnsi="Calibri"/>
                <w:sz w:val="10"/>
                <w:szCs w:val="10"/>
                <w:color w:val="auto"/>
              </w:rPr>
              <w:t>All other</w:t>
            </w: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vMerge w:val="restart"/>
          </w:tcPr>
          <w:p>
            <w:pPr>
              <w:jc w:val="center"/>
              <w:ind w:right="82"/>
              <w:spacing w:after="0"/>
              <w:rPr>
                <w:sz w:val="20"/>
                <w:szCs w:val="20"/>
                <w:color w:val="auto"/>
              </w:rPr>
            </w:pPr>
            <w:r>
              <w:rPr>
                <w:rFonts w:ascii="Calibri" w:cs="Calibri" w:eastAsia="Calibri" w:hAnsi="Calibri"/>
                <w:sz w:val="10"/>
                <w:szCs w:val="10"/>
                <w:color w:val="auto"/>
              </w:rPr>
              <w:t>opton</w:t>
            </w: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80" w:type="dxa"/>
            <w:vAlign w:val="bottom"/>
            <w:gridSpan w:val="3"/>
            <w:vMerge w:val="restart"/>
          </w:tcPr>
          <w:p>
            <w:pPr>
              <w:jc w:val="right"/>
              <w:ind w:right="256"/>
              <w:spacing w:after="0" w:line="156" w:lineRule="exact"/>
              <w:rPr>
                <w:sz w:val="20"/>
                <w:szCs w:val="20"/>
                <w:color w:val="auto"/>
              </w:rPr>
            </w:pPr>
            <w:r>
              <w:rPr>
                <w:rFonts w:ascii="Calibri" w:cs="Calibri" w:eastAsia="Calibri" w:hAnsi="Calibri"/>
                <w:sz w:val="10"/>
                <w:szCs w:val="10"/>
                <w:color w:val="auto"/>
              </w:rPr>
              <w:t>      non-equity incentve plan awards</w:t>
            </w:r>
            <w:r>
              <w:rPr>
                <w:rFonts w:ascii="Calibri" w:cs="Calibri" w:eastAsia="Calibri" w:hAnsi="Calibri"/>
                <w:sz w:val="15"/>
                <w:szCs w:val="15"/>
                <w:color w:val="auto"/>
                <w:vertAlign w:val="superscript"/>
              </w:rPr>
              <w:t>(1)</w:t>
            </w:r>
            <w:r>
              <w:rPr>
                <w:rFonts w:ascii="Calibri" w:cs="Calibri" w:eastAsia="Calibri" w:hAnsi="Calibri"/>
                <w:sz w:val="10"/>
                <w:szCs w:val="10"/>
                <w:color w:val="auto"/>
              </w:rPr>
              <w:t xml:space="preserve">    </w:t>
            </w:r>
          </w:p>
        </w:tc>
        <w:tc>
          <w:tcPr>
            <w:tcW w:w="1920" w:type="dxa"/>
            <w:vAlign w:val="bottom"/>
            <w:gridSpan w:val="3"/>
            <w:vMerge w:val="restart"/>
          </w:tcPr>
          <w:p>
            <w:pPr>
              <w:jc w:val="right"/>
              <w:ind w:right="154"/>
              <w:spacing w:after="0"/>
              <w:rPr>
                <w:sz w:val="20"/>
                <w:szCs w:val="20"/>
                <w:color w:val="auto"/>
              </w:rPr>
            </w:pPr>
            <w:r>
              <w:rPr>
                <w:rFonts w:ascii="Calibri" w:cs="Calibri" w:eastAsia="Calibri" w:hAnsi="Calibri"/>
                <w:sz w:val="10"/>
                <w:szCs w:val="10"/>
                <w:color w:val="auto"/>
              </w:rPr>
              <w:t>under equity incentve plan awards</w:t>
            </w:r>
          </w:p>
        </w:tc>
        <w:tc>
          <w:tcPr>
            <w:tcW w:w="8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420" w:type="dxa"/>
            <w:vAlign w:val="bottom"/>
            <w:vMerge w:val="restart"/>
          </w:tcPr>
          <w:p>
            <w:pPr>
              <w:spacing w:after="0" w:line="149" w:lineRule="exact"/>
              <w:rPr>
                <w:sz w:val="20"/>
                <w:szCs w:val="20"/>
                <w:color w:val="auto"/>
              </w:rPr>
            </w:pPr>
            <w:r>
              <w:rPr>
                <w:rFonts w:ascii="Calibri" w:cs="Calibri" w:eastAsia="Calibri" w:hAnsi="Calibri"/>
                <w:sz w:val="14"/>
                <w:szCs w:val="14"/>
                <w:b w:val="1"/>
                <w:bCs w:val="1"/>
                <w:color w:val="FB4E0B"/>
              </w:rPr>
              <w:t>  Name</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840" w:type="dxa"/>
            <w:vAlign w:val="bottom"/>
            <w:vMerge w:val="restart"/>
          </w:tcPr>
          <w:p>
            <w:pPr>
              <w:jc w:val="center"/>
              <w:ind w:right="20"/>
              <w:spacing w:after="0"/>
              <w:rPr>
                <w:sz w:val="20"/>
                <w:szCs w:val="20"/>
                <w:color w:val="auto"/>
              </w:rPr>
            </w:pPr>
            <w:r>
              <w:rPr>
                <w:rFonts w:ascii="Calibri" w:cs="Calibri" w:eastAsia="Calibri" w:hAnsi="Calibri"/>
                <w:sz w:val="10"/>
                <w:szCs w:val="10"/>
                <w:color w:val="auto"/>
              </w:rPr>
              <w:t>All other</w:t>
            </w:r>
          </w:p>
        </w:tc>
        <w:tc>
          <w:tcPr>
            <w:tcW w:w="700" w:type="dxa"/>
            <w:vAlign w:val="bottom"/>
            <w:vMerge w:val="restart"/>
          </w:tcPr>
          <w:p>
            <w:pPr>
              <w:jc w:val="center"/>
              <w:ind w:right="62"/>
              <w:spacing w:after="0"/>
              <w:rPr>
                <w:sz w:val="20"/>
                <w:szCs w:val="20"/>
                <w:color w:val="auto"/>
              </w:rPr>
            </w:pPr>
            <w:r>
              <w:rPr>
                <w:rFonts w:ascii="Calibri" w:cs="Calibri" w:eastAsia="Calibri" w:hAnsi="Calibri"/>
                <w:sz w:val="10"/>
                <w:szCs w:val="10"/>
                <w:color w:val="auto"/>
              </w:rPr>
              <w:t>awards:</w:t>
            </w:r>
          </w:p>
        </w:tc>
        <w:tc>
          <w:tcPr>
            <w:tcW w:w="540" w:type="dxa"/>
            <w:vAlign w:val="bottom"/>
            <w:vMerge w:val="restart"/>
          </w:tcPr>
          <w:p>
            <w:pPr>
              <w:jc w:val="center"/>
              <w:ind w:right="21"/>
              <w:spacing w:after="0"/>
              <w:rPr>
                <w:sz w:val="20"/>
                <w:szCs w:val="20"/>
                <w:color w:val="auto"/>
              </w:rPr>
            </w:pPr>
            <w:r>
              <w:rPr>
                <w:rFonts w:ascii="Calibri" w:cs="Calibri" w:eastAsia="Calibri" w:hAnsi="Calibri"/>
                <w:sz w:val="10"/>
                <w:szCs w:val="10"/>
                <w:color w:val="auto"/>
              </w:rPr>
              <w:t>Exercise</w:t>
            </w:r>
          </w:p>
        </w:tc>
        <w:tc>
          <w:tcPr>
            <w:tcW w:w="1000" w:type="dxa"/>
            <w:vAlign w:val="bottom"/>
            <w:vMerge w:val="restart"/>
          </w:tcPr>
          <w:p>
            <w:pPr>
              <w:ind w:left="400"/>
              <w:spacing w:after="0"/>
              <w:rPr>
                <w:sz w:val="20"/>
                <w:szCs w:val="20"/>
                <w:color w:val="auto"/>
              </w:rPr>
            </w:pPr>
            <w:r>
              <w:rPr>
                <w:rFonts w:ascii="Calibri" w:cs="Calibri" w:eastAsia="Calibri" w:hAnsi="Calibri"/>
                <w:sz w:val="10"/>
                <w:szCs w:val="10"/>
                <w:color w:val="auto"/>
              </w:rPr>
              <w:t> </w:t>
            </w:r>
          </w:p>
        </w:tc>
        <w:tc>
          <w:tcPr>
            <w:tcW w:w="0" w:type="dxa"/>
            <w:vAlign w:val="bottom"/>
          </w:tcPr>
          <w:p>
            <w:pPr>
              <w:spacing w:after="0"/>
              <w:rPr>
                <w:sz w:val="1"/>
                <w:szCs w:val="1"/>
                <w:color w:val="auto"/>
              </w:rPr>
            </w:pPr>
          </w:p>
        </w:tc>
      </w:tr>
      <w:tr>
        <w:trPr>
          <w:trHeight w:val="26"/>
        </w:trPr>
        <w:tc>
          <w:tcPr>
            <w:tcW w:w="24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
        </w:trPr>
        <w:tc>
          <w:tcPr>
            <w:tcW w:w="24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vMerge w:val="restart"/>
          </w:tcPr>
          <w:p>
            <w:pPr>
              <w:jc w:val="center"/>
              <w:spacing w:after="0"/>
              <w:rPr>
                <w:sz w:val="20"/>
                <w:szCs w:val="20"/>
                <w:color w:val="auto"/>
              </w:rPr>
            </w:pPr>
            <w:r>
              <w:rPr>
                <w:rFonts w:ascii="Calibri" w:cs="Calibri" w:eastAsia="Calibri" w:hAnsi="Calibri"/>
                <w:sz w:val="10"/>
                <w:szCs w:val="10"/>
                <w:color w:val="auto"/>
              </w:rPr>
              <w:t>stock awards:</w:t>
            </w:r>
          </w:p>
        </w:tc>
        <w:tc>
          <w:tcPr>
            <w:tcW w:w="700" w:type="dxa"/>
            <w:vAlign w:val="bottom"/>
            <w:vMerge w:val="restart"/>
          </w:tcPr>
          <w:p>
            <w:pPr>
              <w:jc w:val="center"/>
              <w:ind w:right="82"/>
              <w:spacing w:after="0"/>
              <w:rPr>
                <w:sz w:val="20"/>
                <w:szCs w:val="20"/>
                <w:color w:val="auto"/>
              </w:rPr>
            </w:pPr>
            <w:r>
              <w:rPr>
                <w:rFonts w:ascii="Calibri" w:cs="Calibri" w:eastAsia="Calibri" w:hAnsi="Calibri"/>
                <w:sz w:val="10"/>
                <w:szCs w:val="10"/>
                <w:color w:val="auto"/>
              </w:rPr>
              <w:t>number of</w:t>
            </w:r>
          </w:p>
        </w:tc>
        <w:tc>
          <w:tcPr>
            <w:tcW w:w="540" w:type="dxa"/>
            <w:vAlign w:val="bottom"/>
            <w:vMerge w:val="restart"/>
          </w:tcPr>
          <w:p>
            <w:pPr>
              <w:jc w:val="center"/>
              <w:ind w:right="1"/>
              <w:spacing w:after="0"/>
              <w:rPr>
                <w:sz w:val="20"/>
                <w:szCs w:val="20"/>
                <w:color w:val="auto"/>
              </w:rPr>
            </w:pPr>
            <w:r>
              <w:rPr>
                <w:rFonts w:ascii="Calibri" w:cs="Calibri" w:eastAsia="Calibri" w:hAnsi="Calibri"/>
                <w:sz w:val="10"/>
                <w:szCs w:val="10"/>
                <w:color w:val="auto"/>
              </w:rPr>
              <w:t>or base</w:t>
            </w:r>
          </w:p>
        </w:tc>
        <w:tc>
          <w:tcPr>
            <w:tcW w:w="1000" w:type="dxa"/>
            <w:vAlign w:val="bottom"/>
            <w:vMerge w:val="restart"/>
          </w:tcPr>
          <w:p>
            <w:pPr>
              <w:jc w:val="right"/>
              <w:ind w:right="215"/>
              <w:spacing w:after="0"/>
              <w:rPr>
                <w:sz w:val="20"/>
                <w:szCs w:val="20"/>
                <w:color w:val="auto"/>
              </w:rPr>
            </w:pPr>
            <w:r>
              <w:rPr>
                <w:rFonts w:ascii="Calibri" w:cs="Calibri" w:eastAsia="Calibri" w:hAnsi="Calibri"/>
                <w:sz w:val="10"/>
                <w:szCs w:val="10"/>
                <w:color w:val="auto"/>
              </w:rPr>
              <w:t>Grant Date Fair</w:t>
            </w:r>
          </w:p>
        </w:tc>
        <w:tc>
          <w:tcPr>
            <w:tcW w:w="0" w:type="dxa"/>
            <w:vAlign w:val="bottom"/>
          </w:tcPr>
          <w:p>
            <w:pPr>
              <w:spacing w:after="0"/>
              <w:rPr>
                <w:sz w:val="1"/>
                <w:szCs w:val="1"/>
                <w:color w:val="auto"/>
              </w:rPr>
            </w:pPr>
          </w:p>
        </w:tc>
      </w:tr>
      <w:tr>
        <w:trPr>
          <w:trHeight w:val="84"/>
        </w:trPr>
        <w:tc>
          <w:tcPr>
            <w:tcW w:w="2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jc w:val="center"/>
              <w:ind w:right="20"/>
              <w:spacing w:after="0"/>
              <w:rPr>
                <w:sz w:val="20"/>
                <w:szCs w:val="20"/>
                <w:color w:val="auto"/>
              </w:rPr>
            </w:pPr>
            <w:r>
              <w:rPr>
                <w:rFonts w:ascii="Calibri" w:cs="Calibri" w:eastAsia="Calibri" w:hAnsi="Calibri"/>
                <w:sz w:val="10"/>
                <w:szCs w:val="10"/>
                <w:color w:val="auto"/>
              </w:rPr>
              <w:t>number of</w:t>
            </w:r>
          </w:p>
        </w:tc>
        <w:tc>
          <w:tcPr>
            <w:tcW w:w="700" w:type="dxa"/>
            <w:vAlign w:val="bottom"/>
          </w:tcPr>
          <w:p>
            <w:pPr>
              <w:jc w:val="center"/>
              <w:ind w:right="82"/>
              <w:spacing w:after="0"/>
              <w:rPr>
                <w:sz w:val="20"/>
                <w:szCs w:val="20"/>
                <w:color w:val="auto"/>
              </w:rPr>
            </w:pPr>
            <w:r>
              <w:rPr>
                <w:rFonts w:ascii="Calibri" w:cs="Calibri" w:eastAsia="Calibri" w:hAnsi="Calibri"/>
                <w:sz w:val="10"/>
                <w:szCs w:val="10"/>
                <w:color w:val="auto"/>
              </w:rPr>
              <w:t>securites</w:t>
            </w:r>
          </w:p>
        </w:tc>
        <w:tc>
          <w:tcPr>
            <w:tcW w:w="540" w:type="dxa"/>
            <w:vAlign w:val="bottom"/>
          </w:tcPr>
          <w:p>
            <w:pPr>
              <w:jc w:val="center"/>
              <w:ind w:right="1"/>
              <w:spacing w:after="0"/>
              <w:rPr>
                <w:sz w:val="20"/>
                <w:szCs w:val="20"/>
                <w:color w:val="auto"/>
              </w:rPr>
            </w:pPr>
            <w:r>
              <w:rPr>
                <w:rFonts w:ascii="Calibri" w:cs="Calibri" w:eastAsia="Calibri" w:hAnsi="Calibri"/>
                <w:sz w:val="10"/>
                <w:szCs w:val="10"/>
                <w:color w:val="auto"/>
              </w:rPr>
              <w:t>price of</w:t>
            </w:r>
          </w:p>
        </w:tc>
        <w:tc>
          <w:tcPr>
            <w:tcW w:w="1000" w:type="dxa"/>
            <w:vAlign w:val="bottom"/>
          </w:tcPr>
          <w:p>
            <w:pPr>
              <w:jc w:val="center"/>
              <w:ind w:right="15"/>
              <w:spacing w:after="0"/>
              <w:rPr>
                <w:sz w:val="20"/>
                <w:szCs w:val="20"/>
                <w:color w:val="auto"/>
              </w:rPr>
            </w:pPr>
            <w:r>
              <w:rPr>
                <w:rFonts w:ascii="Calibri" w:cs="Calibri" w:eastAsia="Calibri" w:hAnsi="Calibri"/>
                <w:sz w:val="10"/>
                <w:szCs w:val="10"/>
                <w:color w:val="auto"/>
              </w:rPr>
              <w:t>Value of Stock</w:t>
            </w: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Calibri" w:cs="Calibri" w:eastAsia="Calibri" w:hAnsi="Calibri"/>
                <w:sz w:val="10"/>
                <w:szCs w:val="10"/>
                <w:color w:val="auto"/>
              </w:rPr>
              <w:t>shares of</w:t>
            </w:r>
          </w:p>
        </w:tc>
        <w:tc>
          <w:tcPr>
            <w:tcW w:w="700" w:type="dxa"/>
            <w:vAlign w:val="bottom"/>
          </w:tcPr>
          <w:p>
            <w:pPr>
              <w:jc w:val="center"/>
              <w:ind w:right="62"/>
              <w:spacing w:after="0"/>
              <w:rPr>
                <w:sz w:val="20"/>
                <w:szCs w:val="20"/>
                <w:color w:val="auto"/>
              </w:rPr>
            </w:pPr>
            <w:r>
              <w:rPr>
                <w:rFonts w:ascii="Calibri" w:cs="Calibri" w:eastAsia="Calibri" w:hAnsi="Calibri"/>
                <w:sz w:val="10"/>
                <w:szCs w:val="10"/>
                <w:color w:val="auto"/>
              </w:rPr>
              <w:t>underlying</w:t>
            </w:r>
          </w:p>
        </w:tc>
        <w:tc>
          <w:tcPr>
            <w:tcW w:w="540" w:type="dxa"/>
            <w:vAlign w:val="bottom"/>
          </w:tcPr>
          <w:p>
            <w:pPr>
              <w:jc w:val="center"/>
              <w:ind w:right="21"/>
              <w:spacing w:after="0"/>
              <w:rPr>
                <w:sz w:val="20"/>
                <w:szCs w:val="20"/>
                <w:color w:val="auto"/>
              </w:rPr>
            </w:pPr>
            <w:r>
              <w:rPr>
                <w:rFonts w:ascii="Calibri" w:cs="Calibri" w:eastAsia="Calibri" w:hAnsi="Calibri"/>
                <w:sz w:val="10"/>
                <w:szCs w:val="10"/>
                <w:color w:val="auto"/>
              </w:rPr>
              <w:t>the</w:t>
            </w:r>
          </w:p>
        </w:tc>
        <w:tc>
          <w:tcPr>
            <w:tcW w:w="1000" w:type="dxa"/>
            <w:vAlign w:val="bottom"/>
          </w:tcPr>
          <w:p>
            <w:pPr>
              <w:jc w:val="center"/>
              <w:ind w:right="15"/>
              <w:spacing w:after="0"/>
              <w:rPr>
                <w:sz w:val="20"/>
                <w:szCs w:val="20"/>
                <w:color w:val="auto"/>
              </w:rPr>
            </w:pPr>
            <w:r>
              <w:rPr>
                <w:rFonts w:ascii="Calibri" w:cs="Calibri" w:eastAsia="Calibri" w:hAnsi="Calibri"/>
                <w:sz w:val="10"/>
                <w:szCs w:val="10"/>
                <w:color w:val="auto"/>
              </w:rPr>
              <w:t>and Opton</w:t>
            </w: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300"/>
              <w:spacing w:after="0"/>
              <w:rPr>
                <w:sz w:val="20"/>
                <w:szCs w:val="20"/>
                <w:color w:val="auto"/>
              </w:rPr>
            </w:pPr>
            <w:r>
              <w:rPr>
                <w:rFonts w:ascii="Calibri" w:cs="Calibri" w:eastAsia="Calibri" w:hAnsi="Calibri"/>
                <w:sz w:val="10"/>
                <w:szCs w:val="10"/>
                <w:color w:val="auto"/>
              </w:rPr>
              <w:t>Grant</w:t>
            </w:r>
          </w:p>
        </w:tc>
        <w:tc>
          <w:tcPr>
            <w:tcW w:w="700" w:type="dxa"/>
            <w:vAlign w:val="bottom"/>
          </w:tcPr>
          <w:p>
            <w:pPr>
              <w:ind w:left="100"/>
              <w:spacing w:after="0"/>
              <w:rPr>
                <w:sz w:val="20"/>
                <w:szCs w:val="20"/>
                <w:color w:val="auto"/>
              </w:rPr>
            </w:pPr>
            <w:r>
              <w:rPr>
                <w:rFonts w:ascii="Calibri" w:cs="Calibri" w:eastAsia="Calibri" w:hAnsi="Calibri"/>
                <w:sz w:val="10"/>
                <w:szCs w:val="10"/>
                <w:color w:val="auto"/>
              </w:rPr>
              <w:t>Threshold</w:t>
            </w:r>
          </w:p>
        </w:tc>
        <w:tc>
          <w:tcPr>
            <w:tcW w:w="880" w:type="dxa"/>
            <w:vAlign w:val="bottom"/>
          </w:tcPr>
          <w:p>
            <w:pPr>
              <w:jc w:val="right"/>
              <w:ind w:right="276"/>
              <w:spacing w:after="0"/>
              <w:rPr>
                <w:sz w:val="20"/>
                <w:szCs w:val="20"/>
                <w:color w:val="auto"/>
              </w:rPr>
            </w:pPr>
            <w:r>
              <w:rPr>
                <w:rFonts w:ascii="Calibri" w:cs="Calibri" w:eastAsia="Calibri" w:hAnsi="Calibri"/>
                <w:sz w:val="10"/>
                <w:szCs w:val="10"/>
                <w:color w:val="auto"/>
              </w:rPr>
              <w:t>Target</w:t>
            </w:r>
          </w:p>
        </w:tc>
        <w:tc>
          <w:tcPr>
            <w:tcW w:w="800" w:type="dxa"/>
            <w:vAlign w:val="bottom"/>
          </w:tcPr>
          <w:p>
            <w:pPr>
              <w:jc w:val="right"/>
              <w:ind w:right="156"/>
              <w:spacing w:after="0"/>
              <w:rPr>
                <w:sz w:val="20"/>
                <w:szCs w:val="20"/>
                <w:color w:val="auto"/>
              </w:rPr>
            </w:pPr>
            <w:r>
              <w:rPr>
                <w:rFonts w:ascii="Calibri" w:cs="Calibri" w:eastAsia="Calibri" w:hAnsi="Calibri"/>
                <w:sz w:val="10"/>
                <w:szCs w:val="10"/>
                <w:color w:val="auto"/>
              </w:rPr>
              <w:t>Maximum</w:t>
            </w:r>
          </w:p>
        </w:tc>
        <w:tc>
          <w:tcPr>
            <w:tcW w:w="620" w:type="dxa"/>
            <w:vAlign w:val="bottom"/>
          </w:tcPr>
          <w:p>
            <w:pPr>
              <w:jc w:val="right"/>
              <w:ind w:right="36"/>
              <w:spacing w:after="0"/>
              <w:rPr>
                <w:sz w:val="20"/>
                <w:szCs w:val="20"/>
                <w:color w:val="auto"/>
              </w:rPr>
            </w:pPr>
            <w:r>
              <w:rPr>
                <w:rFonts w:ascii="Calibri" w:cs="Calibri" w:eastAsia="Calibri" w:hAnsi="Calibri"/>
                <w:sz w:val="10"/>
                <w:szCs w:val="10"/>
                <w:color w:val="auto"/>
              </w:rPr>
              <w:t>Threshold</w:t>
            </w:r>
          </w:p>
        </w:tc>
        <w:tc>
          <w:tcPr>
            <w:tcW w:w="680" w:type="dxa"/>
            <w:vAlign w:val="bottom"/>
          </w:tcPr>
          <w:p>
            <w:pPr>
              <w:jc w:val="right"/>
              <w:ind w:right="194"/>
              <w:spacing w:after="0"/>
              <w:rPr>
                <w:sz w:val="20"/>
                <w:szCs w:val="20"/>
                <w:color w:val="auto"/>
              </w:rPr>
            </w:pPr>
            <w:r>
              <w:rPr>
                <w:rFonts w:ascii="Calibri" w:cs="Calibri" w:eastAsia="Calibri" w:hAnsi="Calibri"/>
                <w:sz w:val="10"/>
                <w:szCs w:val="10"/>
                <w:color w:val="auto"/>
              </w:rPr>
              <w:t>Target</w:t>
            </w:r>
          </w:p>
        </w:tc>
        <w:tc>
          <w:tcPr>
            <w:tcW w:w="620" w:type="dxa"/>
            <w:vAlign w:val="bottom"/>
          </w:tcPr>
          <w:p>
            <w:pPr>
              <w:jc w:val="right"/>
              <w:ind w:right="54"/>
              <w:spacing w:after="0"/>
              <w:rPr>
                <w:sz w:val="20"/>
                <w:szCs w:val="20"/>
                <w:color w:val="auto"/>
              </w:rPr>
            </w:pPr>
            <w:r>
              <w:rPr>
                <w:rFonts w:ascii="Calibri" w:cs="Calibri" w:eastAsia="Calibri" w:hAnsi="Calibri"/>
                <w:sz w:val="10"/>
                <w:szCs w:val="10"/>
                <w:color w:val="auto"/>
              </w:rPr>
              <w:t>Maximum</w:t>
            </w:r>
          </w:p>
        </w:tc>
        <w:tc>
          <w:tcPr>
            <w:tcW w:w="840" w:type="dxa"/>
            <w:vAlign w:val="bottom"/>
          </w:tcPr>
          <w:p>
            <w:pPr>
              <w:jc w:val="center"/>
              <w:ind w:right="20"/>
              <w:spacing w:after="0"/>
              <w:rPr>
                <w:sz w:val="20"/>
                <w:szCs w:val="20"/>
                <w:color w:val="auto"/>
              </w:rPr>
            </w:pPr>
            <w:r>
              <w:rPr>
                <w:rFonts w:ascii="Calibri" w:cs="Calibri" w:eastAsia="Calibri" w:hAnsi="Calibri"/>
                <w:sz w:val="10"/>
                <w:szCs w:val="10"/>
                <w:color w:val="auto"/>
              </w:rPr>
              <w:t>stock or units</w:t>
            </w:r>
          </w:p>
        </w:tc>
        <w:tc>
          <w:tcPr>
            <w:tcW w:w="700" w:type="dxa"/>
            <w:vAlign w:val="bottom"/>
          </w:tcPr>
          <w:p>
            <w:pPr>
              <w:jc w:val="center"/>
              <w:ind w:right="82"/>
              <w:spacing w:after="0"/>
              <w:rPr>
                <w:sz w:val="20"/>
                <w:szCs w:val="20"/>
                <w:color w:val="auto"/>
              </w:rPr>
            </w:pPr>
            <w:r>
              <w:rPr>
                <w:rFonts w:ascii="Calibri" w:cs="Calibri" w:eastAsia="Calibri" w:hAnsi="Calibri"/>
                <w:sz w:val="10"/>
                <w:szCs w:val="10"/>
                <w:color w:val="auto"/>
              </w:rPr>
              <w:t>opton</w:t>
            </w:r>
          </w:p>
        </w:tc>
        <w:tc>
          <w:tcPr>
            <w:tcW w:w="540" w:type="dxa"/>
            <w:vAlign w:val="bottom"/>
          </w:tcPr>
          <w:p>
            <w:pPr>
              <w:jc w:val="center"/>
              <w:ind w:right="1"/>
              <w:spacing w:after="0"/>
              <w:rPr>
                <w:sz w:val="20"/>
                <w:szCs w:val="20"/>
                <w:color w:val="auto"/>
              </w:rPr>
            </w:pPr>
            <w:r>
              <w:rPr>
                <w:rFonts w:ascii="Calibri" w:cs="Calibri" w:eastAsia="Calibri" w:hAnsi="Calibri"/>
                <w:sz w:val="10"/>
                <w:szCs w:val="10"/>
                <w:color w:val="auto"/>
              </w:rPr>
              <w:t>opton</w:t>
            </w:r>
          </w:p>
        </w:tc>
        <w:tc>
          <w:tcPr>
            <w:tcW w:w="1000" w:type="dxa"/>
            <w:vAlign w:val="bottom"/>
          </w:tcPr>
          <w:p>
            <w:pPr>
              <w:jc w:val="center"/>
              <w:ind w:right="15"/>
              <w:spacing w:after="0"/>
              <w:rPr>
                <w:sz w:val="20"/>
                <w:szCs w:val="20"/>
                <w:color w:val="auto"/>
              </w:rPr>
            </w:pPr>
            <w:r>
              <w:rPr>
                <w:rFonts w:ascii="Calibri" w:cs="Calibri" w:eastAsia="Calibri" w:hAnsi="Calibri"/>
                <w:sz w:val="10"/>
                <w:szCs w:val="10"/>
                <w:color w:val="auto"/>
              </w:rPr>
              <w:t>Awards</w:t>
            </w: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320"/>
              <w:spacing w:after="0"/>
              <w:rPr>
                <w:sz w:val="20"/>
                <w:szCs w:val="20"/>
                <w:color w:val="auto"/>
              </w:rPr>
            </w:pPr>
            <w:r>
              <w:rPr>
                <w:rFonts w:ascii="Calibri" w:cs="Calibri" w:eastAsia="Calibri" w:hAnsi="Calibri"/>
                <w:sz w:val="10"/>
                <w:szCs w:val="10"/>
                <w:color w:val="auto"/>
              </w:rPr>
              <w:t>date</w:t>
            </w:r>
          </w:p>
        </w:tc>
        <w:tc>
          <w:tcPr>
            <w:tcW w:w="700" w:type="dxa"/>
            <w:vAlign w:val="bottom"/>
          </w:tcPr>
          <w:p>
            <w:pPr>
              <w:ind w:left="240"/>
              <w:spacing w:after="0"/>
              <w:rPr>
                <w:sz w:val="20"/>
                <w:szCs w:val="20"/>
                <w:color w:val="auto"/>
              </w:rPr>
            </w:pPr>
            <w:r>
              <w:rPr>
                <w:rFonts w:ascii="Calibri" w:cs="Calibri" w:eastAsia="Calibri" w:hAnsi="Calibri"/>
                <w:sz w:val="10"/>
                <w:szCs w:val="10"/>
                <w:color w:val="auto"/>
              </w:rPr>
              <w:t>($)</w:t>
            </w:r>
          </w:p>
        </w:tc>
        <w:tc>
          <w:tcPr>
            <w:tcW w:w="880" w:type="dxa"/>
            <w:vAlign w:val="bottom"/>
          </w:tcPr>
          <w:p>
            <w:pPr>
              <w:jc w:val="right"/>
              <w:ind w:right="336"/>
              <w:spacing w:after="0"/>
              <w:rPr>
                <w:sz w:val="20"/>
                <w:szCs w:val="20"/>
                <w:color w:val="auto"/>
              </w:rPr>
            </w:pPr>
            <w:r>
              <w:rPr>
                <w:rFonts w:ascii="Calibri" w:cs="Calibri" w:eastAsia="Calibri" w:hAnsi="Calibri"/>
                <w:sz w:val="10"/>
                <w:szCs w:val="10"/>
                <w:color w:val="auto"/>
              </w:rPr>
              <w:t>($)</w:t>
            </w:r>
          </w:p>
        </w:tc>
        <w:tc>
          <w:tcPr>
            <w:tcW w:w="800" w:type="dxa"/>
            <w:vAlign w:val="bottom"/>
          </w:tcPr>
          <w:p>
            <w:pPr>
              <w:jc w:val="right"/>
              <w:ind w:right="296"/>
              <w:spacing w:after="0"/>
              <w:rPr>
                <w:sz w:val="20"/>
                <w:szCs w:val="20"/>
                <w:color w:val="auto"/>
              </w:rPr>
            </w:pPr>
            <w:r>
              <w:rPr>
                <w:rFonts w:ascii="Calibri" w:cs="Calibri" w:eastAsia="Calibri" w:hAnsi="Calibri"/>
                <w:sz w:val="10"/>
                <w:szCs w:val="10"/>
                <w:color w:val="auto"/>
              </w:rPr>
              <w:t>($)</w:t>
            </w:r>
          </w:p>
        </w:tc>
        <w:tc>
          <w:tcPr>
            <w:tcW w:w="620" w:type="dxa"/>
            <w:vAlign w:val="bottom"/>
          </w:tcPr>
          <w:p>
            <w:pPr>
              <w:jc w:val="right"/>
              <w:ind w:right="196"/>
              <w:spacing w:after="0"/>
              <w:rPr>
                <w:sz w:val="20"/>
                <w:szCs w:val="20"/>
                <w:color w:val="auto"/>
              </w:rPr>
            </w:pPr>
            <w:r>
              <w:rPr>
                <w:rFonts w:ascii="Calibri" w:cs="Calibri" w:eastAsia="Calibri" w:hAnsi="Calibri"/>
                <w:sz w:val="10"/>
                <w:szCs w:val="10"/>
                <w:color w:val="auto"/>
              </w:rPr>
              <w:t>(#)</w:t>
            </w:r>
          </w:p>
        </w:tc>
        <w:tc>
          <w:tcPr>
            <w:tcW w:w="680" w:type="dxa"/>
            <w:vAlign w:val="bottom"/>
          </w:tcPr>
          <w:p>
            <w:pPr>
              <w:jc w:val="right"/>
              <w:ind w:right="254"/>
              <w:spacing w:after="0"/>
              <w:rPr>
                <w:sz w:val="20"/>
                <w:szCs w:val="20"/>
                <w:color w:val="auto"/>
              </w:rPr>
            </w:pPr>
            <w:r>
              <w:rPr>
                <w:rFonts w:ascii="Calibri" w:cs="Calibri" w:eastAsia="Calibri" w:hAnsi="Calibri"/>
                <w:sz w:val="10"/>
                <w:szCs w:val="10"/>
                <w:color w:val="auto"/>
              </w:rPr>
              <w:t>(#)</w:t>
            </w:r>
          </w:p>
        </w:tc>
        <w:tc>
          <w:tcPr>
            <w:tcW w:w="620" w:type="dxa"/>
            <w:vAlign w:val="bottom"/>
          </w:tcPr>
          <w:p>
            <w:pPr>
              <w:jc w:val="right"/>
              <w:ind w:right="214"/>
              <w:spacing w:after="0"/>
              <w:rPr>
                <w:sz w:val="20"/>
                <w:szCs w:val="20"/>
                <w:color w:val="auto"/>
              </w:rPr>
            </w:pPr>
            <w:r>
              <w:rPr>
                <w:rFonts w:ascii="Calibri" w:cs="Calibri" w:eastAsia="Calibri" w:hAnsi="Calibri"/>
                <w:sz w:val="10"/>
                <w:szCs w:val="10"/>
                <w:color w:val="auto"/>
              </w:rPr>
              <w:t>(#)</w:t>
            </w:r>
          </w:p>
        </w:tc>
        <w:tc>
          <w:tcPr>
            <w:tcW w:w="840" w:type="dxa"/>
            <w:vAlign w:val="bottom"/>
          </w:tcPr>
          <w:p>
            <w:pPr>
              <w:jc w:val="center"/>
              <w:ind w:right="20"/>
              <w:spacing w:after="0"/>
              <w:rPr>
                <w:sz w:val="20"/>
                <w:szCs w:val="20"/>
                <w:color w:val="auto"/>
              </w:rPr>
            </w:pPr>
            <w:r>
              <w:rPr>
                <w:rFonts w:ascii="Calibri" w:cs="Calibri" w:eastAsia="Calibri" w:hAnsi="Calibri"/>
                <w:sz w:val="10"/>
                <w:szCs w:val="10"/>
                <w:color w:val="auto"/>
              </w:rPr>
              <w:t>(#)</w:t>
            </w:r>
          </w:p>
        </w:tc>
        <w:tc>
          <w:tcPr>
            <w:tcW w:w="700" w:type="dxa"/>
            <w:vAlign w:val="bottom"/>
          </w:tcPr>
          <w:p>
            <w:pPr>
              <w:jc w:val="center"/>
              <w:ind w:right="82"/>
              <w:spacing w:after="0"/>
              <w:rPr>
                <w:sz w:val="20"/>
                <w:szCs w:val="20"/>
                <w:color w:val="auto"/>
              </w:rPr>
            </w:pPr>
            <w:r>
              <w:rPr>
                <w:rFonts w:ascii="Calibri" w:cs="Calibri" w:eastAsia="Calibri" w:hAnsi="Calibri"/>
                <w:sz w:val="10"/>
                <w:szCs w:val="10"/>
                <w:color w:val="auto"/>
              </w:rPr>
              <w:t>(#)</w:t>
            </w:r>
          </w:p>
        </w:tc>
        <w:tc>
          <w:tcPr>
            <w:tcW w:w="540" w:type="dxa"/>
            <w:vAlign w:val="bottom"/>
          </w:tcPr>
          <w:p>
            <w:pPr>
              <w:jc w:val="center"/>
              <w:ind w:right="21"/>
              <w:spacing w:after="0"/>
              <w:rPr>
                <w:sz w:val="20"/>
                <w:szCs w:val="20"/>
                <w:color w:val="auto"/>
              </w:rPr>
            </w:pPr>
            <w:r>
              <w:rPr>
                <w:rFonts w:ascii="Calibri" w:cs="Calibri" w:eastAsia="Calibri" w:hAnsi="Calibri"/>
                <w:sz w:val="10"/>
                <w:szCs w:val="10"/>
                <w:color w:val="auto"/>
              </w:rPr>
              <w:t>awards</w:t>
            </w:r>
          </w:p>
        </w:tc>
        <w:tc>
          <w:tcPr>
            <w:tcW w:w="1000" w:type="dxa"/>
            <w:vAlign w:val="bottom"/>
          </w:tcPr>
          <w:p>
            <w:pPr>
              <w:ind w:left="400"/>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78"/>
        </w:trPr>
        <w:tc>
          <w:tcPr>
            <w:tcW w:w="2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400"/>
              <w:spacing w:after="0" w:line="159" w:lineRule="exact"/>
              <w:rPr>
                <w:sz w:val="20"/>
                <w:szCs w:val="20"/>
                <w:color w:val="auto"/>
              </w:rPr>
            </w:pPr>
            <w:r>
              <w:rPr>
                <w:rFonts w:ascii="Calibri" w:cs="Calibri" w:eastAsia="Calibri" w:hAnsi="Calibri"/>
                <w:sz w:val="14"/>
                <w:szCs w:val="14"/>
                <w:color w:val="auto"/>
              </w:rPr>
              <w:t>—</w:t>
            </w:r>
          </w:p>
        </w:tc>
        <w:tc>
          <w:tcPr>
            <w:tcW w:w="880" w:type="dxa"/>
            <w:vAlign w:val="bottom"/>
          </w:tcPr>
          <w:p>
            <w:pPr>
              <w:jc w:val="right"/>
              <w:ind w:right="76"/>
              <w:spacing w:after="0" w:line="159" w:lineRule="exact"/>
              <w:rPr>
                <w:sz w:val="20"/>
                <w:szCs w:val="20"/>
                <w:color w:val="auto"/>
              </w:rPr>
            </w:pPr>
            <w:r>
              <w:rPr>
                <w:rFonts w:ascii="Calibri" w:cs="Calibri" w:eastAsia="Calibri" w:hAnsi="Calibri"/>
                <w:sz w:val="14"/>
                <w:szCs w:val="14"/>
                <w:color w:val="auto"/>
              </w:rPr>
              <w:t>1,222,500</w:t>
            </w:r>
          </w:p>
        </w:tc>
        <w:tc>
          <w:tcPr>
            <w:tcW w:w="800" w:type="dxa"/>
            <w:vAlign w:val="bottom"/>
          </w:tcPr>
          <w:p>
            <w:pPr>
              <w:jc w:val="right"/>
              <w:ind w:right="36"/>
              <w:spacing w:after="0" w:line="159" w:lineRule="exact"/>
              <w:rPr>
                <w:sz w:val="20"/>
                <w:szCs w:val="20"/>
                <w:color w:val="auto"/>
              </w:rPr>
            </w:pPr>
            <w:r>
              <w:rPr>
                <w:rFonts w:ascii="Calibri" w:cs="Calibri" w:eastAsia="Calibri" w:hAnsi="Calibri"/>
                <w:sz w:val="14"/>
                <w:szCs w:val="14"/>
                <w:color w:val="auto"/>
              </w:rPr>
              <w:t>3,667,500</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20"/>
                <w:szCs w:val="20"/>
                <w:color w:val="auto"/>
              </w:rPr>
            </w:pPr>
            <w:r>
              <w:rPr>
                <w:rFonts w:ascii="Calibri" w:cs="Calibri" w:eastAsia="Calibri" w:hAnsi="Calibri"/>
                <w:sz w:val="14"/>
                <w:szCs w:val="14"/>
                <w:b w:val="1"/>
                <w:bCs w:val="1"/>
                <w:color w:val="auto"/>
              </w:rPr>
              <w:t>  Rohit</w:t>
            </w:r>
          </w:p>
        </w:tc>
        <w:tc>
          <w:tcPr>
            <w:tcW w:w="820" w:type="dxa"/>
            <w:vAlign w:val="bottom"/>
            <w:gridSpan w:val="3"/>
          </w:tcPr>
          <w:p>
            <w:pPr>
              <w:jc w:val="right"/>
              <w:ind w:right="100"/>
              <w:spacing w:after="0"/>
              <w:rPr>
                <w:sz w:val="20"/>
                <w:szCs w:val="20"/>
                <w:color w:val="auto"/>
              </w:rPr>
            </w:pPr>
            <w:r>
              <w:rPr>
                <w:rFonts w:ascii="Calibri" w:cs="Calibri" w:eastAsia="Calibri" w:hAnsi="Calibri"/>
                <w:sz w:val="14"/>
                <w:szCs w:val="14"/>
                <w:color w:val="auto"/>
              </w:rPr>
              <w:t>2/15/2023</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jc w:val="right"/>
              <w:spacing w:after="0" w:line="197" w:lineRule="exact"/>
              <w:rPr>
                <w:sz w:val="20"/>
                <w:szCs w:val="20"/>
                <w:color w:val="auto"/>
              </w:rPr>
            </w:pPr>
            <w:r>
              <w:rPr>
                <w:rFonts w:ascii="Calibri" w:cs="Calibri" w:eastAsia="Calibri" w:hAnsi="Calibri"/>
                <w:sz w:val="14"/>
                <w:szCs w:val="14"/>
                <w:color w:val="auto"/>
              </w:rPr>
              <w:t>104,480</w:t>
            </w:r>
            <w:r>
              <w:rPr>
                <w:rFonts w:ascii="Calibri" w:cs="Calibri" w:eastAsia="Calibri" w:hAnsi="Calibri"/>
                <w:sz w:val="20"/>
                <w:szCs w:val="20"/>
                <w:color w:val="auto"/>
                <w:vertAlign w:val="superscript"/>
              </w:rPr>
              <w:t>(4)</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ind w:right="95"/>
              <w:spacing w:after="0"/>
              <w:rPr>
                <w:sz w:val="20"/>
                <w:szCs w:val="20"/>
                <w:color w:val="auto"/>
              </w:rPr>
            </w:pPr>
            <w:r>
              <w:rPr>
                <w:rFonts w:ascii="Calibri" w:cs="Calibri" w:eastAsia="Calibri" w:hAnsi="Calibri"/>
                <w:sz w:val="14"/>
                <w:szCs w:val="14"/>
                <w:color w:val="auto"/>
              </w:rPr>
              <w:t>3,610,829</w:t>
            </w:r>
          </w:p>
        </w:tc>
        <w:tc>
          <w:tcPr>
            <w:tcW w:w="0" w:type="dxa"/>
            <w:vAlign w:val="bottom"/>
          </w:tcPr>
          <w:p>
            <w:pPr>
              <w:spacing w:after="0"/>
              <w:rPr>
                <w:sz w:val="1"/>
                <w:szCs w:val="1"/>
                <w:color w:val="auto"/>
              </w:rPr>
            </w:pPr>
          </w:p>
        </w:tc>
      </w:tr>
      <w:tr>
        <w:trPr>
          <w:trHeight w:val="221"/>
        </w:trPr>
        <w:tc>
          <w:tcPr>
            <w:tcW w:w="2420" w:type="dxa"/>
            <w:vAlign w:val="bottom"/>
          </w:tcPr>
          <w:p>
            <w:pPr>
              <w:spacing w:after="0" w:line="166" w:lineRule="exact"/>
              <w:rPr>
                <w:sz w:val="20"/>
                <w:szCs w:val="20"/>
                <w:color w:val="auto"/>
              </w:rPr>
            </w:pPr>
            <w:r>
              <w:rPr>
                <w:rFonts w:ascii="Calibri" w:cs="Calibri" w:eastAsia="Calibri" w:hAnsi="Calibri"/>
                <w:sz w:val="14"/>
                <w:szCs w:val="14"/>
                <w:b w:val="1"/>
                <w:bCs w:val="1"/>
                <w:color w:val="auto"/>
              </w:rPr>
              <w:t>  Kapoor</w:t>
            </w:r>
          </w:p>
        </w:tc>
        <w:tc>
          <w:tcPr>
            <w:tcW w:w="820" w:type="dxa"/>
            <w:vAlign w:val="bottom"/>
            <w:gridSpan w:val="3"/>
          </w:tcPr>
          <w:p>
            <w:pPr>
              <w:jc w:val="right"/>
              <w:ind w:right="100"/>
              <w:spacing w:after="0"/>
              <w:rPr>
                <w:sz w:val="20"/>
                <w:szCs w:val="20"/>
                <w:color w:val="auto"/>
              </w:rPr>
            </w:pPr>
            <w:r>
              <w:rPr>
                <w:rFonts w:ascii="Calibri" w:cs="Calibri" w:eastAsia="Calibri" w:hAnsi="Calibri"/>
                <w:sz w:val="14"/>
                <w:szCs w:val="14"/>
                <w:color w:val="auto"/>
              </w:rPr>
              <w:t>2/15/2023</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Calibri" w:cs="Calibri" w:eastAsia="Calibri" w:hAnsi="Calibri"/>
                <w:sz w:val="14"/>
                <w:szCs w:val="14"/>
                <w:color w:val="auto"/>
              </w:rPr>
              <w:t>15,673</w:t>
            </w:r>
          </w:p>
        </w:tc>
        <w:tc>
          <w:tcPr>
            <w:tcW w:w="680" w:type="dxa"/>
            <w:vAlign w:val="bottom"/>
          </w:tcPr>
          <w:p>
            <w:pPr>
              <w:jc w:val="right"/>
              <w:spacing w:after="0" w:line="221" w:lineRule="exact"/>
              <w:rPr>
                <w:sz w:val="20"/>
                <w:szCs w:val="20"/>
                <w:color w:val="auto"/>
              </w:rPr>
            </w:pPr>
            <w:r>
              <w:rPr>
                <w:rFonts w:ascii="Calibri" w:cs="Calibri" w:eastAsia="Calibri" w:hAnsi="Calibri"/>
                <w:sz w:val="14"/>
                <w:szCs w:val="14"/>
                <w:color w:val="auto"/>
              </w:rPr>
              <w:t>62,690</w:t>
            </w:r>
            <w:r>
              <w:rPr>
                <w:rFonts w:ascii="Calibri" w:cs="Calibri" w:eastAsia="Calibri" w:hAnsi="Calibri"/>
                <w:sz w:val="20"/>
                <w:szCs w:val="20"/>
                <w:color w:val="auto"/>
                <w:vertAlign w:val="superscript"/>
              </w:rPr>
              <w:t>(2)</w:t>
            </w:r>
          </w:p>
        </w:tc>
        <w:tc>
          <w:tcPr>
            <w:tcW w:w="620" w:type="dxa"/>
            <w:vAlign w:val="bottom"/>
          </w:tcPr>
          <w:p>
            <w:pPr>
              <w:jc w:val="right"/>
              <w:ind w:right="14"/>
              <w:spacing w:after="0"/>
              <w:rPr>
                <w:sz w:val="20"/>
                <w:szCs w:val="20"/>
                <w:color w:val="auto"/>
              </w:rPr>
            </w:pPr>
            <w:r>
              <w:rPr>
                <w:rFonts w:ascii="Calibri" w:cs="Calibri" w:eastAsia="Calibri" w:hAnsi="Calibri"/>
                <w:sz w:val="14"/>
                <w:szCs w:val="14"/>
                <w:color w:val="auto"/>
              </w:rPr>
              <w:t>125,380</w:t>
            </w: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Calibri" w:cs="Calibri" w:eastAsia="Calibri" w:hAnsi="Calibri"/>
                <w:sz w:val="14"/>
                <w:szCs w:val="14"/>
                <w:color w:val="auto"/>
              </w:rPr>
              <w:t>2,166,566</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820" w:type="dxa"/>
            <w:vAlign w:val="bottom"/>
            <w:gridSpan w:val="3"/>
          </w:tcPr>
          <w:p>
            <w:pPr>
              <w:jc w:val="right"/>
              <w:ind w:right="100"/>
              <w:spacing w:after="0" w:line="166" w:lineRule="exact"/>
              <w:rPr>
                <w:sz w:val="20"/>
                <w:szCs w:val="20"/>
                <w:color w:val="auto"/>
              </w:rPr>
            </w:pPr>
            <w:r>
              <w:rPr>
                <w:rFonts w:ascii="Calibri" w:cs="Calibri" w:eastAsia="Calibri" w:hAnsi="Calibri"/>
                <w:sz w:val="14"/>
                <w:szCs w:val="14"/>
                <w:color w:val="auto"/>
              </w:rPr>
              <w:t>2/15/2023</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jc w:val="right"/>
              <w:ind w:right="36"/>
              <w:spacing w:after="0" w:line="166" w:lineRule="exact"/>
              <w:rPr>
                <w:sz w:val="20"/>
                <w:szCs w:val="20"/>
                <w:color w:val="auto"/>
              </w:rPr>
            </w:pPr>
            <w:r>
              <w:rPr>
                <w:rFonts w:ascii="Calibri" w:cs="Calibri" w:eastAsia="Calibri" w:hAnsi="Calibri"/>
                <w:sz w:val="14"/>
                <w:szCs w:val="14"/>
                <w:color w:val="auto"/>
              </w:rPr>
              <w:t>3,131</w:t>
            </w:r>
          </w:p>
        </w:tc>
        <w:tc>
          <w:tcPr>
            <w:tcW w:w="680" w:type="dxa"/>
            <w:vAlign w:val="bottom"/>
          </w:tcPr>
          <w:p>
            <w:pPr>
              <w:jc w:val="right"/>
              <w:spacing w:after="0" w:line="210" w:lineRule="exact"/>
              <w:rPr>
                <w:sz w:val="20"/>
                <w:szCs w:val="20"/>
                <w:color w:val="auto"/>
              </w:rPr>
            </w:pPr>
            <w:r>
              <w:rPr>
                <w:rFonts w:ascii="Calibri" w:cs="Calibri" w:eastAsia="Calibri" w:hAnsi="Calibri"/>
                <w:sz w:val="14"/>
                <w:szCs w:val="14"/>
                <w:color w:val="auto"/>
              </w:rPr>
              <w:t>94,030</w:t>
            </w:r>
            <w:r>
              <w:rPr>
                <w:rFonts w:ascii="Calibri" w:cs="Calibri" w:eastAsia="Calibri" w:hAnsi="Calibri"/>
                <w:sz w:val="20"/>
                <w:szCs w:val="20"/>
                <w:color w:val="auto"/>
                <w:vertAlign w:val="superscript"/>
              </w:rPr>
              <w:t>(3)</w:t>
            </w:r>
          </w:p>
        </w:tc>
        <w:tc>
          <w:tcPr>
            <w:tcW w:w="620" w:type="dxa"/>
            <w:vAlign w:val="bottom"/>
          </w:tcPr>
          <w:p>
            <w:pPr>
              <w:jc w:val="right"/>
              <w:ind w:right="14"/>
              <w:spacing w:after="0" w:line="166" w:lineRule="exact"/>
              <w:rPr>
                <w:sz w:val="20"/>
                <w:szCs w:val="20"/>
                <w:color w:val="auto"/>
              </w:rPr>
            </w:pPr>
            <w:r>
              <w:rPr>
                <w:rFonts w:ascii="Calibri" w:cs="Calibri" w:eastAsia="Calibri" w:hAnsi="Calibri"/>
                <w:sz w:val="14"/>
                <w:szCs w:val="14"/>
                <w:color w:val="auto"/>
              </w:rPr>
              <w:t>188,060</w:t>
            </w: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line="210" w:lineRule="exact"/>
              <w:rPr>
                <w:sz w:val="20"/>
                <w:szCs w:val="20"/>
                <w:color w:val="auto"/>
              </w:rPr>
            </w:pPr>
            <w:r>
              <w:rPr>
                <w:rFonts w:ascii="Calibri" w:cs="Calibri" w:eastAsia="Calibri" w:hAnsi="Calibri"/>
                <w:sz w:val="14"/>
                <w:szCs w:val="14"/>
                <w:color w:val="auto"/>
              </w:rPr>
              <w:t>4,205,210</w:t>
            </w:r>
            <w:r>
              <w:rPr>
                <w:rFonts w:ascii="Calibri" w:cs="Calibri" w:eastAsia="Calibri" w:hAnsi="Calibri"/>
                <w:sz w:val="20"/>
                <w:szCs w:val="20"/>
                <w:color w:val="auto"/>
                <w:vertAlign w:val="superscript"/>
              </w:rPr>
              <w:t>(6)</w:t>
            </w:r>
          </w:p>
        </w:tc>
        <w:tc>
          <w:tcPr>
            <w:tcW w:w="0" w:type="dxa"/>
            <w:vAlign w:val="bottom"/>
          </w:tcPr>
          <w:p>
            <w:pPr>
              <w:spacing w:after="0"/>
              <w:rPr>
                <w:sz w:val="1"/>
                <w:szCs w:val="1"/>
                <w:color w:val="auto"/>
              </w:rPr>
            </w:pPr>
          </w:p>
        </w:tc>
      </w:tr>
      <w:tr>
        <w:trPr>
          <w:trHeight w:val="177"/>
        </w:trPr>
        <w:tc>
          <w:tcPr>
            <w:tcW w:w="2420" w:type="dxa"/>
            <w:vAlign w:val="bottom"/>
            <w:shd w:val="clear" w:color="auto" w:fill="DCF3FA"/>
          </w:tcPr>
          <w:p>
            <w:pPr>
              <w:spacing w:after="0"/>
              <w:rPr>
                <w:sz w:val="15"/>
                <w:szCs w:val="15"/>
                <w:color w:val="auto"/>
              </w:rPr>
            </w:pPr>
          </w:p>
        </w:tc>
        <w:tc>
          <w:tcPr>
            <w:tcW w:w="120" w:type="dxa"/>
            <w:vAlign w:val="bottom"/>
            <w:shd w:val="clear" w:color="auto" w:fill="DCF3FA"/>
          </w:tcPr>
          <w:p>
            <w:pPr>
              <w:spacing w:after="0"/>
              <w:rPr>
                <w:sz w:val="15"/>
                <w:szCs w:val="15"/>
                <w:color w:val="auto"/>
              </w:rPr>
            </w:pPr>
          </w:p>
        </w:tc>
        <w:tc>
          <w:tcPr>
            <w:tcW w:w="600" w:type="dxa"/>
            <w:vAlign w:val="bottom"/>
            <w:shd w:val="clear" w:color="auto" w:fill="DCF3FA"/>
          </w:tcPr>
          <w:p>
            <w:pPr>
              <w:spacing w:after="0"/>
              <w:rPr>
                <w:sz w:val="15"/>
                <w:szCs w:val="15"/>
                <w:color w:val="auto"/>
              </w:rPr>
            </w:pPr>
          </w:p>
        </w:tc>
        <w:tc>
          <w:tcPr>
            <w:tcW w:w="100" w:type="dxa"/>
            <w:vAlign w:val="bottom"/>
            <w:shd w:val="clear" w:color="auto" w:fill="DCF3FA"/>
          </w:tcPr>
          <w:p>
            <w:pPr>
              <w:spacing w:after="0"/>
              <w:rPr>
                <w:sz w:val="15"/>
                <w:szCs w:val="15"/>
                <w:color w:val="auto"/>
              </w:rPr>
            </w:pPr>
          </w:p>
        </w:tc>
        <w:tc>
          <w:tcPr>
            <w:tcW w:w="700" w:type="dxa"/>
            <w:vAlign w:val="bottom"/>
            <w:shd w:val="clear" w:color="auto" w:fill="DCF3FA"/>
          </w:tcPr>
          <w:p>
            <w:pPr>
              <w:ind w:left="400"/>
              <w:spacing w:after="0"/>
              <w:rPr>
                <w:sz w:val="20"/>
                <w:szCs w:val="20"/>
                <w:color w:val="auto"/>
              </w:rPr>
            </w:pPr>
            <w:r>
              <w:rPr>
                <w:rFonts w:ascii="Calibri" w:cs="Calibri" w:eastAsia="Calibri" w:hAnsi="Calibri"/>
                <w:sz w:val="14"/>
                <w:szCs w:val="14"/>
                <w:color w:val="auto"/>
              </w:rPr>
              <w:t>—</w:t>
            </w:r>
          </w:p>
        </w:tc>
        <w:tc>
          <w:tcPr>
            <w:tcW w:w="880" w:type="dxa"/>
            <w:vAlign w:val="bottom"/>
            <w:shd w:val="clear" w:color="auto" w:fill="DCF3FA"/>
          </w:tcPr>
          <w:p>
            <w:pPr>
              <w:jc w:val="right"/>
              <w:ind w:right="76"/>
              <w:spacing w:after="0"/>
              <w:rPr>
                <w:sz w:val="20"/>
                <w:szCs w:val="20"/>
                <w:color w:val="auto"/>
              </w:rPr>
            </w:pPr>
            <w:r>
              <w:rPr>
                <w:rFonts w:ascii="Calibri" w:cs="Calibri" w:eastAsia="Calibri" w:hAnsi="Calibri"/>
                <w:sz w:val="14"/>
                <w:szCs w:val="14"/>
                <w:color w:val="auto"/>
              </w:rPr>
              <w:t>382,500</w:t>
            </w:r>
          </w:p>
        </w:tc>
        <w:tc>
          <w:tcPr>
            <w:tcW w:w="800" w:type="dxa"/>
            <w:vAlign w:val="bottom"/>
            <w:shd w:val="clear" w:color="auto" w:fill="DCF3FA"/>
          </w:tcPr>
          <w:p>
            <w:pPr>
              <w:jc w:val="right"/>
              <w:ind w:right="36"/>
              <w:spacing w:after="0"/>
              <w:rPr>
                <w:sz w:val="20"/>
                <w:szCs w:val="20"/>
                <w:color w:val="auto"/>
              </w:rPr>
            </w:pPr>
            <w:r>
              <w:rPr>
                <w:rFonts w:ascii="Calibri" w:cs="Calibri" w:eastAsia="Calibri" w:hAnsi="Calibri"/>
                <w:sz w:val="14"/>
                <w:szCs w:val="14"/>
                <w:color w:val="auto"/>
              </w:rPr>
              <w:t>573,750</w:t>
            </w:r>
          </w:p>
        </w:tc>
        <w:tc>
          <w:tcPr>
            <w:tcW w:w="620" w:type="dxa"/>
            <w:vAlign w:val="bottom"/>
            <w:shd w:val="clear" w:color="auto" w:fill="DCF3FA"/>
          </w:tcPr>
          <w:p>
            <w:pPr>
              <w:spacing w:after="0"/>
              <w:rPr>
                <w:sz w:val="15"/>
                <w:szCs w:val="15"/>
                <w:color w:val="auto"/>
              </w:rPr>
            </w:pPr>
          </w:p>
        </w:tc>
        <w:tc>
          <w:tcPr>
            <w:tcW w:w="680" w:type="dxa"/>
            <w:vAlign w:val="bottom"/>
            <w:shd w:val="clear" w:color="auto" w:fill="DCF3FA"/>
          </w:tcPr>
          <w:p>
            <w:pPr>
              <w:spacing w:after="0"/>
              <w:rPr>
                <w:sz w:val="15"/>
                <w:szCs w:val="15"/>
                <w:color w:val="auto"/>
              </w:rPr>
            </w:pPr>
          </w:p>
        </w:tc>
        <w:tc>
          <w:tcPr>
            <w:tcW w:w="620" w:type="dxa"/>
            <w:vAlign w:val="bottom"/>
            <w:shd w:val="clear" w:color="auto" w:fill="DCF3FA"/>
          </w:tcPr>
          <w:p>
            <w:pPr>
              <w:spacing w:after="0"/>
              <w:rPr>
                <w:sz w:val="15"/>
                <w:szCs w:val="15"/>
                <w:color w:val="auto"/>
              </w:rPr>
            </w:pPr>
          </w:p>
        </w:tc>
        <w:tc>
          <w:tcPr>
            <w:tcW w:w="840" w:type="dxa"/>
            <w:vAlign w:val="bottom"/>
            <w:shd w:val="clear" w:color="auto" w:fill="DCF3FA"/>
          </w:tcPr>
          <w:p>
            <w:pPr>
              <w:spacing w:after="0"/>
              <w:rPr>
                <w:sz w:val="15"/>
                <w:szCs w:val="15"/>
                <w:color w:val="auto"/>
              </w:rPr>
            </w:pPr>
          </w:p>
        </w:tc>
        <w:tc>
          <w:tcPr>
            <w:tcW w:w="700" w:type="dxa"/>
            <w:vAlign w:val="bottom"/>
            <w:shd w:val="clear" w:color="auto" w:fill="DCF3FA"/>
          </w:tcPr>
          <w:p>
            <w:pPr>
              <w:spacing w:after="0"/>
              <w:rPr>
                <w:sz w:val="15"/>
                <w:szCs w:val="15"/>
                <w:color w:val="auto"/>
              </w:rPr>
            </w:pPr>
          </w:p>
        </w:tc>
        <w:tc>
          <w:tcPr>
            <w:tcW w:w="540" w:type="dxa"/>
            <w:vAlign w:val="bottom"/>
            <w:shd w:val="clear" w:color="auto" w:fill="DCF3FA"/>
          </w:tcPr>
          <w:p>
            <w:pPr>
              <w:spacing w:after="0"/>
              <w:rPr>
                <w:sz w:val="15"/>
                <w:szCs w:val="15"/>
                <w:color w:val="auto"/>
              </w:rPr>
            </w:pPr>
          </w:p>
        </w:tc>
        <w:tc>
          <w:tcPr>
            <w:tcW w:w="1000" w:type="dxa"/>
            <w:vAlign w:val="bottom"/>
            <w:shd w:val="clear" w:color="auto" w:fill="DCF3FA"/>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420" w:type="dxa"/>
            <w:vAlign w:val="bottom"/>
            <w:vMerge w:val="restart"/>
            <w:shd w:val="clear" w:color="auto" w:fill="DCF3FA"/>
          </w:tcPr>
          <w:p>
            <w:pPr>
              <w:spacing w:after="0"/>
              <w:rPr>
                <w:sz w:val="20"/>
                <w:szCs w:val="20"/>
                <w:color w:val="auto"/>
              </w:rPr>
            </w:pPr>
            <w:r>
              <w:rPr>
                <w:rFonts w:ascii="Calibri" w:cs="Calibri" w:eastAsia="Calibri" w:hAnsi="Calibri"/>
                <w:sz w:val="14"/>
                <w:szCs w:val="14"/>
                <w:b w:val="1"/>
                <w:bCs w:val="1"/>
                <w:color w:val="auto"/>
              </w:rPr>
              <w:t>  Maurizio</w:t>
            </w:r>
          </w:p>
        </w:tc>
        <w:tc>
          <w:tcPr>
            <w:tcW w:w="120" w:type="dxa"/>
            <w:vAlign w:val="bottom"/>
            <w:shd w:val="clear" w:color="auto" w:fill="DCF3FA"/>
          </w:tcPr>
          <w:p>
            <w:pPr>
              <w:spacing w:after="0"/>
              <w:rPr>
                <w:sz w:val="20"/>
                <w:szCs w:val="20"/>
                <w:color w:val="auto"/>
              </w:rPr>
            </w:pPr>
          </w:p>
        </w:tc>
        <w:tc>
          <w:tcPr>
            <w:tcW w:w="700" w:type="dxa"/>
            <w:vAlign w:val="bottom"/>
            <w:gridSpan w:val="2"/>
            <w:shd w:val="clear" w:color="auto" w:fill="DCF3FA"/>
          </w:tcPr>
          <w:p>
            <w:pPr>
              <w:jc w:val="right"/>
              <w:ind w:right="100"/>
              <w:spacing w:after="0"/>
              <w:rPr>
                <w:sz w:val="20"/>
                <w:szCs w:val="20"/>
                <w:color w:val="auto"/>
              </w:rPr>
            </w:pPr>
            <w:r>
              <w:rPr>
                <w:rFonts w:ascii="Calibri" w:cs="Calibri" w:eastAsia="Calibri" w:hAnsi="Calibri"/>
                <w:sz w:val="14"/>
                <w:szCs w:val="14"/>
                <w:color w:val="auto"/>
                <w:w w:val="95"/>
              </w:rPr>
              <w:t>2/15/2023</w:t>
            </w:r>
          </w:p>
        </w:tc>
        <w:tc>
          <w:tcPr>
            <w:tcW w:w="700" w:type="dxa"/>
            <w:vAlign w:val="bottom"/>
            <w:shd w:val="clear" w:color="auto" w:fill="DCF3FA"/>
          </w:tcPr>
          <w:p>
            <w:pPr>
              <w:spacing w:after="0"/>
              <w:rPr>
                <w:sz w:val="20"/>
                <w:szCs w:val="20"/>
                <w:color w:val="auto"/>
              </w:rPr>
            </w:pPr>
          </w:p>
        </w:tc>
        <w:tc>
          <w:tcPr>
            <w:tcW w:w="880" w:type="dxa"/>
            <w:vAlign w:val="bottom"/>
            <w:shd w:val="clear" w:color="auto" w:fill="DCF3FA"/>
          </w:tcPr>
          <w:p>
            <w:pPr>
              <w:spacing w:after="0"/>
              <w:rPr>
                <w:sz w:val="20"/>
                <w:szCs w:val="20"/>
                <w:color w:val="auto"/>
              </w:rPr>
            </w:pPr>
          </w:p>
        </w:tc>
        <w:tc>
          <w:tcPr>
            <w:tcW w:w="800" w:type="dxa"/>
            <w:vAlign w:val="bottom"/>
            <w:shd w:val="clear" w:color="auto" w:fill="DCF3FA"/>
          </w:tcPr>
          <w:p>
            <w:pPr>
              <w:spacing w:after="0"/>
              <w:rPr>
                <w:sz w:val="20"/>
                <w:szCs w:val="20"/>
                <w:color w:val="auto"/>
              </w:rPr>
            </w:pPr>
          </w:p>
        </w:tc>
        <w:tc>
          <w:tcPr>
            <w:tcW w:w="620" w:type="dxa"/>
            <w:vAlign w:val="bottom"/>
            <w:shd w:val="clear" w:color="auto" w:fill="DCF3FA"/>
          </w:tcPr>
          <w:p>
            <w:pPr>
              <w:spacing w:after="0"/>
              <w:rPr>
                <w:sz w:val="20"/>
                <w:szCs w:val="20"/>
                <w:color w:val="auto"/>
              </w:rPr>
            </w:pPr>
          </w:p>
        </w:tc>
        <w:tc>
          <w:tcPr>
            <w:tcW w:w="680" w:type="dxa"/>
            <w:vAlign w:val="bottom"/>
            <w:shd w:val="clear" w:color="auto" w:fill="DCF3FA"/>
          </w:tcPr>
          <w:p>
            <w:pPr>
              <w:spacing w:after="0"/>
              <w:rPr>
                <w:sz w:val="20"/>
                <w:szCs w:val="20"/>
                <w:color w:val="auto"/>
              </w:rPr>
            </w:pPr>
          </w:p>
        </w:tc>
        <w:tc>
          <w:tcPr>
            <w:tcW w:w="620" w:type="dxa"/>
            <w:vAlign w:val="bottom"/>
            <w:shd w:val="clear" w:color="auto" w:fill="DCF3FA"/>
          </w:tcPr>
          <w:p>
            <w:pPr>
              <w:spacing w:after="0"/>
              <w:rPr>
                <w:sz w:val="20"/>
                <w:szCs w:val="20"/>
                <w:color w:val="auto"/>
              </w:rPr>
            </w:pPr>
          </w:p>
        </w:tc>
        <w:tc>
          <w:tcPr>
            <w:tcW w:w="840" w:type="dxa"/>
            <w:vAlign w:val="bottom"/>
            <w:shd w:val="clear" w:color="auto" w:fill="DCF3FA"/>
          </w:tcPr>
          <w:p>
            <w:pPr>
              <w:jc w:val="right"/>
              <w:spacing w:after="0" w:line="240" w:lineRule="exact"/>
              <w:rPr>
                <w:sz w:val="20"/>
                <w:szCs w:val="20"/>
                <w:color w:val="auto"/>
              </w:rPr>
            </w:pPr>
            <w:r>
              <w:rPr>
                <w:rFonts w:ascii="Calibri" w:cs="Calibri" w:eastAsia="Calibri" w:hAnsi="Calibri"/>
                <w:sz w:val="14"/>
                <w:szCs w:val="14"/>
                <w:color w:val="auto"/>
              </w:rPr>
              <w:t>16,440</w:t>
            </w:r>
            <w:r>
              <w:rPr>
                <w:rFonts w:ascii="Calibri" w:cs="Calibri" w:eastAsia="Calibri" w:hAnsi="Calibri"/>
                <w:sz w:val="20"/>
                <w:szCs w:val="20"/>
                <w:color w:val="auto"/>
                <w:vertAlign w:val="superscript"/>
              </w:rPr>
              <w:t>(4)</w:t>
            </w:r>
          </w:p>
        </w:tc>
        <w:tc>
          <w:tcPr>
            <w:tcW w:w="700" w:type="dxa"/>
            <w:vAlign w:val="bottom"/>
            <w:shd w:val="clear" w:color="auto" w:fill="DCF3FA"/>
          </w:tcPr>
          <w:p>
            <w:pPr>
              <w:spacing w:after="0"/>
              <w:rPr>
                <w:sz w:val="20"/>
                <w:szCs w:val="20"/>
                <w:color w:val="auto"/>
              </w:rPr>
            </w:pPr>
          </w:p>
        </w:tc>
        <w:tc>
          <w:tcPr>
            <w:tcW w:w="540" w:type="dxa"/>
            <w:vAlign w:val="bottom"/>
            <w:shd w:val="clear" w:color="auto" w:fill="DCF3FA"/>
          </w:tcPr>
          <w:p>
            <w:pPr>
              <w:spacing w:after="0"/>
              <w:rPr>
                <w:sz w:val="20"/>
                <w:szCs w:val="20"/>
                <w:color w:val="auto"/>
              </w:rPr>
            </w:pPr>
          </w:p>
        </w:tc>
        <w:tc>
          <w:tcPr>
            <w:tcW w:w="1000" w:type="dxa"/>
            <w:vAlign w:val="bottom"/>
            <w:shd w:val="clear" w:color="auto" w:fill="DCF3FA"/>
          </w:tcPr>
          <w:p>
            <w:pPr>
              <w:jc w:val="right"/>
              <w:ind w:right="95"/>
              <w:spacing w:after="0"/>
              <w:rPr>
                <w:sz w:val="20"/>
                <w:szCs w:val="20"/>
                <w:color w:val="auto"/>
              </w:rPr>
            </w:pPr>
            <w:r>
              <w:rPr>
                <w:rFonts w:ascii="Calibri" w:cs="Calibri" w:eastAsia="Calibri" w:hAnsi="Calibri"/>
                <w:sz w:val="14"/>
                <w:szCs w:val="14"/>
                <w:color w:val="auto"/>
              </w:rPr>
              <w:t>568,166</w:t>
            </w:r>
          </w:p>
        </w:tc>
        <w:tc>
          <w:tcPr>
            <w:tcW w:w="0" w:type="dxa"/>
            <w:vAlign w:val="bottom"/>
          </w:tcPr>
          <w:p>
            <w:pPr>
              <w:spacing w:after="0"/>
              <w:rPr>
                <w:sz w:val="1"/>
                <w:szCs w:val="1"/>
                <w:color w:val="auto"/>
              </w:rPr>
            </w:pPr>
          </w:p>
        </w:tc>
      </w:tr>
      <w:tr>
        <w:trPr>
          <w:trHeight w:val="60"/>
        </w:trPr>
        <w:tc>
          <w:tcPr>
            <w:tcW w:w="2420" w:type="dxa"/>
            <w:vAlign w:val="bottom"/>
            <w:vMerge w:val="continue"/>
            <w:shd w:val="clear" w:color="auto" w:fill="DCF3FA"/>
          </w:tcPr>
          <w:p>
            <w:pPr>
              <w:spacing w:after="0"/>
              <w:rPr>
                <w:sz w:val="5"/>
                <w:szCs w:val="5"/>
                <w:color w:val="auto"/>
              </w:rPr>
            </w:pPr>
          </w:p>
        </w:tc>
        <w:tc>
          <w:tcPr>
            <w:tcW w:w="120" w:type="dxa"/>
            <w:vAlign w:val="bottom"/>
            <w:shd w:val="clear" w:color="auto" w:fill="DCF3FA"/>
          </w:tcPr>
          <w:p>
            <w:pPr>
              <w:spacing w:after="0"/>
              <w:rPr>
                <w:sz w:val="5"/>
                <w:szCs w:val="5"/>
                <w:color w:val="auto"/>
              </w:rPr>
            </w:pPr>
          </w:p>
        </w:tc>
        <w:tc>
          <w:tcPr>
            <w:tcW w:w="600" w:type="dxa"/>
            <w:vAlign w:val="bottom"/>
            <w:vMerge w:val="restart"/>
            <w:shd w:val="clear" w:color="auto" w:fill="DCF3FA"/>
          </w:tcPr>
          <w:p>
            <w:pPr>
              <w:jc w:val="right"/>
              <w:spacing w:after="0" w:line="166" w:lineRule="exact"/>
              <w:rPr>
                <w:sz w:val="20"/>
                <w:szCs w:val="20"/>
                <w:color w:val="auto"/>
              </w:rPr>
            </w:pPr>
            <w:r>
              <w:rPr>
                <w:rFonts w:ascii="Calibri" w:cs="Calibri" w:eastAsia="Calibri" w:hAnsi="Calibri"/>
                <w:sz w:val="14"/>
                <w:szCs w:val="14"/>
                <w:color w:val="auto"/>
                <w:w w:val="95"/>
              </w:rPr>
              <w:t>2/15/2023</w:t>
            </w:r>
          </w:p>
        </w:tc>
        <w:tc>
          <w:tcPr>
            <w:tcW w:w="100" w:type="dxa"/>
            <w:vAlign w:val="bottom"/>
            <w:shd w:val="clear" w:color="auto" w:fill="DCF3FA"/>
          </w:tcPr>
          <w:p>
            <w:pPr>
              <w:spacing w:after="0"/>
              <w:rPr>
                <w:sz w:val="5"/>
                <w:szCs w:val="5"/>
                <w:color w:val="auto"/>
              </w:rPr>
            </w:pPr>
          </w:p>
        </w:tc>
        <w:tc>
          <w:tcPr>
            <w:tcW w:w="700" w:type="dxa"/>
            <w:vAlign w:val="bottom"/>
            <w:shd w:val="clear" w:color="auto" w:fill="DCF3FA"/>
          </w:tcPr>
          <w:p>
            <w:pPr>
              <w:spacing w:after="0"/>
              <w:rPr>
                <w:sz w:val="5"/>
                <w:szCs w:val="5"/>
                <w:color w:val="auto"/>
              </w:rPr>
            </w:pPr>
          </w:p>
        </w:tc>
        <w:tc>
          <w:tcPr>
            <w:tcW w:w="880" w:type="dxa"/>
            <w:vAlign w:val="bottom"/>
            <w:shd w:val="clear" w:color="auto" w:fill="DCF3FA"/>
          </w:tcPr>
          <w:p>
            <w:pPr>
              <w:spacing w:after="0"/>
              <w:rPr>
                <w:sz w:val="5"/>
                <w:szCs w:val="5"/>
                <w:color w:val="auto"/>
              </w:rPr>
            </w:pPr>
          </w:p>
        </w:tc>
        <w:tc>
          <w:tcPr>
            <w:tcW w:w="800" w:type="dxa"/>
            <w:vAlign w:val="bottom"/>
            <w:shd w:val="clear" w:color="auto" w:fill="DCF3FA"/>
          </w:tcPr>
          <w:p>
            <w:pPr>
              <w:spacing w:after="0"/>
              <w:rPr>
                <w:sz w:val="5"/>
                <w:szCs w:val="5"/>
                <w:color w:val="auto"/>
              </w:rPr>
            </w:pPr>
          </w:p>
        </w:tc>
        <w:tc>
          <w:tcPr>
            <w:tcW w:w="620" w:type="dxa"/>
            <w:vAlign w:val="bottom"/>
            <w:vMerge w:val="restart"/>
            <w:shd w:val="clear" w:color="auto" w:fill="DCF3FA"/>
          </w:tcPr>
          <w:p>
            <w:pPr>
              <w:jc w:val="right"/>
              <w:ind w:right="36"/>
              <w:spacing w:after="0" w:line="166" w:lineRule="exact"/>
              <w:rPr>
                <w:sz w:val="20"/>
                <w:szCs w:val="20"/>
                <w:color w:val="auto"/>
              </w:rPr>
            </w:pPr>
            <w:r>
              <w:rPr>
                <w:rFonts w:ascii="Calibri" w:cs="Calibri" w:eastAsia="Calibri" w:hAnsi="Calibri"/>
                <w:sz w:val="14"/>
                <w:szCs w:val="14"/>
                <w:color w:val="auto"/>
              </w:rPr>
              <w:t>2,466</w:t>
            </w:r>
          </w:p>
        </w:tc>
        <w:tc>
          <w:tcPr>
            <w:tcW w:w="680" w:type="dxa"/>
            <w:vAlign w:val="bottom"/>
            <w:vMerge w:val="restart"/>
            <w:shd w:val="clear" w:color="auto" w:fill="DCF3FA"/>
          </w:tcPr>
          <w:p>
            <w:pPr>
              <w:jc w:val="right"/>
              <w:spacing w:after="0" w:line="195" w:lineRule="exact"/>
              <w:rPr>
                <w:sz w:val="20"/>
                <w:szCs w:val="20"/>
                <w:color w:val="auto"/>
              </w:rPr>
            </w:pPr>
            <w:r>
              <w:rPr>
                <w:rFonts w:ascii="Calibri" w:cs="Calibri" w:eastAsia="Calibri" w:hAnsi="Calibri"/>
                <w:sz w:val="14"/>
                <w:szCs w:val="14"/>
                <w:color w:val="auto"/>
              </w:rPr>
              <w:t>9,865</w:t>
            </w:r>
            <w:r>
              <w:rPr>
                <w:rFonts w:ascii="Calibri" w:cs="Calibri" w:eastAsia="Calibri" w:hAnsi="Calibri"/>
                <w:sz w:val="20"/>
                <w:szCs w:val="20"/>
                <w:color w:val="auto"/>
                <w:vertAlign w:val="superscript"/>
              </w:rPr>
              <w:t>(2)</w:t>
            </w:r>
          </w:p>
        </w:tc>
        <w:tc>
          <w:tcPr>
            <w:tcW w:w="620" w:type="dxa"/>
            <w:vAlign w:val="bottom"/>
            <w:vMerge w:val="restart"/>
            <w:shd w:val="clear" w:color="auto" w:fill="DCF3FA"/>
          </w:tcPr>
          <w:p>
            <w:pPr>
              <w:jc w:val="right"/>
              <w:ind w:right="14"/>
              <w:spacing w:after="0" w:line="166" w:lineRule="exact"/>
              <w:rPr>
                <w:sz w:val="20"/>
                <w:szCs w:val="20"/>
                <w:color w:val="auto"/>
              </w:rPr>
            </w:pPr>
            <w:r>
              <w:rPr>
                <w:rFonts w:ascii="Calibri" w:cs="Calibri" w:eastAsia="Calibri" w:hAnsi="Calibri"/>
                <w:sz w:val="14"/>
                <w:szCs w:val="14"/>
                <w:color w:val="auto"/>
              </w:rPr>
              <w:t>19,730</w:t>
            </w:r>
          </w:p>
        </w:tc>
        <w:tc>
          <w:tcPr>
            <w:tcW w:w="840" w:type="dxa"/>
            <w:vAlign w:val="bottom"/>
            <w:shd w:val="clear" w:color="auto" w:fill="DCF3FA"/>
          </w:tcPr>
          <w:p>
            <w:pPr>
              <w:spacing w:after="0"/>
              <w:rPr>
                <w:sz w:val="5"/>
                <w:szCs w:val="5"/>
                <w:color w:val="auto"/>
              </w:rPr>
            </w:pPr>
          </w:p>
        </w:tc>
        <w:tc>
          <w:tcPr>
            <w:tcW w:w="700" w:type="dxa"/>
            <w:vAlign w:val="bottom"/>
            <w:shd w:val="clear" w:color="auto" w:fill="DCF3FA"/>
          </w:tcPr>
          <w:p>
            <w:pPr>
              <w:spacing w:after="0"/>
              <w:rPr>
                <w:sz w:val="5"/>
                <w:szCs w:val="5"/>
                <w:color w:val="auto"/>
              </w:rPr>
            </w:pPr>
          </w:p>
        </w:tc>
        <w:tc>
          <w:tcPr>
            <w:tcW w:w="540" w:type="dxa"/>
            <w:vAlign w:val="bottom"/>
            <w:shd w:val="clear" w:color="auto" w:fill="DCF3FA"/>
          </w:tcPr>
          <w:p>
            <w:pPr>
              <w:spacing w:after="0"/>
              <w:rPr>
                <w:sz w:val="5"/>
                <w:szCs w:val="5"/>
                <w:color w:val="auto"/>
              </w:rPr>
            </w:pPr>
          </w:p>
        </w:tc>
        <w:tc>
          <w:tcPr>
            <w:tcW w:w="1000" w:type="dxa"/>
            <w:vAlign w:val="bottom"/>
            <w:vMerge w:val="restart"/>
            <w:shd w:val="clear" w:color="auto" w:fill="DCF3FA"/>
          </w:tcPr>
          <w:p>
            <w:pPr>
              <w:jc w:val="right"/>
              <w:ind w:right="95"/>
              <w:spacing w:after="0" w:line="166" w:lineRule="exact"/>
              <w:rPr>
                <w:sz w:val="20"/>
                <w:szCs w:val="20"/>
                <w:color w:val="auto"/>
              </w:rPr>
            </w:pPr>
            <w:r>
              <w:rPr>
                <w:rFonts w:ascii="Calibri" w:cs="Calibri" w:eastAsia="Calibri" w:hAnsi="Calibri"/>
                <w:sz w:val="14"/>
                <w:szCs w:val="14"/>
                <w:color w:val="auto"/>
              </w:rPr>
              <w:t>340,934</w:t>
            </w:r>
          </w:p>
        </w:tc>
        <w:tc>
          <w:tcPr>
            <w:tcW w:w="0" w:type="dxa"/>
            <w:vAlign w:val="bottom"/>
          </w:tcPr>
          <w:p>
            <w:pPr>
              <w:spacing w:after="0"/>
              <w:rPr>
                <w:sz w:val="1"/>
                <w:szCs w:val="1"/>
                <w:color w:val="auto"/>
              </w:rPr>
            </w:pPr>
          </w:p>
        </w:tc>
      </w:tr>
      <w:tr>
        <w:trPr>
          <w:trHeight w:val="135"/>
        </w:trPr>
        <w:tc>
          <w:tcPr>
            <w:tcW w:w="2420" w:type="dxa"/>
            <w:vAlign w:val="bottom"/>
            <w:vMerge w:val="restart"/>
            <w:shd w:val="clear" w:color="auto" w:fill="DCF3FA"/>
          </w:tcPr>
          <w:p>
            <w:pPr>
              <w:spacing w:after="0" w:line="169" w:lineRule="exact"/>
              <w:rPr>
                <w:sz w:val="20"/>
                <w:szCs w:val="20"/>
                <w:color w:val="auto"/>
              </w:rPr>
            </w:pPr>
            <w:r>
              <w:rPr>
                <w:rFonts w:ascii="Calibri" w:cs="Calibri" w:eastAsia="Calibri" w:hAnsi="Calibri"/>
                <w:sz w:val="14"/>
                <w:szCs w:val="14"/>
                <w:b w:val="1"/>
                <w:bCs w:val="1"/>
                <w:color w:val="auto"/>
              </w:rPr>
              <w:t>  Nicolelli</w:t>
            </w:r>
          </w:p>
        </w:tc>
        <w:tc>
          <w:tcPr>
            <w:tcW w:w="120" w:type="dxa"/>
            <w:vAlign w:val="bottom"/>
            <w:shd w:val="clear" w:color="auto" w:fill="DCF3FA"/>
          </w:tcPr>
          <w:p>
            <w:pPr>
              <w:spacing w:after="0"/>
              <w:rPr>
                <w:sz w:val="11"/>
                <w:szCs w:val="11"/>
                <w:color w:val="auto"/>
              </w:rPr>
            </w:pPr>
          </w:p>
        </w:tc>
        <w:tc>
          <w:tcPr>
            <w:tcW w:w="600" w:type="dxa"/>
            <w:vAlign w:val="bottom"/>
            <w:vMerge w:val="continue"/>
            <w:shd w:val="clear" w:color="auto" w:fill="DCF3FA"/>
          </w:tcPr>
          <w:p>
            <w:pPr>
              <w:spacing w:after="0"/>
              <w:rPr>
                <w:sz w:val="11"/>
                <w:szCs w:val="11"/>
                <w:color w:val="auto"/>
              </w:rPr>
            </w:pPr>
          </w:p>
        </w:tc>
        <w:tc>
          <w:tcPr>
            <w:tcW w:w="100" w:type="dxa"/>
            <w:vAlign w:val="bottom"/>
            <w:shd w:val="clear" w:color="auto" w:fill="DCF3FA"/>
          </w:tcPr>
          <w:p>
            <w:pPr>
              <w:spacing w:after="0"/>
              <w:rPr>
                <w:sz w:val="11"/>
                <w:szCs w:val="11"/>
                <w:color w:val="auto"/>
              </w:rPr>
            </w:pPr>
          </w:p>
        </w:tc>
        <w:tc>
          <w:tcPr>
            <w:tcW w:w="700" w:type="dxa"/>
            <w:vAlign w:val="bottom"/>
            <w:shd w:val="clear" w:color="auto" w:fill="DCF3FA"/>
          </w:tcPr>
          <w:p>
            <w:pPr>
              <w:spacing w:after="0"/>
              <w:rPr>
                <w:sz w:val="11"/>
                <w:szCs w:val="11"/>
                <w:color w:val="auto"/>
              </w:rPr>
            </w:pPr>
          </w:p>
        </w:tc>
        <w:tc>
          <w:tcPr>
            <w:tcW w:w="880" w:type="dxa"/>
            <w:vAlign w:val="bottom"/>
            <w:shd w:val="clear" w:color="auto" w:fill="DCF3FA"/>
          </w:tcPr>
          <w:p>
            <w:pPr>
              <w:spacing w:after="0"/>
              <w:rPr>
                <w:sz w:val="11"/>
                <w:szCs w:val="11"/>
                <w:color w:val="auto"/>
              </w:rPr>
            </w:pPr>
          </w:p>
        </w:tc>
        <w:tc>
          <w:tcPr>
            <w:tcW w:w="800" w:type="dxa"/>
            <w:vAlign w:val="bottom"/>
            <w:shd w:val="clear" w:color="auto" w:fill="DCF3FA"/>
          </w:tcPr>
          <w:p>
            <w:pPr>
              <w:spacing w:after="0"/>
              <w:rPr>
                <w:sz w:val="11"/>
                <w:szCs w:val="11"/>
                <w:color w:val="auto"/>
              </w:rPr>
            </w:pPr>
          </w:p>
        </w:tc>
        <w:tc>
          <w:tcPr>
            <w:tcW w:w="620" w:type="dxa"/>
            <w:vAlign w:val="bottom"/>
            <w:vMerge w:val="continue"/>
            <w:shd w:val="clear" w:color="auto" w:fill="DCF3FA"/>
          </w:tcPr>
          <w:p>
            <w:pPr>
              <w:spacing w:after="0"/>
              <w:rPr>
                <w:sz w:val="11"/>
                <w:szCs w:val="11"/>
                <w:color w:val="auto"/>
              </w:rPr>
            </w:pPr>
          </w:p>
        </w:tc>
        <w:tc>
          <w:tcPr>
            <w:tcW w:w="680" w:type="dxa"/>
            <w:vAlign w:val="bottom"/>
            <w:vMerge w:val="continue"/>
            <w:shd w:val="clear" w:color="auto" w:fill="DCF3FA"/>
          </w:tcPr>
          <w:p>
            <w:pPr>
              <w:spacing w:after="0"/>
              <w:rPr>
                <w:sz w:val="11"/>
                <w:szCs w:val="11"/>
                <w:color w:val="auto"/>
              </w:rPr>
            </w:pPr>
          </w:p>
        </w:tc>
        <w:tc>
          <w:tcPr>
            <w:tcW w:w="620" w:type="dxa"/>
            <w:vAlign w:val="bottom"/>
            <w:vMerge w:val="continue"/>
            <w:shd w:val="clear" w:color="auto" w:fill="DCF3FA"/>
          </w:tcPr>
          <w:p>
            <w:pPr>
              <w:spacing w:after="0"/>
              <w:rPr>
                <w:sz w:val="11"/>
                <w:szCs w:val="11"/>
                <w:color w:val="auto"/>
              </w:rPr>
            </w:pPr>
          </w:p>
        </w:tc>
        <w:tc>
          <w:tcPr>
            <w:tcW w:w="840" w:type="dxa"/>
            <w:vAlign w:val="bottom"/>
            <w:shd w:val="clear" w:color="auto" w:fill="DCF3FA"/>
          </w:tcPr>
          <w:p>
            <w:pPr>
              <w:spacing w:after="0"/>
              <w:rPr>
                <w:sz w:val="11"/>
                <w:szCs w:val="11"/>
                <w:color w:val="auto"/>
              </w:rPr>
            </w:pPr>
          </w:p>
        </w:tc>
        <w:tc>
          <w:tcPr>
            <w:tcW w:w="700" w:type="dxa"/>
            <w:vAlign w:val="bottom"/>
            <w:shd w:val="clear" w:color="auto" w:fill="DCF3FA"/>
          </w:tcPr>
          <w:p>
            <w:pPr>
              <w:spacing w:after="0"/>
              <w:rPr>
                <w:sz w:val="11"/>
                <w:szCs w:val="11"/>
                <w:color w:val="auto"/>
              </w:rPr>
            </w:pPr>
          </w:p>
        </w:tc>
        <w:tc>
          <w:tcPr>
            <w:tcW w:w="540" w:type="dxa"/>
            <w:vAlign w:val="bottom"/>
            <w:shd w:val="clear" w:color="auto" w:fill="DCF3FA"/>
          </w:tcPr>
          <w:p>
            <w:pPr>
              <w:spacing w:after="0"/>
              <w:rPr>
                <w:sz w:val="11"/>
                <w:szCs w:val="11"/>
                <w:color w:val="auto"/>
              </w:rPr>
            </w:pPr>
          </w:p>
        </w:tc>
        <w:tc>
          <w:tcPr>
            <w:tcW w:w="1000" w:type="dxa"/>
            <w:vAlign w:val="bottom"/>
            <w:vMerge w:val="continue"/>
            <w:shd w:val="clear" w:color="auto" w:fill="DCF3FA"/>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420" w:type="dxa"/>
            <w:vAlign w:val="bottom"/>
            <w:vMerge w:val="continue"/>
            <w:shd w:val="clear" w:color="auto" w:fill="DCF3FA"/>
          </w:tcPr>
          <w:p>
            <w:pPr>
              <w:spacing w:after="0"/>
              <w:rPr>
                <w:sz w:val="2"/>
                <w:szCs w:val="2"/>
                <w:color w:val="auto"/>
              </w:rPr>
            </w:pPr>
          </w:p>
        </w:tc>
        <w:tc>
          <w:tcPr>
            <w:tcW w:w="120" w:type="dxa"/>
            <w:vAlign w:val="bottom"/>
            <w:shd w:val="clear" w:color="auto" w:fill="DCF3FA"/>
          </w:tcPr>
          <w:p>
            <w:pPr>
              <w:spacing w:after="0"/>
              <w:rPr>
                <w:sz w:val="2"/>
                <w:szCs w:val="2"/>
                <w:color w:val="auto"/>
              </w:rPr>
            </w:pPr>
          </w:p>
        </w:tc>
        <w:tc>
          <w:tcPr>
            <w:tcW w:w="600" w:type="dxa"/>
            <w:vAlign w:val="bottom"/>
            <w:vMerge w:val="restart"/>
            <w:shd w:val="clear" w:color="auto" w:fill="DCF3FA"/>
          </w:tcPr>
          <w:p>
            <w:pPr>
              <w:jc w:val="right"/>
              <w:spacing w:after="0" w:line="166" w:lineRule="exact"/>
              <w:rPr>
                <w:sz w:val="20"/>
                <w:szCs w:val="20"/>
                <w:color w:val="auto"/>
              </w:rPr>
            </w:pPr>
            <w:r>
              <w:rPr>
                <w:rFonts w:ascii="Calibri" w:cs="Calibri" w:eastAsia="Calibri" w:hAnsi="Calibri"/>
                <w:sz w:val="14"/>
                <w:szCs w:val="14"/>
                <w:color w:val="auto"/>
                <w:w w:val="95"/>
              </w:rPr>
              <w:t>2/15/2023</w:t>
            </w:r>
          </w:p>
        </w:tc>
        <w:tc>
          <w:tcPr>
            <w:tcW w:w="100" w:type="dxa"/>
            <w:vAlign w:val="bottom"/>
            <w:shd w:val="clear" w:color="auto" w:fill="DCF3FA"/>
          </w:tcPr>
          <w:p>
            <w:pPr>
              <w:spacing w:after="0"/>
              <w:rPr>
                <w:sz w:val="2"/>
                <w:szCs w:val="2"/>
                <w:color w:val="auto"/>
              </w:rPr>
            </w:pPr>
          </w:p>
        </w:tc>
        <w:tc>
          <w:tcPr>
            <w:tcW w:w="700" w:type="dxa"/>
            <w:vAlign w:val="bottom"/>
            <w:shd w:val="clear" w:color="auto" w:fill="DCF3FA"/>
          </w:tcPr>
          <w:p>
            <w:pPr>
              <w:spacing w:after="0"/>
              <w:rPr>
                <w:sz w:val="2"/>
                <w:szCs w:val="2"/>
                <w:color w:val="auto"/>
              </w:rPr>
            </w:pPr>
          </w:p>
        </w:tc>
        <w:tc>
          <w:tcPr>
            <w:tcW w:w="880" w:type="dxa"/>
            <w:vAlign w:val="bottom"/>
            <w:shd w:val="clear" w:color="auto" w:fill="DCF3FA"/>
          </w:tcPr>
          <w:p>
            <w:pPr>
              <w:spacing w:after="0"/>
              <w:rPr>
                <w:sz w:val="2"/>
                <w:szCs w:val="2"/>
                <w:color w:val="auto"/>
              </w:rPr>
            </w:pPr>
          </w:p>
        </w:tc>
        <w:tc>
          <w:tcPr>
            <w:tcW w:w="800" w:type="dxa"/>
            <w:vAlign w:val="bottom"/>
            <w:shd w:val="clear" w:color="auto" w:fill="DCF3FA"/>
          </w:tcPr>
          <w:p>
            <w:pPr>
              <w:spacing w:after="0"/>
              <w:rPr>
                <w:sz w:val="2"/>
                <w:szCs w:val="2"/>
                <w:color w:val="auto"/>
              </w:rPr>
            </w:pPr>
          </w:p>
        </w:tc>
        <w:tc>
          <w:tcPr>
            <w:tcW w:w="620" w:type="dxa"/>
            <w:vAlign w:val="bottom"/>
            <w:vMerge w:val="restart"/>
            <w:shd w:val="clear" w:color="auto" w:fill="DCF3FA"/>
          </w:tcPr>
          <w:p>
            <w:pPr>
              <w:jc w:val="right"/>
              <w:ind w:right="36"/>
              <w:spacing w:after="0" w:line="166" w:lineRule="exact"/>
              <w:rPr>
                <w:sz w:val="20"/>
                <w:szCs w:val="20"/>
                <w:color w:val="auto"/>
              </w:rPr>
            </w:pPr>
            <w:r>
              <w:rPr>
                <w:rFonts w:ascii="Calibri" w:cs="Calibri" w:eastAsia="Calibri" w:hAnsi="Calibri"/>
                <w:sz w:val="14"/>
                <w:szCs w:val="14"/>
                <w:color w:val="auto"/>
              </w:rPr>
              <w:t>493</w:t>
            </w:r>
          </w:p>
        </w:tc>
        <w:tc>
          <w:tcPr>
            <w:tcW w:w="680" w:type="dxa"/>
            <w:vAlign w:val="bottom"/>
            <w:vMerge w:val="restart"/>
            <w:shd w:val="clear" w:color="auto" w:fill="DCF3FA"/>
          </w:tcPr>
          <w:p>
            <w:pPr>
              <w:jc w:val="right"/>
              <w:spacing w:after="0" w:line="195" w:lineRule="exact"/>
              <w:rPr>
                <w:sz w:val="20"/>
                <w:szCs w:val="20"/>
                <w:color w:val="auto"/>
              </w:rPr>
            </w:pPr>
            <w:r>
              <w:rPr>
                <w:rFonts w:ascii="Calibri" w:cs="Calibri" w:eastAsia="Calibri" w:hAnsi="Calibri"/>
                <w:sz w:val="14"/>
                <w:szCs w:val="14"/>
                <w:color w:val="auto"/>
              </w:rPr>
              <w:t>14,795</w:t>
            </w:r>
            <w:r>
              <w:rPr>
                <w:rFonts w:ascii="Calibri" w:cs="Calibri" w:eastAsia="Calibri" w:hAnsi="Calibri"/>
                <w:sz w:val="20"/>
                <w:szCs w:val="20"/>
                <w:color w:val="auto"/>
                <w:vertAlign w:val="superscript"/>
              </w:rPr>
              <w:t>(3)</w:t>
            </w:r>
          </w:p>
        </w:tc>
        <w:tc>
          <w:tcPr>
            <w:tcW w:w="620" w:type="dxa"/>
            <w:vAlign w:val="bottom"/>
            <w:vMerge w:val="restart"/>
            <w:shd w:val="clear" w:color="auto" w:fill="DCF3FA"/>
          </w:tcPr>
          <w:p>
            <w:pPr>
              <w:jc w:val="right"/>
              <w:ind w:right="14"/>
              <w:spacing w:after="0" w:line="166" w:lineRule="exact"/>
              <w:rPr>
                <w:sz w:val="20"/>
                <w:szCs w:val="20"/>
                <w:color w:val="auto"/>
              </w:rPr>
            </w:pPr>
            <w:r>
              <w:rPr>
                <w:rFonts w:ascii="Calibri" w:cs="Calibri" w:eastAsia="Calibri" w:hAnsi="Calibri"/>
                <w:sz w:val="14"/>
                <w:szCs w:val="14"/>
                <w:color w:val="auto"/>
              </w:rPr>
              <w:t>29,590</w:t>
            </w:r>
          </w:p>
        </w:tc>
        <w:tc>
          <w:tcPr>
            <w:tcW w:w="840" w:type="dxa"/>
            <w:vAlign w:val="bottom"/>
            <w:shd w:val="clear" w:color="auto" w:fill="DCF3FA"/>
          </w:tcPr>
          <w:p>
            <w:pPr>
              <w:spacing w:after="0"/>
              <w:rPr>
                <w:sz w:val="2"/>
                <w:szCs w:val="2"/>
                <w:color w:val="auto"/>
              </w:rPr>
            </w:pPr>
          </w:p>
        </w:tc>
        <w:tc>
          <w:tcPr>
            <w:tcW w:w="700" w:type="dxa"/>
            <w:vAlign w:val="bottom"/>
            <w:shd w:val="clear" w:color="auto" w:fill="DCF3FA"/>
          </w:tcPr>
          <w:p>
            <w:pPr>
              <w:spacing w:after="0"/>
              <w:rPr>
                <w:sz w:val="2"/>
                <w:szCs w:val="2"/>
                <w:color w:val="auto"/>
              </w:rPr>
            </w:pPr>
          </w:p>
        </w:tc>
        <w:tc>
          <w:tcPr>
            <w:tcW w:w="540" w:type="dxa"/>
            <w:vAlign w:val="bottom"/>
            <w:shd w:val="clear" w:color="auto" w:fill="DCF3FA"/>
          </w:tcPr>
          <w:p>
            <w:pPr>
              <w:spacing w:after="0"/>
              <w:rPr>
                <w:sz w:val="2"/>
                <w:szCs w:val="2"/>
                <w:color w:val="auto"/>
              </w:rPr>
            </w:pPr>
          </w:p>
        </w:tc>
        <w:tc>
          <w:tcPr>
            <w:tcW w:w="1000" w:type="dxa"/>
            <w:vAlign w:val="bottom"/>
            <w:vMerge w:val="restart"/>
            <w:shd w:val="clear" w:color="auto" w:fill="DCF3FA"/>
          </w:tcPr>
          <w:p>
            <w:pPr>
              <w:jc w:val="right"/>
              <w:spacing w:after="0" w:line="195" w:lineRule="exact"/>
              <w:rPr>
                <w:sz w:val="20"/>
                <w:szCs w:val="20"/>
                <w:color w:val="auto"/>
              </w:rPr>
            </w:pPr>
            <w:r>
              <w:rPr>
                <w:rFonts w:ascii="Calibri" w:cs="Calibri" w:eastAsia="Calibri" w:hAnsi="Calibri"/>
                <w:sz w:val="14"/>
                <w:szCs w:val="14"/>
                <w:color w:val="auto"/>
              </w:rPr>
              <w:t>661,662</w:t>
            </w:r>
            <w:r>
              <w:rPr>
                <w:rFonts w:ascii="Calibri" w:cs="Calibri" w:eastAsia="Calibri" w:hAnsi="Calibri"/>
                <w:sz w:val="20"/>
                <w:szCs w:val="20"/>
                <w:color w:val="auto"/>
                <w:vertAlign w:val="superscript"/>
              </w:rPr>
              <w:t>(6)</w:t>
            </w:r>
          </w:p>
        </w:tc>
        <w:tc>
          <w:tcPr>
            <w:tcW w:w="0" w:type="dxa"/>
            <w:vAlign w:val="bottom"/>
          </w:tcPr>
          <w:p>
            <w:pPr>
              <w:spacing w:after="0" w:line="20" w:lineRule="exact"/>
              <w:rPr>
                <w:sz w:val="1"/>
                <w:szCs w:val="1"/>
                <w:color w:val="auto"/>
              </w:rPr>
            </w:pPr>
          </w:p>
        </w:tc>
      </w:tr>
      <w:tr>
        <w:trPr>
          <w:trHeight w:val="161"/>
        </w:trPr>
        <w:tc>
          <w:tcPr>
            <w:tcW w:w="2420" w:type="dxa"/>
            <w:vAlign w:val="bottom"/>
            <w:shd w:val="clear" w:color="auto" w:fill="DCF3FA"/>
          </w:tcPr>
          <w:p>
            <w:pPr>
              <w:spacing w:after="0"/>
              <w:rPr>
                <w:sz w:val="14"/>
                <w:szCs w:val="14"/>
                <w:color w:val="auto"/>
              </w:rPr>
            </w:pPr>
          </w:p>
        </w:tc>
        <w:tc>
          <w:tcPr>
            <w:tcW w:w="120" w:type="dxa"/>
            <w:vAlign w:val="bottom"/>
            <w:shd w:val="clear" w:color="auto" w:fill="DCF3FA"/>
          </w:tcPr>
          <w:p>
            <w:pPr>
              <w:spacing w:after="0"/>
              <w:rPr>
                <w:sz w:val="14"/>
                <w:szCs w:val="14"/>
                <w:color w:val="auto"/>
              </w:rPr>
            </w:pPr>
          </w:p>
        </w:tc>
        <w:tc>
          <w:tcPr>
            <w:tcW w:w="600" w:type="dxa"/>
            <w:vAlign w:val="bottom"/>
            <w:vMerge w:val="continue"/>
            <w:shd w:val="clear" w:color="auto" w:fill="DCF3FA"/>
          </w:tcPr>
          <w:p>
            <w:pPr>
              <w:spacing w:after="0"/>
              <w:rPr>
                <w:sz w:val="14"/>
                <w:szCs w:val="14"/>
                <w:color w:val="auto"/>
              </w:rPr>
            </w:pPr>
          </w:p>
        </w:tc>
        <w:tc>
          <w:tcPr>
            <w:tcW w:w="100" w:type="dxa"/>
            <w:vAlign w:val="bottom"/>
            <w:shd w:val="clear" w:color="auto" w:fill="DCF3FA"/>
          </w:tcPr>
          <w:p>
            <w:pPr>
              <w:spacing w:after="0"/>
              <w:rPr>
                <w:sz w:val="14"/>
                <w:szCs w:val="14"/>
                <w:color w:val="auto"/>
              </w:rPr>
            </w:pPr>
          </w:p>
        </w:tc>
        <w:tc>
          <w:tcPr>
            <w:tcW w:w="700" w:type="dxa"/>
            <w:vAlign w:val="bottom"/>
            <w:shd w:val="clear" w:color="auto" w:fill="DCF3FA"/>
          </w:tcPr>
          <w:p>
            <w:pPr>
              <w:spacing w:after="0"/>
              <w:rPr>
                <w:sz w:val="14"/>
                <w:szCs w:val="14"/>
                <w:color w:val="auto"/>
              </w:rPr>
            </w:pPr>
          </w:p>
        </w:tc>
        <w:tc>
          <w:tcPr>
            <w:tcW w:w="880" w:type="dxa"/>
            <w:vAlign w:val="bottom"/>
            <w:shd w:val="clear" w:color="auto" w:fill="DCF3FA"/>
          </w:tcPr>
          <w:p>
            <w:pPr>
              <w:spacing w:after="0"/>
              <w:rPr>
                <w:sz w:val="14"/>
                <w:szCs w:val="14"/>
                <w:color w:val="auto"/>
              </w:rPr>
            </w:pPr>
          </w:p>
        </w:tc>
        <w:tc>
          <w:tcPr>
            <w:tcW w:w="800" w:type="dxa"/>
            <w:vAlign w:val="bottom"/>
            <w:shd w:val="clear" w:color="auto" w:fill="DCF3FA"/>
          </w:tcPr>
          <w:p>
            <w:pPr>
              <w:spacing w:after="0"/>
              <w:rPr>
                <w:sz w:val="14"/>
                <w:szCs w:val="14"/>
                <w:color w:val="auto"/>
              </w:rPr>
            </w:pPr>
          </w:p>
        </w:tc>
        <w:tc>
          <w:tcPr>
            <w:tcW w:w="620" w:type="dxa"/>
            <w:vAlign w:val="bottom"/>
            <w:vMerge w:val="continue"/>
            <w:shd w:val="clear" w:color="auto" w:fill="DCF3FA"/>
          </w:tcPr>
          <w:p>
            <w:pPr>
              <w:spacing w:after="0"/>
              <w:rPr>
                <w:sz w:val="14"/>
                <w:szCs w:val="14"/>
                <w:color w:val="auto"/>
              </w:rPr>
            </w:pPr>
          </w:p>
        </w:tc>
        <w:tc>
          <w:tcPr>
            <w:tcW w:w="680" w:type="dxa"/>
            <w:vAlign w:val="bottom"/>
            <w:vMerge w:val="continue"/>
            <w:shd w:val="clear" w:color="auto" w:fill="DCF3FA"/>
          </w:tcPr>
          <w:p>
            <w:pPr>
              <w:spacing w:after="0"/>
              <w:rPr>
                <w:sz w:val="14"/>
                <w:szCs w:val="14"/>
                <w:color w:val="auto"/>
              </w:rPr>
            </w:pPr>
          </w:p>
        </w:tc>
        <w:tc>
          <w:tcPr>
            <w:tcW w:w="620" w:type="dxa"/>
            <w:vAlign w:val="bottom"/>
            <w:vMerge w:val="continue"/>
            <w:shd w:val="clear" w:color="auto" w:fill="DCF3FA"/>
          </w:tcPr>
          <w:p>
            <w:pPr>
              <w:spacing w:after="0"/>
              <w:rPr>
                <w:sz w:val="14"/>
                <w:szCs w:val="14"/>
                <w:color w:val="auto"/>
              </w:rPr>
            </w:pPr>
          </w:p>
        </w:tc>
        <w:tc>
          <w:tcPr>
            <w:tcW w:w="840" w:type="dxa"/>
            <w:vAlign w:val="bottom"/>
            <w:shd w:val="clear" w:color="auto" w:fill="DCF3FA"/>
          </w:tcPr>
          <w:p>
            <w:pPr>
              <w:spacing w:after="0"/>
              <w:rPr>
                <w:sz w:val="14"/>
                <w:szCs w:val="14"/>
                <w:color w:val="auto"/>
              </w:rPr>
            </w:pPr>
          </w:p>
        </w:tc>
        <w:tc>
          <w:tcPr>
            <w:tcW w:w="700" w:type="dxa"/>
            <w:vAlign w:val="bottom"/>
            <w:shd w:val="clear" w:color="auto" w:fill="DCF3FA"/>
          </w:tcPr>
          <w:p>
            <w:pPr>
              <w:spacing w:after="0"/>
              <w:rPr>
                <w:sz w:val="14"/>
                <w:szCs w:val="14"/>
                <w:color w:val="auto"/>
              </w:rPr>
            </w:pPr>
          </w:p>
        </w:tc>
        <w:tc>
          <w:tcPr>
            <w:tcW w:w="540" w:type="dxa"/>
            <w:vAlign w:val="bottom"/>
            <w:shd w:val="clear" w:color="auto" w:fill="DCF3FA"/>
          </w:tcPr>
          <w:p>
            <w:pPr>
              <w:spacing w:after="0"/>
              <w:rPr>
                <w:sz w:val="14"/>
                <w:szCs w:val="14"/>
                <w:color w:val="auto"/>
              </w:rPr>
            </w:pPr>
          </w:p>
        </w:tc>
        <w:tc>
          <w:tcPr>
            <w:tcW w:w="1000" w:type="dxa"/>
            <w:vAlign w:val="bottom"/>
            <w:vMerge w:val="continue"/>
            <w:shd w:val="clear" w:color="auto" w:fill="DCF3FA"/>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420" w:type="dxa"/>
            <w:vAlign w:val="bottom"/>
            <w:shd w:val="clear" w:color="auto" w:fill="DCF3FA"/>
          </w:tcPr>
          <w:p>
            <w:pPr>
              <w:spacing w:after="0"/>
              <w:rPr>
                <w:sz w:val="16"/>
                <w:szCs w:val="16"/>
                <w:color w:val="auto"/>
              </w:rPr>
            </w:pPr>
          </w:p>
        </w:tc>
        <w:tc>
          <w:tcPr>
            <w:tcW w:w="120" w:type="dxa"/>
            <w:vAlign w:val="bottom"/>
            <w:shd w:val="clear" w:color="auto" w:fill="DCF3FA"/>
          </w:tcPr>
          <w:p>
            <w:pPr>
              <w:spacing w:after="0"/>
              <w:rPr>
                <w:sz w:val="16"/>
                <w:szCs w:val="16"/>
                <w:color w:val="auto"/>
              </w:rPr>
            </w:pPr>
          </w:p>
        </w:tc>
        <w:tc>
          <w:tcPr>
            <w:tcW w:w="600" w:type="dxa"/>
            <w:vAlign w:val="bottom"/>
            <w:shd w:val="clear" w:color="auto" w:fill="DCF3FA"/>
          </w:tcPr>
          <w:p>
            <w:pPr>
              <w:jc w:val="right"/>
              <w:spacing w:after="0" w:line="166" w:lineRule="exact"/>
              <w:rPr>
                <w:sz w:val="20"/>
                <w:szCs w:val="20"/>
                <w:color w:val="auto"/>
              </w:rPr>
            </w:pPr>
            <w:r>
              <w:rPr>
                <w:rFonts w:ascii="Calibri" w:cs="Calibri" w:eastAsia="Calibri" w:hAnsi="Calibri"/>
                <w:sz w:val="14"/>
                <w:szCs w:val="14"/>
                <w:color w:val="auto"/>
                <w:w w:val="95"/>
              </w:rPr>
              <w:t>6/21/2023</w:t>
            </w:r>
          </w:p>
        </w:tc>
        <w:tc>
          <w:tcPr>
            <w:tcW w:w="100" w:type="dxa"/>
            <w:vAlign w:val="bottom"/>
            <w:shd w:val="clear" w:color="auto" w:fill="DCF3FA"/>
          </w:tcPr>
          <w:p>
            <w:pPr>
              <w:spacing w:after="0"/>
              <w:rPr>
                <w:sz w:val="16"/>
                <w:szCs w:val="16"/>
                <w:color w:val="auto"/>
              </w:rPr>
            </w:pPr>
          </w:p>
        </w:tc>
        <w:tc>
          <w:tcPr>
            <w:tcW w:w="700" w:type="dxa"/>
            <w:vAlign w:val="bottom"/>
            <w:shd w:val="clear" w:color="auto" w:fill="DCF3FA"/>
          </w:tcPr>
          <w:p>
            <w:pPr>
              <w:spacing w:after="0"/>
              <w:rPr>
                <w:sz w:val="16"/>
                <w:szCs w:val="16"/>
                <w:color w:val="auto"/>
              </w:rPr>
            </w:pPr>
          </w:p>
        </w:tc>
        <w:tc>
          <w:tcPr>
            <w:tcW w:w="880" w:type="dxa"/>
            <w:vAlign w:val="bottom"/>
            <w:shd w:val="clear" w:color="auto" w:fill="DCF3FA"/>
          </w:tcPr>
          <w:p>
            <w:pPr>
              <w:spacing w:after="0"/>
              <w:rPr>
                <w:sz w:val="16"/>
                <w:szCs w:val="16"/>
                <w:color w:val="auto"/>
              </w:rPr>
            </w:pPr>
          </w:p>
        </w:tc>
        <w:tc>
          <w:tcPr>
            <w:tcW w:w="800" w:type="dxa"/>
            <w:vAlign w:val="bottom"/>
            <w:shd w:val="clear" w:color="auto" w:fill="DCF3FA"/>
          </w:tcPr>
          <w:p>
            <w:pPr>
              <w:spacing w:after="0"/>
              <w:rPr>
                <w:sz w:val="16"/>
                <w:szCs w:val="16"/>
                <w:color w:val="auto"/>
              </w:rPr>
            </w:pPr>
          </w:p>
        </w:tc>
        <w:tc>
          <w:tcPr>
            <w:tcW w:w="620" w:type="dxa"/>
            <w:vAlign w:val="bottom"/>
            <w:shd w:val="clear" w:color="auto" w:fill="DCF3FA"/>
          </w:tcPr>
          <w:p>
            <w:pPr>
              <w:spacing w:after="0"/>
              <w:rPr>
                <w:sz w:val="16"/>
                <w:szCs w:val="16"/>
                <w:color w:val="auto"/>
              </w:rPr>
            </w:pPr>
          </w:p>
        </w:tc>
        <w:tc>
          <w:tcPr>
            <w:tcW w:w="680" w:type="dxa"/>
            <w:vAlign w:val="bottom"/>
            <w:shd w:val="clear" w:color="auto" w:fill="DCF3FA"/>
          </w:tcPr>
          <w:p>
            <w:pPr>
              <w:spacing w:after="0"/>
              <w:rPr>
                <w:sz w:val="16"/>
                <w:szCs w:val="16"/>
                <w:color w:val="auto"/>
              </w:rPr>
            </w:pPr>
          </w:p>
        </w:tc>
        <w:tc>
          <w:tcPr>
            <w:tcW w:w="620" w:type="dxa"/>
            <w:vAlign w:val="bottom"/>
            <w:shd w:val="clear" w:color="auto" w:fill="DCF3FA"/>
          </w:tcPr>
          <w:p>
            <w:pPr>
              <w:spacing w:after="0"/>
              <w:rPr>
                <w:sz w:val="16"/>
                <w:szCs w:val="16"/>
                <w:color w:val="auto"/>
              </w:rPr>
            </w:pPr>
          </w:p>
        </w:tc>
        <w:tc>
          <w:tcPr>
            <w:tcW w:w="840" w:type="dxa"/>
            <w:vAlign w:val="bottom"/>
            <w:shd w:val="clear" w:color="auto" w:fill="DCF3FA"/>
          </w:tcPr>
          <w:p>
            <w:pPr>
              <w:spacing w:after="0"/>
              <w:rPr>
                <w:sz w:val="16"/>
                <w:szCs w:val="16"/>
                <w:color w:val="auto"/>
              </w:rPr>
            </w:pPr>
          </w:p>
        </w:tc>
        <w:tc>
          <w:tcPr>
            <w:tcW w:w="700" w:type="dxa"/>
            <w:vAlign w:val="bottom"/>
            <w:shd w:val="clear" w:color="auto" w:fill="DCF3FA"/>
          </w:tcPr>
          <w:p>
            <w:pPr>
              <w:jc w:val="right"/>
              <w:spacing w:after="0" w:line="195" w:lineRule="exact"/>
              <w:rPr>
                <w:sz w:val="20"/>
                <w:szCs w:val="20"/>
                <w:color w:val="auto"/>
              </w:rPr>
            </w:pPr>
            <w:r>
              <w:rPr>
                <w:rFonts w:ascii="Calibri" w:cs="Calibri" w:eastAsia="Calibri" w:hAnsi="Calibri"/>
                <w:sz w:val="14"/>
                <w:szCs w:val="14"/>
                <w:color w:val="auto"/>
              </w:rPr>
              <w:t>134,325</w:t>
            </w:r>
            <w:r>
              <w:rPr>
                <w:rFonts w:ascii="Calibri" w:cs="Calibri" w:eastAsia="Calibri" w:hAnsi="Calibri"/>
                <w:sz w:val="20"/>
                <w:szCs w:val="20"/>
                <w:color w:val="auto"/>
                <w:vertAlign w:val="superscript"/>
              </w:rPr>
              <w:t>(5)</w:t>
            </w:r>
          </w:p>
        </w:tc>
        <w:tc>
          <w:tcPr>
            <w:tcW w:w="540" w:type="dxa"/>
            <w:vAlign w:val="bottom"/>
            <w:shd w:val="clear" w:color="auto" w:fill="DCF3FA"/>
          </w:tcPr>
          <w:p>
            <w:pPr>
              <w:jc w:val="center"/>
              <w:ind w:right="1"/>
              <w:spacing w:after="0" w:line="166" w:lineRule="exact"/>
              <w:rPr>
                <w:sz w:val="20"/>
                <w:szCs w:val="20"/>
                <w:color w:val="auto"/>
              </w:rPr>
            </w:pPr>
            <w:r>
              <w:rPr>
                <w:rFonts w:ascii="Calibri" w:cs="Calibri" w:eastAsia="Calibri" w:hAnsi="Calibri"/>
                <w:sz w:val="14"/>
                <w:szCs w:val="14"/>
                <w:color w:val="auto"/>
                <w:w w:val="94"/>
              </w:rPr>
              <w:t>$ 30.15</w:t>
            </w:r>
          </w:p>
        </w:tc>
        <w:tc>
          <w:tcPr>
            <w:tcW w:w="1000" w:type="dxa"/>
            <w:vAlign w:val="bottom"/>
            <w:shd w:val="clear" w:color="auto" w:fill="DCF3FA"/>
          </w:tcPr>
          <w:p>
            <w:pPr>
              <w:jc w:val="right"/>
              <w:spacing w:after="0" w:line="195" w:lineRule="exact"/>
              <w:rPr>
                <w:sz w:val="20"/>
                <w:szCs w:val="20"/>
                <w:color w:val="auto"/>
              </w:rPr>
            </w:pPr>
            <w:r>
              <w:rPr>
                <w:rFonts w:ascii="Calibri" w:cs="Calibri" w:eastAsia="Calibri" w:hAnsi="Calibri"/>
                <w:sz w:val="14"/>
                <w:szCs w:val="14"/>
                <w:color w:val="auto"/>
              </w:rPr>
              <w:t>1,615,392</w:t>
            </w:r>
            <w:r>
              <w:rPr>
                <w:rFonts w:ascii="Calibri" w:cs="Calibri" w:eastAsia="Calibri" w:hAnsi="Calibri"/>
                <w:sz w:val="20"/>
                <w:szCs w:val="20"/>
                <w:color w:val="auto"/>
                <w:vertAlign w:val="superscript"/>
              </w:rPr>
              <w:t>(7)</w:t>
            </w:r>
          </w:p>
        </w:tc>
        <w:tc>
          <w:tcPr>
            <w:tcW w:w="0" w:type="dxa"/>
            <w:vAlign w:val="bottom"/>
          </w:tcPr>
          <w:p>
            <w:pPr>
              <w:spacing w:after="0"/>
              <w:rPr>
                <w:sz w:val="1"/>
                <w:szCs w:val="1"/>
                <w:color w:val="auto"/>
              </w:rPr>
            </w:pPr>
          </w:p>
        </w:tc>
      </w:tr>
      <w:tr>
        <w:trPr>
          <w:trHeight w:val="177"/>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ind w:left="400"/>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ind w:right="76"/>
              <w:spacing w:after="0"/>
              <w:rPr>
                <w:sz w:val="20"/>
                <w:szCs w:val="20"/>
                <w:color w:val="auto"/>
              </w:rPr>
            </w:pPr>
            <w:r>
              <w:rPr>
                <w:rFonts w:ascii="Calibri" w:cs="Calibri" w:eastAsia="Calibri" w:hAnsi="Calibri"/>
                <w:sz w:val="14"/>
                <w:szCs w:val="14"/>
                <w:color w:val="auto"/>
              </w:rPr>
              <w:t>251,478</w:t>
            </w:r>
          </w:p>
        </w:tc>
        <w:tc>
          <w:tcPr>
            <w:tcW w:w="800" w:type="dxa"/>
            <w:vAlign w:val="bottom"/>
          </w:tcPr>
          <w:p>
            <w:pPr>
              <w:jc w:val="right"/>
              <w:ind w:right="36"/>
              <w:spacing w:after="0"/>
              <w:rPr>
                <w:sz w:val="20"/>
                <w:szCs w:val="20"/>
                <w:color w:val="auto"/>
              </w:rPr>
            </w:pPr>
            <w:r>
              <w:rPr>
                <w:rFonts w:ascii="Calibri" w:cs="Calibri" w:eastAsia="Calibri" w:hAnsi="Calibri"/>
                <w:sz w:val="14"/>
                <w:szCs w:val="14"/>
                <w:color w:val="auto"/>
              </w:rPr>
              <w:t>377,217</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420" w:type="dxa"/>
            <w:vAlign w:val="bottom"/>
            <w:vMerge w:val="restart"/>
          </w:tcPr>
          <w:p>
            <w:pPr>
              <w:spacing w:after="0"/>
              <w:rPr>
                <w:sz w:val="20"/>
                <w:szCs w:val="20"/>
                <w:color w:val="auto"/>
              </w:rPr>
            </w:pPr>
            <w:r>
              <w:rPr>
                <w:rFonts w:ascii="Calibri" w:cs="Calibri" w:eastAsia="Calibri" w:hAnsi="Calibri"/>
                <w:sz w:val="14"/>
                <w:szCs w:val="14"/>
                <w:b w:val="1"/>
                <w:bCs w:val="1"/>
                <w:color w:val="auto"/>
              </w:rPr>
              <w:t>  Vikas</w:t>
            </w:r>
          </w:p>
        </w:tc>
        <w:tc>
          <w:tcPr>
            <w:tcW w:w="820" w:type="dxa"/>
            <w:vAlign w:val="bottom"/>
            <w:gridSpan w:val="3"/>
          </w:tcPr>
          <w:p>
            <w:pPr>
              <w:jc w:val="right"/>
              <w:ind w:right="100"/>
              <w:spacing w:after="0"/>
              <w:rPr>
                <w:sz w:val="20"/>
                <w:szCs w:val="20"/>
                <w:color w:val="auto"/>
              </w:rPr>
            </w:pPr>
            <w:r>
              <w:rPr>
                <w:rFonts w:ascii="Calibri" w:cs="Calibri" w:eastAsia="Calibri" w:hAnsi="Calibri"/>
                <w:sz w:val="14"/>
                <w:szCs w:val="14"/>
                <w:color w:val="auto"/>
              </w:rPr>
              <w:t>2/15/2023</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jc w:val="right"/>
              <w:spacing w:after="0" w:line="224" w:lineRule="exact"/>
              <w:rPr>
                <w:sz w:val="20"/>
                <w:szCs w:val="20"/>
                <w:color w:val="auto"/>
              </w:rPr>
            </w:pPr>
            <w:r>
              <w:rPr>
                <w:rFonts w:ascii="Calibri" w:cs="Calibri" w:eastAsia="Calibri" w:hAnsi="Calibri"/>
                <w:sz w:val="14"/>
                <w:szCs w:val="14"/>
                <w:color w:val="auto"/>
              </w:rPr>
              <w:t>17,600</w:t>
            </w:r>
            <w:r>
              <w:rPr>
                <w:rFonts w:ascii="Calibri" w:cs="Calibri" w:eastAsia="Calibri" w:hAnsi="Calibri"/>
                <w:sz w:val="20"/>
                <w:szCs w:val="20"/>
                <w:color w:val="auto"/>
                <w:vertAlign w:val="superscript"/>
              </w:rPr>
              <w:t>(4)</w:t>
            </w: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Calibri" w:cs="Calibri" w:eastAsia="Calibri" w:hAnsi="Calibri"/>
                <w:sz w:val="14"/>
                <w:szCs w:val="14"/>
                <w:color w:val="auto"/>
              </w:rPr>
              <w:t>608,256</w:t>
            </w:r>
          </w:p>
        </w:tc>
        <w:tc>
          <w:tcPr>
            <w:tcW w:w="0" w:type="dxa"/>
            <w:vAlign w:val="bottom"/>
          </w:tcPr>
          <w:p>
            <w:pPr>
              <w:spacing w:after="0"/>
              <w:rPr>
                <w:sz w:val="1"/>
                <w:szCs w:val="1"/>
                <w:color w:val="auto"/>
              </w:rPr>
            </w:pPr>
          </w:p>
        </w:tc>
      </w:tr>
      <w:tr>
        <w:trPr>
          <w:trHeight w:val="75"/>
        </w:trPr>
        <w:tc>
          <w:tcPr>
            <w:tcW w:w="2420" w:type="dxa"/>
            <w:vAlign w:val="bottom"/>
            <w:vMerge w:val="continue"/>
          </w:tcPr>
          <w:p>
            <w:pPr>
              <w:spacing w:after="0"/>
              <w:rPr>
                <w:sz w:val="6"/>
                <w:szCs w:val="6"/>
                <w:color w:val="auto"/>
              </w:rPr>
            </w:pPr>
          </w:p>
        </w:tc>
        <w:tc>
          <w:tcPr>
            <w:tcW w:w="820" w:type="dxa"/>
            <w:vAlign w:val="bottom"/>
            <w:gridSpan w:val="3"/>
            <w:vMerge w:val="restart"/>
          </w:tcPr>
          <w:p>
            <w:pPr>
              <w:jc w:val="right"/>
              <w:ind w:right="100"/>
              <w:spacing w:after="0" w:line="166" w:lineRule="exact"/>
              <w:rPr>
                <w:sz w:val="20"/>
                <w:szCs w:val="20"/>
                <w:color w:val="auto"/>
              </w:rPr>
            </w:pPr>
            <w:r>
              <w:rPr>
                <w:rFonts w:ascii="Calibri" w:cs="Calibri" w:eastAsia="Calibri" w:hAnsi="Calibri"/>
                <w:sz w:val="14"/>
                <w:szCs w:val="14"/>
                <w:color w:val="auto"/>
              </w:rPr>
              <w:t>2/15/2023</w:t>
            </w:r>
          </w:p>
        </w:tc>
        <w:tc>
          <w:tcPr>
            <w:tcW w:w="7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vMerge w:val="restart"/>
          </w:tcPr>
          <w:p>
            <w:pPr>
              <w:jc w:val="right"/>
              <w:ind w:right="36"/>
              <w:spacing w:after="0" w:line="166" w:lineRule="exact"/>
              <w:rPr>
                <w:sz w:val="20"/>
                <w:szCs w:val="20"/>
                <w:color w:val="auto"/>
              </w:rPr>
            </w:pPr>
            <w:r>
              <w:rPr>
                <w:rFonts w:ascii="Calibri" w:cs="Calibri" w:eastAsia="Calibri" w:hAnsi="Calibri"/>
                <w:sz w:val="14"/>
                <w:szCs w:val="14"/>
                <w:color w:val="auto"/>
              </w:rPr>
              <w:t>2,640</w:t>
            </w:r>
          </w:p>
        </w:tc>
        <w:tc>
          <w:tcPr>
            <w:tcW w:w="680" w:type="dxa"/>
            <w:vAlign w:val="bottom"/>
            <w:vMerge w:val="restart"/>
          </w:tcPr>
          <w:p>
            <w:pPr>
              <w:jc w:val="right"/>
              <w:spacing w:after="0" w:line="210" w:lineRule="exact"/>
              <w:rPr>
                <w:sz w:val="20"/>
                <w:szCs w:val="20"/>
                <w:color w:val="auto"/>
              </w:rPr>
            </w:pPr>
            <w:r>
              <w:rPr>
                <w:rFonts w:ascii="Calibri" w:cs="Calibri" w:eastAsia="Calibri" w:hAnsi="Calibri"/>
                <w:sz w:val="14"/>
                <w:szCs w:val="14"/>
                <w:color w:val="auto"/>
              </w:rPr>
              <w:t>10,560</w:t>
            </w:r>
            <w:r>
              <w:rPr>
                <w:rFonts w:ascii="Calibri" w:cs="Calibri" w:eastAsia="Calibri" w:hAnsi="Calibri"/>
                <w:sz w:val="20"/>
                <w:szCs w:val="20"/>
                <w:color w:val="auto"/>
                <w:vertAlign w:val="superscript"/>
              </w:rPr>
              <w:t>(2)</w:t>
            </w:r>
          </w:p>
        </w:tc>
        <w:tc>
          <w:tcPr>
            <w:tcW w:w="620" w:type="dxa"/>
            <w:vAlign w:val="bottom"/>
            <w:vMerge w:val="restart"/>
          </w:tcPr>
          <w:p>
            <w:pPr>
              <w:jc w:val="right"/>
              <w:ind w:right="14"/>
              <w:spacing w:after="0" w:line="166" w:lineRule="exact"/>
              <w:rPr>
                <w:sz w:val="20"/>
                <w:szCs w:val="20"/>
                <w:color w:val="auto"/>
              </w:rPr>
            </w:pPr>
            <w:r>
              <w:rPr>
                <w:rFonts w:ascii="Calibri" w:cs="Calibri" w:eastAsia="Calibri" w:hAnsi="Calibri"/>
                <w:sz w:val="14"/>
                <w:szCs w:val="14"/>
                <w:color w:val="auto"/>
              </w:rPr>
              <w:t>21,120</w:t>
            </w: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vMerge w:val="restart"/>
          </w:tcPr>
          <w:p>
            <w:pPr>
              <w:jc w:val="right"/>
              <w:ind w:right="95"/>
              <w:spacing w:after="0" w:line="166" w:lineRule="exact"/>
              <w:rPr>
                <w:sz w:val="20"/>
                <w:szCs w:val="20"/>
                <w:color w:val="auto"/>
              </w:rPr>
            </w:pPr>
            <w:r>
              <w:rPr>
                <w:rFonts w:ascii="Calibri" w:cs="Calibri" w:eastAsia="Calibri" w:hAnsi="Calibri"/>
                <w:sz w:val="14"/>
                <w:szCs w:val="14"/>
                <w:color w:val="auto"/>
              </w:rPr>
              <w:t>364,954</w:t>
            </w:r>
          </w:p>
        </w:tc>
        <w:tc>
          <w:tcPr>
            <w:tcW w:w="0" w:type="dxa"/>
            <w:vAlign w:val="bottom"/>
          </w:tcPr>
          <w:p>
            <w:pPr>
              <w:spacing w:after="0"/>
              <w:rPr>
                <w:sz w:val="1"/>
                <w:szCs w:val="1"/>
                <w:color w:val="auto"/>
              </w:rPr>
            </w:pPr>
          </w:p>
        </w:tc>
      </w:tr>
      <w:tr>
        <w:trPr>
          <w:trHeight w:val="135"/>
        </w:trPr>
        <w:tc>
          <w:tcPr>
            <w:tcW w:w="2420" w:type="dxa"/>
            <w:vAlign w:val="bottom"/>
            <w:vMerge w:val="restart"/>
          </w:tcPr>
          <w:p>
            <w:pPr>
              <w:spacing w:after="0" w:line="169" w:lineRule="exact"/>
              <w:rPr>
                <w:sz w:val="20"/>
                <w:szCs w:val="20"/>
                <w:color w:val="auto"/>
              </w:rPr>
            </w:pPr>
            <w:r>
              <w:rPr>
                <w:rFonts w:ascii="Calibri" w:cs="Calibri" w:eastAsia="Calibri" w:hAnsi="Calibri"/>
                <w:sz w:val="14"/>
                <w:szCs w:val="14"/>
                <w:b w:val="1"/>
                <w:bCs w:val="1"/>
                <w:color w:val="auto"/>
              </w:rPr>
              <w:t>  Bhalla</w:t>
            </w:r>
          </w:p>
        </w:tc>
        <w:tc>
          <w:tcPr>
            <w:tcW w:w="82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420" w:type="dxa"/>
            <w:vAlign w:val="bottom"/>
            <w:vMerge w:val="continue"/>
          </w:tcPr>
          <w:p>
            <w:pPr>
              <w:spacing w:after="0"/>
              <w:rPr>
                <w:sz w:val="2"/>
                <w:szCs w:val="2"/>
                <w:color w:val="auto"/>
              </w:rPr>
            </w:pPr>
          </w:p>
        </w:tc>
        <w:tc>
          <w:tcPr>
            <w:tcW w:w="820" w:type="dxa"/>
            <w:vAlign w:val="bottom"/>
            <w:gridSpan w:val="3"/>
            <w:vMerge w:val="restart"/>
          </w:tcPr>
          <w:p>
            <w:pPr>
              <w:jc w:val="right"/>
              <w:ind w:right="100"/>
              <w:spacing w:after="0" w:line="166" w:lineRule="exact"/>
              <w:rPr>
                <w:sz w:val="20"/>
                <w:szCs w:val="20"/>
                <w:color w:val="auto"/>
              </w:rPr>
            </w:pPr>
            <w:r>
              <w:rPr>
                <w:rFonts w:ascii="Calibri" w:cs="Calibri" w:eastAsia="Calibri" w:hAnsi="Calibri"/>
                <w:sz w:val="14"/>
                <w:szCs w:val="14"/>
                <w:color w:val="auto"/>
              </w:rPr>
              <w:t>2/15/2023</w:t>
            </w: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vMerge w:val="restart"/>
          </w:tcPr>
          <w:p>
            <w:pPr>
              <w:jc w:val="right"/>
              <w:ind w:right="36"/>
              <w:spacing w:after="0" w:line="166" w:lineRule="exact"/>
              <w:rPr>
                <w:sz w:val="20"/>
                <w:szCs w:val="20"/>
                <w:color w:val="auto"/>
              </w:rPr>
            </w:pPr>
            <w:r>
              <w:rPr>
                <w:rFonts w:ascii="Calibri" w:cs="Calibri" w:eastAsia="Calibri" w:hAnsi="Calibri"/>
                <w:sz w:val="14"/>
                <w:szCs w:val="14"/>
                <w:color w:val="auto"/>
              </w:rPr>
              <w:t>527</w:t>
            </w:r>
          </w:p>
        </w:tc>
        <w:tc>
          <w:tcPr>
            <w:tcW w:w="680" w:type="dxa"/>
            <w:vAlign w:val="bottom"/>
            <w:vMerge w:val="restart"/>
          </w:tcPr>
          <w:p>
            <w:pPr>
              <w:jc w:val="right"/>
              <w:spacing w:after="0" w:line="180" w:lineRule="exact"/>
              <w:rPr>
                <w:sz w:val="20"/>
                <w:szCs w:val="20"/>
                <w:color w:val="auto"/>
              </w:rPr>
            </w:pPr>
            <w:r>
              <w:rPr>
                <w:rFonts w:ascii="Calibri" w:cs="Calibri" w:eastAsia="Calibri" w:hAnsi="Calibri"/>
                <w:sz w:val="13"/>
                <w:szCs w:val="13"/>
                <w:color w:val="auto"/>
              </w:rPr>
              <w:t>15,840</w:t>
            </w:r>
            <w:r>
              <w:rPr>
                <w:rFonts w:ascii="Calibri" w:cs="Calibri" w:eastAsia="Calibri" w:hAnsi="Calibri"/>
                <w:sz w:val="19"/>
                <w:szCs w:val="19"/>
                <w:color w:val="auto"/>
                <w:vertAlign w:val="superscript"/>
              </w:rPr>
              <w:t>(3)</w:t>
            </w:r>
          </w:p>
        </w:tc>
        <w:tc>
          <w:tcPr>
            <w:tcW w:w="620" w:type="dxa"/>
            <w:vAlign w:val="bottom"/>
            <w:vMerge w:val="restart"/>
          </w:tcPr>
          <w:p>
            <w:pPr>
              <w:jc w:val="right"/>
              <w:ind w:right="14"/>
              <w:spacing w:after="0" w:line="166" w:lineRule="exact"/>
              <w:rPr>
                <w:sz w:val="20"/>
                <w:szCs w:val="20"/>
                <w:color w:val="auto"/>
              </w:rPr>
            </w:pPr>
            <w:r>
              <w:rPr>
                <w:rFonts w:ascii="Calibri" w:cs="Calibri" w:eastAsia="Calibri" w:hAnsi="Calibri"/>
                <w:sz w:val="14"/>
                <w:szCs w:val="14"/>
                <w:color w:val="auto"/>
              </w:rPr>
              <w:t>31,680</w:t>
            </w: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vMerge w:val="restart"/>
          </w:tcPr>
          <w:p>
            <w:pPr>
              <w:jc w:val="right"/>
              <w:spacing w:after="0" w:line="180" w:lineRule="exact"/>
              <w:rPr>
                <w:sz w:val="20"/>
                <w:szCs w:val="20"/>
                <w:color w:val="auto"/>
              </w:rPr>
            </w:pPr>
            <w:r>
              <w:rPr>
                <w:rFonts w:ascii="Calibri" w:cs="Calibri" w:eastAsia="Calibri" w:hAnsi="Calibri"/>
                <w:sz w:val="13"/>
                <w:szCs w:val="13"/>
                <w:color w:val="auto"/>
              </w:rPr>
              <w:t>708,396</w:t>
            </w:r>
            <w:r>
              <w:rPr>
                <w:rFonts w:ascii="Calibri" w:cs="Calibri" w:eastAsia="Calibri" w:hAnsi="Calibri"/>
                <w:sz w:val="19"/>
                <w:szCs w:val="19"/>
                <w:color w:val="auto"/>
                <w:vertAlign w:val="superscript"/>
              </w:rPr>
              <w:t>(6)</w:t>
            </w:r>
          </w:p>
        </w:tc>
        <w:tc>
          <w:tcPr>
            <w:tcW w:w="0" w:type="dxa"/>
            <w:vAlign w:val="bottom"/>
          </w:tcPr>
          <w:p>
            <w:pPr>
              <w:spacing w:after="0" w:line="20" w:lineRule="exact"/>
              <w:rPr>
                <w:sz w:val="1"/>
                <w:szCs w:val="1"/>
                <w:color w:val="auto"/>
              </w:rPr>
            </w:pPr>
          </w:p>
        </w:tc>
      </w:tr>
      <w:tr>
        <w:trPr>
          <w:trHeight w:val="146"/>
        </w:trPr>
        <w:tc>
          <w:tcPr>
            <w:tcW w:w="24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820" w:type="dxa"/>
            <w:vAlign w:val="bottom"/>
            <w:gridSpan w:val="3"/>
          </w:tcPr>
          <w:p>
            <w:pPr>
              <w:jc w:val="right"/>
              <w:ind w:right="100"/>
              <w:spacing w:after="0" w:line="166" w:lineRule="exact"/>
              <w:rPr>
                <w:sz w:val="20"/>
                <w:szCs w:val="20"/>
                <w:color w:val="auto"/>
              </w:rPr>
            </w:pPr>
            <w:r>
              <w:rPr>
                <w:rFonts w:ascii="Calibri" w:cs="Calibri" w:eastAsia="Calibri" w:hAnsi="Calibri"/>
                <w:sz w:val="14"/>
                <w:szCs w:val="14"/>
                <w:color w:val="auto"/>
              </w:rPr>
              <w:t>6/21/2023</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jc w:val="right"/>
              <w:spacing w:after="0" w:line="210" w:lineRule="exact"/>
              <w:rPr>
                <w:sz w:val="20"/>
                <w:szCs w:val="20"/>
                <w:color w:val="auto"/>
              </w:rPr>
            </w:pPr>
            <w:r>
              <w:rPr>
                <w:rFonts w:ascii="Calibri" w:cs="Calibri" w:eastAsia="Calibri" w:hAnsi="Calibri"/>
                <w:sz w:val="14"/>
                <w:szCs w:val="14"/>
                <w:color w:val="auto"/>
              </w:rPr>
              <w:t>268,650</w:t>
            </w:r>
            <w:r>
              <w:rPr>
                <w:rFonts w:ascii="Calibri" w:cs="Calibri" w:eastAsia="Calibri" w:hAnsi="Calibri"/>
                <w:sz w:val="20"/>
                <w:szCs w:val="20"/>
                <w:color w:val="auto"/>
                <w:vertAlign w:val="superscript"/>
              </w:rPr>
              <w:t>(5)</w:t>
            </w:r>
          </w:p>
        </w:tc>
        <w:tc>
          <w:tcPr>
            <w:tcW w:w="540" w:type="dxa"/>
            <w:vAlign w:val="bottom"/>
          </w:tcPr>
          <w:p>
            <w:pPr>
              <w:jc w:val="center"/>
              <w:ind w:right="1"/>
              <w:spacing w:after="0" w:line="166" w:lineRule="exact"/>
              <w:rPr>
                <w:sz w:val="20"/>
                <w:szCs w:val="20"/>
                <w:color w:val="auto"/>
              </w:rPr>
            </w:pPr>
            <w:r>
              <w:rPr>
                <w:rFonts w:ascii="Calibri" w:cs="Calibri" w:eastAsia="Calibri" w:hAnsi="Calibri"/>
                <w:sz w:val="14"/>
                <w:szCs w:val="14"/>
                <w:color w:val="auto"/>
                <w:w w:val="94"/>
              </w:rPr>
              <w:t>$ 30.15</w:t>
            </w:r>
          </w:p>
        </w:tc>
        <w:tc>
          <w:tcPr>
            <w:tcW w:w="1000" w:type="dxa"/>
            <w:vAlign w:val="bottom"/>
          </w:tcPr>
          <w:p>
            <w:pPr>
              <w:jc w:val="right"/>
              <w:spacing w:after="0" w:line="210" w:lineRule="exact"/>
              <w:rPr>
                <w:sz w:val="20"/>
                <w:szCs w:val="20"/>
                <w:color w:val="auto"/>
              </w:rPr>
            </w:pPr>
            <w:r>
              <w:rPr>
                <w:rFonts w:ascii="Calibri" w:cs="Calibri" w:eastAsia="Calibri" w:hAnsi="Calibri"/>
                <w:sz w:val="14"/>
                <w:szCs w:val="14"/>
                <w:color w:val="auto"/>
              </w:rPr>
              <w:t>3,230,785</w:t>
            </w:r>
            <w:r>
              <w:rPr>
                <w:rFonts w:ascii="Calibri" w:cs="Calibri" w:eastAsia="Calibri" w:hAnsi="Calibri"/>
                <w:sz w:val="20"/>
                <w:szCs w:val="20"/>
                <w:color w:val="auto"/>
                <w:vertAlign w:val="superscript"/>
              </w:rPr>
              <w:t>(7)</w:t>
            </w:r>
          </w:p>
        </w:tc>
        <w:tc>
          <w:tcPr>
            <w:tcW w:w="0" w:type="dxa"/>
            <w:vAlign w:val="bottom"/>
          </w:tcPr>
          <w:p>
            <w:pPr>
              <w:spacing w:after="0"/>
              <w:rPr>
                <w:sz w:val="1"/>
                <w:szCs w:val="1"/>
                <w:color w:val="auto"/>
              </w:rPr>
            </w:pPr>
          </w:p>
        </w:tc>
      </w:tr>
      <w:tr>
        <w:trPr>
          <w:trHeight w:val="177"/>
        </w:trPr>
        <w:tc>
          <w:tcPr>
            <w:tcW w:w="2420" w:type="dxa"/>
            <w:vAlign w:val="bottom"/>
            <w:shd w:val="clear" w:color="auto" w:fill="DCF3FA"/>
          </w:tcPr>
          <w:p>
            <w:pPr>
              <w:spacing w:after="0"/>
              <w:rPr>
                <w:sz w:val="15"/>
                <w:szCs w:val="15"/>
                <w:color w:val="auto"/>
              </w:rPr>
            </w:pPr>
          </w:p>
        </w:tc>
        <w:tc>
          <w:tcPr>
            <w:tcW w:w="120" w:type="dxa"/>
            <w:vAlign w:val="bottom"/>
            <w:shd w:val="clear" w:color="auto" w:fill="DCF3FA"/>
          </w:tcPr>
          <w:p>
            <w:pPr>
              <w:spacing w:after="0"/>
              <w:rPr>
                <w:sz w:val="15"/>
                <w:szCs w:val="15"/>
                <w:color w:val="auto"/>
              </w:rPr>
            </w:pPr>
          </w:p>
        </w:tc>
        <w:tc>
          <w:tcPr>
            <w:tcW w:w="600" w:type="dxa"/>
            <w:vAlign w:val="bottom"/>
            <w:shd w:val="clear" w:color="auto" w:fill="DCF3FA"/>
          </w:tcPr>
          <w:p>
            <w:pPr>
              <w:spacing w:after="0"/>
              <w:rPr>
                <w:sz w:val="15"/>
                <w:szCs w:val="15"/>
                <w:color w:val="auto"/>
              </w:rPr>
            </w:pPr>
          </w:p>
        </w:tc>
        <w:tc>
          <w:tcPr>
            <w:tcW w:w="100" w:type="dxa"/>
            <w:vAlign w:val="bottom"/>
            <w:shd w:val="clear" w:color="auto" w:fill="DCF3FA"/>
          </w:tcPr>
          <w:p>
            <w:pPr>
              <w:spacing w:after="0"/>
              <w:rPr>
                <w:sz w:val="15"/>
                <w:szCs w:val="15"/>
                <w:color w:val="auto"/>
              </w:rPr>
            </w:pPr>
          </w:p>
        </w:tc>
        <w:tc>
          <w:tcPr>
            <w:tcW w:w="700" w:type="dxa"/>
            <w:vAlign w:val="bottom"/>
            <w:shd w:val="clear" w:color="auto" w:fill="DCF3FA"/>
          </w:tcPr>
          <w:p>
            <w:pPr>
              <w:ind w:left="400"/>
              <w:spacing w:after="0"/>
              <w:rPr>
                <w:sz w:val="20"/>
                <w:szCs w:val="20"/>
                <w:color w:val="auto"/>
              </w:rPr>
            </w:pPr>
            <w:r>
              <w:rPr>
                <w:rFonts w:ascii="Calibri" w:cs="Calibri" w:eastAsia="Calibri" w:hAnsi="Calibri"/>
                <w:sz w:val="14"/>
                <w:szCs w:val="14"/>
                <w:color w:val="auto"/>
              </w:rPr>
              <w:t>—</w:t>
            </w:r>
          </w:p>
        </w:tc>
        <w:tc>
          <w:tcPr>
            <w:tcW w:w="880" w:type="dxa"/>
            <w:vAlign w:val="bottom"/>
            <w:shd w:val="clear" w:color="auto" w:fill="DCF3FA"/>
          </w:tcPr>
          <w:p>
            <w:pPr>
              <w:jc w:val="right"/>
              <w:ind w:right="76"/>
              <w:spacing w:after="0"/>
              <w:rPr>
                <w:sz w:val="20"/>
                <w:szCs w:val="20"/>
                <w:color w:val="auto"/>
              </w:rPr>
            </w:pPr>
            <w:r>
              <w:rPr>
                <w:rFonts w:ascii="Calibri" w:cs="Calibri" w:eastAsia="Calibri" w:hAnsi="Calibri"/>
                <w:sz w:val="14"/>
                <w:szCs w:val="14"/>
                <w:color w:val="auto"/>
              </w:rPr>
              <w:t>375,000</w:t>
            </w:r>
          </w:p>
        </w:tc>
        <w:tc>
          <w:tcPr>
            <w:tcW w:w="800" w:type="dxa"/>
            <w:vAlign w:val="bottom"/>
            <w:shd w:val="clear" w:color="auto" w:fill="DCF3FA"/>
          </w:tcPr>
          <w:p>
            <w:pPr>
              <w:jc w:val="right"/>
              <w:ind w:right="36"/>
              <w:spacing w:after="0"/>
              <w:rPr>
                <w:sz w:val="20"/>
                <w:szCs w:val="20"/>
                <w:color w:val="auto"/>
              </w:rPr>
            </w:pPr>
            <w:r>
              <w:rPr>
                <w:rFonts w:ascii="Calibri" w:cs="Calibri" w:eastAsia="Calibri" w:hAnsi="Calibri"/>
                <w:sz w:val="14"/>
                <w:szCs w:val="14"/>
                <w:color w:val="auto"/>
              </w:rPr>
              <w:t>562,500</w:t>
            </w:r>
          </w:p>
        </w:tc>
        <w:tc>
          <w:tcPr>
            <w:tcW w:w="620" w:type="dxa"/>
            <w:vAlign w:val="bottom"/>
            <w:shd w:val="clear" w:color="auto" w:fill="DCF3FA"/>
          </w:tcPr>
          <w:p>
            <w:pPr>
              <w:spacing w:after="0"/>
              <w:rPr>
                <w:sz w:val="15"/>
                <w:szCs w:val="15"/>
                <w:color w:val="auto"/>
              </w:rPr>
            </w:pPr>
          </w:p>
        </w:tc>
        <w:tc>
          <w:tcPr>
            <w:tcW w:w="680" w:type="dxa"/>
            <w:vAlign w:val="bottom"/>
            <w:shd w:val="clear" w:color="auto" w:fill="DCF3FA"/>
          </w:tcPr>
          <w:p>
            <w:pPr>
              <w:spacing w:after="0"/>
              <w:rPr>
                <w:sz w:val="15"/>
                <w:szCs w:val="15"/>
                <w:color w:val="auto"/>
              </w:rPr>
            </w:pPr>
          </w:p>
        </w:tc>
        <w:tc>
          <w:tcPr>
            <w:tcW w:w="620" w:type="dxa"/>
            <w:vAlign w:val="bottom"/>
            <w:shd w:val="clear" w:color="auto" w:fill="DCF3FA"/>
          </w:tcPr>
          <w:p>
            <w:pPr>
              <w:spacing w:after="0"/>
              <w:rPr>
                <w:sz w:val="15"/>
                <w:szCs w:val="15"/>
                <w:color w:val="auto"/>
              </w:rPr>
            </w:pPr>
          </w:p>
        </w:tc>
        <w:tc>
          <w:tcPr>
            <w:tcW w:w="840" w:type="dxa"/>
            <w:vAlign w:val="bottom"/>
            <w:shd w:val="clear" w:color="auto" w:fill="DCF3FA"/>
          </w:tcPr>
          <w:p>
            <w:pPr>
              <w:spacing w:after="0"/>
              <w:rPr>
                <w:sz w:val="15"/>
                <w:szCs w:val="15"/>
                <w:color w:val="auto"/>
              </w:rPr>
            </w:pPr>
          </w:p>
        </w:tc>
        <w:tc>
          <w:tcPr>
            <w:tcW w:w="700" w:type="dxa"/>
            <w:vAlign w:val="bottom"/>
            <w:shd w:val="clear" w:color="auto" w:fill="DCF3FA"/>
          </w:tcPr>
          <w:p>
            <w:pPr>
              <w:spacing w:after="0"/>
              <w:rPr>
                <w:sz w:val="15"/>
                <w:szCs w:val="15"/>
                <w:color w:val="auto"/>
              </w:rPr>
            </w:pPr>
          </w:p>
        </w:tc>
        <w:tc>
          <w:tcPr>
            <w:tcW w:w="540" w:type="dxa"/>
            <w:vAlign w:val="bottom"/>
            <w:shd w:val="clear" w:color="auto" w:fill="DCF3FA"/>
          </w:tcPr>
          <w:p>
            <w:pPr>
              <w:spacing w:after="0"/>
              <w:rPr>
                <w:sz w:val="15"/>
                <w:szCs w:val="15"/>
                <w:color w:val="auto"/>
              </w:rPr>
            </w:pPr>
          </w:p>
        </w:tc>
        <w:tc>
          <w:tcPr>
            <w:tcW w:w="1000" w:type="dxa"/>
            <w:vAlign w:val="bottom"/>
            <w:shd w:val="clear" w:color="auto" w:fill="DCF3FA"/>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420" w:type="dxa"/>
            <w:vAlign w:val="bottom"/>
            <w:vMerge w:val="restart"/>
            <w:shd w:val="clear" w:color="auto" w:fill="DCF3FA"/>
          </w:tcPr>
          <w:p>
            <w:pPr>
              <w:spacing w:after="0"/>
              <w:rPr>
                <w:sz w:val="20"/>
                <w:szCs w:val="20"/>
                <w:color w:val="auto"/>
              </w:rPr>
            </w:pPr>
            <w:r>
              <w:rPr>
                <w:rFonts w:ascii="Calibri" w:cs="Calibri" w:eastAsia="Calibri" w:hAnsi="Calibri"/>
                <w:sz w:val="14"/>
                <w:szCs w:val="14"/>
                <w:b w:val="1"/>
                <w:bCs w:val="1"/>
                <w:color w:val="auto"/>
              </w:rPr>
              <w:t>  Vivek</w:t>
            </w:r>
          </w:p>
        </w:tc>
        <w:tc>
          <w:tcPr>
            <w:tcW w:w="120" w:type="dxa"/>
            <w:vAlign w:val="bottom"/>
            <w:shd w:val="clear" w:color="auto" w:fill="DCF3FA"/>
          </w:tcPr>
          <w:p>
            <w:pPr>
              <w:spacing w:after="0"/>
              <w:rPr>
                <w:sz w:val="20"/>
                <w:szCs w:val="20"/>
                <w:color w:val="auto"/>
              </w:rPr>
            </w:pPr>
          </w:p>
        </w:tc>
        <w:tc>
          <w:tcPr>
            <w:tcW w:w="700" w:type="dxa"/>
            <w:vAlign w:val="bottom"/>
            <w:gridSpan w:val="2"/>
            <w:shd w:val="clear" w:color="auto" w:fill="DCF3FA"/>
          </w:tcPr>
          <w:p>
            <w:pPr>
              <w:jc w:val="right"/>
              <w:ind w:right="100"/>
              <w:spacing w:after="0"/>
              <w:rPr>
                <w:sz w:val="20"/>
                <w:szCs w:val="20"/>
                <w:color w:val="auto"/>
              </w:rPr>
            </w:pPr>
            <w:r>
              <w:rPr>
                <w:rFonts w:ascii="Calibri" w:cs="Calibri" w:eastAsia="Calibri" w:hAnsi="Calibri"/>
                <w:sz w:val="14"/>
                <w:szCs w:val="14"/>
                <w:color w:val="auto"/>
                <w:w w:val="95"/>
              </w:rPr>
              <w:t>2/15/2023</w:t>
            </w:r>
          </w:p>
        </w:tc>
        <w:tc>
          <w:tcPr>
            <w:tcW w:w="700" w:type="dxa"/>
            <w:vAlign w:val="bottom"/>
            <w:shd w:val="clear" w:color="auto" w:fill="DCF3FA"/>
          </w:tcPr>
          <w:p>
            <w:pPr>
              <w:spacing w:after="0"/>
              <w:rPr>
                <w:sz w:val="20"/>
                <w:szCs w:val="20"/>
                <w:color w:val="auto"/>
              </w:rPr>
            </w:pPr>
          </w:p>
        </w:tc>
        <w:tc>
          <w:tcPr>
            <w:tcW w:w="880" w:type="dxa"/>
            <w:vAlign w:val="bottom"/>
            <w:shd w:val="clear" w:color="auto" w:fill="DCF3FA"/>
          </w:tcPr>
          <w:p>
            <w:pPr>
              <w:spacing w:after="0"/>
              <w:rPr>
                <w:sz w:val="20"/>
                <w:szCs w:val="20"/>
                <w:color w:val="auto"/>
              </w:rPr>
            </w:pPr>
          </w:p>
        </w:tc>
        <w:tc>
          <w:tcPr>
            <w:tcW w:w="800" w:type="dxa"/>
            <w:vAlign w:val="bottom"/>
            <w:shd w:val="clear" w:color="auto" w:fill="DCF3FA"/>
          </w:tcPr>
          <w:p>
            <w:pPr>
              <w:spacing w:after="0"/>
              <w:rPr>
                <w:sz w:val="20"/>
                <w:szCs w:val="20"/>
                <w:color w:val="auto"/>
              </w:rPr>
            </w:pPr>
          </w:p>
        </w:tc>
        <w:tc>
          <w:tcPr>
            <w:tcW w:w="620" w:type="dxa"/>
            <w:vAlign w:val="bottom"/>
            <w:shd w:val="clear" w:color="auto" w:fill="DCF3FA"/>
          </w:tcPr>
          <w:p>
            <w:pPr>
              <w:spacing w:after="0"/>
              <w:rPr>
                <w:sz w:val="20"/>
                <w:szCs w:val="20"/>
                <w:color w:val="auto"/>
              </w:rPr>
            </w:pPr>
          </w:p>
        </w:tc>
        <w:tc>
          <w:tcPr>
            <w:tcW w:w="680" w:type="dxa"/>
            <w:vAlign w:val="bottom"/>
            <w:shd w:val="clear" w:color="auto" w:fill="DCF3FA"/>
          </w:tcPr>
          <w:p>
            <w:pPr>
              <w:spacing w:after="0"/>
              <w:rPr>
                <w:sz w:val="20"/>
                <w:szCs w:val="20"/>
                <w:color w:val="auto"/>
              </w:rPr>
            </w:pPr>
          </w:p>
        </w:tc>
        <w:tc>
          <w:tcPr>
            <w:tcW w:w="620" w:type="dxa"/>
            <w:vAlign w:val="bottom"/>
            <w:shd w:val="clear" w:color="auto" w:fill="DCF3FA"/>
          </w:tcPr>
          <w:p>
            <w:pPr>
              <w:spacing w:after="0"/>
              <w:rPr>
                <w:sz w:val="20"/>
                <w:szCs w:val="20"/>
                <w:color w:val="auto"/>
              </w:rPr>
            </w:pPr>
          </w:p>
        </w:tc>
        <w:tc>
          <w:tcPr>
            <w:tcW w:w="840" w:type="dxa"/>
            <w:vAlign w:val="bottom"/>
            <w:shd w:val="clear" w:color="auto" w:fill="DCF3FA"/>
          </w:tcPr>
          <w:p>
            <w:pPr>
              <w:jc w:val="right"/>
              <w:spacing w:after="0" w:line="240" w:lineRule="exact"/>
              <w:rPr>
                <w:sz w:val="20"/>
                <w:szCs w:val="20"/>
                <w:color w:val="auto"/>
              </w:rPr>
            </w:pPr>
            <w:r>
              <w:rPr>
                <w:rFonts w:ascii="Calibri" w:cs="Calibri" w:eastAsia="Calibri" w:hAnsi="Calibri"/>
                <w:sz w:val="14"/>
                <w:szCs w:val="14"/>
                <w:color w:val="auto"/>
              </w:rPr>
              <w:t>17,600</w:t>
            </w:r>
            <w:r>
              <w:rPr>
                <w:rFonts w:ascii="Calibri" w:cs="Calibri" w:eastAsia="Calibri" w:hAnsi="Calibri"/>
                <w:sz w:val="20"/>
                <w:szCs w:val="20"/>
                <w:color w:val="auto"/>
                <w:vertAlign w:val="superscript"/>
              </w:rPr>
              <w:t>(4)</w:t>
            </w:r>
          </w:p>
        </w:tc>
        <w:tc>
          <w:tcPr>
            <w:tcW w:w="700" w:type="dxa"/>
            <w:vAlign w:val="bottom"/>
            <w:shd w:val="clear" w:color="auto" w:fill="DCF3FA"/>
          </w:tcPr>
          <w:p>
            <w:pPr>
              <w:spacing w:after="0"/>
              <w:rPr>
                <w:sz w:val="20"/>
                <w:szCs w:val="20"/>
                <w:color w:val="auto"/>
              </w:rPr>
            </w:pPr>
          </w:p>
        </w:tc>
        <w:tc>
          <w:tcPr>
            <w:tcW w:w="540" w:type="dxa"/>
            <w:vAlign w:val="bottom"/>
            <w:shd w:val="clear" w:color="auto" w:fill="DCF3FA"/>
          </w:tcPr>
          <w:p>
            <w:pPr>
              <w:spacing w:after="0"/>
              <w:rPr>
                <w:sz w:val="20"/>
                <w:szCs w:val="20"/>
                <w:color w:val="auto"/>
              </w:rPr>
            </w:pPr>
          </w:p>
        </w:tc>
        <w:tc>
          <w:tcPr>
            <w:tcW w:w="1000" w:type="dxa"/>
            <w:vAlign w:val="bottom"/>
            <w:shd w:val="clear" w:color="auto" w:fill="DCF3FA"/>
          </w:tcPr>
          <w:p>
            <w:pPr>
              <w:jc w:val="right"/>
              <w:ind w:right="95"/>
              <w:spacing w:after="0"/>
              <w:rPr>
                <w:sz w:val="20"/>
                <w:szCs w:val="20"/>
                <w:color w:val="auto"/>
              </w:rPr>
            </w:pPr>
            <w:r>
              <w:rPr>
                <w:rFonts w:ascii="Calibri" w:cs="Calibri" w:eastAsia="Calibri" w:hAnsi="Calibri"/>
                <w:sz w:val="14"/>
                <w:szCs w:val="14"/>
                <w:color w:val="auto"/>
              </w:rPr>
              <w:t>608,256</w:t>
            </w:r>
          </w:p>
        </w:tc>
        <w:tc>
          <w:tcPr>
            <w:tcW w:w="0" w:type="dxa"/>
            <w:vAlign w:val="bottom"/>
          </w:tcPr>
          <w:p>
            <w:pPr>
              <w:spacing w:after="0"/>
              <w:rPr>
                <w:sz w:val="1"/>
                <w:szCs w:val="1"/>
                <w:color w:val="auto"/>
              </w:rPr>
            </w:pPr>
          </w:p>
        </w:tc>
      </w:tr>
      <w:tr>
        <w:trPr>
          <w:trHeight w:val="60"/>
        </w:trPr>
        <w:tc>
          <w:tcPr>
            <w:tcW w:w="2420" w:type="dxa"/>
            <w:vAlign w:val="bottom"/>
            <w:vMerge w:val="continue"/>
            <w:shd w:val="clear" w:color="auto" w:fill="DCF3FA"/>
          </w:tcPr>
          <w:p>
            <w:pPr>
              <w:spacing w:after="0"/>
              <w:rPr>
                <w:sz w:val="5"/>
                <w:szCs w:val="5"/>
                <w:color w:val="auto"/>
              </w:rPr>
            </w:pPr>
          </w:p>
        </w:tc>
        <w:tc>
          <w:tcPr>
            <w:tcW w:w="120" w:type="dxa"/>
            <w:vAlign w:val="bottom"/>
            <w:shd w:val="clear" w:color="auto" w:fill="DCF3FA"/>
          </w:tcPr>
          <w:p>
            <w:pPr>
              <w:spacing w:after="0"/>
              <w:rPr>
                <w:sz w:val="5"/>
                <w:szCs w:val="5"/>
                <w:color w:val="auto"/>
              </w:rPr>
            </w:pPr>
          </w:p>
        </w:tc>
        <w:tc>
          <w:tcPr>
            <w:tcW w:w="600" w:type="dxa"/>
            <w:vAlign w:val="bottom"/>
            <w:vMerge w:val="restart"/>
            <w:shd w:val="clear" w:color="auto" w:fill="DCF3FA"/>
          </w:tcPr>
          <w:p>
            <w:pPr>
              <w:jc w:val="right"/>
              <w:spacing w:after="0" w:line="166" w:lineRule="exact"/>
              <w:rPr>
                <w:sz w:val="20"/>
                <w:szCs w:val="20"/>
                <w:color w:val="auto"/>
              </w:rPr>
            </w:pPr>
            <w:r>
              <w:rPr>
                <w:rFonts w:ascii="Calibri" w:cs="Calibri" w:eastAsia="Calibri" w:hAnsi="Calibri"/>
                <w:sz w:val="14"/>
                <w:szCs w:val="14"/>
                <w:color w:val="auto"/>
                <w:w w:val="95"/>
              </w:rPr>
              <w:t>2/15/2023</w:t>
            </w:r>
          </w:p>
        </w:tc>
        <w:tc>
          <w:tcPr>
            <w:tcW w:w="100" w:type="dxa"/>
            <w:vAlign w:val="bottom"/>
            <w:shd w:val="clear" w:color="auto" w:fill="DCF3FA"/>
          </w:tcPr>
          <w:p>
            <w:pPr>
              <w:spacing w:after="0"/>
              <w:rPr>
                <w:sz w:val="5"/>
                <w:szCs w:val="5"/>
                <w:color w:val="auto"/>
              </w:rPr>
            </w:pPr>
          </w:p>
        </w:tc>
        <w:tc>
          <w:tcPr>
            <w:tcW w:w="700" w:type="dxa"/>
            <w:vAlign w:val="bottom"/>
            <w:shd w:val="clear" w:color="auto" w:fill="DCF3FA"/>
          </w:tcPr>
          <w:p>
            <w:pPr>
              <w:spacing w:after="0"/>
              <w:rPr>
                <w:sz w:val="5"/>
                <w:szCs w:val="5"/>
                <w:color w:val="auto"/>
              </w:rPr>
            </w:pPr>
          </w:p>
        </w:tc>
        <w:tc>
          <w:tcPr>
            <w:tcW w:w="880" w:type="dxa"/>
            <w:vAlign w:val="bottom"/>
            <w:shd w:val="clear" w:color="auto" w:fill="DCF3FA"/>
          </w:tcPr>
          <w:p>
            <w:pPr>
              <w:spacing w:after="0"/>
              <w:rPr>
                <w:sz w:val="5"/>
                <w:szCs w:val="5"/>
                <w:color w:val="auto"/>
              </w:rPr>
            </w:pPr>
          </w:p>
        </w:tc>
        <w:tc>
          <w:tcPr>
            <w:tcW w:w="800" w:type="dxa"/>
            <w:vAlign w:val="bottom"/>
            <w:shd w:val="clear" w:color="auto" w:fill="DCF3FA"/>
          </w:tcPr>
          <w:p>
            <w:pPr>
              <w:spacing w:after="0"/>
              <w:rPr>
                <w:sz w:val="5"/>
                <w:szCs w:val="5"/>
                <w:color w:val="auto"/>
              </w:rPr>
            </w:pPr>
          </w:p>
        </w:tc>
        <w:tc>
          <w:tcPr>
            <w:tcW w:w="620" w:type="dxa"/>
            <w:vAlign w:val="bottom"/>
            <w:vMerge w:val="restart"/>
            <w:shd w:val="clear" w:color="auto" w:fill="DCF3FA"/>
          </w:tcPr>
          <w:p>
            <w:pPr>
              <w:jc w:val="right"/>
              <w:ind w:right="36"/>
              <w:spacing w:after="0" w:line="166" w:lineRule="exact"/>
              <w:rPr>
                <w:sz w:val="20"/>
                <w:szCs w:val="20"/>
                <w:color w:val="auto"/>
              </w:rPr>
            </w:pPr>
            <w:r>
              <w:rPr>
                <w:rFonts w:ascii="Calibri" w:cs="Calibri" w:eastAsia="Calibri" w:hAnsi="Calibri"/>
                <w:sz w:val="14"/>
                <w:szCs w:val="14"/>
                <w:color w:val="auto"/>
              </w:rPr>
              <w:t>2,640</w:t>
            </w:r>
          </w:p>
        </w:tc>
        <w:tc>
          <w:tcPr>
            <w:tcW w:w="680" w:type="dxa"/>
            <w:vAlign w:val="bottom"/>
            <w:vMerge w:val="restart"/>
            <w:shd w:val="clear" w:color="auto" w:fill="DCF3FA"/>
          </w:tcPr>
          <w:p>
            <w:pPr>
              <w:jc w:val="right"/>
              <w:spacing w:after="0" w:line="195" w:lineRule="exact"/>
              <w:rPr>
                <w:sz w:val="20"/>
                <w:szCs w:val="20"/>
                <w:color w:val="auto"/>
              </w:rPr>
            </w:pPr>
            <w:r>
              <w:rPr>
                <w:rFonts w:ascii="Calibri" w:cs="Calibri" w:eastAsia="Calibri" w:hAnsi="Calibri"/>
                <w:sz w:val="14"/>
                <w:szCs w:val="14"/>
                <w:color w:val="auto"/>
              </w:rPr>
              <w:t>10,560</w:t>
            </w:r>
            <w:r>
              <w:rPr>
                <w:rFonts w:ascii="Calibri" w:cs="Calibri" w:eastAsia="Calibri" w:hAnsi="Calibri"/>
                <w:sz w:val="20"/>
                <w:szCs w:val="20"/>
                <w:color w:val="auto"/>
                <w:vertAlign w:val="superscript"/>
              </w:rPr>
              <w:t>(2)</w:t>
            </w:r>
          </w:p>
        </w:tc>
        <w:tc>
          <w:tcPr>
            <w:tcW w:w="620" w:type="dxa"/>
            <w:vAlign w:val="bottom"/>
            <w:vMerge w:val="restart"/>
            <w:shd w:val="clear" w:color="auto" w:fill="DCF3FA"/>
          </w:tcPr>
          <w:p>
            <w:pPr>
              <w:jc w:val="right"/>
              <w:ind w:right="14"/>
              <w:spacing w:after="0" w:line="166" w:lineRule="exact"/>
              <w:rPr>
                <w:sz w:val="20"/>
                <w:szCs w:val="20"/>
                <w:color w:val="auto"/>
              </w:rPr>
            </w:pPr>
            <w:r>
              <w:rPr>
                <w:rFonts w:ascii="Calibri" w:cs="Calibri" w:eastAsia="Calibri" w:hAnsi="Calibri"/>
                <w:sz w:val="14"/>
                <w:szCs w:val="14"/>
                <w:color w:val="auto"/>
              </w:rPr>
              <w:t>21,120</w:t>
            </w:r>
          </w:p>
        </w:tc>
        <w:tc>
          <w:tcPr>
            <w:tcW w:w="840" w:type="dxa"/>
            <w:vAlign w:val="bottom"/>
            <w:shd w:val="clear" w:color="auto" w:fill="DCF3FA"/>
          </w:tcPr>
          <w:p>
            <w:pPr>
              <w:spacing w:after="0"/>
              <w:rPr>
                <w:sz w:val="5"/>
                <w:szCs w:val="5"/>
                <w:color w:val="auto"/>
              </w:rPr>
            </w:pPr>
          </w:p>
        </w:tc>
        <w:tc>
          <w:tcPr>
            <w:tcW w:w="700" w:type="dxa"/>
            <w:vAlign w:val="bottom"/>
            <w:shd w:val="clear" w:color="auto" w:fill="DCF3FA"/>
          </w:tcPr>
          <w:p>
            <w:pPr>
              <w:spacing w:after="0"/>
              <w:rPr>
                <w:sz w:val="5"/>
                <w:szCs w:val="5"/>
                <w:color w:val="auto"/>
              </w:rPr>
            </w:pPr>
          </w:p>
        </w:tc>
        <w:tc>
          <w:tcPr>
            <w:tcW w:w="540" w:type="dxa"/>
            <w:vAlign w:val="bottom"/>
            <w:shd w:val="clear" w:color="auto" w:fill="DCF3FA"/>
          </w:tcPr>
          <w:p>
            <w:pPr>
              <w:spacing w:after="0"/>
              <w:rPr>
                <w:sz w:val="5"/>
                <w:szCs w:val="5"/>
                <w:color w:val="auto"/>
              </w:rPr>
            </w:pPr>
          </w:p>
        </w:tc>
        <w:tc>
          <w:tcPr>
            <w:tcW w:w="1000" w:type="dxa"/>
            <w:vAlign w:val="bottom"/>
            <w:vMerge w:val="restart"/>
            <w:shd w:val="clear" w:color="auto" w:fill="DCF3FA"/>
          </w:tcPr>
          <w:p>
            <w:pPr>
              <w:jc w:val="right"/>
              <w:ind w:right="95"/>
              <w:spacing w:after="0" w:line="166" w:lineRule="exact"/>
              <w:rPr>
                <w:sz w:val="20"/>
                <w:szCs w:val="20"/>
                <w:color w:val="auto"/>
              </w:rPr>
            </w:pPr>
            <w:r>
              <w:rPr>
                <w:rFonts w:ascii="Calibri" w:cs="Calibri" w:eastAsia="Calibri" w:hAnsi="Calibri"/>
                <w:sz w:val="14"/>
                <w:szCs w:val="14"/>
                <w:color w:val="auto"/>
              </w:rPr>
              <w:t>364,954</w:t>
            </w:r>
          </w:p>
        </w:tc>
        <w:tc>
          <w:tcPr>
            <w:tcW w:w="0" w:type="dxa"/>
            <w:vAlign w:val="bottom"/>
          </w:tcPr>
          <w:p>
            <w:pPr>
              <w:spacing w:after="0"/>
              <w:rPr>
                <w:sz w:val="1"/>
                <w:szCs w:val="1"/>
                <w:color w:val="auto"/>
              </w:rPr>
            </w:pPr>
          </w:p>
        </w:tc>
      </w:tr>
      <w:tr>
        <w:trPr>
          <w:trHeight w:val="135"/>
        </w:trPr>
        <w:tc>
          <w:tcPr>
            <w:tcW w:w="2420" w:type="dxa"/>
            <w:vAlign w:val="bottom"/>
            <w:vMerge w:val="restart"/>
            <w:shd w:val="clear" w:color="auto" w:fill="DCF3FA"/>
          </w:tcPr>
          <w:p>
            <w:pPr>
              <w:spacing w:after="0" w:line="169" w:lineRule="exact"/>
              <w:rPr>
                <w:sz w:val="20"/>
                <w:szCs w:val="20"/>
                <w:color w:val="auto"/>
              </w:rPr>
            </w:pPr>
            <w:r>
              <w:rPr>
                <w:rFonts w:ascii="Calibri" w:cs="Calibri" w:eastAsia="Calibri" w:hAnsi="Calibri"/>
                <w:sz w:val="14"/>
                <w:szCs w:val="14"/>
                <w:b w:val="1"/>
                <w:bCs w:val="1"/>
                <w:color w:val="auto"/>
              </w:rPr>
              <w:t>  Jetley</w:t>
            </w:r>
          </w:p>
        </w:tc>
        <w:tc>
          <w:tcPr>
            <w:tcW w:w="120" w:type="dxa"/>
            <w:vAlign w:val="bottom"/>
            <w:shd w:val="clear" w:color="auto" w:fill="DCF3FA"/>
          </w:tcPr>
          <w:p>
            <w:pPr>
              <w:spacing w:after="0"/>
              <w:rPr>
                <w:sz w:val="11"/>
                <w:szCs w:val="11"/>
                <w:color w:val="auto"/>
              </w:rPr>
            </w:pPr>
          </w:p>
        </w:tc>
        <w:tc>
          <w:tcPr>
            <w:tcW w:w="600" w:type="dxa"/>
            <w:vAlign w:val="bottom"/>
            <w:vMerge w:val="continue"/>
            <w:shd w:val="clear" w:color="auto" w:fill="DCF3FA"/>
          </w:tcPr>
          <w:p>
            <w:pPr>
              <w:spacing w:after="0"/>
              <w:rPr>
                <w:sz w:val="11"/>
                <w:szCs w:val="11"/>
                <w:color w:val="auto"/>
              </w:rPr>
            </w:pPr>
          </w:p>
        </w:tc>
        <w:tc>
          <w:tcPr>
            <w:tcW w:w="100" w:type="dxa"/>
            <w:vAlign w:val="bottom"/>
            <w:shd w:val="clear" w:color="auto" w:fill="DCF3FA"/>
          </w:tcPr>
          <w:p>
            <w:pPr>
              <w:spacing w:after="0"/>
              <w:rPr>
                <w:sz w:val="11"/>
                <w:szCs w:val="11"/>
                <w:color w:val="auto"/>
              </w:rPr>
            </w:pPr>
          </w:p>
        </w:tc>
        <w:tc>
          <w:tcPr>
            <w:tcW w:w="700" w:type="dxa"/>
            <w:vAlign w:val="bottom"/>
            <w:shd w:val="clear" w:color="auto" w:fill="DCF3FA"/>
          </w:tcPr>
          <w:p>
            <w:pPr>
              <w:spacing w:after="0"/>
              <w:rPr>
                <w:sz w:val="11"/>
                <w:szCs w:val="11"/>
                <w:color w:val="auto"/>
              </w:rPr>
            </w:pPr>
          </w:p>
        </w:tc>
        <w:tc>
          <w:tcPr>
            <w:tcW w:w="880" w:type="dxa"/>
            <w:vAlign w:val="bottom"/>
            <w:shd w:val="clear" w:color="auto" w:fill="DCF3FA"/>
          </w:tcPr>
          <w:p>
            <w:pPr>
              <w:spacing w:after="0"/>
              <w:rPr>
                <w:sz w:val="11"/>
                <w:szCs w:val="11"/>
                <w:color w:val="auto"/>
              </w:rPr>
            </w:pPr>
          </w:p>
        </w:tc>
        <w:tc>
          <w:tcPr>
            <w:tcW w:w="800" w:type="dxa"/>
            <w:vAlign w:val="bottom"/>
            <w:shd w:val="clear" w:color="auto" w:fill="DCF3FA"/>
          </w:tcPr>
          <w:p>
            <w:pPr>
              <w:spacing w:after="0"/>
              <w:rPr>
                <w:sz w:val="11"/>
                <w:szCs w:val="11"/>
                <w:color w:val="auto"/>
              </w:rPr>
            </w:pPr>
          </w:p>
        </w:tc>
        <w:tc>
          <w:tcPr>
            <w:tcW w:w="620" w:type="dxa"/>
            <w:vAlign w:val="bottom"/>
            <w:vMerge w:val="continue"/>
            <w:shd w:val="clear" w:color="auto" w:fill="DCF3FA"/>
          </w:tcPr>
          <w:p>
            <w:pPr>
              <w:spacing w:after="0"/>
              <w:rPr>
                <w:sz w:val="11"/>
                <w:szCs w:val="11"/>
                <w:color w:val="auto"/>
              </w:rPr>
            </w:pPr>
          </w:p>
        </w:tc>
        <w:tc>
          <w:tcPr>
            <w:tcW w:w="680" w:type="dxa"/>
            <w:vAlign w:val="bottom"/>
            <w:vMerge w:val="continue"/>
            <w:shd w:val="clear" w:color="auto" w:fill="DCF3FA"/>
          </w:tcPr>
          <w:p>
            <w:pPr>
              <w:spacing w:after="0"/>
              <w:rPr>
                <w:sz w:val="11"/>
                <w:szCs w:val="11"/>
                <w:color w:val="auto"/>
              </w:rPr>
            </w:pPr>
          </w:p>
        </w:tc>
        <w:tc>
          <w:tcPr>
            <w:tcW w:w="620" w:type="dxa"/>
            <w:vAlign w:val="bottom"/>
            <w:vMerge w:val="continue"/>
            <w:shd w:val="clear" w:color="auto" w:fill="DCF3FA"/>
          </w:tcPr>
          <w:p>
            <w:pPr>
              <w:spacing w:after="0"/>
              <w:rPr>
                <w:sz w:val="11"/>
                <w:szCs w:val="11"/>
                <w:color w:val="auto"/>
              </w:rPr>
            </w:pPr>
          </w:p>
        </w:tc>
        <w:tc>
          <w:tcPr>
            <w:tcW w:w="840" w:type="dxa"/>
            <w:vAlign w:val="bottom"/>
            <w:shd w:val="clear" w:color="auto" w:fill="DCF3FA"/>
          </w:tcPr>
          <w:p>
            <w:pPr>
              <w:spacing w:after="0"/>
              <w:rPr>
                <w:sz w:val="11"/>
                <w:szCs w:val="11"/>
                <w:color w:val="auto"/>
              </w:rPr>
            </w:pPr>
          </w:p>
        </w:tc>
        <w:tc>
          <w:tcPr>
            <w:tcW w:w="700" w:type="dxa"/>
            <w:vAlign w:val="bottom"/>
            <w:shd w:val="clear" w:color="auto" w:fill="DCF3FA"/>
          </w:tcPr>
          <w:p>
            <w:pPr>
              <w:spacing w:after="0"/>
              <w:rPr>
                <w:sz w:val="11"/>
                <w:szCs w:val="11"/>
                <w:color w:val="auto"/>
              </w:rPr>
            </w:pPr>
          </w:p>
        </w:tc>
        <w:tc>
          <w:tcPr>
            <w:tcW w:w="540" w:type="dxa"/>
            <w:vAlign w:val="bottom"/>
            <w:shd w:val="clear" w:color="auto" w:fill="DCF3FA"/>
          </w:tcPr>
          <w:p>
            <w:pPr>
              <w:spacing w:after="0"/>
              <w:rPr>
                <w:sz w:val="11"/>
                <w:szCs w:val="11"/>
                <w:color w:val="auto"/>
              </w:rPr>
            </w:pPr>
          </w:p>
        </w:tc>
        <w:tc>
          <w:tcPr>
            <w:tcW w:w="1000" w:type="dxa"/>
            <w:vAlign w:val="bottom"/>
            <w:vMerge w:val="continue"/>
            <w:shd w:val="clear" w:color="auto" w:fill="DCF3FA"/>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420" w:type="dxa"/>
            <w:vAlign w:val="bottom"/>
            <w:vMerge w:val="continue"/>
            <w:shd w:val="clear" w:color="auto" w:fill="DCF3FA"/>
          </w:tcPr>
          <w:p>
            <w:pPr>
              <w:spacing w:after="0"/>
              <w:rPr>
                <w:sz w:val="2"/>
                <w:szCs w:val="2"/>
                <w:color w:val="auto"/>
              </w:rPr>
            </w:pPr>
          </w:p>
        </w:tc>
        <w:tc>
          <w:tcPr>
            <w:tcW w:w="120" w:type="dxa"/>
            <w:vAlign w:val="bottom"/>
            <w:shd w:val="clear" w:color="auto" w:fill="DCF3FA"/>
          </w:tcPr>
          <w:p>
            <w:pPr>
              <w:spacing w:after="0"/>
              <w:rPr>
                <w:sz w:val="2"/>
                <w:szCs w:val="2"/>
                <w:color w:val="auto"/>
              </w:rPr>
            </w:pPr>
          </w:p>
        </w:tc>
        <w:tc>
          <w:tcPr>
            <w:tcW w:w="600" w:type="dxa"/>
            <w:vAlign w:val="bottom"/>
            <w:vMerge w:val="restart"/>
            <w:shd w:val="clear" w:color="auto" w:fill="DCF3FA"/>
          </w:tcPr>
          <w:p>
            <w:pPr>
              <w:jc w:val="right"/>
              <w:spacing w:after="0" w:line="166" w:lineRule="exact"/>
              <w:rPr>
                <w:sz w:val="20"/>
                <w:szCs w:val="20"/>
                <w:color w:val="auto"/>
              </w:rPr>
            </w:pPr>
            <w:r>
              <w:rPr>
                <w:rFonts w:ascii="Calibri" w:cs="Calibri" w:eastAsia="Calibri" w:hAnsi="Calibri"/>
                <w:sz w:val="14"/>
                <w:szCs w:val="14"/>
                <w:color w:val="auto"/>
                <w:w w:val="95"/>
              </w:rPr>
              <w:t>2/15/2023</w:t>
            </w:r>
          </w:p>
        </w:tc>
        <w:tc>
          <w:tcPr>
            <w:tcW w:w="100" w:type="dxa"/>
            <w:vAlign w:val="bottom"/>
            <w:shd w:val="clear" w:color="auto" w:fill="DCF3FA"/>
          </w:tcPr>
          <w:p>
            <w:pPr>
              <w:spacing w:after="0"/>
              <w:rPr>
                <w:sz w:val="2"/>
                <w:szCs w:val="2"/>
                <w:color w:val="auto"/>
              </w:rPr>
            </w:pPr>
          </w:p>
        </w:tc>
        <w:tc>
          <w:tcPr>
            <w:tcW w:w="700" w:type="dxa"/>
            <w:vAlign w:val="bottom"/>
            <w:shd w:val="clear" w:color="auto" w:fill="DCF3FA"/>
          </w:tcPr>
          <w:p>
            <w:pPr>
              <w:spacing w:after="0"/>
              <w:rPr>
                <w:sz w:val="2"/>
                <w:szCs w:val="2"/>
                <w:color w:val="auto"/>
              </w:rPr>
            </w:pPr>
          </w:p>
        </w:tc>
        <w:tc>
          <w:tcPr>
            <w:tcW w:w="880" w:type="dxa"/>
            <w:vAlign w:val="bottom"/>
            <w:shd w:val="clear" w:color="auto" w:fill="DCF3FA"/>
          </w:tcPr>
          <w:p>
            <w:pPr>
              <w:spacing w:after="0"/>
              <w:rPr>
                <w:sz w:val="2"/>
                <w:szCs w:val="2"/>
                <w:color w:val="auto"/>
              </w:rPr>
            </w:pPr>
          </w:p>
        </w:tc>
        <w:tc>
          <w:tcPr>
            <w:tcW w:w="800" w:type="dxa"/>
            <w:vAlign w:val="bottom"/>
            <w:shd w:val="clear" w:color="auto" w:fill="DCF3FA"/>
          </w:tcPr>
          <w:p>
            <w:pPr>
              <w:spacing w:after="0"/>
              <w:rPr>
                <w:sz w:val="2"/>
                <w:szCs w:val="2"/>
                <w:color w:val="auto"/>
              </w:rPr>
            </w:pPr>
          </w:p>
        </w:tc>
        <w:tc>
          <w:tcPr>
            <w:tcW w:w="620" w:type="dxa"/>
            <w:vAlign w:val="bottom"/>
            <w:vMerge w:val="restart"/>
            <w:shd w:val="clear" w:color="auto" w:fill="DCF3FA"/>
          </w:tcPr>
          <w:p>
            <w:pPr>
              <w:jc w:val="right"/>
              <w:ind w:right="36"/>
              <w:spacing w:after="0" w:line="166" w:lineRule="exact"/>
              <w:rPr>
                <w:sz w:val="20"/>
                <w:szCs w:val="20"/>
                <w:color w:val="auto"/>
              </w:rPr>
            </w:pPr>
            <w:r>
              <w:rPr>
                <w:rFonts w:ascii="Calibri" w:cs="Calibri" w:eastAsia="Calibri" w:hAnsi="Calibri"/>
                <w:sz w:val="14"/>
                <w:szCs w:val="14"/>
                <w:color w:val="auto"/>
              </w:rPr>
              <w:t>527</w:t>
            </w:r>
          </w:p>
        </w:tc>
        <w:tc>
          <w:tcPr>
            <w:tcW w:w="680" w:type="dxa"/>
            <w:vAlign w:val="bottom"/>
            <w:vMerge w:val="restart"/>
            <w:shd w:val="clear" w:color="auto" w:fill="DCF3FA"/>
          </w:tcPr>
          <w:p>
            <w:pPr>
              <w:jc w:val="right"/>
              <w:spacing w:after="0" w:line="195" w:lineRule="exact"/>
              <w:rPr>
                <w:sz w:val="20"/>
                <w:szCs w:val="20"/>
                <w:color w:val="auto"/>
              </w:rPr>
            </w:pPr>
            <w:r>
              <w:rPr>
                <w:rFonts w:ascii="Calibri" w:cs="Calibri" w:eastAsia="Calibri" w:hAnsi="Calibri"/>
                <w:sz w:val="14"/>
                <w:szCs w:val="14"/>
                <w:color w:val="auto"/>
              </w:rPr>
              <w:t>15,840</w:t>
            </w:r>
            <w:r>
              <w:rPr>
                <w:rFonts w:ascii="Calibri" w:cs="Calibri" w:eastAsia="Calibri" w:hAnsi="Calibri"/>
                <w:sz w:val="20"/>
                <w:szCs w:val="20"/>
                <w:color w:val="auto"/>
                <w:vertAlign w:val="superscript"/>
              </w:rPr>
              <w:t>(3)</w:t>
            </w:r>
          </w:p>
        </w:tc>
        <w:tc>
          <w:tcPr>
            <w:tcW w:w="620" w:type="dxa"/>
            <w:vAlign w:val="bottom"/>
            <w:vMerge w:val="restart"/>
            <w:shd w:val="clear" w:color="auto" w:fill="DCF3FA"/>
          </w:tcPr>
          <w:p>
            <w:pPr>
              <w:jc w:val="right"/>
              <w:ind w:right="14"/>
              <w:spacing w:after="0" w:line="166" w:lineRule="exact"/>
              <w:rPr>
                <w:sz w:val="20"/>
                <w:szCs w:val="20"/>
                <w:color w:val="auto"/>
              </w:rPr>
            </w:pPr>
            <w:r>
              <w:rPr>
                <w:rFonts w:ascii="Calibri" w:cs="Calibri" w:eastAsia="Calibri" w:hAnsi="Calibri"/>
                <w:sz w:val="14"/>
                <w:szCs w:val="14"/>
                <w:color w:val="auto"/>
              </w:rPr>
              <w:t>31,680</w:t>
            </w:r>
          </w:p>
        </w:tc>
        <w:tc>
          <w:tcPr>
            <w:tcW w:w="840" w:type="dxa"/>
            <w:vAlign w:val="bottom"/>
            <w:shd w:val="clear" w:color="auto" w:fill="DCF3FA"/>
          </w:tcPr>
          <w:p>
            <w:pPr>
              <w:spacing w:after="0"/>
              <w:rPr>
                <w:sz w:val="2"/>
                <w:szCs w:val="2"/>
                <w:color w:val="auto"/>
              </w:rPr>
            </w:pPr>
          </w:p>
        </w:tc>
        <w:tc>
          <w:tcPr>
            <w:tcW w:w="700" w:type="dxa"/>
            <w:vAlign w:val="bottom"/>
            <w:shd w:val="clear" w:color="auto" w:fill="DCF3FA"/>
          </w:tcPr>
          <w:p>
            <w:pPr>
              <w:spacing w:after="0"/>
              <w:rPr>
                <w:sz w:val="2"/>
                <w:szCs w:val="2"/>
                <w:color w:val="auto"/>
              </w:rPr>
            </w:pPr>
          </w:p>
        </w:tc>
        <w:tc>
          <w:tcPr>
            <w:tcW w:w="540" w:type="dxa"/>
            <w:vAlign w:val="bottom"/>
            <w:shd w:val="clear" w:color="auto" w:fill="DCF3FA"/>
          </w:tcPr>
          <w:p>
            <w:pPr>
              <w:spacing w:after="0"/>
              <w:rPr>
                <w:sz w:val="2"/>
                <w:szCs w:val="2"/>
                <w:color w:val="auto"/>
              </w:rPr>
            </w:pPr>
          </w:p>
        </w:tc>
        <w:tc>
          <w:tcPr>
            <w:tcW w:w="1000" w:type="dxa"/>
            <w:vAlign w:val="bottom"/>
            <w:vMerge w:val="restart"/>
            <w:shd w:val="clear" w:color="auto" w:fill="DCF3FA"/>
          </w:tcPr>
          <w:p>
            <w:pPr>
              <w:jc w:val="right"/>
              <w:spacing w:after="0" w:line="195" w:lineRule="exact"/>
              <w:rPr>
                <w:sz w:val="20"/>
                <w:szCs w:val="20"/>
                <w:color w:val="auto"/>
              </w:rPr>
            </w:pPr>
            <w:r>
              <w:rPr>
                <w:rFonts w:ascii="Calibri" w:cs="Calibri" w:eastAsia="Calibri" w:hAnsi="Calibri"/>
                <w:sz w:val="14"/>
                <w:szCs w:val="14"/>
                <w:color w:val="auto"/>
              </w:rPr>
              <w:t>708,396</w:t>
            </w:r>
            <w:r>
              <w:rPr>
                <w:rFonts w:ascii="Calibri" w:cs="Calibri" w:eastAsia="Calibri" w:hAnsi="Calibri"/>
                <w:sz w:val="20"/>
                <w:szCs w:val="20"/>
                <w:color w:val="auto"/>
                <w:vertAlign w:val="superscript"/>
              </w:rPr>
              <w:t>(6)</w:t>
            </w:r>
          </w:p>
        </w:tc>
        <w:tc>
          <w:tcPr>
            <w:tcW w:w="0" w:type="dxa"/>
            <w:vAlign w:val="bottom"/>
          </w:tcPr>
          <w:p>
            <w:pPr>
              <w:spacing w:after="0" w:line="20" w:lineRule="exact"/>
              <w:rPr>
                <w:sz w:val="1"/>
                <w:szCs w:val="1"/>
                <w:color w:val="auto"/>
              </w:rPr>
            </w:pPr>
          </w:p>
        </w:tc>
      </w:tr>
      <w:tr>
        <w:trPr>
          <w:trHeight w:val="161"/>
        </w:trPr>
        <w:tc>
          <w:tcPr>
            <w:tcW w:w="2420" w:type="dxa"/>
            <w:vAlign w:val="bottom"/>
            <w:shd w:val="clear" w:color="auto" w:fill="DCF3FA"/>
          </w:tcPr>
          <w:p>
            <w:pPr>
              <w:spacing w:after="0"/>
              <w:rPr>
                <w:sz w:val="14"/>
                <w:szCs w:val="14"/>
                <w:color w:val="auto"/>
              </w:rPr>
            </w:pPr>
          </w:p>
        </w:tc>
        <w:tc>
          <w:tcPr>
            <w:tcW w:w="120" w:type="dxa"/>
            <w:vAlign w:val="bottom"/>
            <w:shd w:val="clear" w:color="auto" w:fill="DCF3FA"/>
          </w:tcPr>
          <w:p>
            <w:pPr>
              <w:spacing w:after="0"/>
              <w:rPr>
                <w:sz w:val="14"/>
                <w:szCs w:val="14"/>
                <w:color w:val="auto"/>
              </w:rPr>
            </w:pPr>
          </w:p>
        </w:tc>
        <w:tc>
          <w:tcPr>
            <w:tcW w:w="600" w:type="dxa"/>
            <w:vAlign w:val="bottom"/>
            <w:vMerge w:val="continue"/>
            <w:shd w:val="clear" w:color="auto" w:fill="DCF3FA"/>
          </w:tcPr>
          <w:p>
            <w:pPr>
              <w:spacing w:after="0"/>
              <w:rPr>
                <w:sz w:val="14"/>
                <w:szCs w:val="14"/>
                <w:color w:val="auto"/>
              </w:rPr>
            </w:pPr>
          </w:p>
        </w:tc>
        <w:tc>
          <w:tcPr>
            <w:tcW w:w="100" w:type="dxa"/>
            <w:vAlign w:val="bottom"/>
            <w:shd w:val="clear" w:color="auto" w:fill="DCF3FA"/>
          </w:tcPr>
          <w:p>
            <w:pPr>
              <w:spacing w:after="0"/>
              <w:rPr>
                <w:sz w:val="14"/>
                <w:szCs w:val="14"/>
                <w:color w:val="auto"/>
              </w:rPr>
            </w:pPr>
          </w:p>
        </w:tc>
        <w:tc>
          <w:tcPr>
            <w:tcW w:w="700" w:type="dxa"/>
            <w:vAlign w:val="bottom"/>
            <w:shd w:val="clear" w:color="auto" w:fill="DCF3FA"/>
          </w:tcPr>
          <w:p>
            <w:pPr>
              <w:spacing w:after="0"/>
              <w:rPr>
                <w:sz w:val="14"/>
                <w:szCs w:val="14"/>
                <w:color w:val="auto"/>
              </w:rPr>
            </w:pPr>
          </w:p>
        </w:tc>
        <w:tc>
          <w:tcPr>
            <w:tcW w:w="880" w:type="dxa"/>
            <w:vAlign w:val="bottom"/>
            <w:shd w:val="clear" w:color="auto" w:fill="DCF3FA"/>
          </w:tcPr>
          <w:p>
            <w:pPr>
              <w:spacing w:after="0"/>
              <w:rPr>
                <w:sz w:val="14"/>
                <w:szCs w:val="14"/>
                <w:color w:val="auto"/>
              </w:rPr>
            </w:pPr>
          </w:p>
        </w:tc>
        <w:tc>
          <w:tcPr>
            <w:tcW w:w="800" w:type="dxa"/>
            <w:vAlign w:val="bottom"/>
            <w:shd w:val="clear" w:color="auto" w:fill="DCF3FA"/>
          </w:tcPr>
          <w:p>
            <w:pPr>
              <w:spacing w:after="0"/>
              <w:rPr>
                <w:sz w:val="14"/>
                <w:szCs w:val="14"/>
                <w:color w:val="auto"/>
              </w:rPr>
            </w:pPr>
          </w:p>
        </w:tc>
        <w:tc>
          <w:tcPr>
            <w:tcW w:w="620" w:type="dxa"/>
            <w:vAlign w:val="bottom"/>
            <w:vMerge w:val="continue"/>
            <w:shd w:val="clear" w:color="auto" w:fill="DCF3FA"/>
          </w:tcPr>
          <w:p>
            <w:pPr>
              <w:spacing w:after="0"/>
              <w:rPr>
                <w:sz w:val="14"/>
                <w:szCs w:val="14"/>
                <w:color w:val="auto"/>
              </w:rPr>
            </w:pPr>
          </w:p>
        </w:tc>
        <w:tc>
          <w:tcPr>
            <w:tcW w:w="680" w:type="dxa"/>
            <w:vAlign w:val="bottom"/>
            <w:vMerge w:val="continue"/>
            <w:shd w:val="clear" w:color="auto" w:fill="DCF3FA"/>
          </w:tcPr>
          <w:p>
            <w:pPr>
              <w:spacing w:after="0"/>
              <w:rPr>
                <w:sz w:val="14"/>
                <w:szCs w:val="14"/>
                <w:color w:val="auto"/>
              </w:rPr>
            </w:pPr>
          </w:p>
        </w:tc>
        <w:tc>
          <w:tcPr>
            <w:tcW w:w="620" w:type="dxa"/>
            <w:vAlign w:val="bottom"/>
            <w:vMerge w:val="continue"/>
            <w:shd w:val="clear" w:color="auto" w:fill="DCF3FA"/>
          </w:tcPr>
          <w:p>
            <w:pPr>
              <w:spacing w:after="0"/>
              <w:rPr>
                <w:sz w:val="14"/>
                <w:szCs w:val="14"/>
                <w:color w:val="auto"/>
              </w:rPr>
            </w:pPr>
          </w:p>
        </w:tc>
        <w:tc>
          <w:tcPr>
            <w:tcW w:w="840" w:type="dxa"/>
            <w:vAlign w:val="bottom"/>
            <w:shd w:val="clear" w:color="auto" w:fill="DCF3FA"/>
          </w:tcPr>
          <w:p>
            <w:pPr>
              <w:spacing w:after="0"/>
              <w:rPr>
                <w:sz w:val="14"/>
                <w:szCs w:val="14"/>
                <w:color w:val="auto"/>
              </w:rPr>
            </w:pPr>
          </w:p>
        </w:tc>
        <w:tc>
          <w:tcPr>
            <w:tcW w:w="700" w:type="dxa"/>
            <w:vAlign w:val="bottom"/>
            <w:shd w:val="clear" w:color="auto" w:fill="DCF3FA"/>
          </w:tcPr>
          <w:p>
            <w:pPr>
              <w:spacing w:after="0"/>
              <w:rPr>
                <w:sz w:val="14"/>
                <w:szCs w:val="14"/>
                <w:color w:val="auto"/>
              </w:rPr>
            </w:pPr>
          </w:p>
        </w:tc>
        <w:tc>
          <w:tcPr>
            <w:tcW w:w="540" w:type="dxa"/>
            <w:vAlign w:val="bottom"/>
            <w:shd w:val="clear" w:color="auto" w:fill="DCF3FA"/>
          </w:tcPr>
          <w:p>
            <w:pPr>
              <w:spacing w:after="0"/>
              <w:rPr>
                <w:sz w:val="14"/>
                <w:szCs w:val="14"/>
                <w:color w:val="auto"/>
              </w:rPr>
            </w:pPr>
          </w:p>
        </w:tc>
        <w:tc>
          <w:tcPr>
            <w:tcW w:w="1000" w:type="dxa"/>
            <w:vAlign w:val="bottom"/>
            <w:vMerge w:val="continue"/>
            <w:shd w:val="clear" w:color="auto" w:fill="DCF3FA"/>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420" w:type="dxa"/>
            <w:vAlign w:val="bottom"/>
            <w:shd w:val="clear" w:color="auto" w:fill="DCF3FA"/>
          </w:tcPr>
          <w:p>
            <w:pPr>
              <w:spacing w:after="0"/>
              <w:rPr>
                <w:sz w:val="16"/>
                <w:szCs w:val="16"/>
                <w:color w:val="auto"/>
              </w:rPr>
            </w:pPr>
          </w:p>
        </w:tc>
        <w:tc>
          <w:tcPr>
            <w:tcW w:w="120" w:type="dxa"/>
            <w:vAlign w:val="bottom"/>
            <w:shd w:val="clear" w:color="auto" w:fill="DCF3FA"/>
          </w:tcPr>
          <w:p>
            <w:pPr>
              <w:spacing w:after="0"/>
              <w:rPr>
                <w:sz w:val="16"/>
                <w:szCs w:val="16"/>
                <w:color w:val="auto"/>
              </w:rPr>
            </w:pPr>
          </w:p>
        </w:tc>
        <w:tc>
          <w:tcPr>
            <w:tcW w:w="600" w:type="dxa"/>
            <w:vAlign w:val="bottom"/>
            <w:shd w:val="clear" w:color="auto" w:fill="DCF3FA"/>
          </w:tcPr>
          <w:p>
            <w:pPr>
              <w:jc w:val="right"/>
              <w:spacing w:after="0" w:line="166" w:lineRule="exact"/>
              <w:rPr>
                <w:sz w:val="20"/>
                <w:szCs w:val="20"/>
                <w:color w:val="auto"/>
              </w:rPr>
            </w:pPr>
            <w:r>
              <w:rPr>
                <w:rFonts w:ascii="Calibri" w:cs="Calibri" w:eastAsia="Calibri" w:hAnsi="Calibri"/>
                <w:sz w:val="14"/>
                <w:szCs w:val="14"/>
                <w:color w:val="auto"/>
                <w:w w:val="95"/>
              </w:rPr>
              <w:t>6/21/2023</w:t>
            </w:r>
          </w:p>
        </w:tc>
        <w:tc>
          <w:tcPr>
            <w:tcW w:w="100" w:type="dxa"/>
            <w:vAlign w:val="bottom"/>
            <w:shd w:val="clear" w:color="auto" w:fill="DCF3FA"/>
          </w:tcPr>
          <w:p>
            <w:pPr>
              <w:spacing w:after="0"/>
              <w:rPr>
                <w:sz w:val="16"/>
                <w:szCs w:val="16"/>
                <w:color w:val="auto"/>
              </w:rPr>
            </w:pPr>
          </w:p>
        </w:tc>
        <w:tc>
          <w:tcPr>
            <w:tcW w:w="700" w:type="dxa"/>
            <w:vAlign w:val="bottom"/>
            <w:shd w:val="clear" w:color="auto" w:fill="DCF3FA"/>
          </w:tcPr>
          <w:p>
            <w:pPr>
              <w:spacing w:after="0"/>
              <w:rPr>
                <w:sz w:val="16"/>
                <w:szCs w:val="16"/>
                <w:color w:val="auto"/>
              </w:rPr>
            </w:pPr>
          </w:p>
        </w:tc>
        <w:tc>
          <w:tcPr>
            <w:tcW w:w="880" w:type="dxa"/>
            <w:vAlign w:val="bottom"/>
            <w:shd w:val="clear" w:color="auto" w:fill="DCF3FA"/>
          </w:tcPr>
          <w:p>
            <w:pPr>
              <w:spacing w:after="0"/>
              <w:rPr>
                <w:sz w:val="16"/>
                <w:szCs w:val="16"/>
                <w:color w:val="auto"/>
              </w:rPr>
            </w:pPr>
          </w:p>
        </w:tc>
        <w:tc>
          <w:tcPr>
            <w:tcW w:w="800" w:type="dxa"/>
            <w:vAlign w:val="bottom"/>
            <w:shd w:val="clear" w:color="auto" w:fill="DCF3FA"/>
          </w:tcPr>
          <w:p>
            <w:pPr>
              <w:spacing w:after="0"/>
              <w:rPr>
                <w:sz w:val="16"/>
                <w:szCs w:val="16"/>
                <w:color w:val="auto"/>
              </w:rPr>
            </w:pPr>
          </w:p>
        </w:tc>
        <w:tc>
          <w:tcPr>
            <w:tcW w:w="620" w:type="dxa"/>
            <w:vAlign w:val="bottom"/>
            <w:shd w:val="clear" w:color="auto" w:fill="DCF3FA"/>
          </w:tcPr>
          <w:p>
            <w:pPr>
              <w:spacing w:after="0"/>
              <w:rPr>
                <w:sz w:val="16"/>
                <w:szCs w:val="16"/>
                <w:color w:val="auto"/>
              </w:rPr>
            </w:pPr>
          </w:p>
        </w:tc>
        <w:tc>
          <w:tcPr>
            <w:tcW w:w="680" w:type="dxa"/>
            <w:vAlign w:val="bottom"/>
            <w:shd w:val="clear" w:color="auto" w:fill="DCF3FA"/>
          </w:tcPr>
          <w:p>
            <w:pPr>
              <w:spacing w:after="0"/>
              <w:rPr>
                <w:sz w:val="16"/>
                <w:szCs w:val="16"/>
                <w:color w:val="auto"/>
              </w:rPr>
            </w:pPr>
          </w:p>
        </w:tc>
        <w:tc>
          <w:tcPr>
            <w:tcW w:w="620" w:type="dxa"/>
            <w:vAlign w:val="bottom"/>
            <w:shd w:val="clear" w:color="auto" w:fill="DCF3FA"/>
          </w:tcPr>
          <w:p>
            <w:pPr>
              <w:spacing w:after="0"/>
              <w:rPr>
                <w:sz w:val="16"/>
                <w:szCs w:val="16"/>
                <w:color w:val="auto"/>
              </w:rPr>
            </w:pPr>
          </w:p>
        </w:tc>
        <w:tc>
          <w:tcPr>
            <w:tcW w:w="840" w:type="dxa"/>
            <w:vAlign w:val="bottom"/>
            <w:shd w:val="clear" w:color="auto" w:fill="DCF3FA"/>
          </w:tcPr>
          <w:p>
            <w:pPr>
              <w:spacing w:after="0"/>
              <w:rPr>
                <w:sz w:val="16"/>
                <w:szCs w:val="16"/>
                <w:color w:val="auto"/>
              </w:rPr>
            </w:pPr>
          </w:p>
        </w:tc>
        <w:tc>
          <w:tcPr>
            <w:tcW w:w="700" w:type="dxa"/>
            <w:vAlign w:val="bottom"/>
            <w:shd w:val="clear" w:color="auto" w:fill="DCF3FA"/>
          </w:tcPr>
          <w:p>
            <w:pPr>
              <w:jc w:val="right"/>
              <w:spacing w:after="0" w:line="195" w:lineRule="exact"/>
              <w:rPr>
                <w:sz w:val="20"/>
                <w:szCs w:val="20"/>
                <w:color w:val="auto"/>
              </w:rPr>
            </w:pPr>
            <w:r>
              <w:rPr>
                <w:rFonts w:ascii="Calibri" w:cs="Calibri" w:eastAsia="Calibri" w:hAnsi="Calibri"/>
                <w:sz w:val="14"/>
                <w:szCs w:val="14"/>
                <w:color w:val="auto"/>
              </w:rPr>
              <w:t>268,650</w:t>
            </w:r>
            <w:r>
              <w:rPr>
                <w:rFonts w:ascii="Calibri" w:cs="Calibri" w:eastAsia="Calibri" w:hAnsi="Calibri"/>
                <w:sz w:val="20"/>
                <w:szCs w:val="20"/>
                <w:color w:val="auto"/>
                <w:vertAlign w:val="superscript"/>
              </w:rPr>
              <w:t>(5)</w:t>
            </w:r>
          </w:p>
        </w:tc>
        <w:tc>
          <w:tcPr>
            <w:tcW w:w="540" w:type="dxa"/>
            <w:vAlign w:val="bottom"/>
            <w:shd w:val="clear" w:color="auto" w:fill="DCF3FA"/>
          </w:tcPr>
          <w:p>
            <w:pPr>
              <w:jc w:val="center"/>
              <w:ind w:right="1"/>
              <w:spacing w:after="0" w:line="166" w:lineRule="exact"/>
              <w:rPr>
                <w:sz w:val="20"/>
                <w:szCs w:val="20"/>
                <w:color w:val="auto"/>
              </w:rPr>
            </w:pPr>
            <w:r>
              <w:rPr>
                <w:rFonts w:ascii="Calibri" w:cs="Calibri" w:eastAsia="Calibri" w:hAnsi="Calibri"/>
                <w:sz w:val="14"/>
                <w:szCs w:val="14"/>
                <w:color w:val="auto"/>
                <w:w w:val="94"/>
              </w:rPr>
              <w:t>$ 30.15</w:t>
            </w:r>
          </w:p>
        </w:tc>
        <w:tc>
          <w:tcPr>
            <w:tcW w:w="1000" w:type="dxa"/>
            <w:vAlign w:val="bottom"/>
            <w:shd w:val="clear" w:color="auto" w:fill="DCF3FA"/>
          </w:tcPr>
          <w:p>
            <w:pPr>
              <w:jc w:val="right"/>
              <w:spacing w:after="0" w:line="195" w:lineRule="exact"/>
              <w:rPr>
                <w:sz w:val="20"/>
                <w:szCs w:val="20"/>
                <w:color w:val="auto"/>
              </w:rPr>
            </w:pPr>
            <w:r>
              <w:rPr>
                <w:rFonts w:ascii="Calibri" w:cs="Calibri" w:eastAsia="Calibri" w:hAnsi="Calibri"/>
                <w:sz w:val="14"/>
                <w:szCs w:val="14"/>
                <w:color w:val="auto"/>
              </w:rPr>
              <w:t>3,230,785</w:t>
            </w:r>
            <w:r>
              <w:rPr>
                <w:rFonts w:ascii="Calibri" w:cs="Calibri" w:eastAsia="Calibri" w:hAnsi="Calibri"/>
                <w:sz w:val="20"/>
                <w:szCs w:val="20"/>
                <w:color w:val="auto"/>
                <w:vertAlign w:val="superscript"/>
              </w:rPr>
              <w:t>(7)</w:t>
            </w:r>
          </w:p>
        </w:tc>
        <w:tc>
          <w:tcPr>
            <w:tcW w:w="0" w:type="dxa"/>
            <w:vAlign w:val="bottom"/>
          </w:tcPr>
          <w:p>
            <w:pPr>
              <w:spacing w:after="0"/>
              <w:rPr>
                <w:sz w:val="1"/>
                <w:szCs w:val="1"/>
                <w:color w:val="auto"/>
              </w:rPr>
            </w:pPr>
          </w:p>
        </w:tc>
      </w:tr>
      <w:tr>
        <w:trPr>
          <w:trHeight w:val="177"/>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ind w:left="400"/>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ind w:right="76"/>
              <w:spacing w:after="0"/>
              <w:rPr>
                <w:sz w:val="20"/>
                <w:szCs w:val="20"/>
                <w:color w:val="auto"/>
              </w:rPr>
            </w:pPr>
            <w:r>
              <w:rPr>
                <w:rFonts w:ascii="Calibri" w:cs="Calibri" w:eastAsia="Calibri" w:hAnsi="Calibri"/>
                <w:sz w:val="14"/>
                <w:szCs w:val="14"/>
                <w:color w:val="auto"/>
              </w:rPr>
              <w:t>337,500</w:t>
            </w:r>
          </w:p>
        </w:tc>
        <w:tc>
          <w:tcPr>
            <w:tcW w:w="800" w:type="dxa"/>
            <w:vAlign w:val="bottom"/>
          </w:tcPr>
          <w:p>
            <w:pPr>
              <w:jc w:val="right"/>
              <w:ind w:right="36"/>
              <w:spacing w:after="0"/>
              <w:rPr>
                <w:sz w:val="20"/>
                <w:szCs w:val="20"/>
                <w:color w:val="auto"/>
              </w:rPr>
            </w:pPr>
            <w:r>
              <w:rPr>
                <w:rFonts w:ascii="Calibri" w:cs="Calibri" w:eastAsia="Calibri" w:hAnsi="Calibri"/>
                <w:sz w:val="14"/>
                <w:szCs w:val="14"/>
                <w:color w:val="auto"/>
              </w:rPr>
              <w:t>506,250</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42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Calibri" w:cs="Calibri" w:eastAsia="Calibri" w:hAnsi="Calibri"/>
                <w:sz w:val="14"/>
                <w:szCs w:val="14"/>
                <w:color w:val="auto"/>
              </w:rPr>
              <w:t>2/15/2023</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jc w:val="right"/>
              <w:spacing w:after="0" w:line="224" w:lineRule="exact"/>
              <w:rPr>
                <w:sz w:val="20"/>
                <w:szCs w:val="20"/>
                <w:color w:val="auto"/>
              </w:rPr>
            </w:pPr>
            <w:r>
              <w:rPr>
                <w:rFonts w:ascii="Calibri" w:cs="Calibri" w:eastAsia="Calibri" w:hAnsi="Calibri"/>
                <w:sz w:val="14"/>
                <w:szCs w:val="14"/>
                <w:color w:val="auto"/>
              </w:rPr>
              <w:t>12,920</w:t>
            </w:r>
            <w:r>
              <w:rPr>
                <w:rFonts w:ascii="Calibri" w:cs="Calibri" w:eastAsia="Calibri" w:hAnsi="Calibri"/>
                <w:sz w:val="20"/>
                <w:szCs w:val="20"/>
                <w:color w:val="auto"/>
                <w:vertAlign w:val="superscript"/>
              </w:rPr>
              <w:t>(4)</w:t>
            </w: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Calibri" w:cs="Calibri" w:eastAsia="Calibri" w:hAnsi="Calibri"/>
                <w:sz w:val="14"/>
                <w:szCs w:val="14"/>
                <w:color w:val="auto"/>
              </w:rPr>
              <w:t>446,515</w:t>
            </w:r>
          </w:p>
        </w:tc>
        <w:tc>
          <w:tcPr>
            <w:tcW w:w="0" w:type="dxa"/>
            <w:vAlign w:val="bottom"/>
          </w:tcPr>
          <w:p>
            <w:pPr>
              <w:spacing w:after="0"/>
              <w:rPr>
                <w:sz w:val="1"/>
                <w:szCs w:val="1"/>
                <w:color w:val="auto"/>
              </w:rPr>
            </w:pPr>
          </w:p>
        </w:tc>
      </w:tr>
      <w:tr>
        <w:trPr>
          <w:trHeight w:val="195"/>
        </w:trPr>
        <w:tc>
          <w:tcPr>
            <w:tcW w:w="2420" w:type="dxa"/>
            <w:vAlign w:val="bottom"/>
          </w:tcPr>
          <w:p>
            <w:pPr>
              <w:spacing w:after="0" w:line="166" w:lineRule="exact"/>
              <w:rPr>
                <w:sz w:val="20"/>
                <w:szCs w:val="20"/>
                <w:color w:val="auto"/>
              </w:rPr>
            </w:pPr>
            <w:r>
              <w:rPr>
                <w:rFonts w:ascii="Calibri" w:cs="Calibri" w:eastAsia="Calibri" w:hAnsi="Calibri"/>
                <w:sz w:val="14"/>
                <w:szCs w:val="14"/>
                <w:b w:val="1"/>
                <w:bCs w:val="1"/>
                <w:color w:val="auto"/>
              </w:rPr>
              <w:t>  Anita Mahon</w:t>
            </w:r>
          </w:p>
        </w:tc>
        <w:tc>
          <w:tcPr>
            <w:tcW w:w="820" w:type="dxa"/>
            <w:vAlign w:val="bottom"/>
            <w:gridSpan w:val="3"/>
          </w:tcPr>
          <w:p>
            <w:pPr>
              <w:jc w:val="right"/>
              <w:ind w:right="100"/>
              <w:spacing w:after="0" w:line="166" w:lineRule="exact"/>
              <w:rPr>
                <w:sz w:val="20"/>
                <w:szCs w:val="20"/>
                <w:color w:val="auto"/>
              </w:rPr>
            </w:pPr>
            <w:r>
              <w:rPr>
                <w:rFonts w:ascii="Calibri" w:cs="Calibri" w:eastAsia="Calibri" w:hAnsi="Calibri"/>
                <w:sz w:val="14"/>
                <w:szCs w:val="14"/>
                <w:color w:val="auto"/>
              </w:rPr>
              <w:t>2/15/2023</w:t>
            </w: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jc w:val="right"/>
              <w:ind w:right="36"/>
              <w:spacing w:after="0" w:line="166" w:lineRule="exact"/>
              <w:rPr>
                <w:sz w:val="20"/>
                <w:szCs w:val="20"/>
                <w:color w:val="auto"/>
              </w:rPr>
            </w:pPr>
            <w:r>
              <w:rPr>
                <w:rFonts w:ascii="Calibri" w:cs="Calibri" w:eastAsia="Calibri" w:hAnsi="Calibri"/>
                <w:sz w:val="14"/>
                <w:szCs w:val="14"/>
                <w:color w:val="auto"/>
              </w:rPr>
              <w:t>1,939</w:t>
            </w:r>
          </w:p>
        </w:tc>
        <w:tc>
          <w:tcPr>
            <w:tcW w:w="680" w:type="dxa"/>
            <w:vAlign w:val="bottom"/>
          </w:tcPr>
          <w:p>
            <w:pPr>
              <w:jc w:val="right"/>
              <w:spacing w:after="0" w:line="195" w:lineRule="exact"/>
              <w:rPr>
                <w:sz w:val="20"/>
                <w:szCs w:val="20"/>
                <w:color w:val="auto"/>
              </w:rPr>
            </w:pPr>
            <w:r>
              <w:rPr>
                <w:rFonts w:ascii="Calibri" w:cs="Calibri" w:eastAsia="Calibri" w:hAnsi="Calibri"/>
                <w:sz w:val="14"/>
                <w:szCs w:val="14"/>
                <w:color w:val="auto"/>
              </w:rPr>
              <w:t>7,755</w:t>
            </w:r>
            <w:r>
              <w:rPr>
                <w:rFonts w:ascii="Calibri" w:cs="Calibri" w:eastAsia="Calibri" w:hAnsi="Calibri"/>
                <w:sz w:val="20"/>
                <w:szCs w:val="20"/>
                <w:color w:val="auto"/>
                <w:vertAlign w:val="superscript"/>
              </w:rPr>
              <w:t>(2)</w:t>
            </w:r>
          </w:p>
        </w:tc>
        <w:tc>
          <w:tcPr>
            <w:tcW w:w="620" w:type="dxa"/>
            <w:vAlign w:val="bottom"/>
          </w:tcPr>
          <w:p>
            <w:pPr>
              <w:jc w:val="right"/>
              <w:ind w:right="14"/>
              <w:spacing w:after="0" w:line="166" w:lineRule="exact"/>
              <w:rPr>
                <w:sz w:val="20"/>
                <w:szCs w:val="20"/>
                <w:color w:val="auto"/>
              </w:rPr>
            </w:pPr>
            <w:r>
              <w:rPr>
                <w:rFonts w:ascii="Calibri" w:cs="Calibri" w:eastAsia="Calibri" w:hAnsi="Calibri"/>
                <w:sz w:val="14"/>
                <w:szCs w:val="14"/>
                <w:color w:val="auto"/>
              </w:rPr>
              <w:t>15,510</w:t>
            </w: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95"/>
              <w:spacing w:after="0" w:line="166" w:lineRule="exact"/>
              <w:rPr>
                <w:sz w:val="20"/>
                <w:szCs w:val="20"/>
                <w:color w:val="auto"/>
              </w:rPr>
            </w:pPr>
            <w:r>
              <w:rPr>
                <w:rFonts w:ascii="Calibri" w:cs="Calibri" w:eastAsia="Calibri" w:hAnsi="Calibri"/>
                <w:sz w:val="14"/>
                <w:szCs w:val="14"/>
                <w:color w:val="auto"/>
              </w:rPr>
              <w:t>268,013</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820" w:type="dxa"/>
            <w:vAlign w:val="bottom"/>
            <w:gridSpan w:val="3"/>
          </w:tcPr>
          <w:p>
            <w:pPr>
              <w:jc w:val="right"/>
              <w:ind w:right="100"/>
              <w:spacing w:after="0" w:line="166" w:lineRule="exact"/>
              <w:rPr>
                <w:sz w:val="20"/>
                <w:szCs w:val="20"/>
                <w:color w:val="auto"/>
              </w:rPr>
            </w:pPr>
            <w:r>
              <w:rPr>
                <w:rFonts w:ascii="Calibri" w:cs="Calibri" w:eastAsia="Calibri" w:hAnsi="Calibri"/>
                <w:sz w:val="14"/>
                <w:szCs w:val="14"/>
                <w:color w:val="auto"/>
              </w:rPr>
              <w:t>2/15/2023</w:t>
            </w: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jc w:val="right"/>
              <w:ind w:right="36"/>
              <w:spacing w:after="0" w:line="166" w:lineRule="exact"/>
              <w:rPr>
                <w:sz w:val="20"/>
                <w:szCs w:val="20"/>
                <w:color w:val="auto"/>
              </w:rPr>
            </w:pPr>
            <w:r>
              <w:rPr>
                <w:rFonts w:ascii="Calibri" w:cs="Calibri" w:eastAsia="Calibri" w:hAnsi="Calibri"/>
                <w:sz w:val="14"/>
                <w:szCs w:val="14"/>
                <w:color w:val="auto"/>
              </w:rPr>
              <w:t>387</w:t>
            </w:r>
          </w:p>
        </w:tc>
        <w:tc>
          <w:tcPr>
            <w:tcW w:w="680" w:type="dxa"/>
            <w:vAlign w:val="bottom"/>
          </w:tcPr>
          <w:p>
            <w:pPr>
              <w:jc w:val="right"/>
              <w:spacing w:after="0" w:line="195" w:lineRule="exact"/>
              <w:rPr>
                <w:sz w:val="20"/>
                <w:szCs w:val="20"/>
                <w:color w:val="auto"/>
              </w:rPr>
            </w:pPr>
            <w:r>
              <w:rPr>
                <w:rFonts w:ascii="Calibri" w:cs="Calibri" w:eastAsia="Calibri" w:hAnsi="Calibri"/>
                <w:sz w:val="14"/>
                <w:szCs w:val="14"/>
                <w:color w:val="auto"/>
              </w:rPr>
              <w:t>11,625</w:t>
            </w:r>
            <w:r>
              <w:rPr>
                <w:rFonts w:ascii="Calibri" w:cs="Calibri" w:eastAsia="Calibri" w:hAnsi="Calibri"/>
                <w:sz w:val="20"/>
                <w:szCs w:val="20"/>
                <w:color w:val="auto"/>
                <w:vertAlign w:val="superscript"/>
              </w:rPr>
              <w:t>(3)</w:t>
            </w:r>
          </w:p>
        </w:tc>
        <w:tc>
          <w:tcPr>
            <w:tcW w:w="620" w:type="dxa"/>
            <w:vAlign w:val="bottom"/>
          </w:tcPr>
          <w:p>
            <w:pPr>
              <w:jc w:val="right"/>
              <w:ind w:right="14"/>
              <w:spacing w:after="0" w:line="166" w:lineRule="exact"/>
              <w:rPr>
                <w:sz w:val="20"/>
                <w:szCs w:val="20"/>
                <w:color w:val="auto"/>
              </w:rPr>
            </w:pPr>
            <w:r>
              <w:rPr>
                <w:rFonts w:ascii="Calibri" w:cs="Calibri" w:eastAsia="Calibri" w:hAnsi="Calibri"/>
                <w:sz w:val="14"/>
                <w:szCs w:val="14"/>
                <w:color w:val="auto"/>
              </w:rPr>
              <w:t>23,250</w:t>
            </w: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Calibri" w:cs="Calibri" w:eastAsia="Calibri" w:hAnsi="Calibri"/>
                <w:sz w:val="14"/>
                <w:szCs w:val="14"/>
                <w:color w:val="auto"/>
              </w:rPr>
              <w:t>519,893</w:t>
            </w:r>
            <w:r>
              <w:rPr>
                <w:rFonts w:ascii="Calibri" w:cs="Calibri" w:eastAsia="Calibri" w:hAnsi="Calibri"/>
                <w:sz w:val="20"/>
                <w:szCs w:val="20"/>
                <w:color w:val="auto"/>
                <w:vertAlign w:val="superscript"/>
              </w:rPr>
              <w:t>(6)</w:t>
            </w:r>
          </w:p>
        </w:tc>
        <w:tc>
          <w:tcPr>
            <w:tcW w:w="0" w:type="dxa"/>
            <w:vAlign w:val="bottom"/>
          </w:tcPr>
          <w:p>
            <w:pPr>
              <w:spacing w:after="0"/>
              <w:rPr>
                <w:sz w:val="1"/>
                <w:szCs w:val="1"/>
                <w:color w:val="auto"/>
              </w:rPr>
            </w:pPr>
          </w:p>
        </w:tc>
      </w:tr>
      <w:tr>
        <w:trPr>
          <w:trHeight w:val="249"/>
        </w:trPr>
        <w:tc>
          <w:tcPr>
            <w:tcW w:w="2420" w:type="dxa"/>
            <w:vAlign w:val="bottom"/>
          </w:tcPr>
          <w:p>
            <w:pPr>
              <w:spacing w:after="0"/>
              <w:rPr>
                <w:sz w:val="21"/>
                <w:szCs w:val="21"/>
                <w:color w:val="auto"/>
              </w:rPr>
            </w:pPr>
          </w:p>
        </w:tc>
        <w:tc>
          <w:tcPr>
            <w:tcW w:w="820" w:type="dxa"/>
            <w:vAlign w:val="bottom"/>
            <w:gridSpan w:val="3"/>
          </w:tcPr>
          <w:p>
            <w:pPr>
              <w:jc w:val="right"/>
              <w:ind w:right="100"/>
              <w:spacing w:after="0" w:line="166" w:lineRule="exact"/>
              <w:rPr>
                <w:sz w:val="20"/>
                <w:szCs w:val="20"/>
                <w:color w:val="auto"/>
              </w:rPr>
            </w:pPr>
            <w:r>
              <w:rPr>
                <w:rFonts w:ascii="Calibri" w:cs="Calibri" w:eastAsia="Calibri" w:hAnsi="Calibri"/>
                <w:sz w:val="14"/>
                <w:szCs w:val="14"/>
                <w:color w:val="auto"/>
              </w:rPr>
              <w:t>6/21/2023</w:t>
            </w: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134,325</w:t>
            </w:r>
            <w:r>
              <w:rPr>
                <w:rFonts w:ascii="Calibri" w:cs="Calibri" w:eastAsia="Calibri" w:hAnsi="Calibri"/>
                <w:sz w:val="20"/>
                <w:szCs w:val="20"/>
                <w:color w:val="auto"/>
                <w:vertAlign w:val="superscript"/>
              </w:rPr>
              <w:t>(5)</w:t>
            </w:r>
          </w:p>
        </w:tc>
        <w:tc>
          <w:tcPr>
            <w:tcW w:w="540" w:type="dxa"/>
            <w:vAlign w:val="bottom"/>
          </w:tcPr>
          <w:p>
            <w:pPr>
              <w:jc w:val="center"/>
              <w:ind w:right="1"/>
              <w:spacing w:after="0" w:line="166" w:lineRule="exact"/>
              <w:rPr>
                <w:sz w:val="20"/>
                <w:szCs w:val="20"/>
                <w:color w:val="auto"/>
              </w:rPr>
            </w:pPr>
            <w:r>
              <w:rPr>
                <w:rFonts w:ascii="Calibri" w:cs="Calibri" w:eastAsia="Calibri" w:hAnsi="Calibri"/>
                <w:sz w:val="14"/>
                <w:szCs w:val="14"/>
                <w:color w:val="auto"/>
                <w:w w:val="94"/>
              </w:rPr>
              <w:t>$ 30.15</w:t>
            </w:r>
          </w:p>
        </w:tc>
        <w:tc>
          <w:tcPr>
            <w:tcW w:w="1000" w:type="dxa"/>
            <w:vAlign w:val="bottom"/>
          </w:tcPr>
          <w:p>
            <w:pPr>
              <w:jc w:val="right"/>
              <w:spacing w:after="0"/>
              <w:rPr>
                <w:sz w:val="20"/>
                <w:szCs w:val="20"/>
                <w:color w:val="auto"/>
              </w:rPr>
            </w:pPr>
            <w:r>
              <w:rPr>
                <w:rFonts w:ascii="Calibri" w:cs="Calibri" w:eastAsia="Calibri" w:hAnsi="Calibri"/>
                <w:sz w:val="14"/>
                <w:szCs w:val="14"/>
                <w:color w:val="auto"/>
              </w:rPr>
              <w:t>1,615,392</w:t>
            </w:r>
            <w:r>
              <w:rPr>
                <w:rFonts w:ascii="Calibri" w:cs="Calibri" w:eastAsia="Calibri" w:hAnsi="Calibri"/>
                <w:sz w:val="20"/>
                <w:szCs w:val="20"/>
                <w:color w:val="auto"/>
                <w:vertAlign w:val="superscript"/>
              </w:rPr>
              <w:t>(7)</w:t>
            </w:r>
          </w:p>
        </w:tc>
        <w:tc>
          <w:tcPr>
            <w:tcW w:w="0" w:type="dxa"/>
            <w:vAlign w:val="bottom"/>
          </w:tcPr>
          <w:p>
            <w:pPr>
              <w:spacing w:after="0"/>
              <w:rPr>
                <w:sz w:val="1"/>
                <w:szCs w:val="1"/>
                <w:color w:val="auto"/>
              </w:rPr>
            </w:pPr>
          </w:p>
        </w:tc>
      </w:tr>
    </w:tbl>
    <w:p>
      <w:pPr>
        <w:ind w:left="320" w:right="80" w:hanging="4"/>
        <w:spacing w:after="0" w:line="229" w:lineRule="auto"/>
        <w:tabs>
          <w:tab w:leader="none" w:pos="506" w:val="left"/>
        </w:tabs>
        <w:numPr>
          <w:ilvl w:val="0"/>
          <w:numId w:val="41"/>
        </w:numPr>
        <w:rPr>
          <w:rFonts w:ascii="Calibri" w:cs="Calibri" w:eastAsia="Calibri" w:hAnsi="Calibri"/>
          <w:sz w:val="14"/>
          <w:szCs w:val="14"/>
          <w:color w:val="auto"/>
        </w:rPr>
      </w:pPr>
      <w:r>
        <w:rPr>
          <w:rFonts w:ascii="Calibri" w:cs="Calibri" w:eastAsia="Calibri" w:hAnsi="Calibri"/>
          <w:sz w:val="14"/>
          <w:szCs w:val="14"/>
          <w:color w:val="auto"/>
        </w:rPr>
        <w:t>These amounts refect the target and maximum cash incentve bonuses set for 2023. There is no threshold amount reported for the cash incentve bonus as the individual performance measure (25% of the total bonus) does not have a threshold performance below which no payment will be made. However, the Company performance metric (75% of the total bonus) does have a threshold. For details of our annual incentve bonus program, see “Compensaton Discussion and Analysis—Annual incentves” beginning on page 72.</w:t>
      </w:r>
    </w:p>
    <w:p>
      <w:pPr>
        <w:ind w:left="500" w:hanging="184"/>
        <w:spacing w:after="0" w:line="237" w:lineRule="auto"/>
        <w:tabs>
          <w:tab w:leader="none" w:pos="500" w:val="left"/>
        </w:tabs>
        <w:numPr>
          <w:ilvl w:val="0"/>
          <w:numId w:val="41"/>
        </w:numPr>
        <w:rPr>
          <w:rFonts w:ascii="Calibri" w:cs="Calibri" w:eastAsia="Calibri" w:hAnsi="Calibri"/>
          <w:sz w:val="14"/>
          <w:szCs w:val="14"/>
          <w:color w:val="auto"/>
        </w:rPr>
      </w:pPr>
      <w:r>
        <w:rPr>
          <w:rFonts w:ascii="Calibri" w:cs="Calibri" w:eastAsia="Calibri" w:hAnsi="Calibri"/>
          <w:sz w:val="14"/>
          <w:szCs w:val="14"/>
          <w:color w:val="auto"/>
        </w:rPr>
        <w:t>Represents annual PRSU—Revenue based awards granted under the 2018 Plan, which will clif vest, subject to performance, on December 31, 2025.</w:t>
      </w:r>
    </w:p>
    <w:p>
      <w:pPr>
        <w:ind w:left="500" w:hanging="184"/>
        <w:spacing w:after="0" w:line="237" w:lineRule="auto"/>
        <w:tabs>
          <w:tab w:leader="none" w:pos="500" w:val="left"/>
        </w:tabs>
        <w:numPr>
          <w:ilvl w:val="0"/>
          <w:numId w:val="41"/>
        </w:numPr>
        <w:rPr>
          <w:rFonts w:ascii="Calibri" w:cs="Calibri" w:eastAsia="Calibri" w:hAnsi="Calibri"/>
          <w:sz w:val="14"/>
          <w:szCs w:val="14"/>
          <w:color w:val="auto"/>
        </w:rPr>
      </w:pPr>
      <w:r>
        <w:rPr>
          <w:rFonts w:ascii="Calibri" w:cs="Calibri" w:eastAsia="Calibri" w:hAnsi="Calibri"/>
          <w:sz w:val="14"/>
          <w:szCs w:val="14"/>
          <w:color w:val="auto"/>
        </w:rPr>
        <w:t>Represents annual PRSU—TSR based awards granted under the 2018 Plan, which will clif vest, subject to performance, on December 31, 2025.</w:t>
      </w:r>
    </w:p>
    <w:p>
      <w:pPr>
        <w:ind w:left="500" w:hanging="184"/>
        <w:spacing w:after="0" w:line="237" w:lineRule="auto"/>
        <w:tabs>
          <w:tab w:leader="none" w:pos="500" w:val="left"/>
        </w:tabs>
        <w:numPr>
          <w:ilvl w:val="0"/>
          <w:numId w:val="41"/>
        </w:numPr>
        <w:rPr>
          <w:rFonts w:ascii="Calibri" w:cs="Calibri" w:eastAsia="Calibri" w:hAnsi="Calibri"/>
          <w:sz w:val="14"/>
          <w:szCs w:val="14"/>
          <w:color w:val="auto"/>
        </w:rPr>
      </w:pPr>
      <w:r>
        <w:rPr>
          <w:rFonts w:ascii="Calibri" w:cs="Calibri" w:eastAsia="Calibri" w:hAnsi="Calibri"/>
          <w:sz w:val="14"/>
          <w:szCs w:val="14"/>
          <w:color w:val="auto"/>
        </w:rPr>
        <w:t>Represents annual awards of restricted stock units granted under the 2018 Plan, subject to ratable vestng on the frst four anniversaries of the grant date.</w:t>
      </w:r>
    </w:p>
    <w:p>
      <w:pPr>
        <w:ind w:left="500" w:hanging="184"/>
        <w:spacing w:after="0" w:line="237" w:lineRule="auto"/>
        <w:tabs>
          <w:tab w:leader="none" w:pos="500" w:val="left"/>
        </w:tabs>
        <w:numPr>
          <w:ilvl w:val="0"/>
          <w:numId w:val="41"/>
        </w:numPr>
        <w:rPr>
          <w:rFonts w:ascii="Calibri" w:cs="Calibri" w:eastAsia="Calibri" w:hAnsi="Calibri"/>
          <w:sz w:val="14"/>
          <w:szCs w:val="14"/>
          <w:color w:val="auto"/>
        </w:rPr>
      </w:pPr>
      <w:r>
        <w:rPr>
          <w:rFonts w:ascii="Calibri" w:cs="Calibri" w:eastAsia="Calibri" w:hAnsi="Calibri"/>
          <w:sz w:val="14"/>
          <w:szCs w:val="14"/>
          <w:color w:val="auto"/>
        </w:rPr>
        <w:t>Represents stock opton awards granted under the 2018 Plan, subject to ratable vestng on the frst four anniversaries of the grant date.</w:t>
      </w:r>
    </w:p>
    <w:p>
      <w:pPr>
        <w:ind w:left="500" w:hanging="184"/>
        <w:spacing w:after="0" w:line="237" w:lineRule="auto"/>
        <w:tabs>
          <w:tab w:leader="none" w:pos="500" w:val="left"/>
        </w:tabs>
        <w:numPr>
          <w:ilvl w:val="0"/>
          <w:numId w:val="41"/>
        </w:numPr>
        <w:rPr>
          <w:rFonts w:ascii="Calibri" w:cs="Calibri" w:eastAsia="Calibri" w:hAnsi="Calibri"/>
          <w:sz w:val="14"/>
          <w:szCs w:val="14"/>
          <w:color w:val="auto"/>
        </w:rPr>
      </w:pPr>
      <w:r>
        <w:rPr>
          <w:rFonts w:ascii="Calibri" w:cs="Calibri" w:eastAsia="Calibri" w:hAnsi="Calibri"/>
          <w:sz w:val="14"/>
          <w:szCs w:val="14"/>
          <w:color w:val="auto"/>
        </w:rPr>
        <w:t>The grant date fair value of the estmated future payouts under equity incentve plan awards for TSR Linked PRSUs is based on the Monte Carlo value.</w:t>
      </w:r>
    </w:p>
    <w:p>
      <w:pPr>
        <w:ind w:left="500" w:hanging="184"/>
        <w:spacing w:after="0" w:line="237" w:lineRule="auto"/>
        <w:tabs>
          <w:tab w:leader="none" w:pos="500" w:val="left"/>
        </w:tabs>
        <w:numPr>
          <w:ilvl w:val="0"/>
          <w:numId w:val="41"/>
        </w:numPr>
        <w:rPr>
          <w:rFonts w:ascii="Calibri" w:cs="Calibri" w:eastAsia="Calibri" w:hAnsi="Calibri"/>
          <w:sz w:val="14"/>
          <w:szCs w:val="14"/>
          <w:color w:val="auto"/>
        </w:rPr>
      </w:pPr>
      <w:r>
        <w:rPr>
          <w:rFonts w:ascii="Calibri" w:cs="Calibri" w:eastAsia="Calibri" w:hAnsi="Calibri"/>
          <w:sz w:val="14"/>
          <w:szCs w:val="14"/>
          <w:color w:val="auto"/>
        </w:rPr>
        <w:t>The grant date fair value for stock optons is based on the Black Scholes Fair Market value.</w:t>
      </w:r>
    </w:p>
    <w:p>
      <w:pPr>
        <w:spacing w:after="0" w:line="122"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86 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NEO Employment agreements</w:t>
      </w:r>
    </w:p>
    <w:p>
      <w:pPr>
        <w:spacing w:after="0" w:line="106" w:lineRule="exact"/>
        <w:rPr>
          <w:sz w:val="20"/>
          <w:szCs w:val="20"/>
          <w:color w:val="auto"/>
        </w:rPr>
      </w:pPr>
    </w:p>
    <w:p>
      <w:pPr>
        <w:ind w:left="320" w:right="240"/>
        <w:spacing w:after="0" w:line="239" w:lineRule="auto"/>
        <w:rPr>
          <w:sz w:val="20"/>
          <w:szCs w:val="20"/>
          <w:color w:val="auto"/>
        </w:rPr>
      </w:pPr>
      <w:r>
        <w:rPr>
          <w:rFonts w:ascii="Calibri" w:cs="Calibri" w:eastAsia="Calibri" w:hAnsi="Calibri"/>
          <w:sz w:val="17"/>
          <w:szCs w:val="17"/>
          <w:color w:val="auto"/>
        </w:rPr>
        <w:t>We maintain employment agreements with each of the NEOs. Each agreement generally provides for base salary, target bonus opportunity, eligibility to receive equity-based awards, partcipaton in our beneft plans, severance, and in certain cases, specifed perquisites.</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Salary</w:t>
      </w:r>
    </w:p>
    <w:p>
      <w:pPr>
        <w:spacing w:after="0" w:line="106"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Mr. Kapoor’s employment agreement provides a minimum base salary of $750,000, which may not be decreased unless a Company-wide decrease in pay is implemented. The base salaries that were in efect for our NEOs during the 2023 year are described on page 71 above.</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Target Bonus Opportunites</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Target bonus opportunity as a percentage of base salary, as specifed in the NEO employment agreements, is as follows: Mr. Kapoor, 150% (with a</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maximum of 310%), Messrs. Nicolelli, Bhalla and Jetley and Ms. Mahon: 75%.</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Equity Awards</w:t>
      </w:r>
    </w:p>
    <w:p>
      <w:pPr>
        <w:spacing w:after="0" w:line="106" w:lineRule="exact"/>
        <w:rPr>
          <w:sz w:val="20"/>
          <w:szCs w:val="20"/>
          <w:color w:val="auto"/>
        </w:rPr>
      </w:pPr>
    </w:p>
    <w:p>
      <w:pPr>
        <w:ind w:left="320" w:right="180"/>
        <w:spacing w:after="0"/>
        <w:rPr>
          <w:sz w:val="20"/>
          <w:szCs w:val="20"/>
          <w:color w:val="auto"/>
        </w:rPr>
      </w:pPr>
      <w:r>
        <w:rPr>
          <w:rFonts w:ascii="Calibri" w:cs="Calibri" w:eastAsia="Calibri" w:hAnsi="Calibri"/>
          <w:sz w:val="17"/>
          <w:szCs w:val="17"/>
          <w:color w:val="auto"/>
        </w:rPr>
        <w:t>The NEOS are generally eligible to receive annual equity awards in the discreton of the Compensaton and Talent Management Commitee. Mr. Kapoor’s employment agreement provides that in determining his annual equity award, the Compensaton and Talent Management Commitee will consider, among other factors, an aggregate “baseline” value equal to $4,925,000, Company and individual performance, shareholder input on executve compensaton, and market data.</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India-Specifc Compensaton Arrangement</w:t>
      </w:r>
    </w:p>
    <w:p>
      <w:pPr>
        <w:spacing w:after="0" w:line="106"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Mr. Bhalla’s annual fxed compensaton includes base salary, as well as amounts available as a leave travel allowance, a housing allowance, an automobile allowance, a medical allowance and a cash supplementary allowance.</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Perquisites for CEO</w:t>
      </w:r>
    </w:p>
    <w:p>
      <w:pPr>
        <w:spacing w:after="0" w:line="106" w:lineRule="exact"/>
        <w:rPr>
          <w:sz w:val="20"/>
          <w:szCs w:val="20"/>
          <w:color w:val="auto"/>
        </w:rPr>
      </w:pPr>
    </w:p>
    <w:p>
      <w:pPr>
        <w:ind w:left="320"/>
        <w:spacing w:after="0" w:line="255" w:lineRule="auto"/>
        <w:rPr>
          <w:sz w:val="20"/>
          <w:szCs w:val="20"/>
          <w:color w:val="auto"/>
        </w:rPr>
      </w:pPr>
      <w:r>
        <w:rPr>
          <w:rFonts w:ascii="Calibri" w:cs="Calibri" w:eastAsia="Calibri" w:hAnsi="Calibri"/>
          <w:sz w:val="16"/>
          <w:szCs w:val="16"/>
          <w:color w:val="auto"/>
        </w:rPr>
        <w:t>Mr. Kapoor’s employment agreement specifes certain perquisites to which he is enttled, including: (1) certain club memberships in the United States and India, (2) home ofce supplies, (3) term life insurance policy (with a face value of $500,000), (4) once-a-year business class airfare between the United States and India for the executve and his family, (5) up to $30,000 for personal tax and estate planning expenses (increased from $12,000 pursuant to an amendment to the Kapoor Agreement, efectve as of February 16, 2023), (6) up to $1,400 per month car allowance for an automobile in the United States,</w:t>
      </w:r>
    </w:p>
    <w:p>
      <w:pPr>
        <w:spacing w:after="0" w:line="2" w:lineRule="exact"/>
        <w:rPr>
          <w:sz w:val="20"/>
          <w:szCs w:val="20"/>
          <w:color w:val="auto"/>
        </w:rPr>
      </w:pPr>
    </w:p>
    <w:p>
      <w:pPr>
        <w:ind w:left="320" w:right="100" w:hanging="4"/>
        <w:spacing w:after="0"/>
        <w:tabs>
          <w:tab w:leader="none" w:pos="547" w:val="left"/>
        </w:tabs>
        <w:numPr>
          <w:ilvl w:val="0"/>
          <w:numId w:val="42"/>
        </w:numPr>
        <w:rPr>
          <w:rFonts w:ascii="Calibri" w:cs="Calibri" w:eastAsia="Calibri" w:hAnsi="Calibri"/>
          <w:sz w:val="17"/>
          <w:szCs w:val="17"/>
          <w:color w:val="auto"/>
        </w:rPr>
      </w:pPr>
      <w:r>
        <w:rPr>
          <w:rFonts w:ascii="Calibri" w:cs="Calibri" w:eastAsia="Calibri" w:hAnsi="Calibri"/>
          <w:sz w:val="17"/>
          <w:szCs w:val="17"/>
          <w:color w:val="auto"/>
        </w:rPr>
        <w:t>up to $12,000 per year for expenses associated with maintaining an automobile in India (including cost of a driver), (8) personal security for the executve and his family while in India, and (9) a per diem allowance for certain trips. In additon, his employment agreement enttles him to certain other benefts in the event he is relocated to India, but which are not applicable currently as he maintains a U.S. residency. The employment agreements for other U.S. based NEOs do not detail the perquisites to which the NEOs may be enttled. Please see the “All Other Compensaton” column of the Summary Compensaton Table on page 84 above for informaton about the perquisites the NEOs received in 2023.</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87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Severance</w:t>
      </w:r>
    </w:p>
    <w:p>
      <w:pPr>
        <w:spacing w:after="0" w:line="106" w:lineRule="exact"/>
        <w:rPr>
          <w:sz w:val="20"/>
          <w:szCs w:val="20"/>
          <w:color w:val="auto"/>
        </w:rPr>
      </w:pPr>
    </w:p>
    <w:p>
      <w:pPr>
        <w:ind w:left="320" w:right="640"/>
        <w:spacing w:after="0" w:line="239" w:lineRule="auto"/>
        <w:rPr>
          <w:sz w:val="20"/>
          <w:szCs w:val="20"/>
          <w:color w:val="auto"/>
        </w:rPr>
      </w:pPr>
      <w:r>
        <w:rPr>
          <w:rFonts w:ascii="Calibri" w:cs="Calibri" w:eastAsia="Calibri" w:hAnsi="Calibri"/>
          <w:sz w:val="17"/>
          <w:szCs w:val="17"/>
          <w:color w:val="auto"/>
        </w:rPr>
        <w:t>The NEO employment agreements include severance, terminaton and/or noncompetton provisions, which are described below under “Potental payments upon terminaton or change in control at fscal 2023 year-end” beginning on page 90.</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Outstanding equity awards at fscal 2023 year-end</w:t>
      </w:r>
    </w:p>
    <w:p>
      <w:pPr>
        <w:spacing w:after="0" w:line="258"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alibri" w:cs="Calibri" w:eastAsia="Calibri" w:hAnsi="Calibri"/>
                <w:sz w:val="14"/>
                <w:szCs w:val="14"/>
                <w:b w:val="1"/>
                <w:bCs w:val="1"/>
                <w:color w:val="auto"/>
              </w:rPr>
              <w:t>Opton Awards</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jc w:val="right"/>
              <w:ind w:right="492"/>
              <w:spacing w:after="0"/>
              <w:rPr>
                <w:sz w:val="20"/>
                <w:szCs w:val="20"/>
                <w:color w:val="auto"/>
              </w:rPr>
            </w:pPr>
            <w:r>
              <w:rPr>
                <w:rFonts w:ascii="Calibri" w:cs="Calibri" w:eastAsia="Calibri" w:hAnsi="Calibri"/>
                <w:sz w:val="14"/>
                <w:szCs w:val="14"/>
                <w:b w:val="1"/>
                <w:bCs w:val="1"/>
                <w:color w:val="auto"/>
              </w:rPr>
              <w:t>Stock Awards</w:t>
            </w:r>
          </w:p>
        </w:tc>
        <w:tc>
          <w:tcPr>
            <w:tcW w:w="1200" w:type="dxa"/>
            <w:vAlign w:val="bottom"/>
          </w:tcPr>
          <w:p>
            <w:pPr>
              <w:spacing w:after="0"/>
              <w:rPr>
                <w:sz w:val="14"/>
                <w:szCs w:val="14"/>
                <w:color w:val="auto"/>
              </w:rPr>
            </w:pPr>
          </w:p>
        </w:tc>
      </w:tr>
      <w:tr>
        <w:trPr>
          <w:trHeight w:val="122"/>
        </w:trPr>
        <w:tc>
          <w:tcPr>
            <w:tcW w:w="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Calibri" w:cs="Calibri" w:eastAsia="Calibri" w:hAnsi="Calibri"/>
                <w:sz w:val="14"/>
                <w:szCs w:val="14"/>
                <w:b w:val="1"/>
                <w:bCs w:val="1"/>
                <w:color w:val="auto"/>
                <w:w w:val="98"/>
              </w:rPr>
              <w:t>Market</w:t>
            </w:r>
          </w:p>
        </w:tc>
        <w:tc>
          <w:tcPr>
            <w:tcW w:w="1460" w:type="dxa"/>
            <w:vAlign w:val="bottom"/>
          </w:tcPr>
          <w:p>
            <w:pPr>
              <w:spacing w:after="0"/>
              <w:rPr>
                <w:sz w:val="12"/>
                <w:szCs w:val="12"/>
                <w:color w:val="auto"/>
              </w:rPr>
            </w:pPr>
          </w:p>
        </w:tc>
        <w:tc>
          <w:tcPr>
            <w:tcW w:w="1200" w:type="dxa"/>
            <w:vAlign w:val="bottom"/>
          </w:tcPr>
          <w:p>
            <w:pPr>
              <w:jc w:val="center"/>
              <w:ind w:left="11"/>
              <w:spacing w:after="0" w:line="147" w:lineRule="exact"/>
              <w:rPr>
                <w:sz w:val="20"/>
                <w:szCs w:val="20"/>
                <w:color w:val="auto"/>
              </w:rPr>
            </w:pPr>
            <w:r>
              <w:rPr>
                <w:rFonts w:ascii="Calibri" w:cs="Calibri" w:eastAsia="Calibri" w:hAnsi="Calibri"/>
                <w:sz w:val="14"/>
                <w:szCs w:val="14"/>
                <w:b w:val="1"/>
                <w:bCs w:val="1"/>
                <w:color w:val="auto"/>
              </w:rPr>
              <w:t>Equity incentve</w:t>
            </w:r>
          </w:p>
        </w:tc>
      </w:tr>
      <w:tr>
        <w:trPr>
          <w:trHeight w:val="166"/>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Number</w:t>
            </w:r>
          </w:p>
        </w:tc>
        <w:tc>
          <w:tcPr>
            <w:tcW w:w="8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value of</w:t>
            </w:r>
          </w:p>
        </w:tc>
        <w:tc>
          <w:tcPr>
            <w:tcW w:w="14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Equity incentve plan</w:t>
            </w:r>
          </w:p>
        </w:tc>
        <w:tc>
          <w:tcPr>
            <w:tcW w:w="12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plan awards:</w:t>
            </w:r>
          </w:p>
        </w:tc>
      </w:tr>
      <w:tr>
        <w:trPr>
          <w:trHeight w:val="17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alibri" w:cs="Calibri" w:eastAsia="Calibri" w:hAnsi="Calibri"/>
                <w:sz w:val="14"/>
                <w:szCs w:val="14"/>
                <w:b w:val="1"/>
                <w:bCs w:val="1"/>
                <w:color w:val="auto"/>
              </w:rPr>
              <w:t>Number of</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of shares</w:t>
            </w:r>
          </w:p>
        </w:tc>
        <w:tc>
          <w:tcPr>
            <w:tcW w:w="8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5"/>
              </w:rPr>
              <w:t>shares</w:t>
            </w:r>
          </w:p>
        </w:tc>
        <w:tc>
          <w:tcPr>
            <w:tcW w:w="14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awards:</w:t>
            </w:r>
          </w:p>
        </w:tc>
        <w:tc>
          <w:tcPr>
            <w:tcW w:w="12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Market or payout</w:t>
            </w:r>
          </w:p>
        </w:tc>
      </w:tr>
      <w:tr>
        <w:trPr>
          <w:trHeight w:val="169"/>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5"/>
              </w:rPr>
              <w:t>shares</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or units</w:t>
            </w:r>
          </w:p>
        </w:tc>
        <w:tc>
          <w:tcPr>
            <w:tcW w:w="8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or units</w:t>
            </w:r>
          </w:p>
        </w:tc>
        <w:tc>
          <w:tcPr>
            <w:tcW w:w="14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Number of</w:t>
            </w:r>
          </w:p>
        </w:tc>
        <w:tc>
          <w:tcPr>
            <w:tcW w:w="12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value of</w:t>
            </w:r>
          </w:p>
        </w:tc>
      </w:tr>
      <w:tr>
        <w:trPr>
          <w:trHeight w:val="169"/>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Number of shares</w:t>
            </w: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underlying the</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6"/>
              </w:rPr>
              <w:t>of stock</w:t>
            </w:r>
          </w:p>
        </w:tc>
        <w:tc>
          <w:tcPr>
            <w:tcW w:w="8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6"/>
              </w:rPr>
              <w:t>of stock</w:t>
            </w:r>
          </w:p>
        </w:tc>
        <w:tc>
          <w:tcPr>
            <w:tcW w:w="14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unearned shares,</w:t>
            </w:r>
          </w:p>
        </w:tc>
        <w:tc>
          <w:tcPr>
            <w:tcW w:w="12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6"/>
              </w:rPr>
              <w:t>unearned</w:t>
            </w:r>
          </w:p>
        </w:tc>
      </w:tr>
      <w:tr>
        <w:trPr>
          <w:trHeight w:val="169"/>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underlying the</w:t>
            </w: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unexercised</w:t>
            </w:r>
          </w:p>
        </w:tc>
        <w:tc>
          <w:tcPr>
            <w:tcW w:w="600" w:type="dxa"/>
            <w:vAlign w:val="bottom"/>
          </w:tcPr>
          <w:p>
            <w:pPr>
              <w:jc w:val="center"/>
              <w:ind w:right="11"/>
              <w:spacing w:after="0" w:line="166" w:lineRule="exact"/>
              <w:rPr>
                <w:sz w:val="20"/>
                <w:szCs w:val="20"/>
                <w:color w:val="auto"/>
              </w:rPr>
            </w:pPr>
            <w:r>
              <w:rPr>
                <w:rFonts w:ascii="Calibri" w:cs="Calibri" w:eastAsia="Calibri" w:hAnsi="Calibri"/>
                <w:sz w:val="14"/>
                <w:szCs w:val="14"/>
                <w:b w:val="1"/>
                <w:bCs w:val="1"/>
                <w:color w:val="auto"/>
              </w:rPr>
              <w:t>Opton</w:t>
            </w:r>
          </w:p>
        </w:tc>
        <w:tc>
          <w:tcPr>
            <w:tcW w:w="920" w:type="dxa"/>
            <w:vAlign w:val="bottom"/>
          </w:tcPr>
          <w:p>
            <w:pPr>
              <w:spacing w:after="0"/>
              <w:rPr>
                <w:sz w:val="14"/>
                <w:szCs w:val="14"/>
                <w:color w:val="auto"/>
              </w:rPr>
            </w:pPr>
          </w:p>
        </w:tc>
        <w:tc>
          <w:tcPr>
            <w:tcW w:w="8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9"/>
              </w:rPr>
              <w:t>that</w:t>
            </w:r>
          </w:p>
        </w:tc>
        <w:tc>
          <w:tcPr>
            <w:tcW w:w="8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9"/>
              </w:rPr>
              <w:t>that</w:t>
            </w:r>
          </w:p>
        </w:tc>
        <w:tc>
          <w:tcPr>
            <w:tcW w:w="14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units or other rights</w:t>
            </w:r>
          </w:p>
        </w:tc>
        <w:tc>
          <w:tcPr>
            <w:tcW w:w="1200" w:type="dxa"/>
            <w:vAlign w:val="bottom"/>
          </w:tcPr>
          <w:p>
            <w:pPr>
              <w:jc w:val="center"/>
              <w:ind w:left="11"/>
              <w:spacing w:after="0" w:line="166" w:lineRule="exact"/>
              <w:rPr>
                <w:sz w:val="20"/>
                <w:szCs w:val="20"/>
                <w:color w:val="auto"/>
              </w:rPr>
            </w:pPr>
            <w:r>
              <w:rPr>
                <w:rFonts w:ascii="Calibri" w:cs="Calibri" w:eastAsia="Calibri" w:hAnsi="Calibri"/>
                <w:sz w:val="14"/>
                <w:szCs w:val="14"/>
                <w:b w:val="1"/>
                <w:bCs w:val="1"/>
                <w:color w:val="auto"/>
                <w:w w:val="98"/>
              </w:rPr>
              <w:t>shares, units or</w:t>
            </w:r>
          </w:p>
        </w:tc>
      </w:tr>
      <w:tr>
        <w:trPr>
          <w:trHeight w:val="169"/>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unexercised</w:t>
            </w: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Stock Optons</w:t>
            </w:r>
          </w:p>
        </w:tc>
        <w:tc>
          <w:tcPr>
            <w:tcW w:w="60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w w:val="97"/>
              </w:rPr>
              <w:t>Exercise</w:t>
            </w:r>
          </w:p>
        </w:tc>
        <w:tc>
          <w:tcPr>
            <w:tcW w:w="9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Opton</w:t>
            </w:r>
          </w:p>
        </w:tc>
        <w:tc>
          <w:tcPr>
            <w:tcW w:w="8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have not</w:t>
            </w:r>
          </w:p>
        </w:tc>
        <w:tc>
          <w:tcPr>
            <w:tcW w:w="8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have not</w:t>
            </w:r>
          </w:p>
        </w:tc>
        <w:tc>
          <w:tcPr>
            <w:tcW w:w="14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9"/>
              </w:rPr>
              <w:t>that have not</w:t>
            </w:r>
          </w:p>
        </w:tc>
        <w:tc>
          <w:tcPr>
            <w:tcW w:w="12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other rights that</w:t>
            </w:r>
          </w:p>
        </w:tc>
      </w:tr>
      <w:tr>
        <w:trPr>
          <w:trHeight w:val="169"/>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Stock Optons</w:t>
            </w: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600" w:type="dxa"/>
            <w:vAlign w:val="bottom"/>
          </w:tcPr>
          <w:p>
            <w:pPr>
              <w:jc w:val="center"/>
              <w:ind w:right="11"/>
              <w:spacing w:after="0" w:line="166" w:lineRule="exact"/>
              <w:rPr>
                <w:sz w:val="20"/>
                <w:szCs w:val="20"/>
                <w:color w:val="auto"/>
              </w:rPr>
            </w:pPr>
            <w:r>
              <w:rPr>
                <w:rFonts w:ascii="Calibri" w:cs="Calibri" w:eastAsia="Calibri" w:hAnsi="Calibri"/>
                <w:sz w:val="14"/>
                <w:szCs w:val="14"/>
                <w:b w:val="1"/>
                <w:bCs w:val="1"/>
                <w:color w:val="auto"/>
                <w:w w:val="97"/>
              </w:rPr>
              <w:t>Price</w:t>
            </w:r>
          </w:p>
        </w:tc>
        <w:tc>
          <w:tcPr>
            <w:tcW w:w="9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Expiraton</w:t>
            </w:r>
          </w:p>
        </w:tc>
        <w:tc>
          <w:tcPr>
            <w:tcW w:w="8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vested</w:t>
            </w:r>
          </w:p>
        </w:tc>
        <w:tc>
          <w:tcPr>
            <w:tcW w:w="8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vested</w:t>
            </w:r>
          </w:p>
        </w:tc>
        <w:tc>
          <w:tcPr>
            <w:tcW w:w="14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vested</w:t>
            </w:r>
          </w:p>
        </w:tc>
        <w:tc>
          <w:tcPr>
            <w:tcW w:w="12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6"/>
              </w:rPr>
              <w:t>have not vested</w:t>
            </w:r>
          </w:p>
        </w:tc>
      </w:tr>
      <w:tr>
        <w:trPr>
          <w:trHeight w:val="301"/>
        </w:trPr>
        <w:tc>
          <w:tcPr>
            <w:tcW w:w="1060" w:type="dxa"/>
            <w:vAlign w:val="bottom"/>
            <w:tcBorders>
              <w:bottom w:val="single" w:sz="8" w:color="auto"/>
            </w:tcBorders>
            <w:gridSpan w:val="2"/>
          </w:tcPr>
          <w:p>
            <w:pPr>
              <w:spacing w:after="0"/>
              <w:rPr>
                <w:sz w:val="20"/>
                <w:szCs w:val="20"/>
                <w:color w:val="auto"/>
              </w:rPr>
            </w:pPr>
            <w:r>
              <w:rPr>
                <w:rFonts w:ascii="Calibri" w:cs="Calibri" w:eastAsia="Calibri" w:hAnsi="Calibri"/>
                <w:sz w:val="14"/>
                <w:szCs w:val="14"/>
                <w:b w:val="1"/>
                <w:bCs w:val="1"/>
                <w:color w:val="FB4E0B"/>
              </w:rPr>
              <w:t> Name</w:t>
            </w:r>
          </w:p>
        </w:tc>
        <w:tc>
          <w:tcPr>
            <w:tcW w:w="1260" w:type="dxa"/>
            <w:vAlign w:val="bottom"/>
            <w:tcBorders>
              <w:bottom w:val="single" w:sz="8" w:color="auto"/>
            </w:tcBorders>
          </w:tcPr>
          <w:p>
            <w:pPr>
              <w:jc w:val="right"/>
              <w:ind w:right="51"/>
              <w:spacing w:after="0"/>
              <w:rPr>
                <w:sz w:val="20"/>
                <w:szCs w:val="20"/>
                <w:color w:val="auto"/>
              </w:rPr>
            </w:pPr>
            <w:r>
              <w:rPr>
                <w:rFonts w:ascii="Calibri" w:cs="Calibri" w:eastAsia="Calibri" w:hAnsi="Calibri"/>
                <w:sz w:val="14"/>
                <w:szCs w:val="14"/>
                <w:b w:val="1"/>
                <w:bCs w:val="1"/>
                <w:color w:val="auto"/>
              </w:rPr>
              <w:t>Grant Date</w:t>
            </w:r>
          </w:p>
        </w:tc>
        <w:tc>
          <w:tcPr>
            <w:tcW w:w="12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4"/>
              </w:rPr>
              <w:t>(#) Exercisable</w:t>
            </w:r>
            <w:r>
              <w:rPr>
                <w:rFonts w:ascii="Calibri" w:cs="Calibri" w:eastAsia="Calibri" w:hAnsi="Calibri"/>
                <w:sz w:val="20"/>
                <w:szCs w:val="20"/>
                <w:b w:val="1"/>
                <w:bCs w:val="1"/>
                <w:color w:val="auto"/>
                <w:w w:val="94"/>
                <w:vertAlign w:val="superscript"/>
              </w:rPr>
              <w:t>(1)</w:t>
            </w:r>
          </w:p>
        </w:tc>
        <w:tc>
          <w:tcPr>
            <w:tcW w:w="11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4"/>
              </w:rPr>
              <w:t>Unexercisable</w:t>
            </w:r>
            <w:r>
              <w:rPr>
                <w:rFonts w:ascii="Calibri" w:cs="Calibri" w:eastAsia="Calibri" w:hAnsi="Calibri"/>
                <w:sz w:val="20"/>
                <w:szCs w:val="20"/>
                <w:b w:val="1"/>
                <w:bCs w:val="1"/>
                <w:color w:val="auto"/>
                <w:w w:val="94"/>
                <w:vertAlign w:val="superscript"/>
              </w:rPr>
              <w:t>(1)</w:t>
            </w:r>
          </w:p>
        </w:tc>
        <w:tc>
          <w:tcPr>
            <w:tcW w:w="600" w:type="dxa"/>
            <w:vAlign w:val="bottom"/>
            <w:tcBorders>
              <w:bottom w:val="single" w:sz="8" w:color="auto"/>
            </w:tcBorders>
          </w:tcPr>
          <w:p>
            <w:pPr>
              <w:jc w:val="center"/>
              <w:ind w:right="11"/>
              <w:spacing w:after="0" w:line="166" w:lineRule="exact"/>
              <w:rPr>
                <w:sz w:val="20"/>
                <w:szCs w:val="20"/>
                <w:color w:val="auto"/>
              </w:rPr>
            </w:pPr>
            <w:r>
              <w:rPr>
                <w:rFonts w:ascii="Calibri" w:cs="Calibri" w:eastAsia="Calibri" w:hAnsi="Calibri"/>
                <w:sz w:val="14"/>
                <w:szCs w:val="14"/>
                <w:b w:val="1"/>
                <w:bCs w:val="1"/>
                <w:color w:val="auto"/>
              </w:rPr>
              <w:t>($)</w:t>
            </w:r>
          </w:p>
        </w:tc>
        <w:tc>
          <w:tcPr>
            <w:tcW w:w="920" w:type="dxa"/>
            <w:vAlign w:val="bottom"/>
            <w:tcBorders>
              <w:bottom w:val="single" w:sz="8" w:color="auto"/>
            </w:tcBorders>
          </w:tcPr>
          <w:p>
            <w:pPr>
              <w:jc w:val="center"/>
              <w:ind w:right="31"/>
              <w:spacing w:after="0"/>
              <w:rPr>
                <w:sz w:val="20"/>
                <w:szCs w:val="20"/>
                <w:color w:val="auto"/>
              </w:rPr>
            </w:pPr>
            <w:r>
              <w:rPr>
                <w:rFonts w:ascii="Calibri" w:cs="Calibri" w:eastAsia="Calibri" w:hAnsi="Calibri"/>
                <w:sz w:val="14"/>
                <w:szCs w:val="14"/>
                <w:b w:val="1"/>
                <w:bCs w:val="1"/>
                <w:color w:val="auto"/>
                <w:w w:val="93"/>
              </w:rPr>
              <w:t>Date</w:t>
            </w:r>
          </w:p>
        </w:tc>
        <w:tc>
          <w:tcPr>
            <w:tcW w:w="880" w:type="dxa"/>
            <w:vAlign w:val="bottom"/>
            <w:tcBorders>
              <w:bottom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84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(6)</w:t>
            </w:r>
          </w:p>
        </w:tc>
        <w:tc>
          <w:tcPr>
            <w:tcW w:w="1460" w:type="dxa"/>
            <w:vAlign w:val="bottom"/>
            <w:tcBorders>
              <w:bottom w:val="single" w:sz="8" w:color="auto"/>
            </w:tcBorders>
          </w:tcPr>
          <w:p>
            <w:pPr>
              <w:jc w:val="center"/>
              <w:spacing w:after="0" w:line="301" w:lineRule="exact"/>
              <w:rPr>
                <w:sz w:val="20"/>
                <w:szCs w:val="20"/>
                <w:color w:val="auto"/>
              </w:rPr>
            </w:pPr>
            <w:r>
              <w:rPr>
                <w:rFonts w:ascii="Calibri" w:cs="Calibri" w:eastAsia="Calibri" w:hAnsi="Calibri"/>
                <w:sz w:val="27"/>
                <w:szCs w:val="27"/>
                <w:b w:val="1"/>
                <w:bCs w:val="1"/>
                <w:color w:val="auto"/>
                <w:w w:val="88"/>
                <w:vertAlign w:val="subscript"/>
              </w:rPr>
              <w:t>(#)</w:t>
            </w:r>
            <w:r>
              <w:rPr>
                <w:rFonts w:ascii="Calibri" w:cs="Calibri" w:eastAsia="Calibri" w:hAnsi="Calibri"/>
                <w:sz w:val="10"/>
                <w:szCs w:val="10"/>
                <w:b w:val="1"/>
                <w:bCs w:val="1"/>
                <w:color w:val="auto"/>
                <w:w w:val="88"/>
              </w:rPr>
              <w:t>(5)(7)</w:t>
            </w:r>
          </w:p>
        </w:tc>
        <w:tc>
          <w:tcPr>
            <w:tcW w:w="120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83"/>
              </w:rPr>
              <w:t>($)</w:t>
            </w:r>
            <w:r>
              <w:rPr>
                <w:rFonts w:ascii="Calibri" w:cs="Calibri" w:eastAsia="Calibri" w:hAnsi="Calibri"/>
                <w:sz w:val="20"/>
                <w:szCs w:val="20"/>
                <w:b w:val="1"/>
                <w:bCs w:val="1"/>
                <w:color w:val="auto"/>
                <w:w w:val="83"/>
                <w:vertAlign w:val="superscript"/>
              </w:rPr>
              <w:t>(6)</w:t>
            </w:r>
          </w:p>
        </w:tc>
      </w:tr>
      <w:tr>
        <w:trPr>
          <w:trHeight w:val="160"/>
        </w:trPr>
        <w:tc>
          <w:tcPr>
            <w:tcW w:w="1060" w:type="dxa"/>
            <w:vAlign w:val="bottom"/>
            <w:gridSpan w:val="2"/>
          </w:tcPr>
          <w:p>
            <w:pPr>
              <w:spacing w:after="0" w:line="160" w:lineRule="exact"/>
              <w:rPr>
                <w:sz w:val="20"/>
                <w:szCs w:val="20"/>
                <w:color w:val="auto"/>
              </w:rPr>
            </w:pPr>
            <w:r>
              <w:rPr>
                <w:rFonts w:ascii="Calibri" w:cs="Calibri" w:eastAsia="Calibri" w:hAnsi="Calibri"/>
                <w:sz w:val="14"/>
                <w:szCs w:val="14"/>
                <w:b w:val="1"/>
                <w:bCs w:val="1"/>
                <w:color w:val="auto"/>
              </w:rPr>
              <w:t> Rohit</w:t>
            </w:r>
          </w:p>
        </w:tc>
        <w:tc>
          <w:tcPr>
            <w:tcW w:w="1260" w:type="dxa"/>
            <w:vAlign w:val="bottom"/>
          </w:tcPr>
          <w:p>
            <w:pPr>
              <w:jc w:val="right"/>
              <w:ind w:right="51"/>
              <w:spacing w:after="0" w:line="160" w:lineRule="exact"/>
              <w:rPr>
                <w:sz w:val="20"/>
                <w:szCs w:val="20"/>
                <w:color w:val="auto"/>
              </w:rPr>
            </w:pPr>
            <w:r>
              <w:rPr>
                <w:rFonts w:ascii="Calibri" w:cs="Calibri" w:eastAsia="Calibri" w:hAnsi="Calibri"/>
                <w:sz w:val="14"/>
                <w:szCs w:val="14"/>
                <w:color w:val="auto"/>
              </w:rPr>
              <w:t>2/20/2020</w:t>
            </w: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jc w:val="right"/>
              <w:ind w:right="92"/>
              <w:spacing w:after="0" w:line="160" w:lineRule="exact"/>
              <w:rPr>
                <w:sz w:val="20"/>
                <w:szCs w:val="20"/>
                <w:color w:val="auto"/>
              </w:rPr>
            </w:pPr>
            <w:r>
              <w:rPr>
                <w:rFonts w:ascii="Calibri" w:cs="Calibri" w:eastAsia="Calibri" w:hAnsi="Calibri"/>
                <w:sz w:val="12"/>
                <w:szCs w:val="12"/>
                <w:color w:val="auto"/>
              </w:rPr>
              <w:t>29,400</w:t>
            </w:r>
            <w:r>
              <w:rPr>
                <w:rFonts w:ascii="Calibri" w:cs="Calibri" w:eastAsia="Calibri" w:hAnsi="Calibri"/>
                <w:sz w:val="17"/>
                <w:szCs w:val="17"/>
                <w:color w:val="auto"/>
                <w:vertAlign w:val="superscript"/>
              </w:rPr>
              <w:t>(2)</w:t>
            </w:r>
          </w:p>
        </w:tc>
        <w:tc>
          <w:tcPr>
            <w:tcW w:w="840" w:type="dxa"/>
            <w:vAlign w:val="bottom"/>
          </w:tcPr>
          <w:p>
            <w:pPr>
              <w:jc w:val="right"/>
              <w:ind w:right="31"/>
              <w:spacing w:after="0" w:line="160" w:lineRule="exact"/>
              <w:rPr>
                <w:sz w:val="20"/>
                <w:szCs w:val="20"/>
                <w:color w:val="auto"/>
              </w:rPr>
            </w:pPr>
            <w:r>
              <w:rPr>
                <w:rFonts w:ascii="Calibri" w:cs="Calibri" w:eastAsia="Calibri" w:hAnsi="Calibri"/>
                <w:sz w:val="14"/>
                <w:szCs w:val="14"/>
                <w:color w:val="auto"/>
              </w:rPr>
              <w:t>906,990</w:t>
            </w:r>
          </w:p>
        </w:tc>
        <w:tc>
          <w:tcPr>
            <w:tcW w:w="14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47"/>
        </w:trPr>
        <w:tc>
          <w:tcPr>
            <w:tcW w:w="1060" w:type="dxa"/>
            <w:vAlign w:val="bottom"/>
            <w:gridSpan w:val="2"/>
          </w:tcPr>
          <w:p>
            <w:pPr>
              <w:spacing w:after="0" w:line="166" w:lineRule="exact"/>
              <w:rPr>
                <w:sz w:val="20"/>
                <w:szCs w:val="20"/>
                <w:color w:val="auto"/>
              </w:rPr>
            </w:pPr>
            <w:r>
              <w:rPr>
                <w:rFonts w:ascii="Calibri" w:cs="Calibri" w:eastAsia="Calibri" w:hAnsi="Calibri"/>
                <w:sz w:val="14"/>
                <w:szCs w:val="14"/>
                <w:b w:val="1"/>
                <w:bCs w:val="1"/>
                <w:color w:val="auto"/>
              </w:rPr>
              <w:t> Kapoor</w:t>
            </w:r>
          </w:p>
        </w:tc>
        <w:tc>
          <w:tcPr>
            <w:tcW w:w="1260" w:type="dxa"/>
            <w:vAlign w:val="bottom"/>
          </w:tcPr>
          <w:p>
            <w:pPr>
              <w:jc w:val="right"/>
              <w:ind w:right="51"/>
              <w:spacing w:after="0"/>
              <w:rPr>
                <w:sz w:val="20"/>
                <w:szCs w:val="20"/>
                <w:color w:val="auto"/>
              </w:rPr>
            </w:pPr>
            <w:r>
              <w:rPr>
                <w:rFonts w:ascii="Calibri" w:cs="Calibri" w:eastAsia="Calibri" w:hAnsi="Calibri"/>
                <w:sz w:val="14"/>
                <w:szCs w:val="14"/>
                <w:color w:val="auto"/>
              </w:rPr>
              <w:t>2/17/2021</w:t>
            </w:r>
          </w:p>
        </w:tc>
        <w:tc>
          <w:tcPr>
            <w:tcW w:w="1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jc w:val="right"/>
              <w:ind w:right="92"/>
              <w:spacing w:after="0"/>
              <w:rPr>
                <w:sz w:val="20"/>
                <w:szCs w:val="20"/>
                <w:color w:val="auto"/>
              </w:rPr>
            </w:pPr>
            <w:r>
              <w:rPr>
                <w:rFonts w:ascii="Calibri" w:cs="Calibri" w:eastAsia="Calibri" w:hAnsi="Calibri"/>
                <w:sz w:val="14"/>
                <w:szCs w:val="14"/>
                <w:color w:val="auto"/>
              </w:rPr>
              <w:t>88,500</w:t>
            </w:r>
            <w:r>
              <w:rPr>
                <w:rFonts w:ascii="Calibri" w:cs="Calibri" w:eastAsia="Calibri" w:hAnsi="Calibri"/>
                <w:sz w:val="20"/>
                <w:szCs w:val="20"/>
                <w:color w:val="auto"/>
                <w:vertAlign w:val="superscript"/>
              </w:rPr>
              <w:t>(2)</w:t>
            </w:r>
          </w:p>
        </w:tc>
        <w:tc>
          <w:tcPr>
            <w:tcW w:w="840" w:type="dxa"/>
            <w:vAlign w:val="bottom"/>
          </w:tcPr>
          <w:p>
            <w:pPr>
              <w:jc w:val="right"/>
              <w:ind w:right="31"/>
              <w:spacing w:after="0"/>
              <w:rPr>
                <w:sz w:val="20"/>
                <w:szCs w:val="20"/>
                <w:color w:val="auto"/>
              </w:rPr>
            </w:pPr>
            <w:r>
              <w:rPr>
                <w:rFonts w:ascii="Calibri" w:cs="Calibri" w:eastAsia="Calibri" w:hAnsi="Calibri"/>
                <w:sz w:val="14"/>
                <w:szCs w:val="14"/>
                <w:color w:val="auto"/>
              </w:rPr>
              <w:t>2,730,225</w:t>
            </w: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line="166" w:lineRule="exact"/>
              <w:rPr>
                <w:sz w:val="20"/>
                <w:szCs w:val="20"/>
                <w:color w:val="auto"/>
              </w:rPr>
            </w:pPr>
            <w:r>
              <w:rPr>
                <w:rFonts w:ascii="Calibri" w:cs="Calibri" w:eastAsia="Calibri" w:hAnsi="Calibri"/>
                <w:sz w:val="14"/>
                <w:szCs w:val="14"/>
                <w:color w:val="auto"/>
              </w:rPr>
              <w:t>2/16/2022</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jc w:val="right"/>
              <w:ind w:right="92"/>
              <w:spacing w:after="0" w:line="221" w:lineRule="exact"/>
              <w:rPr>
                <w:sz w:val="20"/>
                <w:szCs w:val="20"/>
                <w:color w:val="auto"/>
              </w:rPr>
            </w:pPr>
            <w:r>
              <w:rPr>
                <w:rFonts w:ascii="Calibri" w:cs="Calibri" w:eastAsia="Calibri" w:hAnsi="Calibri"/>
                <w:sz w:val="14"/>
                <w:szCs w:val="14"/>
                <w:color w:val="auto"/>
              </w:rPr>
              <w:t>94,365</w:t>
            </w:r>
            <w:r>
              <w:rPr>
                <w:rFonts w:ascii="Calibri" w:cs="Calibri" w:eastAsia="Calibri" w:hAnsi="Calibri"/>
                <w:sz w:val="20"/>
                <w:szCs w:val="20"/>
                <w:color w:val="auto"/>
                <w:vertAlign w:val="superscript"/>
              </w:rPr>
              <w:t>(2)</w:t>
            </w:r>
          </w:p>
        </w:tc>
        <w:tc>
          <w:tcPr>
            <w:tcW w:w="840" w:type="dxa"/>
            <w:vAlign w:val="bottom"/>
          </w:tcPr>
          <w:p>
            <w:pPr>
              <w:jc w:val="right"/>
              <w:ind w:right="31"/>
              <w:spacing w:after="0" w:line="166" w:lineRule="exact"/>
              <w:rPr>
                <w:sz w:val="20"/>
                <w:szCs w:val="20"/>
                <w:color w:val="auto"/>
              </w:rPr>
            </w:pPr>
            <w:r>
              <w:rPr>
                <w:rFonts w:ascii="Calibri" w:cs="Calibri" w:eastAsia="Calibri" w:hAnsi="Calibri"/>
                <w:sz w:val="14"/>
                <w:szCs w:val="14"/>
                <w:color w:val="auto"/>
              </w:rPr>
              <w:t>2,911,160</w:t>
            </w: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line="166" w:lineRule="exact"/>
              <w:rPr>
                <w:sz w:val="20"/>
                <w:szCs w:val="20"/>
                <w:color w:val="auto"/>
              </w:rPr>
            </w:pPr>
            <w:r>
              <w:rPr>
                <w:rFonts w:ascii="Calibri" w:cs="Calibri" w:eastAsia="Calibri" w:hAnsi="Calibri"/>
                <w:sz w:val="14"/>
                <w:szCs w:val="14"/>
                <w:color w:val="auto"/>
              </w:rPr>
              <w:t>2/15/2023</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jc w:val="right"/>
              <w:ind w:right="92"/>
              <w:spacing w:after="0" w:line="221" w:lineRule="exact"/>
              <w:rPr>
                <w:sz w:val="20"/>
                <w:szCs w:val="20"/>
                <w:color w:val="auto"/>
              </w:rPr>
            </w:pPr>
            <w:r>
              <w:rPr>
                <w:rFonts w:ascii="Calibri" w:cs="Calibri" w:eastAsia="Calibri" w:hAnsi="Calibri"/>
                <w:sz w:val="14"/>
                <w:szCs w:val="14"/>
                <w:color w:val="auto"/>
              </w:rPr>
              <w:t>104,480</w:t>
            </w:r>
            <w:r>
              <w:rPr>
                <w:rFonts w:ascii="Calibri" w:cs="Calibri" w:eastAsia="Calibri" w:hAnsi="Calibri"/>
                <w:sz w:val="20"/>
                <w:szCs w:val="20"/>
                <w:color w:val="auto"/>
                <w:vertAlign w:val="superscript"/>
              </w:rPr>
              <w:t>(2)</w:t>
            </w:r>
          </w:p>
        </w:tc>
        <w:tc>
          <w:tcPr>
            <w:tcW w:w="840" w:type="dxa"/>
            <w:vAlign w:val="bottom"/>
          </w:tcPr>
          <w:p>
            <w:pPr>
              <w:jc w:val="right"/>
              <w:ind w:right="31"/>
              <w:spacing w:after="0" w:line="166" w:lineRule="exact"/>
              <w:rPr>
                <w:sz w:val="20"/>
                <w:szCs w:val="20"/>
                <w:color w:val="auto"/>
              </w:rPr>
            </w:pPr>
            <w:r>
              <w:rPr>
                <w:rFonts w:ascii="Calibri" w:cs="Calibri" w:eastAsia="Calibri" w:hAnsi="Calibri"/>
                <w:sz w:val="14"/>
                <w:szCs w:val="14"/>
                <w:color w:val="auto"/>
              </w:rPr>
              <w:t>3,223,208</w:t>
            </w: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66"/>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jc w:val="right"/>
              <w:ind w:right="51"/>
              <w:spacing w:after="0" w:line="166" w:lineRule="exact"/>
              <w:rPr>
                <w:sz w:val="20"/>
                <w:szCs w:val="20"/>
                <w:color w:val="auto"/>
              </w:rPr>
            </w:pPr>
            <w:r>
              <w:rPr>
                <w:rFonts w:ascii="Calibri" w:cs="Calibri" w:eastAsia="Calibri" w:hAnsi="Calibri"/>
                <w:sz w:val="14"/>
                <w:szCs w:val="14"/>
                <w:color w:val="auto"/>
              </w:rPr>
              <w:t>2/16/2022</w:t>
            </w: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jc w:val="right"/>
              <w:ind w:right="192"/>
              <w:spacing w:after="0" w:line="166" w:lineRule="exact"/>
              <w:rPr>
                <w:sz w:val="20"/>
                <w:szCs w:val="20"/>
                <w:color w:val="auto"/>
              </w:rPr>
            </w:pPr>
            <w:r>
              <w:rPr>
                <w:rFonts w:ascii="Calibri" w:cs="Calibri" w:eastAsia="Calibri" w:hAnsi="Calibri"/>
                <w:sz w:val="14"/>
                <w:szCs w:val="14"/>
                <w:color w:val="auto"/>
              </w:rPr>
              <w:t>150,990</w:t>
            </w:r>
          </w:p>
        </w:tc>
        <w:tc>
          <w:tcPr>
            <w:tcW w:w="1200" w:type="dxa"/>
            <w:vAlign w:val="bottom"/>
          </w:tcPr>
          <w:p>
            <w:pPr>
              <w:jc w:val="right"/>
              <w:spacing w:after="0" w:line="166" w:lineRule="exact"/>
              <w:rPr>
                <w:sz w:val="20"/>
                <w:szCs w:val="20"/>
                <w:color w:val="auto"/>
              </w:rPr>
            </w:pPr>
            <w:r>
              <w:rPr>
                <w:rFonts w:ascii="Calibri" w:cs="Calibri" w:eastAsia="Calibri" w:hAnsi="Calibri"/>
                <w:sz w:val="14"/>
                <w:szCs w:val="14"/>
                <w:color w:val="auto"/>
              </w:rPr>
              <w:t>4,658,042</w:t>
            </w: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rPr>
                <w:sz w:val="20"/>
                <w:szCs w:val="20"/>
                <w:color w:val="auto"/>
              </w:rPr>
            </w:pPr>
            <w:r>
              <w:rPr>
                <w:rFonts w:ascii="Calibri" w:cs="Calibri" w:eastAsia="Calibri" w:hAnsi="Calibri"/>
                <w:sz w:val="14"/>
                <w:szCs w:val="14"/>
                <w:color w:val="auto"/>
              </w:rPr>
              <w:t>2/16/2022</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Calibri" w:cs="Calibri" w:eastAsia="Calibri" w:hAnsi="Calibri"/>
                <w:sz w:val="14"/>
                <w:szCs w:val="14"/>
                <w:color w:val="auto"/>
              </w:rPr>
              <w:t>226,470</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6,986,600</w:t>
            </w: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rPr>
                <w:sz w:val="20"/>
                <w:szCs w:val="20"/>
                <w:color w:val="auto"/>
              </w:rPr>
            </w:pPr>
            <w:r>
              <w:rPr>
                <w:rFonts w:ascii="Calibri" w:cs="Calibri" w:eastAsia="Calibri" w:hAnsi="Calibri"/>
                <w:sz w:val="14"/>
                <w:szCs w:val="14"/>
                <w:color w:val="auto"/>
              </w:rPr>
              <w:t>2/15/2023</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Calibri" w:cs="Calibri" w:eastAsia="Calibri" w:hAnsi="Calibri"/>
                <w:sz w:val="14"/>
                <w:szCs w:val="14"/>
                <w:color w:val="auto"/>
              </w:rPr>
              <w:t>62,690</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1,933,987</w:t>
            </w: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rPr>
                <w:sz w:val="20"/>
                <w:szCs w:val="20"/>
                <w:color w:val="auto"/>
              </w:rPr>
            </w:pPr>
            <w:r>
              <w:rPr>
                <w:rFonts w:ascii="Calibri" w:cs="Calibri" w:eastAsia="Calibri" w:hAnsi="Calibri"/>
                <w:sz w:val="14"/>
                <w:szCs w:val="14"/>
                <w:color w:val="auto"/>
              </w:rPr>
              <w:t>2/15/2023</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Calibri" w:cs="Calibri" w:eastAsia="Calibri" w:hAnsi="Calibri"/>
                <w:sz w:val="14"/>
                <w:szCs w:val="14"/>
                <w:color w:val="auto"/>
              </w:rPr>
              <w:t>94,030</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2,900,826</w:t>
            </w:r>
          </w:p>
        </w:tc>
      </w:tr>
      <w:tr>
        <w:trPr>
          <w:trHeight w:val="44"/>
        </w:trPr>
        <w:tc>
          <w:tcPr>
            <w:tcW w:w="1060" w:type="dxa"/>
            <w:vAlign w:val="bottom"/>
            <w:gridSpan w:val="2"/>
          </w:tcPr>
          <w:p>
            <w:pPr>
              <w:spacing w:after="0"/>
              <w:rPr>
                <w:sz w:val="3"/>
                <w:szCs w:val="3"/>
                <w:color w:val="auto"/>
              </w:rPr>
            </w:pPr>
          </w:p>
        </w:tc>
        <w:tc>
          <w:tcPr>
            <w:tcW w:w="1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0"/>
        </w:trPr>
        <w:tc>
          <w:tcPr>
            <w:tcW w:w="20" w:type="dxa"/>
            <w:vAlign w:val="bottom"/>
          </w:tcPr>
          <w:p>
            <w:pPr>
              <w:spacing w:after="0"/>
              <w:rPr>
                <w:sz w:val="13"/>
                <w:szCs w:val="13"/>
                <w:color w:val="auto"/>
              </w:rPr>
            </w:pPr>
          </w:p>
        </w:tc>
        <w:tc>
          <w:tcPr>
            <w:tcW w:w="1040" w:type="dxa"/>
            <w:vAlign w:val="bottom"/>
            <w:tcBorders>
              <w:top w:val="single" w:sz="8" w:color="auto"/>
            </w:tcBorders>
          </w:tcPr>
          <w:p>
            <w:pPr>
              <w:spacing w:after="0" w:line="160" w:lineRule="exact"/>
              <w:rPr>
                <w:sz w:val="20"/>
                <w:szCs w:val="20"/>
                <w:color w:val="auto"/>
              </w:rPr>
            </w:pPr>
            <w:r>
              <w:rPr>
                <w:rFonts w:ascii="Calibri" w:cs="Calibri" w:eastAsia="Calibri" w:hAnsi="Calibri"/>
                <w:sz w:val="14"/>
                <w:szCs w:val="14"/>
                <w:b w:val="1"/>
                <w:bCs w:val="1"/>
                <w:color w:val="auto"/>
              </w:rPr>
              <w:t> Maurizio</w:t>
            </w:r>
          </w:p>
        </w:tc>
        <w:tc>
          <w:tcPr>
            <w:tcW w:w="1260" w:type="dxa"/>
            <w:vAlign w:val="bottom"/>
            <w:tcBorders>
              <w:top w:val="single" w:sz="8" w:color="auto"/>
            </w:tcBorders>
          </w:tcPr>
          <w:p>
            <w:pPr>
              <w:jc w:val="right"/>
              <w:ind w:right="51"/>
              <w:spacing w:after="0" w:line="160" w:lineRule="exact"/>
              <w:rPr>
                <w:sz w:val="20"/>
                <w:szCs w:val="20"/>
                <w:color w:val="auto"/>
              </w:rPr>
            </w:pPr>
            <w:r>
              <w:rPr>
                <w:rFonts w:ascii="Calibri" w:cs="Calibri" w:eastAsia="Calibri" w:hAnsi="Calibri"/>
                <w:sz w:val="14"/>
                <w:szCs w:val="14"/>
                <w:color w:val="auto"/>
              </w:rPr>
              <w:t>2/3/2020</w:t>
            </w:r>
          </w:p>
        </w:tc>
        <w:tc>
          <w:tcPr>
            <w:tcW w:w="1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92"/>
              <w:spacing w:after="0" w:line="160" w:lineRule="exact"/>
              <w:rPr>
                <w:sz w:val="20"/>
                <w:szCs w:val="20"/>
                <w:color w:val="auto"/>
              </w:rPr>
            </w:pPr>
            <w:r>
              <w:rPr>
                <w:rFonts w:ascii="Calibri" w:cs="Calibri" w:eastAsia="Calibri" w:hAnsi="Calibri"/>
                <w:sz w:val="12"/>
                <w:szCs w:val="12"/>
                <w:color w:val="auto"/>
              </w:rPr>
              <w:t>7,375</w:t>
            </w:r>
            <w:r>
              <w:rPr>
                <w:rFonts w:ascii="Calibri" w:cs="Calibri" w:eastAsia="Calibri" w:hAnsi="Calibri"/>
                <w:sz w:val="17"/>
                <w:szCs w:val="17"/>
                <w:color w:val="auto"/>
                <w:vertAlign w:val="superscript"/>
              </w:rPr>
              <w:t>(2)</w:t>
            </w:r>
          </w:p>
        </w:tc>
        <w:tc>
          <w:tcPr>
            <w:tcW w:w="840" w:type="dxa"/>
            <w:vAlign w:val="bottom"/>
            <w:tcBorders>
              <w:top w:val="single" w:sz="8" w:color="auto"/>
            </w:tcBorders>
          </w:tcPr>
          <w:p>
            <w:pPr>
              <w:jc w:val="right"/>
              <w:ind w:right="31"/>
              <w:spacing w:after="0" w:line="160" w:lineRule="exact"/>
              <w:rPr>
                <w:sz w:val="20"/>
                <w:szCs w:val="20"/>
                <w:color w:val="auto"/>
              </w:rPr>
            </w:pPr>
            <w:r>
              <w:rPr>
                <w:rFonts w:ascii="Calibri" w:cs="Calibri" w:eastAsia="Calibri" w:hAnsi="Calibri"/>
                <w:sz w:val="14"/>
                <w:szCs w:val="14"/>
                <w:color w:val="auto"/>
              </w:rPr>
              <w:t>227,519</w:t>
            </w:r>
          </w:p>
        </w:tc>
        <w:tc>
          <w:tcPr>
            <w:tcW w:w="14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247"/>
        </w:trPr>
        <w:tc>
          <w:tcPr>
            <w:tcW w:w="1060" w:type="dxa"/>
            <w:vAlign w:val="bottom"/>
            <w:gridSpan w:val="2"/>
          </w:tcPr>
          <w:p>
            <w:pPr>
              <w:spacing w:after="0" w:line="166" w:lineRule="exact"/>
              <w:rPr>
                <w:sz w:val="20"/>
                <w:szCs w:val="20"/>
                <w:color w:val="auto"/>
              </w:rPr>
            </w:pPr>
            <w:r>
              <w:rPr>
                <w:rFonts w:ascii="Calibri" w:cs="Calibri" w:eastAsia="Calibri" w:hAnsi="Calibri"/>
                <w:sz w:val="14"/>
                <w:szCs w:val="14"/>
                <w:b w:val="1"/>
                <w:bCs w:val="1"/>
                <w:color w:val="auto"/>
              </w:rPr>
              <w:t> Nicolelli</w:t>
            </w:r>
          </w:p>
        </w:tc>
        <w:tc>
          <w:tcPr>
            <w:tcW w:w="1260" w:type="dxa"/>
            <w:vAlign w:val="bottom"/>
          </w:tcPr>
          <w:p>
            <w:pPr>
              <w:jc w:val="right"/>
              <w:ind w:right="51"/>
              <w:spacing w:after="0"/>
              <w:rPr>
                <w:sz w:val="20"/>
                <w:szCs w:val="20"/>
                <w:color w:val="auto"/>
              </w:rPr>
            </w:pPr>
            <w:r>
              <w:rPr>
                <w:rFonts w:ascii="Calibri" w:cs="Calibri" w:eastAsia="Calibri" w:hAnsi="Calibri"/>
                <w:sz w:val="14"/>
                <w:szCs w:val="14"/>
                <w:color w:val="auto"/>
              </w:rPr>
              <w:t>2/19/2020</w:t>
            </w:r>
          </w:p>
        </w:tc>
        <w:tc>
          <w:tcPr>
            <w:tcW w:w="1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jc w:val="right"/>
              <w:ind w:right="92"/>
              <w:spacing w:after="0"/>
              <w:rPr>
                <w:sz w:val="20"/>
                <w:szCs w:val="20"/>
                <w:color w:val="auto"/>
              </w:rPr>
            </w:pPr>
            <w:r>
              <w:rPr>
                <w:rFonts w:ascii="Calibri" w:cs="Calibri" w:eastAsia="Calibri" w:hAnsi="Calibri"/>
                <w:sz w:val="14"/>
                <w:szCs w:val="14"/>
                <w:color w:val="auto"/>
              </w:rPr>
              <w:t>5,460</w:t>
            </w:r>
            <w:r>
              <w:rPr>
                <w:rFonts w:ascii="Calibri" w:cs="Calibri" w:eastAsia="Calibri" w:hAnsi="Calibri"/>
                <w:sz w:val="20"/>
                <w:szCs w:val="20"/>
                <w:color w:val="auto"/>
                <w:vertAlign w:val="superscript"/>
              </w:rPr>
              <w:t>(2)</w:t>
            </w:r>
          </w:p>
        </w:tc>
        <w:tc>
          <w:tcPr>
            <w:tcW w:w="840" w:type="dxa"/>
            <w:vAlign w:val="bottom"/>
          </w:tcPr>
          <w:p>
            <w:pPr>
              <w:jc w:val="right"/>
              <w:ind w:right="31"/>
              <w:spacing w:after="0"/>
              <w:rPr>
                <w:sz w:val="20"/>
                <w:szCs w:val="20"/>
                <w:color w:val="auto"/>
              </w:rPr>
            </w:pPr>
            <w:r>
              <w:rPr>
                <w:rFonts w:ascii="Calibri" w:cs="Calibri" w:eastAsia="Calibri" w:hAnsi="Calibri"/>
                <w:sz w:val="14"/>
                <w:szCs w:val="14"/>
                <w:color w:val="auto"/>
              </w:rPr>
              <w:t>168,441</w:t>
            </w: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line="166" w:lineRule="exact"/>
              <w:rPr>
                <w:sz w:val="20"/>
                <w:szCs w:val="20"/>
                <w:color w:val="auto"/>
              </w:rPr>
            </w:pPr>
            <w:r>
              <w:rPr>
                <w:rFonts w:ascii="Calibri" w:cs="Calibri" w:eastAsia="Calibri" w:hAnsi="Calibri"/>
                <w:sz w:val="14"/>
                <w:szCs w:val="14"/>
                <w:color w:val="auto"/>
              </w:rPr>
              <w:t>2/17/2021</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jc w:val="right"/>
              <w:ind w:right="92"/>
              <w:spacing w:after="0" w:line="221" w:lineRule="exact"/>
              <w:rPr>
                <w:sz w:val="20"/>
                <w:szCs w:val="20"/>
                <w:color w:val="auto"/>
              </w:rPr>
            </w:pPr>
            <w:r>
              <w:rPr>
                <w:rFonts w:ascii="Calibri" w:cs="Calibri" w:eastAsia="Calibri" w:hAnsi="Calibri"/>
                <w:sz w:val="14"/>
                <w:szCs w:val="14"/>
                <w:color w:val="auto"/>
              </w:rPr>
              <w:t>17,300</w:t>
            </w:r>
            <w:r>
              <w:rPr>
                <w:rFonts w:ascii="Calibri" w:cs="Calibri" w:eastAsia="Calibri" w:hAnsi="Calibri"/>
                <w:sz w:val="20"/>
                <w:szCs w:val="20"/>
                <w:color w:val="auto"/>
                <w:vertAlign w:val="superscript"/>
              </w:rPr>
              <w:t>(2)</w:t>
            </w:r>
          </w:p>
        </w:tc>
        <w:tc>
          <w:tcPr>
            <w:tcW w:w="840" w:type="dxa"/>
            <w:vAlign w:val="bottom"/>
          </w:tcPr>
          <w:p>
            <w:pPr>
              <w:jc w:val="right"/>
              <w:ind w:right="31"/>
              <w:spacing w:after="0" w:line="166" w:lineRule="exact"/>
              <w:rPr>
                <w:sz w:val="20"/>
                <w:szCs w:val="20"/>
                <w:color w:val="auto"/>
              </w:rPr>
            </w:pPr>
            <w:r>
              <w:rPr>
                <w:rFonts w:ascii="Calibri" w:cs="Calibri" w:eastAsia="Calibri" w:hAnsi="Calibri"/>
                <w:sz w:val="14"/>
                <w:szCs w:val="14"/>
                <w:color w:val="auto"/>
              </w:rPr>
              <w:t>533,705</w:t>
            </w: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line="166" w:lineRule="exact"/>
              <w:rPr>
                <w:sz w:val="20"/>
                <w:szCs w:val="20"/>
                <w:color w:val="auto"/>
              </w:rPr>
            </w:pPr>
            <w:r>
              <w:rPr>
                <w:rFonts w:ascii="Calibri" w:cs="Calibri" w:eastAsia="Calibri" w:hAnsi="Calibri"/>
                <w:sz w:val="14"/>
                <w:szCs w:val="14"/>
                <w:color w:val="auto"/>
              </w:rPr>
              <w:t>2/16/2022</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jc w:val="right"/>
              <w:ind w:right="92"/>
              <w:spacing w:after="0" w:line="221" w:lineRule="exact"/>
              <w:rPr>
                <w:sz w:val="20"/>
                <w:szCs w:val="20"/>
                <w:color w:val="auto"/>
              </w:rPr>
            </w:pPr>
            <w:r>
              <w:rPr>
                <w:rFonts w:ascii="Calibri" w:cs="Calibri" w:eastAsia="Calibri" w:hAnsi="Calibri"/>
                <w:sz w:val="14"/>
                <w:szCs w:val="14"/>
                <w:color w:val="auto"/>
              </w:rPr>
              <w:t>14,565</w:t>
            </w:r>
            <w:r>
              <w:rPr>
                <w:rFonts w:ascii="Calibri" w:cs="Calibri" w:eastAsia="Calibri" w:hAnsi="Calibri"/>
                <w:sz w:val="20"/>
                <w:szCs w:val="20"/>
                <w:color w:val="auto"/>
                <w:vertAlign w:val="superscript"/>
              </w:rPr>
              <w:t>(2)</w:t>
            </w:r>
          </w:p>
        </w:tc>
        <w:tc>
          <w:tcPr>
            <w:tcW w:w="840" w:type="dxa"/>
            <w:vAlign w:val="bottom"/>
          </w:tcPr>
          <w:p>
            <w:pPr>
              <w:jc w:val="right"/>
              <w:ind w:right="31"/>
              <w:spacing w:after="0" w:line="166" w:lineRule="exact"/>
              <w:rPr>
                <w:sz w:val="20"/>
                <w:szCs w:val="20"/>
                <w:color w:val="auto"/>
              </w:rPr>
            </w:pPr>
            <w:r>
              <w:rPr>
                <w:rFonts w:ascii="Calibri" w:cs="Calibri" w:eastAsia="Calibri" w:hAnsi="Calibri"/>
                <w:sz w:val="14"/>
                <w:szCs w:val="14"/>
                <w:color w:val="auto"/>
              </w:rPr>
              <w:t>449,330</w:t>
            </w: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line="166" w:lineRule="exact"/>
              <w:rPr>
                <w:sz w:val="20"/>
                <w:szCs w:val="20"/>
                <w:color w:val="auto"/>
              </w:rPr>
            </w:pPr>
            <w:r>
              <w:rPr>
                <w:rFonts w:ascii="Calibri" w:cs="Calibri" w:eastAsia="Calibri" w:hAnsi="Calibri"/>
                <w:sz w:val="14"/>
                <w:szCs w:val="14"/>
                <w:color w:val="auto"/>
              </w:rPr>
              <w:t>9/1/2021</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jc w:val="right"/>
              <w:ind w:right="92"/>
              <w:spacing w:after="0" w:line="221" w:lineRule="exact"/>
              <w:rPr>
                <w:sz w:val="20"/>
                <w:szCs w:val="20"/>
                <w:color w:val="auto"/>
              </w:rPr>
            </w:pPr>
            <w:r>
              <w:rPr>
                <w:rFonts w:ascii="Calibri" w:cs="Calibri" w:eastAsia="Calibri" w:hAnsi="Calibri"/>
                <w:sz w:val="14"/>
                <w:szCs w:val="14"/>
                <w:color w:val="auto"/>
              </w:rPr>
              <w:t>27,075</w:t>
            </w:r>
            <w:r>
              <w:rPr>
                <w:rFonts w:ascii="Calibri" w:cs="Calibri" w:eastAsia="Calibri" w:hAnsi="Calibri"/>
                <w:sz w:val="20"/>
                <w:szCs w:val="20"/>
                <w:color w:val="auto"/>
                <w:vertAlign w:val="superscript"/>
              </w:rPr>
              <w:t>(4)</w:t>
            </w:r>
          </w:p>
        </w:tc>
        <w:tc>
          <w:tcPr>
            <w:tcW w:w="840" w:type="dxa"/>
            <w:vAlign w:val="bottom"/>
          </w:tcPr>
          <w:p>
            <w:pPr>
              <w:jc w:val="right"/>
              <w:ind w:right="31"/>
              <w:spacing w:after="0" w:line="166" w:lineRule="exact"/>
              <w:rPr>
                <w:sz w:val="20"/>
                <w:szCs w:val="20"/>
                <w:color w:val="auto"/>
              </w:rPr>
            </w:pPr>
            <w:r>
              <w:rPr>
                <w:rFonts w:ascii="Calibri" w:cs="Calibri" w:eastAsia="Calibri" w:hAnsi="Calibri"/>
                <w:sz w:val="14"/>
                <w:szCs w:val="14"/>
                <w:color w:val="auto"/>
              </w:rPr>
              <w:t>835,264</w:t>
            </w: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line="166" w:lineRule="exact"/>
              <w:rPr>
                <w:sz w:val="20"/>
                <w:szCs w:val="20"/>
                <w:color w:val="auto"/>
              </w:rPr>
            </w:pPr>
            <w:r>
              <w:rPr>
                <w:rFonts w:ascii="Calibri" w:cs="Calibri" w:eastAsia="Calibri" w:hAnsi="Calibri"/>
                <w:sz w:val="14"/>
                <w:szCs w:val="14"/>
                <w:color w:val="auto"/>
              </w:rPr>
              <w:t>2/15/2023</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jc w:val="right"/>
              <w:ind w:right="92"/>
              <w:spacing w:after="0" w:line="221" w:lineRule="exact"/>
              <w:rPr>
                <w:sz w:val="20"/>
                <w:szCs w:val="20"/>
                <w:color w:val="auto"/>
              </w:rPr>
            </w:pPr>
            <w:r>
              <w:rPr>
                <w:rFonts w:ascii="Calibri" w:cs="Calibri" w:eastAsia="Calibri" w:hAnsi="Calibri"/>
                <w:sz w:val="14"/>
                <w:szCs w:val="14"/>
                <w:color w:val="auto"/>
              </w:rPr>
              <w:t>16,440</w:t>
            </w:r>
            <w:r>
              <w:rPr>
                <w:rFonts w:ascii="Calibri" w:cs="Calibri" w:eastAsia="Calibri" w:hAnsi="Calibri"/>
                <w:sz w:val="20"/>
                <w:szCs w:val="20"/>
                <w:color w:val="auto"/>
                <w:vertAlign w:val="superscript"/>
              </w:rPr>
              <w:t>(2)</w:t>
            </w:r>
          </w:p>
        </w:tc>
        <w:tc>
          <w:tcPr>
            <w:tcW w:w="840" w:type="dxa"/>
            <w:vAlign w:val="bottom"/>
          </w:tcPr>
          <w:p>
            <w:pPr>
              <w:jc w:val="right"/>
              <w:ind w:right="31"/>
              <w:spacing w:after="0" w:line="166" w:lineRule="exact"/>
              <w:rPr>
                <w:sz w:val="20"/>
                <w:szCs w:val="20"/>
                <w:color w:val="auto"/>
              </w:rPr>
            </w:pPr>
            <w:r>
              <w:rPr>
                <w:rFonts w:ascii="Calibri" w:cs="Calibri" w:eastAsia="Calibri" w:hAnsi="Calibri"/>
                <w:sz w:val="14"/>
                <w:szCs w:val="14"/>
                <w:color w:val="auto"/>
              </w:rPr>
              <w:t>507,174</w:t>
            </w: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66"/>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jc w:val="right"/>
              <w:ind w:right="51"/>
              <w:spacing w:after="0" w:line="166" w:lineRule="exact"/>
              <w:rPr>
                <w:sz w:val="20"/>
                <w:szCs w:val="20"/>
                <w:color w:val="auto"/>
              </w:rPr>
            </w:pPr>
            <w:r>
              <w:rPr>
                <w:rFonts w:ascii="Calibri" w:cs="Calibri" w:eastAsia="Calibri" w:hAnsi="Calibri"/>
                <w:sz w:val="14"/>
                <w:szCs w:val="14"/>
                <w:color w:val="auto"/>
              </w:rPr>
              <w:t>6/21/2023</w:t>
            </w:r>
          </w:p>
        </w:tc>
        <w:tc>
          <w:tcPr>
            <w:tcW w:w="1220" w:type="dxa"/>
            <w:vAlign w:val="bottom"/>
          </w:tcPr>
          <w:p>
            <w:pPr>
              <w:spacing w:after="0"/>
              <w:rPr>
                <w:sz w:val="14"/>
                <w:szCs w:val="14"/>
                <w:color w:val="auto"/>
              </w:rPr>
            </w:pPr>
          </w:p>
        </w:tc>
        <w:tc>
          <w:tcPr>
            <w:tcW w:w="11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134,325</w:t>
            </w:r>
          </w:p>
        </w:tc>
        <w:tc>
          <w:tcPr>
            <w:tcW w:w="6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30.15</w:t>
            </w:r>
          </w:p>
        </w:tc>
        <w:tc>
          <w:tcPr>
            <w:tcW w:w="920" w:type="dxa"/>
            <w:vAlign w:val="bottom"/>
          </w:tcPr>
          <w:p>
            <w:pPr>
              <w:jc w:val="right"/>
              <w:ind w:right="91"/>
              <w:spacing w:after="0" w:line="166" w:lineRule="exact"/>
              <w:rPr>
                <w:sz w:val="20"/>
                <w:szCs w:val="20"/>
                <w:color w:val="auto"/>
              </w:rPr>
            </w:pPr>
            <w:r>
              <w:rPr>
                <w:rFonts w:ascii="Calibri" w:cs="Calibri" w:eastAsia="Calibri" w:hAnsi="Calibri"/>
                <w:sz w:val="14"/>
                <w:szCs w:val="14"/>
                <w:color w:val="auto"/>
              </w:rPr>
              <w:t>6/21/2033</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rPr>
                <w:sz w:val="20"/>
                <w:szCs w:val="20"/>
                <w:color w:val="auto"/>
              </w:rPr>
            </w:pPr>
            <w:r>
              <w:rPr>
                <w:rFonts w:ascii="Calibri" w:cs="Calibri" w:eastAsia="Calibri" w:hAnsi="Calibri"/>
                <w:sz w:val="14"/>
                <w:szCs w:val="14"/>
                <w:color w:val="auto"/>
              </w:rPr>
              <w:t>2/16/2022</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Calibri" w:cs="Calibri" w:eastAsia="Calibri" w:hAnsi="Calibri"/>
                <w:sz w:val="14"/>
                <w:szCs w:val="14"/>
                <w:color w:val="auto"/>
              </w:rPr>
              <w:t>23,310</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719,114</w:t>
            </w: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rPr>
                <w:sz w:val="20"/>
                <w:szCs w:val="20"/>
                <w:color w:val="auto"/>
              </w:rPr>
            </w:pPr>
            <w:r>
              <w:rPr>
                <w:rFonts w:ascii="Calibri" w:cs="Calibri" w:eastAsia="Calibri" w:hAnsi="Calibri"/>
                <w:sz w:val="14"/>
                <w:szCs w:val="14"/>
                <w:color w:val="auto"/>
              </w:rPr>
              <w:t>2/16/2022</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Calibri" w:cs="Calibri" w:eastAsia="Calibri" w:hAnsi="Calibri"/>
                <w:sz w:val="14"/>
                <w:szCs w:val="14"/>
                <w:color w:val="auto"/>
              </w:rPr>
              <w:t>34,950</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1,078,208</w:t>
            </w: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rPr>
                <w:sz w:val="20"/>
                <w:szCs w:val="20"/>
                <w:color w:val="auto"/>
              </w:rPr>
            </w:pPr>
            <w:r>
              <w:rPr>
                <w:rFonts w:ascii="Calibri" w:cs="Calibri" w:eastAsia="Calibri" w:hAnsi="Calibri"/>
                <w:sz w:val="14"/>
                <w:szCs w:val="14"/>
                <w:color w:val="auto"/>
              </w:rPr>
              <w:t>2/15/2023</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Calibri" w:cs="Calibri" w:eastAsia="Calibri" w:hAnsi="Calibri"/>
                <w:sz w:val="14"/>
                <w:szCs w:val="14"/>
                <w:color w:val="auto"/>
              </w:rPr>
              <w:t>9,865</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304,335</w:t>
            </w: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rPr>
                <w:sz w:val="20"/>
                <w:szCs w:val="20"/>
                <w:color w:val="auto"/>
              </w:rPr>
            </w:pPr>
            <w:r>
              <w:rPr>
                <w:rFonts w:ascii="Calibri" w:cs="Calibri" w:eastAsia="Calibri" w:hAnsi="Calibri"/>
                <w:sz w:val="14"/>
                <w:szCs w:val="14"/>
                <w:color w:val="auto"/>
              </w:rPr>
              <w:t>2/15/2023</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Calibri" w:cs="Calibri" w:eastAsia="Calibri" w:hAnsi="Calibri"/>
                <w:sz w:val="14"/>
                <w:szCs w:val="14"/>
                <w:color w:val="auto"/>
              </w:rPr>
              <w:t>14,795</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456,426</w:t>
            </w:r>
          </w:p>
        </w:tc>
      </w:tr>
      <w:tr>
        <w:trPr>
          <w:trHeight w:val="265"/>
        </w:trPr>
        <w:tc>
          <w:tcPr>
            <w:tcW w:w="2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
              <w:spacing w:after="0"/>
              <w:rPr>
                <w:sz w:val="20"/>
                <w:szCs w:val="20"/>
                <w:color w:val="auto"/>
              </w:rPr>
            </w:pPr>
            <w:r>
              <w:rPr>
                <w:rFonts w:ascii="Calibri" w:cs="Calibri" w:eastAsia="Calibri" w:hAnsi="Calibri"/>
                <w:sz w:val="14"/>
                <w:szCs w:val="14"/>
                <w:color w:val="auto"/>
              </w:rPr>
              <w:t>3/31/2022</w:t>
            </w:r>
          </w:p>
        </w:tc>
        <w:tc>
          <w:tcPr>
            <w:tcW w:w="1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92"/>
              <w:spacing w:after="0"/>
              <w:rPr>
                <w:sz w:val="20"/>
                <w:szCs w:val="20"/>
                <w:color w:val="auto"/>
              </w:rPr>
            </w:pPr>
            <w:r>
              <w:rPr>
                <w:rFonts w:ascii="Calibri" w:cs="Calibri" w:eastAsia="Calibri" w:hAnsi="Calibri"/>
                <w:sz w:val="14"/>
                <w:szCs w:val="14"/>
                <w:color w:val="auto"/>
              </w:rPr>
              <w:t>20,885</w:t>
            </w:r>
            <w:r>
              <w:rPr>
                <w:rFonts w:ascii="Calibri" w:cs="Calibri" w:eastAsia="Calibri" w:hAnsi="Calibri"/>
                <w:sz w:val="20"/>
                <w:szCs w:val="20"/>
                <w:color w:val="auto"/>
                <w:vertAlign w:val="superscript"/>
              </w:rPr>
              <w:t>(3)</w:t>
            </w:r>
          </w:p>
        </w:tc>
        <w:tc>
          <w:tcPr>
            <w:tcW w:w="840" w:type="dxa"/>
            <w:vAlign w:val="bottom"/>
            <w:tcBorders>
              <w:bottom w:val="single" w:sz="8" w:color="auto"/>
            </w:tcBorders>
          </w:tcPr>
          <w:p>
            <w:pPr>
              <w:jc w:val="right"/>
              <w:ind w:right="31"/>
              <w:spacing w:after="0"/>
              <w:rPr>
                <w:sz w:val="20"/>
                <w:szCs w:val="20"/>
                <w:color w:val="auto"/>
              </w:rPr>
            </w:pPr>
            <w:r>
              <w:rPr>
                <w:rFonts w:ascii="Calibri" w:cs="Calibri" w:eastAsia="Calibri" w:hAnsi="Calibri"/>
                <w:sz w:val="14"/>
                <w:szCs w:val="14"/>
                <w:color w:val="auto"/>
              </w:rPr>
              <w:t>644,302</w:t>
            </w:r>
          </w:p>
        </w:tc>
        <w:tc>
          <w:tcPr>
            <w:tcW w:w="14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r>
      <w:tr>
        <w:trPr>
          <w:trHeight w:val="160"/>
        </w:trPr>
        <w:tc>
          <w:tcPr>
            <w:tcW w:w="20" w:type="dxa"/>
            <w:vAlign w:val="bottom"/>
          </w:tcPr>
          <w:p>
            <w:pPr>
              <w:spacing w:after="0"/>
              <w:rPr>
                <w:sz w:val="13"/>
                <w:szCs w:val="13"/>
                <w:color w:val="auto"/>
              </w:rPr>
            </w:pPr>
          </w:p>
        </w:tc>
        <w:tc>
          <w:tcPr>
            <w:tcW w:w="1040" w:type="dxa"/>
            <w:vAlign w:val="bottom"/>
          </w:tcPr>
          <w:p>
            <w:pPr>
              <w:spacing w:after="0" w:line="160" w:lineRule="exact"/>
              <w:rPr>
                <w:sz w:val="20"/>
                <w:szCs w:val="20"/>
                <w:color w:val="auto"/>
              </w:rPr>
            </w:pPr>
            <w:r>
              <w:rPr>
                <w:rFonts w:ascii="Calibri" w:cs="Calibri" w:eastAsia="Calibri" w:hAnsi="Calibri"/>
                <w:sz w:val="14"/>
                <w:szCs w:val="14"/>
                <w:b w:val="1"/>
                <w:bCs w:val="1"/>
                <w:color w:val="auto"/>
              </w:rPr>
              <w:t> Vikas</w:t>
            </w:r>
          </w:p>
        </w:tc>
        <w:tc>
          <w:tcPr>
            <w:tcW w:w="1260" w:type="dxa"/>
            <w:vAlign w:val="bottom"/>
          </w:tcPr>
          <w:p>
            <w:pPr>
              <w:jc w:val="right"/>
              <w:ind w:right="51"/>
              <w:spacing w:after="0" w:line="160" w:lineRule="exact"/>
              <w:rPr>
                <w:sz w:val="20"/>
                <w:szCs w:val="20"/>
                <w:color w:val="auto"/>
              </w:rPr>
            </w:pPr>
            <w:r>
              <w:rPr>
                <w:rFonts w:ascii="Calibri" w:cs="Calibri" w:eastAsia="Calibri" w:hAnsi="Calibri"/>
                <w:sz w:val="14"/>
                <w:szCs w:val="14"/>
                <w:color w:val="auto"/>
              </w:rPr>
              <w:t>2/19/2020</w:t>
            </w: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jc w:val="right"/>
              <w:ind w:right="92"/>
              <w:spacing w:after="0" w:line="160" w:lineRule="exact"/>
              <w:rPr>
                <w:sz w:val="20"/>
                <w:szCs w:val="20"/>
                <w:color w:val="auto"/>
              </w:rPr>
            </w:pPr>
            <w:r>
              <w:rPr>
                <w:rFonts w:ascii="Calibri" w:cs="Calibri" w:eastAsia="Calibri" w:hAnsi="Calibri"/>
                <w:sz w:val="12"/>
                <w:szCs w:val="12"/>
                <w:color w:val="auto"/>
              </w:rPr>
              <w:t>10,375</w:t>
            </w:r>
            <w:r>
              <w:rPr>
                <w:rFonts w:ascii="Calibri" w:cs="Calibri" w:eastAsia="Calibri" w:hAnsi="Calibri"/>
                <w:sz w:val="17"/>
                <w:szCs w:val="17"/>
                <w:color w:val="auto"/>
                <w:vertAlign w:val="superscript"/>
              </w:rPr>
              <w:t>(2)</w:t>
            </w:r>
          </w:p>
        </w:tc>
        <w:tc>
          <w:tcPr>
            <w:tcW w:w="840" w:type="dxa"/>
            <w:vAlign w:val="bottom"/>
          </w:tcPr>
          <w:p>
            <w:pPr>
              <w:jc w:val="right"/>
              <w:ind w:right="31"/>
              <w:spacing w:after="0" w:line="160" w:lineRule="exact"/>
              <w:rPr>
                <w:sz w:val="20"/>
                <w:szCs w:val="20"/>
                <w:color w:val="auto"/>
              </w:rPr>
            </w:pPr>
            <w:r>
              <w:rPr>
                <w:rFonts w:ascii="Calibri" w:cs="Calibri" w:eastAsia="Calibri" w:hAnsi="Calibri"/>
                <w:sz w:val="14"/>
                <w:szCs w:val="14"/>
                <w:color w:val="auto"/>
              </w:rPr>
              <w:t>320,069</w:t>
            </w:r>
          </w:p>
        </w:tc>
        <w:tc>
          <w:tcPr>
            <w:tcW w:w="14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47"/>
        </w:trPr>
        <w:tc>
          <w:tcPr>
            <w:tcW w:w="1060" w:type="dxa"/>
            <w:vAlign w:val="bottom"/>
            <w:gridSpan w:val="2"/>
          </w:tcPr>
          <w:p>
            <w:pPr>
              <w:spacing w:after="0" w:line="166" w:lineRule="exact"/>
              <w:rPr>
                <w:sz w:val="20"/>
                <w:szCs w:val="20"/>
                <w:color w:val="auto"/>
              </w:rPr>
            </w:pPr>
            <w:r>
              <w:rPr>
                <w:rFonts w:ascii="Calibri" w:cs="Calibri" w:eastAsia="Calibri" w:hAnsi="Calibri"/>
                <w:sz w:val="14"/>
                <w:szCs w:val="14"/>
                <w:b w:val="1"/>
                <w:bCs w:val="1"/>
                <w:color w:val="auto"/>
              </w:rPr>
              <w:t> Bhalla</w:t>
            </w:r>
          </w:p>
        </w:tc>
        <w:tc>
          <w:tcPr>
            <w:tcW w:w="1260" w:type="dxa"/>
            <w:vAlign w:val="bottom"/>
          </w:tcPr>
          <w:p>
            <w:pPr>
              <w:jc w:val="right"/>
              <w:ind w:right="51"/>
              <w:spacing w:after="0"/>
              <w:rPr>
                <w:sz w:val="20"/>
                <w:szCs w:val="20"/>
                <w:color w:val="auto"/>
              </w:rPr>
            </w:pPr>
            <w:r>
              <w:rPr>
                <w:rFonts w:ascii="Calibri" w:cs="Calibri" w:eastAsia="Calibri" w:hAnsi="Calibri"/>
                <w:sz w:val="14"/>
                <w:szCs w:val="14"/>
                <w:color w:val="auto"/>
              </w:rPr>
              <w:t>2/17/2021</w:t>
            </w:r>
          </w:p>
        </w:tc>
        <w:tc>
          <w:tcPr>
            <w:tcW w:w="1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jc w:val="right"/>
              <w:ind w:right="92"/>
              <w:spacing w:after="0"/>
              <w:rPr>
                <w:sz w:val="20"/>
                <w:szCs w:val="20"/>
                <w:color w:val="auto"/>
              </w:rPr>
            </w:pPr>
            <w:r>
              <w:rPr>
                <w:rFonts w:ascii="Calibri" w:cs="Calibri" w:eastAsia="Calibri" w:hAnsi="Calibri"/>
                <w:sz w:val="14"/>
                <w:szCs w:val="14"/>
                <w:color w:val="auto"/>
              </w:rPr>
              <w:t>18,350</w:t>
            </w:r>
            <w:r>
              <w:rPr>
                <w:rFonts w:ascii="Calibri" w:cs="Calibri" w:eastAsia="Calibri" w:hAnsi="Calibri"/>
                <w:sz w:val="20"/>
                <w:szCs w:val="20"/>
                <w:color w:val="auto"/>
                <w:vertAlign w:val="superscript"/>
              </w:rPr>
              <w:t>(2)</w:t>
            </w:r>
          </w:p>
        </w:tc>
        <w:tc>
          <w:tcPr>
            <w:tcW w:w="840" w:type="dxa"/>
            <w:vAlign w:val="bottom"/>
          </w:tcPr>
          <w:p>
            <w:pPr>
              <w:jc w:val="right"/>
              <w:ind w:right="31"/>
              <w:spacing w:after="0"/>
              <w:rPr>
                <w:sz w:val="20"/>
                <w:szCs w:val="20"/>
                <w:color w:val="auto"/>
              </w:rPr>
            </w:pPr>
            <w:r>
              <w:rPr>
                <w:rFonts w:ascii="Calibri" w:cs="Calibri" w:eastAsia="Calibri" w:hAnsi="Calibri"/>
                <w:sz w:val="14"/>
                <w:szCs w:val="14"/>
                <w:color w:val="auto"/>
              </w:rPr>
              <w:t>566,098</w:t>
            </w: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line="166" w:lineRule="exact"/>
              <w:rPr>
                <w:sz w:val="20"/>
                <w:szCs w:val="20"/>
                <w:color w:val="auto"/>
              </w:rPr>
            </w:pPr>
            <w:r>
              <w:rPr>
                <w:rFonts w:ascii="Calibri" w:cs="Calibri" w:eastAsia="Calibri" w:hAnsi="Calibri"/>
                <w:sz w:val="14"/>
                <w:szCs w:val="14"/>
                <w:color w:val="auto"/>
              </w:rPr>
              <w:t>2/16/2022</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jc w:val="right"/>
              <w:ind w:right="92"/>
              <w:spacing w:after="0" w:line="221" w:lineRule="exact"/>
              <w:rPr>
                <w:sz w:val="20"/>
                <w:szCs w:val="20"/>
                <w:color w:val="auto"/>
              </w:rPr>
            </w:pPr>
            <w:r>
              <w:rPr>
                <w:rFonts w:ascii="Calibri" w:cs="Calibri" w:eastAsia="Calibri" w:hAnsi="Calibri"/>
                <w:sz w:val="14"/>
                <w:szCs w:val="14"/>
                <w:color w:val="auto"/>
              </w:rPr>
              <w:t>16,305</w:t>
            </w:r>
            <w:r>
              <w:rPr>
                <w:rFonts w:ascii="Calibri" w:cs="Calibri" w:eastAsia="Calibri" w:hAnsi="Calibri"/>
                <w:sz w:val="20"/>
                <w:szCs w:val="20"/>
                <w:color w:val="auto"/>
                <w:vertAlign w:val="superscript"/>
              </w:rPr>
              <w:t>(2)</w:t>
            </w:r>
          </w:p>
        </w:tc>
        <w:tc>
          <w:tcPr>
            <w:tcW w:w="840" w:type="dxa"/>
            <w:vAlign w:val="bottom"/>
          </w:tcPr>
          <w:p>
            <w:pPr>
              <w:jc w:val="right"/>
              <w:ind w:right="31"/>
              <w:spacing w:after="0" w:line="166" w:lineRule="exact"/>
              <w:rPr>
                <w:sz w:val="20"/>
                <w:szCs w:val="20"/>
                <w:color w:val="auto"/>
              </w:rPr>
            </w:pPr>
            <w:r>
              <w:rPr>
                <w:rFonts w:ascii="Calibri" w:cs="Calibri" w:eastAsia="Calibri" w:hAnsi="Calibri"/>
                <w:sz w:val="14"/>
                <w:szCs w:val="14"/>
                <w:color w:val="auto"/>
              </w:rPr>
              <w:t>503,009</w:t>
            </w: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line="166" w:lineRule="exact"/>
              <w:rPr>
                <w:sz w:val="20"/>
                <w:szCs w:val="20"/>
                <w:color w:val="auto"/>
              </w:rPr>
            </w:pPr>
            <w:r>
              <w:rPr>
                <w:rFonts w:ascii="Calibri" w:cs="Calibri" w:eastAsia="Calibri" w:hAnsi="Calibri"/>
                <w:sz w:val="14"/>
                <w:szCs w:val="14"/>
                <w:color w:val="auto"/>
              </w:rPr>
              <w:t>9/1/2021</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jc w:val="right"/>
              <w:ind w:right="92"/>
              <w:spacing w:after="0" w:line="221" w:lineRule="exact"/>
              <w:rPr>
                <w:sz w:val="20"/>
                <w:szCs w:val="20"/>
                <w:color w:val="auto"/>
              </w:rPr>
            </w:pPr>
            <w:r>
              <w:rPr>
                <w:rFonts w:ascii="Calibri" w:cs="Calibri" w:eastAsia="Calibri" w:hAnsi="Calibri"/>
                <w:sz w:val="14"/>
                <w:szCs w:val="14"/>
                <w:color w:val="auto"/>
              </w:rPr>
              <w:t>40,610</w:t>
            </w:r>
            <w:r>
              <w:rPr>
                <w:rFonts w:ascii="Calibri" w:cs="Calibri" w:eastAsia="Calibri" w:hAnsi="Calibri"/>
                <w:sz w:val="20"/>
                <w:szCs w:val="20"/>
                <w:color w:val="auto"/>
                <w:vertAlign w:val="superscript"/>
              </w:rPr>
              <w:t>(4)</w:t>
            </w:r>
          </w:p>
        </w:tc>
        <w:tc>
          <w:tcPr>
            <w:tcW w:w="840" w:type="dxa"/>
            <w:vAlign w:val="bottom"/>
          </w:tcPr>
          <w:p>
            <w:pPr>
              <w:jc w:val="right"/>
              <w:ind w:right="31"/>
              <w:spacing w:after="0" w:line="166" w:lineRule="exact"/>
              <w:rPr>
                <w:sz w:val="20"/>
                <w:szCs w:val="20"/>
                <w:color w:val="auto"/>
              </w:rPr>
            </w:pPr>
            <w:r>
              <w:rPr>
                <w:rFonts w:ascii="Calibri" w:cs="Calibri" w:eastAsia="Calibri" w:hAnsi="Calibri"/>
                <w:sz w:val="14"/>
                <w:szCs w:val="14"/>
                <w:color w:val="auto"/>
              </w:rPr>
              <w:t>1,252,819</w:t>
            </w: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line="166" w:lineRule="exact"/>
              <w:rPr>
                <w:sz w:val="20"/>
                <w:szCs w:val="20"/>
                <w:color w:val="auto"/>
              </w:rPr>
            </w:pPr>
            <w:r>
              <w:rPr>
                <w:rFonts w:ascii="Calibri" w:cs="Calibri" w:eastAsia="Calibri" w:hAnsi="Calibri"/>
                <w:sz w:val="14"/>
                <w:szCs w:val="14"/>
                <w:color w:val="auto"/>
              </w:rPr>
              <w:t>2/15/2023</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jc w:val="right"/>
              <w:ind w:right="92"/>
              <w:spacing w:after="0" w:line="221" w:lineRule="exact"/>
              <w:rPr>
                <w:sz w:val="20"/>
                <w:szCs w:val="20"/>
                <w:color w:val="auto"/>
              </w:rPr>
            </w:pPr>
            <w:r>
              <w:rPr>
                <w:rFonts w:ascii="Calibri" w:cs="Calibri" w:eastAsia="Calibri" w:hAnsi="Calibri"/>
                <w:sz w:val="14"/>
                <w:szCs w:val="14"/>
                <w:color w:val="auto"/>
              </w:rPr>
              <w:t>17,600</w:t>
            </w:r>
            <w:r>
              <w:rPr>
                <w:rFonts w:ascii="Calibri" w:cs="Calibri" w:eastAsia="Calibri" w:hAnsi="Calibri"/>
                <w:sz w:val="20"/>
                <w:szCs w:val="20"/>
                <w:color w:val="auto"/>
                <w:vertAlign w:val="superscript"/>
              </w:rPr>
              <w:t>(2)</w:t>
            </w:r>
          </w:p>
        </w:tc>
        <w:tc>
          <w:tcPr>
            <w:tcW w:w="840" w:type="dxa"/>
            <w:vAlign w:val="bottom"/>
          </w:tcPr>
          <w:p>
            <w:pPr>
              <w:jc w:val="right"/>
              <w:ind w:right="31"/>
              <w:spacing w:after="0" w:line="166" w:lineRule="exact"/>
              <w:rPr>
                <w:sz w:val="20"/>
                <w:szCs w:val="20"/>
                <w:color w:val="auto"/>
              </w:rPr>
            </w:pPr>
            <w:r>
              <w:rPr>
                <w:rFonts w:ascii="Calibri" w:cs="Calibri" w:eastAsia="Calibri" w:hAnsi="Calibri"/>
                <w:sz w:val="14"/>
                <w:szCs w:val="14"/>
                <w:color w:val="auto"/>
              </w:rPr>
              <w:t>542,960</w:t>
            </w: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66"/>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jc w:val="right"/>
              <w:ind w:right="51"/>
              <w:spacing w:after="0" w:line="166" w:lineRule="exact"/>
              <w:rPr>
                <w:sz w:val="20"/>
                <w:szCs w:val="20"/>
                <w:color w:val="auto"/>
              </w:rPr>
            </w:pPr>
            <w:r>
              <w:rPr>
                <w:rFonts w:ascii="Calibri" w:cs="Calibri" w:eastAsia="Calibri" w:hAnsi="Calibri"/>
                <w:sz w:val="14"/>
                <w:szCs w:val="14"/>
                <w:color w:val="auto"/>
              </w:rPr>
              <w:t>6/21/2023</w:t>
            </w:r>
          </w:p>
        </w:tc>
        <w:tc>
          <w:tcPr>
            <w:tcW w:w="1220" w:type="dxa"/>
            <w:vAlign w:val="bottom"/>
          </w:tcPr>
          <w:p>
            <w:pPr>
              <w:spacing w:after="0"/>
              <w:rPr>
                <w:sz w:val="14"/>
                <w:szCs w:val="14"/>
                <w:color w:val="auto"/>
              </w:rPr>
            </w:pPr>
          </w:p>
        </w:tc>
        <w:tc>
          <w:tcPr>
            <w:tcW w:w="11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268,650</w:t>
            </w:r>
          </w:p>
        </w:tc>
        <w:tc>
          <w:tcPr>
            <w:tcW w:w="6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30.15</w:t>
            </w:r>
          </w:p>
        </w:tc>
        <w:tc>
          <w:tcPr>
            <w:tcW w:w="920" w:type="dxa"/>
            <w:vAlign w:val="bottom"/>
          </w:tcPr>
          <w:p>
            <w:pPr>
              <w:jc w:val="right"/>
              <w:ind w:right="91"/>
              <w:spacing w:after="0" w:line="166" w:lineRule="exact"/>
              <w:rPr>
                <w:sz w:val="20"/>
                <w:szCs w:val="20"/>
                <w:color w:val="auto"/>
              </w:rPr>
            </w:pPr>
            <w:r>
              <w:rPr>
                <w:rFonts w:ascii="Calibri" w:cs="Calibri" w:eastAsia="Calibri" w:hAnsi="Calibri"/>
                <w:sz w:val="14"/>
                <w:szCs w:val="14"/>
                <w:color w:val="auto"/>
              </w:rPr>
              <w:t>6/21/2033</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rPr>
                <w:sz w:val="20"/>
                <w:szCs w:val="20"/>
                <w:color w:val="auto"/>
              </w:rPr>
            </w:pPr>
            <w:r>
              <w:rPr>
                <w:rFonts w:ascii="Calibri" w:cs="Calibri" w:eastAsia="Calibri" w:hAnsi="Calibri"/>
                <w:sz w:val="14"/>
                <w:szCs w:val="14"/>
                <w:color w:val="auto"/>
              </w:rPr>
              <w:t>2/16/2022</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Calibri" w:cs="Calibri" w:eastAsia="Calibri" w:hAnsi="Calibri"/>
                <w:sz w:val="14"/>
                <w:szCs w:val="14"/>
                <w:color w:val="auto"/>
              </w:rPr>
              <w:t>26,090</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804,877</w:t>
            </w: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rPr>
                <w:sz w:val="20"/>
                <w:szCs w:val="20"/>
                <w:color w:val="auto"/>
              </w:rPr>
            </w:pPr>
            <w:r>
              <w:rPr>
                <w:rFonts w:ascii="Calibri" w:cs="Calibri" w:eastAsia="Calibri" w:hAnsi="Calibri"/>
                <w:sz w:val="14"/>
                <w:szCs w:val="14"/>
                <w:color w:val="auto"/>
              </w:rPr>
              <w:t>2/16/2022</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Calibri" w:cs="Calibri" w:eastAsia="Calibri" w:hAnsi="Calibri"/>
                <w:sz w:val="14"/>
                <w:szCs w:val="14"/>
                <w:color w:val="auto"/>
              </w:rPr>
              <w:t>39,130</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1,207,161</w:t>
            </w: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jc w:val="right"/>
              <w:ind w:right="51"/>
              <w:spacing w:after="0"/>
              <w:rPr>
                <w:sz w:val="20"/>
                <w:szCs w:val="20"/>
                <w:color w:val="auto"/>
              </w:rPr>
            </w:pPr>
            <w:r>
              <w:rPr>
                <w:rFonts w:ascii="Calibri" w:cs="Calibri" w:eastAsia="Calibri" w:hAnsi="Calibri"/>
                <w:sz w:val="14"/>
                <w:szCs w:val="14"/>
                <w:color w:val="auto"/>
              </w:rPr>
              <w:t>2/15/2023</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Calibri" w:cs="Calibri" w:eastAsia="Calibri" w:hAnsi="Calibri"/>
                <w:sz w:val="14"/>
                <w:szCs w:val="14"/>
                <w:color w:val="auto"/>
              </w:rPr>
              <w:t>10,560</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325,776</w:t>
            </w:r>
          </w:p>
        </w:tc>
      </w:tr>
    </w:tbl>
    <w:p>
      <w:pPr>
        <w:spacing w:after="0" w:line="14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88 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40" w:type="dxa"/>
            <w:vAlign w:val="bottom"/>
            <w:gridSpan w:val="3"/>
          </w:tcPr>
          <w:p>
            <w:pPr>
              <w:ind w:left="1320"/>
              <w:spacing w:after="0"/>
              <w:rPr>
                <w:sz w:val="20"/>
                <w:szCs w:val="20"/>
                <w:color w:val="auto"/>
              </w:rPr>
            </w:pPr>
            <w:r>
              <w:rPr>
                <w:rFonts w:ascii="Calibri" w:cs="Calibri" w:eastAsia="Calibri" w:hAnsi="Calibri"/>
                <w:sz w:val="14"/>
                <w:szCs w:val="14"/>
                <w:b w:val="1"/>
                <w:bCs w:val="1"/>
                <w:color w:val="005071"/>
              </w:rPr>
              <w:t>Executve compensaton</w:t>
            </w: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jc w:val="center"/>
              <w:ind w:left="231"/>
              <w:spacing w:after="0"/>
              <w:rPr>
                <w:sz w:val="20"/>
                <w:szCs w:val="20"/>
                <w:color w:val="auto"/>
              </w:rPr>
            </w:pPr>
            <w:r>
              <w:rPr>
                <w:rFonts w:ascii="Calibri" w:cs="Calibri" w:eastAsia="Calibri" w:hAnsi="Calibri"/>
                <w:sz w:val="14"/>
                <w:szCs w:val="14"/>
                <w:b w:val="1"/>
                <w:bCs w:val="1"/>
                <w:color w:val="auto"/>
              </w:rPr>
              <w:t>Opton Awards</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jc w:val="right"/>
              <w:ind w:right="512"/>
              <w:spacing w:after="0"/>
              <w:rPr>
                <w:sz w:val="20"/>
                <w:szCs w:val="20"/>
                <w:color w:val="auto"/>
              </w:rPr>
            </w:pPr>
            <w:r>
              <w:rPr>
                <w:rFonts w:ascii="Calibri" w:cs="Calibri" w:eastAsia="Calibri" w:hAnsi="Calibri"/>
                <w:sz w:val="14"/>
                <w:szCs w:val="14"/>
                <w:b w:val="1"/>
                <w:bCs w:val="1"/>
                <w:color w:val="auto"/>
              </w:rPr>
              <w:t>Stock Awards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Calibri" w:cs="Calibri" w:eastAsia="Calibri" w:hAnsi="Calibri"/>
                <w:sz w:val="14"/>
                <w:szCs w:val="14"/>
                <w:b w:val="1"/>
                <w:bCs w:val="1"/>
                <w:color w:val="auto"/>
                <w:w w:val="98"/>
              </w:rPr>
              <w:t>Market</w:t>
            </w:r>
          </w:p>
        </w:tc>
        <w:tc>
          <w:tcPr>
            <w:tcW w:w="1500" w:type="dxa"/>
            <w:vAlign w:val="bottom"/>
          </w:tcPr>
          <w:p>
            <w:pPr>
              <w:spacing w:after="0"/>
              <w:rPr>
                <w:sz w:val="12"/>
                <w:szCs w:val="12"/>
                <w:color w:val="auto"/>
              </w:rPr>
            </w:pPr>
          </w:p>
        </w:tc>
        <w:tc>
          <w:tcPr>
            <w:tcW w:w="1220" w:type="dxa"/>
            <w:vAlign w:val="bottom"/>
          </w:tcPr>
          <w:p>
            <w:pPr>
              <w:jc w:val="center"/>
              <w:ind w:left="31"/>
              <w:spacing w:after="0" w:line="147" w:lineRule="exact"/>
              <w:rPr>
                <w:sz w:val="20"/>
                <w:szCs w:val="20"/>
                <w:color w:val="auto"/>
              </w:rPr>
            </w:pPr>
            <w:r>
              <w:rPr>
                <w:rFonts w:ascii="Calibri" w:cs="Calibri" w:eastAsia="Calibri" w:hAnsi="Calibri"/>
                <w:sz w:val="14"/>
                <w:szCs w:val="14"/>
                <w:b w:val="1"/>
                <w:bCs w:val="1"/>
                <w:color w:val="auto"/>
              </w:rPr>
              <w:t>Equity incentve</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Number</w:t>
            </w:r>
          </w:p>
        </w:tc>
        <w:tc>
          <w:tcPr>
            <w:tcW w:w="9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value of</w:t>
            </w:r>
          </w:p>
        </w:tc>
        <w:tc>
          <w:tcPr>
            <w:tcW w:w="15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Equity incentve plan</w:t>
            </w:r>
          </w:p>
        </w:tc>
        <w:tc>
          <w:tcPr>
            <w:tcW w:w="1240" w:type="dxa"/>
            <w:vAlign w:val="bottom"/>
            <w:gridSpan w:val="2"/>
          </w:tcPr>
          <w:p>
            <w:pPr>
              <w:jc w:val="center"/>
              <w:spacing w:after="0" w:line="166" w:lineRule="exact"/>
              <w:rPr>
                <w:sz w:val="20"/>
                <w:szCs w:val="20"/>
                <w:color w:val="auto"/>
              </w:rPr>
            </w:pPr>
            <w:r>
              <w:rPr>
                <w:rFonts w:ascii="Calibri" w:cs="Calibri" w:eastAsia="Calibri" w:hAnsi="Calibri"/>
                <w:sz w:val="14"/>
                <w:szCs w:val="14"/>
                <w:b w:val="1"/>
                <w:bCs w:val="1"/>
                <w:color w:val="auto"/>
                <w:w w:val="98"/>
              </w:rPr>
              <w:t>plan awards: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center"/>
              <w:ind w:right="31"/>
              <w:spacing w:after="0"/>
              <w:rPr>
                <w:sz w:val="20"/>
                <w:szCs w:val="20"/>
                <w:color w:val="auto"/>
              </w:rPr>
            </w:pPr>
            <w:r>
              <w:rPr>
                <w:rFonts w:ascii="Calibri" w:cs="Calibri" w:eastAsia="Calibri" w:hAnsi="Calibri"/>
                <w:sz w:val="14"/>
                <w:szCs w:val="14"/>
                <w:b w:val="1"/>
                <w:bCs w:val="1"/>
                <w:color w:val="auto"/>
                <w:w w:val="98"/>
              </w:rPr>
              <w:t>Number of</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of shares</w:t>
            </w:r>
          </w:p>
        </w:tc>
        <w:tc>
          <w:tcPr>
            <w:tcW w:w="9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shares</w:t>
            </w:r>
          </w:p>
        </w:tc>
        <w:tc>
          <w:tcPr>
            <w:tcW w:w="15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5"/>
              </w:rPr>
              <w:t>awards:</w:t>
            </w:r>
          </w:p>
        </w:tc>
        <w:tc>
          <w:tcPr>
            <w:tcW w:w="1240" w:type="dxa"/>
            <w:vAlign w:val="bottom"/>
            <w:gridSpan w:val="2"/>
          </w:tcPr>
          <w:p>
            <w:pPr>
              <w:jc w:val="center"/>
              <w:spacing w:after="0" w:line="169" w:lineRule="exact"/>
              <w:rPr>
                <w:sz w:val="20"/>
                <w:szCs w:val="20"/>
                <w:color w:val="auto"/>
              </w:rPr>
            </w:pPr>
            <w:r>
              <w:rPr>
                <w:rFonts w:ascii="Calibri" w:cs="Calibri" w:eastAsia="Calibri" w:hAnsi="Calibri"/>
                <w:sz w:val="14"/>
                <w:szCs w:val="14"/>
                <w:b w:val="1"/>
                <w:bCs w:val="1"/>
                <w:color w:val="auto"/>
                <w:w w:val="99"/>
              </w:rPr>
              <w:t>Market or payout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shares</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or units</w:t>
            </w:r>
          </w:p>
        </w:tc>
        <w:tc>
          <w:tcPr>
            <w:tcW w:w="9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or units</w:t>
            </w:r>
          </w:p>
        </w:tc>
        <w:tc>
          <w:tcPr>
            <w:tcW w:w="15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Number of</w:t>
            </w:r>
          </w:p>
        </w:tc>
        <w:tc>
          <w:tcPr>
            <w:tcW w:w="1240" w:type="dxa"/>
            <w:vAlign w:val="bottom"/>
            <w:gridSpan w:val="2"/>
          </w:tcPr>
          <w:p>
            <w:pPr>
              <w:jc w:val="center"/>
              <w:spacing w:after="0" w:line="166" w:lineRule="exact"/>
              <w:rPr>
                <w:sz w:val="20"/>
                <w:szCs w:val="20"/>
                <w:color w:val="auto"/>
              </w:rPr>
            </w:pPr>
            <w:r>
              <w:rPr>
                <w:rFonts w:ascii="Calibri" w:cs="Calibri" w:eastAsia="Calibri" w:hAnsi="Calibri"/>
                <w:sz w:val="14"/>
                <w:szCs w:val="14"/>
                <w:b w:val="1"/>
                <w:bCs w:val="1"/>
                <w:color w:val="auto"/>
                <w:w w:val="98"/>
              </w:rPr>
              <w:t>value of</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Number of shares</w:t>
            </w:r>
          </w:p>
        </w:tc>
        <w:tc>
          <w:tcPr>
            <w:tcW w:w="124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8"/>
              </w:rPr>
              <w:t>underlying the</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of stock</w:t>
            </w:r>
          </w:p>
        </w:tc>
        <w:tc>
          <w:tcPr>
            <w:tcW w:w="9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of stock</w:t>
            </w:r>
          </w:p>
        </w:tc>
        <w:tc>
          <w:tcPr>
            <w:tcW w:w="15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9"/>
              </w:rPr>
              <w:t>unearned shares,</w:t>
            </w:r>
          </w:p>
        </w:tc>
        <w:tc>
          <w:tcPr>
            <w:tcW w:w="1240" w:type="dxa"/>
            <w:vAlign w:val="bottom"/>
            <w:gridSpan w:val="2"/>
          </w:tcPr>
          <w:p>
            <w:pPr>
              <w:jc w:val="center"/>
              <w:spacing w:after="0" w:line="166" w:lineRule="exact"/>
              <w:rPr>
                <w:sz w:val="20"/>
                <w:szCs w:val="20"/>
                <w:color w:val="auto"/>
              </w:rPr>
            </w:pPr>
            <w:r>
              <w:rPr>
                <w:rFonts w:ascii="Calibri" w:cs="Calibri" w:eastAsia="Calibri" w:hAnsi="Calibri"/>
                <w:sz w:val="14"/>
                <w:szCs w:val="14"/>
                <w:b w:val="1"/>
                <w:bCs w:val="1"/>
                <w:color w:val="auto"/>
                <w:w w:val="96"/>
              </w:rPr>
              <w:t>unearned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underlying the</w:t>
            </w:r>
          </w:p>
        </w:tc>
        <w:tc>
          <w:tcPr>
            <w:tcW w:w="12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9"/>
              </w:rPr>
              <w:t>unexercised</w:t>
            </w:r>
          </w:p>
        </w:tc>
        <w:tc>
          <w:tcPr>
            <w:tcW w:w="640" w:type="dxa"/>
            <w:vAlign w:val="bottom"/>
          </w:tcPr>
          <w:p>
            <w:pPr>
              <w:jc w:val="center"/>
              <w:ind w:right="51"/>
              <w:spacing w:after="0" w:line="166" w:lineRule="exact"/>
              <w:rPr>
                <w:sz w:val="20"/>
                <w:szCs w:val="20"/>
                <w:color w:val="auto"/>
              </w:rPr>
            </w:pPr>
            <w:r>
              <w:rPr>
                <w:rFonts w:ascii="Calibri" w:cs="Calibri" w:eastAsia="Calibri" w:hAnsi="Calibri"/>
                <w:sz w:val="14"/>
                <w:szCs w:val="14"/>
                <w:b w:val="1"/>
                <w:bCs w:val="1"/>
                <w:color w:val="auto"/>
              </w:rPr>
              <w:t>Opton</w:t>
            </w:r>
          </w:p>
        </w:tc>
        <w:tc>
          <w:tcPr>
            <w:tcW w:w="940" w:type="dxa"/>
            <w:vAlign w:val="bottom"/>
          </w:tcPr>
          <w:p>
            <w:pPr>
              <w:spacing w:after="0"/>
              <w:rPr>
                <w:sz w:val="14"/>
                <w:szCs w:val="14"/>
                <w:color w:val="auto"/>
              </w:rPr>
            </w:pPr>
          </w:p>
        </w:tc>
        <w:tc>
          <w:tcPr>
            <w:tcW w:w="8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9"/>
              </w:rPr>
              <w:t>that</w:t>
            </w:r>
          </w:p>
        </w:tc>
        <w:tc>
          <w:tcPr>
            <w:tcW w:w="9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0"/>
              </w:rPr>
              <w:t>that</w:t>
            </w:r>
          </w:p>
        </w:tc>
        <w:tc>
          <w:tcPr>
            <w:tcW w:w="15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units or other rights</w:t>
            </w:r>
          </w:p>
        </w:tc>
        <w:tc>
          <w:tcPr>
            <w:tcW w:w="1240" w:type="dxa"/>
            <w:vAlign w:val="bottom"/>
            <w:gridSpan w:val="2"/>
          </w:tcPr>
          <w:p>
            <w:pPr>
              <w:jc w:val="center"/>
              <w:ind w:left="11"/>
              <w:spacing w:after="0" w:line="166" w:lineRule="exact"/>
              <w:rPr>
                <w:sz w:val="20"/>
                <w:szCs w:val="20"/>
                <w:color w:val="auto"/>
              </w:rPr>
            </w:pPr>
            <w:r>
              <w:rPr>
                <w:rFonts w:ascii="Calibri" w:cs="Calibri" w:eastAsia="Calibri" w:hAnsi="Calibri"/>
                <w:sz w:val="14"/>
                <w:szCs w:val="14"/>
                <w:b w:val="1"/>
                <w:bCs w:val="1"/>
                <w:color w:val="auto"/>
                <w:w w:val="98"/>
              </w:rPr>
              <w:t>shares, units or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unexercised</w:t>
            </w:r>
          </w:p>
        </w:tc>
        <w:tc>
          <w:tcPr>
            <w:tcW w:w="124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Stock Optons</w:t>
            </w:r>
          </w:p>
        </w:tc>
        <w:tc>
          <w:tcPr>
            <w:tcW w:w="64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w w:val="97"/>
              </w:rPr>
              <w:t>Exercise</w:t>
            </w:r>
          </w:p>
        </w:tc>
        <w:tc>
          <w:tcPr>
            <w:tcW w:w="94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Opton</w:t>
            </w:r>
          </w:p>
        </w:tc>
        <w:tc>
          <w:tcPr>
            <w:tcW w:w="8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have not</w:t>
            </w:r>
          </w:p>
        </w:tc>
        <w:tc>
          <w:tcPr>
            <w:tcW w:w="9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have not</w:t>
            </w:r>
          </w:p>
        </w:tc>
        <w:tc>
          <w:tcPr>
            <w:tcW w:w="15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6"/>
              </w:rPr>
              <w:t>that have not</w:t>
            </w:r>
          </w:p>
        </w:tc>
        <w:tc>
          <w:tcPr>
            <w:tcW w:w="1240" w:type="dxa"/>
            <w:vAlign w:val="bottom"/>
            <w:gridSpan w:val="2"/>
          </w:tcPr>
          <w:p>
            <w:pPr>
              <w:jc w:val="center"/>
              <w:spacing w:after="0" w:line="166" w:lineRule="exact"/>
              <w:rPr>
                <w:sz w:val="20"/>
                <w:szCs w:val="20"/>
                <w:color w:val="auto"/>
              </w:rPr>
            </w:pPr>
            <w:r>
              <w:rPr>
                <w:rFonts w:ascii="Calibri" w:cs="Calibri" w:eastAsia="Calibri" w:hAnsi="Calibri"/>
                <w:sz w:val="14"/>
                <w:szCs w:val="14"/>
                <w:b w:val="1"/>
                <w:bCs w:val="1"/>
                <w:color w:val="auto"/>
                <w:w w:val="98"/>
              </w:rPr>
              <w:t>other rights that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Stock Optons</w:t>
            </w:r>
          </w:p>
        </w:tc>
        <w:tc>
          <w:tcPr>
            <w:tcW w:w="124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w:t>
            </w:r>
          </w:p>
        </w:tc>
        <w:tc>
          <w:tcPr>
            <w:tcW w:w="640" w:type="dxa"/>
            <w:vAlign w:val="bottom"/>
          </w:tcPr>
          <w:p>
            <w:pPr>
              <w:jc w:val="center"/>
              <w:ind w:right="51"/>
              <w:spacing w:after="0" w:line="166" w:lineRule="exact"/>
              <w:rPr>
                <w:sz w:val="20"/>
                <w:szCs w:val="20"/>
                <w:color w:val="auto"/>
              </w:rPr>
            </w:pPr>
            <w:r>
              <w:rPr>
                <w:rFonts w:ascii="Calibri" w:cs="Calibri" w:eastAsia="Calibri" w:hAnsi="Calibri"/>
                <w:sz w:val="14"/>
                <w:szCs w:val="14"/>
                <w:b w:val="1"/>
                <w:bCs w:val="1"/>
                <w:color w:val="auto"/>
                <w:w w:val="97"/>
              </w:rPr>
              <w:t>Price</w:t>
            </w:r>
          </w:p>
        </w:tc>
        <w:tc>
          <w:tcPr>
            <w:tcW w:w="94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Expiraton</w:t>
            </w:r>
          </w:p>
        </w:tc>
        <w:tc>
          <w:tcPr>
            <w:tcW w:w="8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vested</w:t>
            </w:r>
          </w:p>
        </w:tc>
        <w:tc>
          <w:tcPr>
            <w:tcW w:w="9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vested</w:t>
            </w:r>
          </w:p>
        </w:tc>
        <w:tc>
          <w:tcPr>
            <w:tcW w:w="15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2"/>
              </w:rPr>
              <w:t>vested</w:t>
            </w:r>
          </w:p>
        </w:tc>
        <w:tc>
          <w:tcPr>
            <w:tcW w:w="1240" w:type="dxa"/>
            <w:vAlign w:val="bottom"/>
            <w:gridSpan w:val="2"/>
          </w:tcPr>
          <w:p>
            <w:pPr>
              <w:jc w:val="center"/>
              <w:spacing w:after="0" w:line="166" w:lineRule="exact"/>
              <w:rPr>
                <w:sz w:val="20"/>
                <w:szCs w:val="20"/>
                <w:color w:val="auto"/>
              </w:rPr>
            </w:pPr>
            <w:r>
              <w:rPr>
                <w:rFonts w:ascii="Calibri" w:cs="Calibri" w:eastAsia="Calibri" w:hAnsi="Calibri"/>
                <w:sz w:val="14"/>
                <w:szCs w:val="14"/>
                <w:b w:val="1"/>
                <w:bCs w:val="1"/>
                <w:color w:val="auto"/>
                <w:w w:val="96"/>
              </w:rPr>
              <w:t>have not vested</w:t>
            </w:r>
          </w:p>
        </w:tc>
        <w:tc>
          <w:tcPr>
            <w:tcW w:w="0" w:type="dxa"/>
            <w:vAlign w:val="bottom"/>
          </w:tcPr>
          <w:p>
            <w:pPr>
              <w:spacing w:after="0"/>
              <w:rPr>
                <w:sz w:val="1"/>
                <w:szCs w:val="1"/>
                <w:color w:val="auto"/>
              </w:rPr>
            </w:pPr>
          </w:p>
        </w:tc>
      </w:tr>
      <w:tr>
        <w:trPr>
          <w:trHeight w:val="301"/>
        </w:trPr>
        <w:tc>
          <w:tcPr>
            <w:tcW w:w="840" w:type="dxa"/>
            <w:vAlign w:val="bottom"/>
            <w:gridSpan w:val="2"/>
          </w:tcPr>
          <w:p>
            <w:pPr>
              <w:spacing w:after="0"/>
              <w:rPr>
                <w:sz w:val="20"/>
                <w:szCs w:val="20"/>
                <w:color w:val="auto"/>
              </w:rPr>
            </w:pPr>
            <w:r>
              <w:rPr>
                <w:rFonts w:ascii="Calibri" w:cs="Calibri" w:eastAsia="Calibri" w:hAnsi="Calibri"/>
                <w:sz w:val="14"/>
                <w:szCs w:val="14"/>
                <w:b w:val="1"/>
                <w:bCs w:val="1"/>
                <w:color w:val="FB4E0B"/>
              </w:rPr>
              <w:t> Name</w:t>
            </w:r>
          </w:p>
        </w:tc>
        <w:tc>
          <w:tcPr>
            <w:tcW w:w="1200" w:type="dxa"/>
            <w:vAlign w:val="bottom"/>
          </w:tcPr>
          <w:p>
            <w:pPr>
              <w:jc w:val="right"/>
              <w:ind w:right="91"/>
              <w:spacing w:after="0"/>
              <w:rPr>
                <w:sz w:val="20"/>
                <w:szCs w:val="20"/>
                <w:color w:val="auto"/>
              </w:rPr>
            </w:pPr>
            <w:r>
              <w:rPr>
                <w:rFonts w:ascii="Calibri" w:cs="Calibri" w:eastAsia="Calibri" w:hAnsi="Calibri"/>
                <w:sz w:val="14"/>
                <w:szCs w:val="14"/>
                <w:b w:val="1"/>
                <w:bCs w:val="1"/>
                <w:color w:val="auto"/>
              </w:rPr>
              <w:t>Grant Date</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 Exercisable</w:t>
            </w:r>
            <w:r>
              <w:rPr>
                <w:rFonts w:ascii="Calibri" w:cs="Calibri" w:eastAsia="Calibri" w:hAnsi="Calibri"/>
                <w:sz w:val="20"/>
                <w:szCs w:val="20"/>
                <w:b w:val="1"/>
                <w:bCs w:val="1"/>
                <w:color w:val="auto"/>
                <w:w w:val="94"/>
                <w:vertAlign w:val="superscript"/>
              </w:rPr>
              <w:t>(1)</w:t>
            </w:r>
          </w:p>
        </w:tc>
        <w:tc>
          <w:tcPr>
            <w:tcW w:w="1240" w:type="dxa"/>
            <w:vAlign w:val="bottom"/>
          </w:tcPr>
          <w:p>
            <w:pPr>
              <w:jc w:val="center"/>
              <w:ind w:right="11"/>
              <w:spacing w:after="0"/>
              <w:rPr>
                <w:sz w:val="20"/>
                <w:szCs w:val="20"/>
                <w:color w:val="auto"/>
              </w:rPr>
            </w:pPr>
            <w:r>
              <w:rPr>
                <w:rFonts w:ascii="Calibri" w:cs="Calibri" w:eastAsia="Calibri" w:hAnsi="Calibri"/>
                <w:sz w:val="14"/>
                <w:szCs w:val="14"/>
                <w:b w:val="1"/>
                <w:bCs w:val="1"/>
                <w:color w:val="auto"/>
                <w:w w:val="94"/>
              </w:rPr>
              <w:t>Unexercisable</w:t>
            </w:r>
            <w:r>
              <w:rPr>
                <w:rFonts w:ascii="Calibri" w:cs="Calibri" w:eastAsia="Calibri" w:hAnsi="Calibri"/>
                <w:sz w:val="20"/>
                <w:szCs w:val="20"/>
                <w:b w:val="1"/>
                <w:bCs w:val="1"/>
                <w:color w:val="auto"/>
                <w:w w:val="94"/>
                <w:vertAlign w:val="superscript"/>
              </w:rPr>
              <w:t>(1)</w:t>
            </w:r>
          </w:p>
        </w:tc>
        <w:tc>
          <w:tcPr>
            <w:tcW w:w="640" w:type="dxa"/>
            <w:vAlign w:val="bottom"/>
          </w:tcPr>
          <w:p>
            <w:pPr>
              <w:jc w:val="center"/>
              <w:ind w:right="51"/>
              <w:spacing w:after="0" w:line="166" w:lineRule="exact"/>
              <w:rPr>
                <w:sz w:val="20"/>
                <w:szCs w:val="20"/>
                <w:color w:val="auto"/>
              </w:rPr>
            </w:pPr>
            <w:r>
              <w:rPr>
                <w:rFonts w:ascii="Calibri" w:cs="Calibri" w:eastAsia="Calibri" w:hAnsi="Calibri"/>
                <w:sz w:val="14"/>
                <w:szCs w:val="14"/>
                <w:b w:val="1"/>
                <w:bCs w:val="1"/>
                <w:color w:val="auto"/>
              </w:rPr>
              <w:t>($)</w:t>
            </w:r>
          </w:p>
        </w:tc>
        <w:tc>
          <w:tcPr>
            <w:tcW w:w="940" w:type="dxa"/>
            <w:vAlign w:val="bottom"/>
          </w:tcPr>
          <w:p>
            <w:pPr>
              <w:jc w:val="center"/>
              <w:ind w:right="11"/>
              <w:spacing w:after="0"/>
              <w:rPr>
                <w:sz w:val="20"/>
                <w:szCs w:val="20"/>
                <w:color w:val="auto"/>
              </w:rPr>
            </w:pPr>
            <w:r>
              <w:rPr>
                <w:rFonts w:ascii="Calibri" w:cs="Calibri" w:eastAsia="Calibri" w:hAnsi="Calibri"/>
                <w:sz w:val="14"/>
                <w:szCs w:val="14"/>
                <w:b w:val="1"/>
                <w:bCs w:val="1"/>
                <w:color w:val="auto"/>
                <w:w w:val="93"/>
              </w:rPr>
              <w:t>Date</w:t>
            </w:r>
          </w:p>
        </w:tc>
        <w:tc>
          <w:tcPr>
            <w:tcW w:w="8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w w:val="83"/>
              </w:rPr>
              <w:t>($)</w:t>
            </w:r>
            <w:r>
              <w:rPr>
                <w:rFonts w:ascii="Calibri" w:cs="Calibri" w:eastAsia="Calibri" w:hAnsi="Calibri"/>
                <w:sz w:val="20"/>
                <w:szCs w:val="20"/>
                <w:b w:val="1"/>
                <w:bCs w:val="1"/>
                <w:color w:val="auto"/>
                <w:w w:val="83"/>
                <w:vertAlign w:val="superscript"/>
              </w:rPr>
              <w:t>(6)</w:t>
            </w:r>
          </w:p>
        </w:tc>
        <w:tc>
          <w:tcPr>
            <w:tcW w:w="1500" w:type="dxa"/>
            <w:vAlign w:val="bottom"/>
          </w:tcPr>
          <w:p>
            <w:pPr>
              <w:jc w:val="center"/>
              <w:spacing w:after="0" w:line="301" w:lineRule="exact"/>
              <w:rPr>
                <w:sz w:val="20"/>
                <w:szCs w:val="20"/>
                <w:color w:val="auto"/>
              </w:rPr>
            </w:pPr>
            <w:r>
              <w:rPr>
                <w:rFonts w:ascii="Calibri" w:cs="Calibri" w:eastAsia="Calibri" w:hAnsi="Calibri"/>
                <w:sz w:val="27"/>
                <w:szCs w:val="27"/>
                <w:b w:val="1"/>
                <w:bCs w:val="1"/>
                <w:color w:val="auto"/>
                <w:w w:val="93"/>
                <w:vertAlign w:val="subscript"/>
              </w:rPr>
              <w:t>(#)</w:t>
            </w:r>
            <w:r>
              <w:rPr>
                <w:rFonts w:ascii="Calibri" w:cs="Calibri" w:eastAsia="Calibri" w:hAnsi="Calibri"/>
                <w:sz w:val="10"/>
                <w:szCs w:val="10"/>
                <w:b w:val="1"/>
                <w:bCs w:val="1"/>
                <w:color w:val="auto"/>
                <w:w w:val="93"/>
              </w:rPr>
              <w:t>(5)(7)</w:t>
            </w:r>
          </w:p>
        </w:tc>
        <w:tc>
          <w:tcPr>
            <w:tcW w:w="1220" w:type="dxa"/>
            <w:vAlign w:val="bottom"/>
          </w:tcPr>
          <w:p>
            <w:pPr>
              <w:jc w:val="center"/>
              <w:ind w:left="11"/>
              <w:spacing w:after="0"/>
              <w:rPr>
                <w:sz w:val="20"/>
                <w:szCs w:val="20"/>
                <w:color w:val="auto"/>
              </w:rPr>
            </w:pPr>
            <w:r>
              <w:rPr>
                <w:rFonts w:ascii="Calibri" w:cs="Calibri" w:eastAsia="Calibri" w:hAnsi="Calibri"/>
                <w:sz w:val="14"/>
                <w:szCs w:val="14"/>
                <w:b w:val="1"/>
                <w:bCs w:val="1"/>
                <w:color w:val="auto"/>
                <w:w w:val="83"/>
              </w:rPr>
              <w:t>($)</w:t>
            </w:r>
            <w:r>
              <w:rPr>
                <w:rFonts w:ascii="Calibri" w:cs="Calibri" w:eastAsia="Calibri" w:hAnsi="Calibri"/>
                <w:sz w:val="20"/>
                <w:szCs w:val="20"/>
                <w:b w:val="1"/>
                <w:bCs w:val="1"/>
                <w:color w:val="auto"/>
                <w:w w:val="83"/>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71"/>
              <w:spacing w:after="0" w:line="159" w:lineRule="exact"/>
              <w:rPr>
                <w:sz w:val="20"/>
                <w:szCs w:val="20"/>
                <w:color w:val="auto"/>
              </w:rPr>
            </w:pPr>
            <w:r>
              <w:rPr>
                <w:rFonts w:ascii="Calibri" w:cs="Calibri" w:eastAsia="Calibri" w:hAnsi="Calibri"/>
                <w:sz w:val="14"/>
                <w:szCs w:val="14"/>
                <w:color w:val="auto"/>
              </w:rPr>
              <w:t>2/15/2023</w:t>
            </w:r>
          </w:p>
        </w:tc>
        <w:tc>
          <w:tcPr>
            <w:tcW w:w="1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292"/>
              <w:spacing w:after="0" w:line="159" w:lineRule="exact"/>
              <w:rPr>
                <w:sz w:val="20"/>
                <w:szCs w:val="20"/>
                <w:color w:val="auto"/>
              </w:rPr>
            </w:pPr>
            <w:r>
              <w:rPr>
                <w:rFonts w:ascii="Calibri" w:cs="Calibri" w:eastAsia="Calibri" w:hAnsi="Calibri"/>
                <w:sz w:val="14"/>
                <w:szCs w:val="14"/>
                <w:color w:val="auto"/>
              </w:rPr>
              <w:t>15,840</w:t>
            </w:r>
          </w:p>
        </w:tc>
        <w:tc>
          <w:tcPr>
            <w:tcW w:w="1220" w:type="dxa"/>
            <w:vAlign w:val="bottom"/>
            <w:tcBorders>
              <w:top w:val="single" w:sz="8" w:color="auto"/>
            </w:tcBorders>
          </w:tcPr>
          <w:p>
            <w:pPr>
              <w:jc w:val="right"/>
              <w:spacing w:after="0" w:line="159" w:lineRule="exact"/>
              <w:rPr>
                <w:sz w:val="20"/>
                <w:szCs w:val="20"/>
                <w:color w:val="auto"/>
              </w:rPr>
            </w:pPr>
            <w:r>
              <w:rPr>
                <w:rFonts w:ascii="Calibri" w:cs="Calibri" w:eastAsia="Calibri" w:hAnsi="Calibri"/>
                <w:sz w:val="14"/>
                <w:szCs w:val="14"/>
                <w:color w:val="auto"/>
              </w:rPr>
              <w:t>488,664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1"/>
              <w:spacing w:after="0"/>
              <w:rPr>
                <w:sz w:val="20"/>
                <w:szCs w:val="20"/>
                <w:color w:val="auto"/>
              </w:rPr>
            </w:pPr>
            <w:r>
              <w:rPr>
                <w:rFonts w:ascii="Calibri" w:cs="Calibri" w:eastAsia="Calibri" w:hAnsi="Calibri"/>
                <w:sz w:val="14"/>
                <w:szCs w:val="14"/>
                <w:color w:val="auto"/>
              </w:rPr>
              <w:t>3/31/2022</w:t>
            </w:r>
          </w:p>
        </w:tc>
        <w:tc>
          <w:tcPr>
            <w:tcW w:w="1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2"/>
              <w:spacing w:after="0"/>
              <w:rPr>
                <w:sz w:val="20"/>
                <w:szCs w:val="20"/>
                <w:color w:val="auto"/>
              </w:rPr>
            </w:pPr>
            <w:r>
              <w:rPr>
                <w:rFonts w:ascii="Calibri" w:cs="Calibri" w:eastAsia="Calibri" w:hAnsi="Calibri"/>
                <w:sz w:val="14"/>
                <w:szCs w:val="14"/>
                <w:color w:val="auto"/>
              </w:rPr>
              <w:t>20,885</w:t>
            </w:r>
            <w:r>
              <w:rPr>
                <w:rFonts w:ascii="Calibri" w:cs="Calibri" w:eastAsia="Calibri" w:hAnsi="Calibri"/>
                <w:sz w:val="20"/>
                <w:szCs w:val="20"/>
                <w:color w:val="auto"/>
                <w:vertAlign w:val="superscript"/>
              </w:rPr>
              <w:t>(3)</w:t>
            </w:r>
          </w:p>
        </w:tc>
        <w:tc>
          <w:tcPr>
            <w:tcW w:w="900" w:type="dxa"/>
            <w:vAlign w:val="bottom"/>
            <w:tcBorders>
              <w:bottom w:val="single" w:sz="8" w:color="auto"/>
            </w:tcBorders>
          </w:tcPr>
          <w:p>
            <w:pPr>
              <w:jc w:val="right"/>
              <w:ind w:right="71"/>
              <w:spacing w:after="0"/>
              <w:rPr>
                <w:sz w:val="20"/>
                <w:szCs w:val="20"/>
                <w:color w:val="auto"/>
              </w:rPr>
            </w:pPr>
            <w:r>
              <w:rPr>
                <w:rFonts w:ascii="Calibri" w:cs="Calibri" w:eastAsia="Calibri" w:hAnsi="Calibri"/>
                <w:sz w:val="14"/>
                <w:szCs w:val="14"/>
                <w:color w:val="auto"/>
              </w:rPr>
              <w:t>644,302</w:t>
            </w:r>
          </w:p>
        </w:tc>
        <w:tc>
          <w:tcPr>
            <w:tcW w:w="15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20" w:type="dxa"/>
            <w:vAlign w:val="bottom"/>
          </w:tcPr>
          <w:p>
            <w:pPr>
              <w:spacing w:after="0" w:line="160" w:lineRule="exact"/>
              <w:rPr>
                <w:sz w:val="20"/>
                <w:szCs w:val="20"/>
                <w:color w:val="auto"/>
              </w:rPr>
            </w:pPr>
            <w:r>
              <w:rPr>
                <w:rFonts w:ascii="Calibri" w:cs="Calibri" w:eastAsia="Calibri" w:hAnsi="Calibri"/>
                <w:sz w:val="14"/>
                <w:szCs w:val="14"/>
                <w:b w:val="1"/>
                <w:bCs w:val="1"/>
                <w:color w:val="auto"/>
              </w:rPr>
              <w:t> Vivek</w:t>
            </w:r>
          </w:p>
        </w:tc>
        <w:tc>
          <w:tcPr>
            <w:tcW w:w="1200" w:type="dxa"/>
            <w:vAlign w:val="bottom"/>
          </w:tcPr>
          <w:p>
            <w:pPr>
              <w:jc w:val="right"/>
              <w:ind w:right="71"/>
              <w:spacing w:after="0" w:line="160" w:lineRule="exact"/>
              <w:rPr>
                <w:sz w:val="20"/>
                <w:szCs w:val="20"/>
                <w:color w:val="auto"/>
              </w:rPr>
            </w:pPr>
            <w:r>
              <w:rPr>
                <w:rFonts w:ascii="Calibri" w:cs="Calibri" w:eastAsia="Calibri" w:hAnsi="Calibri"/>
                <w:sz w:val="14"/>
                <w:szCs w:val="14"/>
                <w:color w:val="auto"/>
              </w:rPr>
              <w:t>2/19/2020</w:t>
            </w: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jc w:val="right"/>
              <w:ind w:right="92"/>
              <w:spacing w:after="0" w:line="160" w:lineRule="exact"/>
              <w:rPr>
                <w:sz w:val="20"/>
                <w:szCs w:val="20"/>
                <w:color w:val="auto"/>
              </w:rPr>
            </w:pPr>
            <w:r>
              <w:rPr>
                <w:rFonts w:ascii="Calibri" w:cs="Calibri" w:eastAsia="Calibri" w:hAnsi="Calibri"/>
                <w:sz w:val="12"/>
                <w:szCs w:val="12"/>
                <w:color w:val="auto"/>
              </w:rPr>
              <w:t>5,460</w:t>
            </w:r>
            <w:r>
              <w:rPr>
                <w:rFonts w:ascii="Calibri" w:cs="Calibri" w:eastAsia="Calibri" w:hAnsi="Calibri"/>
                <w:sz w:val="17"/>
                <w:szCs w:val="17"/>
                <w:color w:val="auto"/>
                <w:vertAlign w:val="superscript"/>
              </w:rPr>
              <w:t>(2)</w:t>
            </w:r>
          </w:p>
        </w:tc>
        <w:tc>
          <w:tcPr>
            <w:tcW w:w="900" w:type="dxa"/>
            <w:vAlign w:val="bottom"/>
          </w:tcPr>
          <w:p>
            <w:pPr>
              <w:jc w:val="right"/>
              <w:ind w:right="71"/>
              <w:spacing w:after="0" w:line="160" w:lineRule="exact"/>
              <w:rPr>
                <w:sz w:val="20"/>
                <w:szCs w:val="20"/>
                <w:color w:val="auto"/>
              </w:rPr>
            </w:pPr>
            <w:r>
              <w:rPr>
                <w:rFonts w:ascii="Calibri" w:cs="Calibri" w:eastAsia="Calibri" w:hAnsi="Calibri"/>
                <w:sz w:val="14"/>
                <w:szCs w:val="14"/>
                <w:color w:val="auto"/>
              </w:rPr>
              <w:t>168,441</w:t>
            </w: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840" w:type="dxa"/>
            <w:vAlign w:val="bottom"/>
            <w:gridSpan w:val="2"/>
          </w:tcPr>
          <w:p>
            <w:pPr>
              <w:spacing w:after="0" w:line="166" w:lineRule="exact"/>
              <w:rPr>
                <w:sz w:val="20"/>
                <w:szCs w:val="20"/>
                <w:color w:val="auto"/>
              </w:rPr>
            </w:pPr>
            <w:r>
              <w:rPr>
                <w:rFonts w:ascii="Calibri" w:cs="Calibri" w:eastAsia="Calibri" w:hAnsi="Calibri"/>
                <w:sz w:val="14"/>
                <w:szCs w:val="14"/>
                <w:b w:val="1"/>
                <w:bCs w:val="1"/>
                <w:color w:val="auto"/>
              </w:rPr>
              <w:t> Jetley</w:t>
            </w:r>
          </w:p>
        </w:tc>
        <w:tc>
          <w:tcPr>
            <w:tcW w:w="1200" w:type="dxa"/>
            <w:vAlign w:val="bottom"/>
          </w:tcPr>
          <w:p>
            <w:pPr>
              <w:jc w:val="right"/>
              <w:ind w:right="71"/>
              <w:spacing w:after="0"/>
              <w:rPr>
                <w:sz w:val="20"/>
                <w:szCs w:val="20"/>
                <w:color w:val="auto"/>
              </w:rPr>
            </w:pPr>
            <w:r>
              <w:rPr>
                <w:rFonts w:ascii="Calibri" w:cs="Calibri" w:eastAsia="Calibri" w:hAnsi="Calibri"/>
                <w:sz w:val="14"/>
                <w:szCs w:val="14"/>
                <w:color w:val="auto"/>
              </w:rPr>
              <w:t>2/17/2021</w:t>
            </w:r>
          </w:p>
        </w:tc>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Calibri" w:cs="Calibri" w:eastAsia="Calibri" w:hAnsi="Calibri"/>
                <w:sz w:val="14"/>
                <w:szCs w:val="14"/>
                <w:color w:val="auto"/>
              </w:rPr>
              <w:t>14,890</w:t>
            </w:r>
            <w:r>
              <w:rPr>
                <w:rFonts w:ascii="Calibri" w:cs="Calibri" w:eastAsia="Calibri" w:hAnsi="Calibri"/>
                <w:sz w:val="20"/>
                <w:szCs w:val="20"/>
                <w:color w:val="auto"/>
                <w:vertAlign w:val="superscript"/>
              </w:rPr>
              <w:t>(2)</w:t>
            </w: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459,357</w:t>
            </w:r>
          </w:p>
        </w:tc>
        <w:tc>
          <w:tcPr>
            <w:tcW w:w="1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9/1/2021</w:t>
            </w: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jc w:val="right"/>
              <w:ind w:right="92"/>
              <w:spacing w:after="0" w:line="221" w:lineRule="exact"/>
              <w:rPr>
                <w:sz w:val="20"/>
                <w:szCs w:val="20"/>
                <w:color w:val="auto"/>
              </w:rPr>
            </w:pPr>
            <w:r>
              <w:rPr>
                <w:rFonts w:ascii="Calibri" w:cs="Calibri" w:eastAsia="Calibri" w:hAnsi="Calibri"/>
                <w:sz w:val="14"/>
                <w:szCs w:val="14"/>
                <w:color w:val="auto"/>
              </w:rPr>
              <w:t>40,610</w:t>
            </w:r>
            <w:r>
              <w:rPr>
                <w:rFonts w:ascii="Calibri" w:cs="Calibri" w:eastAsia="Calibri" w:hAnsi="Calibri"/>
                <w:sz w:val="20"/>
                <w:szCs w:val="20"/>
                <w:color w:val="auto"/>
                <w:vertAlign w:val="superscript"/>
              </w:rPr>
              <w:t>(4)</w:t>
            </w:r>
          </w:p>
        </w:tc>
        <w:tc>
          <w:tcPr>
            <w:tcW w:w="9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1,252,819</w:t>
            </w:r>
          </w:p>
        </w:tc>
        <w:tc>
          <w:tcPr>
            <w:tcW w:w="1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2/16/2022</w:t>
            </w: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jc w:val="right"/>
              <w:ind w:right="92"/>
              <w:spacing w:after="0" w:line="221" w:lineRule="exact"/>
              <w:rPr>
                <w:sz w:val="20"/>
                <w:szCs w:val="20"/>
                <w:color w:val="auto"/>
              </w:rPr>
            </w:pPr>
            <w:r>
              <w:rPr>
                <w:rFonts w:ascii="Calibri" w:cs="Calibri" w:eastAsia="Calibri" w:hAnsi="Calibri"/>
                <w:sz w:val="14"/>
                <w:szCs w:val="14"/>
                <w:color w:val="auto"/>
              </w:rPr>
              <w:t>15,150</w:t>
            </w:r>
            <w:r>
              <w:rPr>
                <w:rFonts w:ascii="Calibri" w:cs="Calibri" w:eastAsia="Calibri" w:hAnsi="Calibri"/>
                <w:sz w:val="20"/>
                <w:szCs w:val="20"/>
                <w:color w:val="auto"/>
                <w:vertAlign w:val="superscript"/>
              </w:rPr>
              <w:t>(2)</w:t>
            </w:r>
          </w:p>
        </w:tc>
        <w:tc>
          <w:tcPr>
            <w:tcW w:w="9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467,378</w:t>
            </w:r>
          </w:p>
        </w:tc>
        <w:tc>
          <w:tcPr>
            <w:tcW w:w="1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2/15/2023</w:t>
            </w: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jc w:val="right"/>
              <w:ind w:right="92"/>
              <w:spacing w:after="0" w:line="221" w:lineRule="exact"/>
              <w:rPr>
                <w:sz w:val="20"/>
                <w:szCs w:val="20"/>
                <w:color w:val="auto"/>
              </w:rPr>
            </w:pPr>
            <w:r>
              <w:rPr>
                <w:rFonts w:ascii="Calibri" w:cs="Calibri" w:eastAsia="Calibri" w:hAnsi="Calibri"/>
                <w:sz w:val="14"/>
                <w:szCs w:val="14"/>
                <w:color w:val="auto"/>
              </w:rPr>
              <w:t>17,600</w:t>
            </w:r>
            <w:r>
              <w:rPr>
                <w:rFonts w:ascii="Calibri" w:cs="Calibri" w:eastAsia="Calibri" w:hAnsi="Calibri"/>
                <w:sz w:val="20"/>
                <w:szCs w:val="20"/>
                <w:color w:val="auto"/>
                <w:vertAlign w:val="superscript"/>
              </w:rPr>
              <w:t>(2)</w:t>
            </w:r>
          </w:p>
        </w:tc>
        <w:tc>
          <w:tcPr>
            <w:tcW w:w="9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542,960</w:t>
            </w:r>
          </w:p>
        </w:tc>
        <w:tc>
          <w:tcPr>
            <w:tcW w:w="1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6/21/2023</w:t>
            </w:r>
          </w:p>
        </w:tc>
        <w:tc>
          <w:tcPr>
            <w:tcW w:w="1280" w:type="dxa"/>
            <w:vAlign w:val="bottom"/>
          </w:tcPr>
          <w:p>
            <w:pPr>
              <w:spacing w:after="0"/>
              <w:rPr>
                <w:sz w:val="14"/>
                <w:szCs w:val="14"/>
                <w:color w:val="auto"/>
              </w:rPr>
            </w:pPr>
          </w:p>
        </w:tc>
        <w:tc>
          <w:tcPr>
            <w:tcW w:w="1240" w:type="dxa"/>
            <w:vAlign w:val="bottom"/>
          </w:tcPr>
          <w:p>
            <w:pPr>
              <w:jc w:val="center"/>
              <w:ind w:left="231"/>
              <w:spacing w:after="0" w:line="166" w:lineRule="exact"/>
              <w:rPr>
                <w:sz w:val="20"/>
                <w:szCs w:val="20"/>
                <w:color w:val="auto"/>
              </w:rPr>
            </w:pPr>
            <w:r>
              <w:rPr>
                <w:rFonts w:ascii="Calibri" w:cs="Calibri" w:eastAsia="Calibri" w:hAnsi="Calibri"/>
                <w:sz w:val="14"/>
                <w:szCs w:val="14"/>
                <w:color w:val="auto"/>
                <w:w w:val="99"/>
              </w:rPr>
              <w:t>268,650</w:t>
            </w:r>
          </w:p>
        </w:tc>
        <w:tc>
          <w:tcPr>
            <w:tcW w:w="640" w:type="dxa"/>
            <w:vAlign w:val="bottom"/>
          </w:tcPr>
          <w:p>
            <w:pPr>
              <w:jc w:val="right"/>
              <w:ind w:right="111"/>
              <w:spacing w:after="0" w:line="166" w:lineRule="exact"/>
              <w:rPr>
                <w:sz w:val="20"/>
                <w:szCs w:val="20"/>
                <w:color w:val="auto"/>
              </w:rPr>
            </w:pPr>
            <w:r>
              <w:rPr>
                <w:rFonts w:ascii="Calibri" w:cs="Calibri" w:eastAsia="Calibri" w:hAnsi="Calibri"/>
                <w:sz w:val="14"/>
                <w:szCs w:val="14"/>
                <w:color w:val="auto"/>
              </w:rPr>
              <w:t>30.15</w:t>
            </w:r>
          </w:p>
        </w:tc>
        <w:tc>
          <w:tcPr>
            <w:tcW w:w="940" w:type="dxa"/>
            <w:vAlign w:val="bottom"/>
          </w:tcPr>
          <w:p>
            <w:pPr>
              <w:jc w:val="right"/>
              <w:ind w:right="91"/>
              <w:spacing w:after="0" w:line="166" w:lineRule="exact"/>
              <w:rPr>
                <w:sz w:val="20"/>
                <w:szCs w:val="20"/>
                <w:color w:val="auto"/>
              </w:rPr>
            </w:pPr>
            <w:r>
              <w:rPr>
                <w:rFonts w:ascii="Calibri" w:cs="Calibri" w:eastAsia="Calibri" w:hAnsi="Calibri"/>
                <w:sz w:val="14"/>
                <w:szCs w:val="14"/>
                <w:color w:val="auto"/>
              </w:rPr>
              <w:t>6/21/2033</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ind w:right="71"/>
              <w:spacing w:after="0"/>
              <w:rPr>
                <w:sz w:val="20"/>
                <w:szCs w:val="20"/>
                <w:color w:val="auto"/>
              </w:rPr>
            </w:pPr>
            <w:r>
              <w:rPr>
                <w:rFonts w:ascii="Calibri" w:cs="Calibri" w:eastAsia="Calibri" w:hAnsi="Calibri"/>
                <w:sz w:val="14"/>
                <w:szCs w:val="14"/>
                <w:color w:val="auto"/>
              </w:rPr>
              <w:t>2/16/2022</w:t>
            </w: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tcPr>
          <w:p>
            <w:pPr>
              <w:jc w:val="right"/>
              <w:ind w:right="292"/>
              <w:spacing w:after="0"/>
              <w:rPr>
                <w:sz w:val="20"/>
                <w:szCs w:val="20"/>
                <w:color w:val="auto"/>
              </w:rPr>
            </w:pPr>
            <w:r>
              <w:rPr>
                <w:rFonts w:ascii="Calibri" w:cs="Calibri" w:eastAsia="Calibri" w:hAnsi="Calibri"/>
                <w:sz w:val="14"/>
                <w:szCs w:val="14"/>
                <w:color w:val="auto"/>
              </w:rPr>
              <w:t>24,240</w:t>
            </w:r>
          </w:p>
        </w:tc>
        <w:tc>
          <w:tcPr>
            <w:tcW w:w="1220" w:type="dxa"/>
            <w:vAlign w:val="bottom"/>
          </w:tcPr>
          <w:p>
            <w:pPr>
              <w:jc w:val="right"/>
              <w:spacing w:after="0"/>
              <w:rPr>
                <w:sz w:val="20"/>
                <w:szCs w:val="20"/>
                <w:color w:val="auto"/>
              </w:rPr>
            </w:pPr>
            <w:r>
              <w:rPr>
                <w:rFonts w:ascii="Calibri" w:cs="Calibri" w:eastAsia="Calibri" w:hAnsi="Calibri"/>
                <w:sz w:val="14"/>
                <w:szCs w:val="14"/>
                <w:color w:val="auto"/>
              </w:rPr>
              <w:t>747,804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ind w:right="71"/>
              <w:spacing w:after="0"/>
              <w:rPr>
                <w:sz w:val="20"/>
                <w:szCs w:val="20"/>
                <w:color w:val="auto"/>
              </w:rPr>
            </w:pPr>
            <w:r>
              <w:rPr>
                <w:rFonts w:ascii="Calibri" w:cs="Calibri" w:eastAsia="Calibri" w:hAnsi="Calibri"/>
                <w:sz w:val="14"/>
                <w:szCs w:val="14"/>
                <w:color w:val="auto"/>
              </w:rPr>
              <w:t>2/16/2022</w:t>
            </w: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tcPr>
          <w:p>
            <w:pPr>
              <w:jc w:val="right"/>
              <w:ind w:right="292"/>
              <w:spacing w:after="0"/>
              <w:rPr>
                <w:sz w:val="20"/>
                <w:szCs w:val="20"/>
                <w:color w:val="auto"/>
              </w:rPr>
            </w:pPr>
            <w:r>
              <w:rPr>
                <w:rFonts w:ascii="Calibri" w:cs="Calibri" w:eastAsia="Calibri" w:hAnsi="Calibri"/>
                <w:sz w:val="14"/>
                <w:szCs w:val="14"/>
                <w:color w:val="auto"/>
              </w:rPr>
              <w:t>36,360</w:t>
            </w:r>
          </w:p>
        </w:tc>
        <w:tc>
          <w:tcPr>
            <w:tcW w:w="1220" w:type="dxa"/>
            <w:vAlign w:val="bottom"/>
          </w:tcPr>
          <w:p>
            <w:pPr>
              <w:jc w:val="right"/>
              <w:spacing w:after="0"/>
              <w:rPr>
                <w:sz w:val="20"/>
                <w:szCs w:val="20"/>
                <w:color w:val="auto"/>
              </w:rPr>
            </w:pPr>
            <w:r>
              <w:rPr>
                <w:rFonts w:ascii="Calibri" w:cs="Calibri" w:eastAsia="Calibri" w:hAnsi="Calibri"/>
                <w:sz w:val="14"/>
                <w:szCs w:val="14"/>
                <w:color w:val="auto"/>
              </w:rPr>
              <w:t>1,121,706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ind w:right="71"/>
              <w:spacing w:after="0"/>
              <w:rPr>
                <w:sz w:val="20"/>
                <w:szCs w:val="20"/>
                <w:color w:val="auto"/>
              </w:rPr>
            </w:pPr>
            <w:r>
              <w:rPr>
                <w:rFonts w:ascii="Calibri" w:cs="Calibri" w:eastAsia="Calibri" w:hAnsi="Calibri"/>
                <w:sz w:val="14"/>
                <w:szCs w:val="14"/>
                <w:color w:val="auto"/>
              </w:rPr>
              <w:t>2/15/2023</w:t>
            </w: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tcPr>
          <w:p>
            <w:pPr>
              <w:jc w:val="right"/>
              <w:ind w:right="292"/>
              <w:spacing w:after="0"/>
              <w:rPr>
                <w:sz w:val="20"/>
                <w:szCs w:val="20"/>
                <w:color w:val="auto"/>
              </w:rPr>
            </w:pPr>
            <w:r>
              <w:rPr>
                <w:rFonts w:ascii="Calibri" w:cs="Calibri" w:eastAsia="Calibri" w:hAnsi="Calibri"/>
                <w:sz w:val="14"/>
                <w:szCs w:val="14"/>
                <w:color w:val="auto"/>
              </w:rPr>
              <w:t>10,560</w:t>
            </w:r>
          </w:p>
        </w:tc>
        <w:tc>
          <w:tcPr>
            <w:tcW w:w="1220" w:type="dxa"/>
            <w:vAlign w:val="bottom"/>
          </w:tcPr>
          <w:p>
            <w:pPr>
              <w:jc w:val="right"/>
              <w:spacing w:after="0"/>
              <w:rPr>
                <w:sz w:val="20"/>
                <w:szCs w:val="20"/>
                <w:color w:val="auto"/>
              </w:rPr>
            </w:pPr>
            <w:r>
              <w:rPr>
                <w:rFonts w:ascii="Calibri" w:cs="Calibri" w:eastAsia="Calibri" w:hAnsi="Calibri"/>
                <w:sz w:val="14"/>
                <w:szCs w:val="14"/>
                <w:color w:val="auto"/>
              </w:rPr>
              <w:t>325,776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ind w:right="71"/>
              <w:spacing w:after="0"/>
              <w:rPr>
                <w:sz w:val="20"/>
                <w:szCs w:val="20"/>
                <w:color w:val="auto"/>
              </w:rPr>
            </w:pPr>
            <w:r>
              <w:rPr>
                <w:rFonts w:ascii="Calibri" w:cs="Calibri" w:eastAsia="Calibri" w:hAnsi="Calibri"/>
                <w:sz w:val="14"/>
                <w:szCs w:val="14"/>
                <w:color w:val="auto"/>
              </w:rPr>
              <w:t>2/15/2023</w:t>
            </w: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tcPr>
          <w:p>
            <w:pPr>
              <w:jc w:val="right"/>
              <w:ind w:right="292"/>
              <w:spacing w:after="0"/>
              <w:rPr>
                <w:sz w:val="20"/>
                <w:szCs w:val="20"/>
                <w:color w:val="auto"/>
              </w:rPr>
            </w:pPr>
            <w:r>
              <w:rPr>
                <w:rFonts w:ascii="Calibri" w:cs="Calibri" w:eastAsia="Calibri" w:hAnsi="Calibri"/>
                <w:sz w:val="14"/>
                <w:szCs w:val="14"/>
                <w:color w:val="auto"/>
              </w:rPr>
              <w:t>15,840</w:t>
            </w:r>
          </w:p>
        </w:tc>
        <w:tc>
          <w:tcPr>
            <w:tcW w:w="1220" w:type="dxa"/>
            <w:vAlign w:val="bottom"/>
          </w:tcPr>
          <w:p>
            <w:pPr>
              <w:jc w:val="right"/>
              <w:spacing w:after="0"/>
              <w:rPr>
                <w:sz w:val="20"/>
                <w:szCs w:val="20"/>
                <w:color w:val="auto"/>
              </w:rPr>
            </w:pPr>
            <w:r>
              <w:rPr>
                <w:rFonts w:ascii="Calibri" w:cs="Calibri" w:eastAsia="Calibri" w:hAnsi="Calibri"/>
                <w:sz w:val="14"/>
                <w:szCs w:val="14"/>
                <w:color w:val="auto"/>
              </w:rPr>
              <w:t>488,664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1"/>
              <w:spacing w:after="0"/>
              <w:rPr>
                <w:sz w:val="20"/>
                <w:szCs w:val="20"/>
                <w:color w:val="auto"/>
              </w:rPr>
            </w:pPr>
            <w:r>
              <w:rPr>
                <w:rFonts w:ascii="Calibri" w:cs="Calibri" w:eastAsia="Calibri" w:hAnsi="Calibri"/>
                <w:sz w:val="14"/>
                <w:szCs w:val="14"/>
                <w:color w:val="auto"/>
              </w:rPr>
              <w:t>3/31/2022</w:t>
            </w:r>
          </w:p>
        </w:tc>
        <w:tc>
          <w:tcPr>
            <w:tcW w:w="1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92"/>
              <w:spacing w:after="0"/>
              <w:rPr>
                <w:sz w:val="20"/>
                <w:szCs w:val="20"/>
                <w:color w:val="auto"/>
              </w:rPr>
            </w:pPr>
            <w:r>
              <w:rPr>
                <w:rFonts w:ascii="Calibri" w:cs="Calibri" w:eastAsia="Calibri" w:hAnsi="Calibri"/>
                <w:sz w:val="14"/>
                <w:szCs w:val="14"/>
                <w:color w:val="auto"/>
              </w:rPr>
              <w:t>20,885</w:t>
            </w:r>
            <w:r>
              <w:rPr>
                <w:rFonts w:ascii="Calibri" w:cs="Calibri" w:eastAsia="Calibri" w:hAnsi="Calibri"/>
                <w:sz w:val="20"/>
                <w:szCs w:val="20"/>
                <w:color w:val="auto"/>
                <w:vertAlign w:val="superscript"/>
              </w:rPr>
              <w:t>(3)</w:t>
            </w:r>
          </w:p>
        </w:tc>
        <w:tc>
          <w:tcPr>
            <w:tcW w:w="900" w:type="dxa"/>
            <w:vAlign w:val="bottom"/>
            <w:tcBorders>
              <w:bottom w:val="single" w:sz="8" w:color="auto"/>
            </w:tcBorders>
          </w:tcPr>
          <w:p>
            <w:pPr>
              <w:jc w:val="right"/>
              <w:ind w:right="71"/>
              <w:spacing w:after="0"/>
              <w:rPr>
                <w:sz w:val="20"/>
                <w:szCs w:val="20"/>
                <w:color w:val="auto"/>
              </w:rPr>
            </w:pPr>
            <w:r>
              <w:rPr>
                <w:rFonts w:ascii="Calibri" w:cs="Calibri" w:eastAsia="Calibri" w:hAnsi="Calibri"/>
                <w:sz w:val="14"/>
                <w:szCs w:val="14"/>
                <w:color w:val="auto"/>
              </w:rPr>
              <w:t>644,302</w:t>
            </w:r>
          </w:p>
        </w:tc>
        <w:tc>
          <w:tcPr>
            <w:tcW w:w="15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20" w:type="dxa"/>
            <w:vAlign w:val="bottom"/>
          </w:tcPr>
          <w:p>
            <w:pPr>
              <w:spacing w:after="0" w:line="160" w:lineRule="exact"/>
              <w:rPr>
                <w:sz w:val="20"/>
                <w:szCs w:val="20"/>
                <w:color w:val="auto"/>
              </w:rPr>
            </w:pPr>
            <w:r>
              <w:rPr>
                <w:rFonts w:ascii="Calibri" w:cs="Calibri" w:eastAsia="Calibri" w:hAnsi="Calibri"/>
                <w:sz w:val="14"/>
                <w:szCs w:val="14"/>
                <w:b w:val="1"/>
                <w:bCs w:val="1"/>
                <w:color w:val="auto"/>
              </w:rPr>
              <w:t> Anita</w:t>
            </w:r>
          </w:p>
        </w:tc>
        <w:tc>
          <w:tcPr>
            <w:tcW w:w="1200" w:type="dxa"/>
            <w:vAlign w:val="bottom"/>
          </w:tcPr>
          <w:p>
            <w:pPr>
              <w:jc w:val="right"/>
              <w:ind w:right="71"/>
              <w:spacing w:after="0" w:line="160" w:lineRule="exact"/>
              <w:rPr>
                <w:sz w:val="20"/>
                <w:szCs w:val="20"/>
                <w:color w:val="auto"/>
              </w:rPr>
            </w:pPr>
            <w:r>
              <w:rPr>
                <w:rFonts w:ascii="Calibri" w:cs="Calibri" w:eastAsia="Calibri" w:hAnsi="Calibri"/>
                <w:sz w:val="14"/>
                <w:szCs w:val="14"/>
                <w:color w:val="auto"/>
              </w:rPr>
              <w:t>3/2/2020</w:t>
            </w: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jc w:val="right"/>
              <w:ind w:right="92"/>
              <w:spacing w:after="0" w:line="160" w:lineRule="exact"/>
              <w:rPr>
                <w:sz w:val="20"/>
                <w:szCs w:val="20"/>
                <w:color w:val="auto"/>
              </w:rPr>
            </w:pPr>
            <w:r>
              <w:rPr>
                <w:rFonts w:ascii="Calibri" w:cs="Calibri" w:eastAsia="Calibri" w:hAnsi="Calibri"/>
                <w:sz w:val="12"/>
                <w:szCs w:val="12"/>
                <w:color w:val="auto"/>
              </w:rPr>
              <w:t>2,490</w:t>
            </w:r>
            <w:r>
              <w:rPr>
                <w:rFonts w:ascii="Calibri" w:cs="Calibri" w:eastAsia="Calibri" w:hAnsi="Calibri"/>
                <w:sz w:val="17"/>
                <w:szCs w:val="17"/>
                <w:color w:val="auto"/>
                <w:vertAlign w:val="superscript"/>
              </w:rPr>
              <w:t>(2)</w:t>
            </w:r>
          </w:p>
        </w:tc>
        <w:tc>
          <w:tcPr>
            <w:tcW w:w="900" w:type="dxa"/>
            <w:vAlign w:val="bottom"/>
          </w:tcPr>
          <w:p>
            <w:pPr>
              <w:jc w:val="right"/>
              <w:ind w:right="71"/>
              <w:spacing w:after="0" w:line="160" w:lineRule="exact"/>
              <w:rPr>
                <w:sz w:val="20"/>
                <w:szCs w:val="20"/>
                <w:color w:val="auto"/>
              </w:rPr>
            </w:pPr>
            <w:r>
              <w:rPr>
                <w:rFonts w:ascii="Calibri" w:cs="Calibri" w:eastAsia="Calibri" w:hAnsi="Calibri"/>
                <w:sz w:val="14"/>
                <w:szCs w:val="14"/>
                <w:color w:val="auto"/>
              </w:rPr>
              <w:t>76,817</w:t>
            </w:r>
          </w:p>
        </w:tc>
        <w:tc>
          <w:tcPr>
            <w:tcW w:w="1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840" w:type="dxa"/>
            <w:vAlign w:val="bottom"/>
            <w:gridSpan w:val="2"/>
          </w:tcPr>
          <w:p>
            <w:pPr>
              <w:spacing w:after="0" w:line="166" w:lineRule="exact"/>
              <w:rPr>
                <w:sz w:val="20"/>
                <w:szCs w:val="20"/>
                <w:color w:val="auto"/>
              </w:rPr>
            </w:pPr>
            <w:r>
              <w:rPr>
                <w:rFonts w:ascii="Calibri" w:cs="Calibri" w:eastAsia="Calibri" w:hAnsi="Calibri"/>
                <w:sz w:val="14"/>
                <w:szCs w:val="14"/>
                <w:b w:val="1"/>
                <w:bCs w:val="1"/>
                <w:color w:val="auto"/>
              </w:rPr>
              <w:t> Mahon</w:t>
            </w:r>
          </w:p>
        </w:tc>
        <w:tc>
          <w:tcPr>
            <w:tcW w:w="1200" w:type="dxa"/>
            <w:vAlign w:val="bottom"/>
          </w:tcPr>
          <w:p>
            <w:pPr>
              <w:jc w:val="right"/>
              <w:ind w:right="71"/>
              <w:spacing w:after="0"/>
              <w:rPr>
                <w:sz w:val="20"/>
                <w:szCs w:val="20"/>
                <w:color w:val="auto"/>
              </w:rPr>
            </w:pPr>
            <w:r>
              <w:rPr>
                <w:rFonts w:ascii="Calibri" w:cs="Calibri" w:eastAsia="Calibri" w:hAnsi="Calibri"/>
                <w:sz w:val="14"/>
                <w:szCs w:val="14"/>
                <w:color w:val="auto"/>
              </w:rPr>
              <w:t>3/2/2020</w:t>
            </w:r>
          </w:p>
        </w:tc>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Calibri" w:cs="Calibri" w:eastAsia="Calibri" w:hAnsi="Calibri"/>
                <w:sz w:val="14"/>
                <w:szCs w:val="14"/>
                <w:color w:val="auto"/>
              </w:rPr>
              <w:t>5,460</w:t>
            </w:r>
            <w:r>
              <w:rPr>
                <w:rFonts w:ascii="Calibri" w:cs="Calibri" w:eastAsia="Calibri" w:hAnsi="Calibri"/>
                <w:sz w:val="20"/>
                <w:szCs w:val="20"/>
                <w:color w:val="auto"/>
                <w:vertAlign w:val="superscript"/>
              </w:rPr>
              <w:t>(2)</w:t>
            </w: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168,441</w:t>
            </w:r>
          </w:p>
        </w:tc>
        <w:tc>
          <w:tcPr>
            <w:tcW w:w="1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2/17/2021</w:t>
            </w: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jc w:val="right"/>
              <w:ind w:right="92"/>
              <w:spacing w:after="0" w:line="221" w:lineRule="exact"/>
              <w:rPr>
                <w:sz w:val="20"/>
                <w:szCs w:val="20"/>
                <w:color w:val="auto"/>
              </w:rPr>
            </w:pPr>
            <w:r>
              <w:rPr>
                <w:rFonts w:ascii="Calibri" w:cs="Calibri" w:eastAsia="Calibri" w:hAnsi="Calibri"/>
                <w:sz w:val="14"/>
                <w:szCs w:val="14"/>
                <w:color w:val="auto"/>
              </w:rPr>
              <w:t>11,800</w:t>
            </w:r>
            <w:r>
              <w:rPr>
                <w:rFonts w:ascii="Calibri" w:cs="Calibri" w:eastAsia="Calibri" w:hAnsi="Calibri"/>
                <w:sz w:val="20"/>
                <w:szCs w:val="20"/>
                <w:color w:val="auto"/>
                <w:vertAlign w:val="superscript"/>
              </w:rPr>
              <w:t>(2)</w:t>
            </w:r>
          </w:p>
        </w:tc>
        <w:tc>
          <w:tcPr>
            <w:tcW w:w="9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364,030</w:t>
            </w:r>
          </w:p>
        </w:tc>
        <w:tc>
          <w:tcPr>
            <w:tcW w:w="1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2/16/2022</w:t>
            </w: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jc w:val="right"/>
              <w:ind w:right="92"/>
              <w:spacing w:after="0" w:line="221" w:lineRule="exact"/>
              <w:rPr>
                <w:sz w:val="20"/>
                <w:szCs w:val="20"/>
                <w:color w:val="auto"/>
              </w:rPr>
            </w:pPr>
            <w:r>
              <w:rPr>
                <w:rFonts w:ascii="Calibri" w:cs="Calibri" w:eastAsia="Calibri" w:hAnsi="Calibri"/>
                <w:sz w:val="14"/>
                <w:szCs w:val="14"/>
                <w:color w:val="auto"/>
              </w:rPr>
              <w:t>9,900</w:t>
            </w:r>
            <w:r>
              <w:rPr>
                <w:rFonts w:ascii="Calibri" w:cs="Calibri" w:eastAsia="Calibri" w:hAnsi="Calibri"/>
                <w:sz w:val="20"/>
                <w:szCs w:val="20"/>
                <w:color w:val="auto"/>
                <w:vertAlign w:val="superscript"/>
              </w:rPr>
              <w:t>(2)</w:t>
            </w:r>
          </w:p>
        </w:tc>
        <w:tc>
          <w:tcPr>
            <w:tcW w:w="9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305,415</w:t>
            </w:r>
          </w:p>
        </w:tc>
        <w:tc>
          <w:tcPr>
            <w:tcW w:w="1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9/1/2021</w:t>
            </w: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jc w:val="right"/>
              <w:ind w:right="92"/>
              <w:spacing w:after="0" w:line="221" w:lineRule="exact"/>
              <w:rPr>
                <w:sz w:val="20"/>
                <w:szCs w:val="20"/>
                <w:color w:val="auto"/>
              </w:rPr>
            </w:pPr>
            <w:r>
              <w:rPr>
                <w:rFonts w:ascii="Calibri" w:cs="Calibri" w:eastAsia="Calibri" w:hAnsi="Calibri"/>
                <w:sz w:val="14"/>
                <w:szCs w:val="14"/>
                <w:color w:val="auto"/>
              </w:rPr>
              <w:t>27,075</w:t>
            </w:r>
            <w:r>
              <w:rPr>
                <w:rFonts w:ascii="Calibri" w:cs="Calibri" w:eastAsia="Calibri" w:hAnsi="Calibri"/>
                <w:sz w:val="20"/>
                <w:szCs w:val="20"/>
                <w:color w:val="auto"/>
                <w:vertAlign w:val="superscript"/>
              </w:rPr>
              <w:t>(4)</w:t>
            </w:r>
          </w:p>
        </w:tc>
        <w:tc>
          <w:tcPr>
            <w:tcW w:w="9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835,264</w:t>
            </w:r>
          </w:p>
        </w:tc>
        <w:tc>
          <w:tcPr>
            <w:tcW w:w="1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2/15/2023</w:t>
            </w: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jc w:val="right"/>
              <w:ind w:right="92"/>
              <w:spacing w:after="0" w:line="221" w:lineRule="exact"/>
              <w:rPr>
                <w:sz w:val="20"/>
                <w:szCs w:val="20"/>
                <w:color w:val="auto"/>
              </w:rPr>
            </w:pPr>
            <w:r>
              <w:rPr>
                <w:rFonts w:ascii="Calibri" w:cs="Calibri" w:eastAsia="Calibri" w:hAnsi="Calibri"/>
                <w:sz w:val="14"/>
                <w:szCs w:val="14"/>
                <w:color w:val="auto"/>
              </w:rPr>
              <w:t>12,920</w:t>
            </w:r>
            <w:r>
              <w:rPr>
                <w:rFonts w:ascii="Calibri" w:cs="Calibri" w:eastAsia="Calibri" w:hAnsi="Calibri"/>
                <w:sz w:val="20"/>
                <w:szCs w:val="20"/>
                <w:color w:val="auto"/>
                <w:vertAlign w:val="superscript"/>
              </w:rPr>
              <w:t>(2)</w:t>
            </w:r>
          </w:p>
        </w:tc>
        <w:tc>
          <w:tcPr>
            <w:tcW w:w="9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398,582</w:t>
            </w:r>
          </w:p>
        </w:tc>
        <w:tc>
          <w:tcPr>
            <w:tcW w:w="1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jc w:val="right"/>
              <w:ind w:right="71"/>
              <w:spacing w:after="0" w:line="166" w:lineRule="exact"/>
              <w:rPr>
                <w:sz w:val="20"/>
                <w:szCs w:val="20"/>
                <w:color w:val="auto"/>
              </w:rPr>
            </w:pPr>
            <w:r>
              <w:rPr>
                <w:rFonts w:ascii="Calibri" w:cs="Calibri" w:eastAsia="Calibri" w:hAnsi="Calibri"/>
                <w:sz w:val="14"/>
                <w:szCs w:val="14"/>
                <w:color w:val="auto"/>
              </w:rPr>
              <w:t>6/21/2023</w:t>
            </w:r>
          </w:p>
        </w:tc>
        <w:tc>
          <w:tcPr>
            <w:tcW w:w="1280" w:type="dxa"/>
            <w:vAlign w:val="bottom"/>
          </w:tcPr>
          <w:p>
            <w:pPr>
              <w:spacing w:after="0"/>
              <w:rPr>
                <w:sz w:val="14"/>
                <w:szCs w:val="14"/>
                <w:color w:val="auto"/>
              </w:rPr>
            </w:pPr>
          </w:p>
        </w:tc>
        <w:tc>
          <w:tcPr>
            <w:tcW w:w="1240" w:type="dxa"/>
            <w:vAlign w:val="bottom"/>
          </w:tcPr>
          <w:p>
            <w:pPr>
              <w:jc w:val="center"/>
              <w:ind w:left="231"/>
              <w:spacing w:after="0" w:line="166" w:lineRule="exact"/>
              <w:rPr>
                <w:sz w:val="20"/>
                <w:szCs w:val="20"/>
                <w:color w:val="auto"/>
              </w:rPr>
            </w:pPr>
            <w:r>
              <w:rPr>
                <w:rFonts w:ascii="Calibri" w:cs="Calibri" w:eastAsia="Calibri" w:hAnsi="Calibri"/>
                <w:sz w:val="14"/>
                <w:szCs w:val="14"/>
                <w:color w:val="auto"/>
                <w:w w:val="99"/>
              </w:rPr>
              <w:t>134,325</w:t>
            </w:r>
          </w:p>
        </w:tc>
        <w:tc>
          <w:tcPr>
            <w:tcW w:w="640" w:type="dxa"/>
            <w:vAlign w:val="bottom"/>
          </w:tcPr>
          <w:p>
            <w:pPr>
              <w:jc w:val="right"/>
              <w:ind w:right="111"/>
              <w:spacing w:after="0" w:line="166" w:lineRule="exact"/>
              <w:rPr>
                <w:sz w:val="20"/>
                <w:szCs w:val="20"/>
                <w:color w:val="auto"/>
              </w:rPr>
            </w:pPr>
            <w:r>
              <w:rPr>
                <w:rFonts w:ascii="Calibri" w:cs="Calibri" w:eastAsia="Calibri" w:hAnsi="Calibri"/>
                <w:sz w:val="14"/>
                <w:szCs w:val="14"/>
                <w:color w:val="auto"/>
              </w:rPr>
              <w:t>30.15</w:t>
            </w:r>
          </w:p>
        </w:tc>
        <w:tc>
          <w:tcPr>
            <w:tcW w:w="940" w:type="dxa"/>
            <w:vAlign w:val="bottom"/>
          </w:tcPr>
          <w:p>
            <w:pPr>
              <w:jc w:val="right"/>
              <w:ind w:right="91"/>
              <w:spacing w:after="0" w:line="166" w:lineRule="exact"/>
              <w:rPr>
                <w:sz w:val="20"/>
                <w:szCs w:val="20"/>
                <w:color w:val="auto"/>
              </w:rPr>
            </w:pPr>
            <w:r>
              <w:rPr>
                <w:rFonts w:ascii="Calibri" w:cs="Calibri" w:eastAsia="Calibri" w:hAnsi="Calibri"/>
                <w:sz w:val="14"/>
                <w:szCs w:val="14"/>
                <w:color w:val="auto"/>
              </w:rPr>
              <w:t>6/21/2033</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ind w:right="71"/>
              <w:spacing w:after="0"/>
              <w:rPr>
                <w:sz w:val="20"/>
                <w:szCs w:val="20"/>
                <w:color w:val="auto"/>
              </w:rPr>
            </w:pPr>
            <w:r>
              <w:rPr>
                <w:rFonts w:ascii="Calibri" w:cs="Calibri" w:eastAsia="Calibri" w:hAnsi="Calibri"/>
                <w:sz w:val="14"/>
                <w:szCs w:val="14"/>
                <w:color w:val="auto"/>
              </w:rPr>
              <w:t>2/16/2022</w:t>
            </w: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tcPr>
          <w:p>
            <w:pPr>
              <w:jc w:val="right"/>
              <w:ind w:right="292"/>
              <w:spacing w:after="0"/>
              <w:rPr>
                <w:sz w:val="20"/>
                <w:szCs w:val="20"/>
                <w:color w:val="auto"/>
              </w:rPr>
            </w:pPr>
            <w:r>
              <w:rPr>
                <w:rFonts w:ascii="Calibri" w:cs="Calibri" w:eastAsia="Calibri" w:hAnsi="Calibri"/>
                <w:sz w:val="14"/>
                <w:szCs w:val="14"/>
                <w:color w:val="auto"/>
              </w:rPr>
              <w:t>15,840</w:t>
            </w:r>
          </w:p>
        </w:tc>
        <w:tc>
          <w:tcPr>
            <w:tcW w:w="1220" w:type="dxa"/>
            <w:vAlign w:val="bottom"/>
          </w:tcPr>
          <w:p>
            <w:pPr>
              <w:jc w:val="right"/>
              <w:spacing w:after="0"/>
              <w:rPr>
                <w:sz w:val="20"/>
                <w:szCs w:val="20"/>
                <w:color w:val="auto"/>
              </w:rPr>
            </w:pPr>
            <w:r>
              <w:rPr>
                <w:rFonts w:ascii="Calibri" w:cs="Calibri" w:eastAsia="Calibri" w:hAnsi="Calibri"/>
                <w:sz w:val="14"/>
                <w:szCs w:val="14"/>
                <w:color w:val="auto"/>
              </w:rPr>
              <w:t>488,664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ind w:right="71"/>
              <w:spacing w:after="0"/>
              <w:rPr>
                <w:sz w:val="20"/>
                <w:szCs w:val="20"/>
                <w:color w:val="auto"/>
              </w:rPr>
            </w:pPr>
            <w:r>
              <w:rPr>
                <w:rFonts w:ascii="Calibri" w:cs="Calibri" w:eastAsia="Calibri" w:hAnsi="Calibri"/>
                <w:sz w:val="14"/>
                <w:szCs w:val="14"/>
                <w:color w:val="auto"/>
              </w:rPr>
              <w:t>2/16/2022</w:t>
            </w: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tcPr>
          <w:p>
            <w:pPr>
              <w:jc w:val="right"/>
              <w:ind w:right="292"/>
              <w:spacing w:after="0"/>
              <w:rPr>
                <w:sz w:val="20"/>
                <w:szCs w:val="20"/>
                <w:color w:val="auto"/>
              </w:rPr>
            </w:pPr>
            <w:r>
              <w:rPr>
                <w:rFonts w:ascii="Calibri" w:cs="Calibri" w:eastAsia="Calibri" w:hAnsi="Calibri"/>
                <w:sz w:val="14"/>
                <w:szCs w:val="14"/>
                <w:color w:val="auto"/>
              </w:rPr>
              <w:t>23,760</w:t>
            </w:r>
          </w:p>
        </w:tc>
        <w:tc>
          <w:tcPr>
            <w:tcW w:w="1220" w:type="dxa"/>
            <w:vAlign w:val="bottom"/>
          </w:tcPr>
          <w:p>
            <w:pPr>
              <w:jc w:val="right"/>
              <w:spacing w:after="0"/>
              <w:rPr>
                <w:sz w:val="20"/>
                <w:szCs w:val="20"/>
                <w:color w:val="auto"/>
              </w:rPr>
            </w:pPr>
            <w:r>
              <w:rPr>
                <w:rFonts w:ascii="Calibri" w:cs="Calibri" w:eastAsia="Calibri" w:hAnsi="Calibri"/>
                <w:sz w:val="14"/>
                <w:szCs w:val="14"/>
                <w:color w:val="auto"/>
              </w:rPr>
              <w:t>732,996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ind w:right="71"/>
              <w:spacing w:after="0"/>
              <w:rPr>
                <w:sz w:val="20"/>
                <w:szCs w:val="20"/>
                <w:color w:val="auto"/>
              </w:rPr>
            </w:pPr>
            <w:r>
              <w:rPr>
                <w:rFonts w:ascii="Calibri" w:cs="Calibri" w:eastAsia="Calibri" w:hAnsi="Calibri"/>
                <w:sz w:val="14"/>
                <w:szCs w:val="14"/>
                <w:color w:val="auto"/>
              </w:rPr>
              <w:t>2/15/2023</w:t>
            </w: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tcPr>
          <w:p>
            <w:pPr>
              <w:jc w:val="right"/>
              <w:ind w:right="292"/>
              <w:spacing w:after="0"/>
              <w:rPr>
                <w:sz w:val="20"/>
                <w:szCs w:val="20"/>
                <w:color w:val="auto"/>
              </w:rPr>
            </w:pPr>
            <w:r>
              <w:rPr>
                <w:rFonts w:ascii="Calibri" w:cs="Calibri" w:eastAsia="Calibri" w:hAnsi="Calibri"/>
                <w:sz w:val="14"/>
                <w:szCs w:val="14"/>
                <w:color w:val="auto"/>
              </w:rPr>
              <w:t>7,755</w:t>
            </w:r>
          </w:p>
        </w:tc>
        <w:tc>
          <w:tcPr>
            <w:tcW w:w="1220" w:type="dxa"/>
            <w:vAlign w:val="bottom"/>
          </w:tcPr>
          <w:p>
            <w:pPr>
              <w:jc w:val="right"/>
              <w:spacing w:after="0"/>
              <w:rPr>
                <w:sz w:val="20"/>
                <w:szCs w:val="20"/>
                <w:color w:val="auto"/>
              </w:rPr>
            </w:pPr>
            <w:r>
              <w:rPr>
                <w:rFonts w:ascii="Calibri" w:cs="Calibri" w:eastAsia="Calibri" w:hAnsi="Calibri"/>
                <w:sz w:val="14"/>
                <w:szCs w:val="14"/>
                <w:color w:val="auto"/>
              </w:rPr>
              <w:t>239,242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ind w:right="71"/>
              <w:spacing w:after="0"/>
              <w:rPr>
                <w:sz w:val="20"/>
                <w:szCs w:val="20"/>
                <w:color w:val="auto"/>
              </w:rPr>
            </w:pPr>
            <w:r>
              <w:rPr>
                <w:rFonts w:ascii="Calibri" w:cs="Calibri" w:eastAsia="Calibri" w:hAnsi="Calibri"/>
                <w:sz w:val="14"/>
                <w:szCs w:val="14"/>
                <w:color w:val="auto"/>
              </w:rPr>
              <w:t>2/15/2023</w:t>
            </w: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tcPr>
          <w:p>
            <w:pPr>
              <w:jc w:val="right"/>
              <w:ind w:right="292"/>
              <w:spacing w:after="0"/>
              <w:rPr>
                <w:sz w:val="20"/>
                <w:szCs w:val="20"/>
                <w:color w:val="auto"/>
              </w:rPr>
            </w:pPr>
            <w:r>
              <w:rPr>
                <w:rFonts w:ascii="Calibri" w:cs="Calibri" w:eastAsia="Calibri" w:hAnsi="Calibri"/>
                <w:sz w:val="14"/>
                <w:szCs w:val="14"/>
                <w:color w:val="auto"/>
              </w:rPr>
              <w:t>11,625</w:t>
            </w:r>
          </w:p>
        </w:tc>
        <w:tc>
          <w:tcPr>
            <w:tcW w:w="1220" w:type="dxa"/>
            <w:vAlign w:val="bottom"/>
          </w:tcPr>
          <w:p>
            <w:pPr>
              <w:jc w:val="right"/>
              <w:spacing w:after="0"/>
              <w:rPr>
                <w:sz w:val="20"/>
                <w:szCs w:val="20"/>
                <w:color w:val="auto"/>
              </w:rPr>
            </w:pPr>
            <w:r>
              <w:rPr>
                <w:rFonts w:ascii="Calibri" w:cs="Calibri" w:eastAsia="Calibri" w:hAnsi="Calibri"/>
                <w:sz w:val="14"/>
                <w:szCs w:val="14"/>
                <w:color w:val="auto"/>
              </w:rPr>
              <w:t>358,631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jc w:val="right"/>
              <w:ind w:right="71"/>
              <w:spacing w:after="0"/>
              <w:rPr>
                <w:sz w:val="20"/>
                <w:szCs w:val="20"/>
                <w:color w:val="auto"/>
              </w:rPr>
            </w:pPr>
            <w:r>
              <w:rPr>
                <w:rFonts w:ascii="Calibri" w:cs="Calibri" w:eastAsia="Calibri" w:hAnsi="Calibri"/>
                <w:sz w:val="14"/>
                <w:szCs w:val="14"/>
                <w:color w:val="auto"/>
              </w:rPr>
              <w:t>3/31/2022</w:t>
            </w: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Calibri" w:cs="Calibri" w:eastAsia="Calibri" w:hAnsi="Calibri"/>
                <w:sz w:val="14"/>
                <w:szCs w:val="14"/>
                <w:color w:val="auto"/>
              </w:rPr>
              <w:t>15,060</w:t>
            </w:r>
            <w:r>
              <w:rPr>
                <w:rFonts w:ascii="Calibri" w:cs="Calibri" w:eastAsia="Calibri" w:hAnsi="Calibri"/>
                <w:sz w:val="20"/>
                <w:szCs w:val="20"/>
                <w:color w:val="auto"/>
                <w:vertAlign w:val="superscript"/>
              </w:rPr>
              <w:t>(3)</w:t>
            </w: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464,601</w:t>
            </w: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-24130</wp:posOffset>
            </wp:positionV>
            <wp:extent cx="67405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ind w:left="320" w:right="260" w:hanging="4"/>
        <w:spacing w:after="0" w:line="251" w:lineRule="auto"/>
        <w:tabs>
          <w:tab w:leader="none" w:pos="494" w:val="left"/>
        </w:tabs>
        <w:numPr>
          <w:ilvl w:val="0"/>
          <w:numId w:val="43"/>
        </w:numPr>
        <w:rPr>
          <w:rFonts w:ascii="Calibri" w:cs="Calibri" w:eastAsia="Calibri" w:hAnsi="Calibri"/>
          <w:sz w:val="13"/>
          <w:szCs w:val="13"/>
          <w:color w:val="auto"/>
        </w:rPr>
      </w:pPr>
      <w:r>
        <w:rPr>
          <w:rFonts w:ascii="Calibri" w:cs="Calibri" w:eastAsia="Calibri" w:hAnsi="Calibri"/>
          <w:sz w:val="13"/>
          <w:szCs w:val="13"/>
          <w:color w:val="auto"/>
        </w:rPr>
        <w:t>The stock opton awards in this table became or will become vested and exercisable as to 25% of the underlying grant on each of the frst four anniversaries of the grant date, generally subject to contnued employment through each applicable vestng date.</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43"/>
        </w:numPr>
        <w:rPr>
          <w:rFonts w:ascii="Calibri" w:cs="Calibri" w:eastAsia="Calibri" w:hAnsi="Calibri"/>
          <w:sz w:val="13"/>
          <w:szCs w:val="13"/>
          <w:color w:val="auto"/>
        </w:rPr>
      </w:pPr>
      <w:r>
        <w:rPr>
          <w:rFonts w:ascii="Calibri" w:cs="Calibri" w:eastAsia="Calibri" w:hAnsi="Calibri"/>
          <w:sz w:val="13"/>
          <w:szCs w:val="13"/>
          <w:color w:val="auto"/>
        </w:rPr>
        <w:t>The restricted stock units vest as to 25% of the underlying grant on each of the frst four anniversaries of the grant date.</w:t>
      </w:r>
    </w:p>
    <w:p>
      <w:pPr>
        <w:spacing w:after="0" w:line="13" w:lineRule="exact"/>
        <w:rPr>
          <w:rFonts w:ascii="Calibri" w:cs="Calibri" w:eastAsia="Calibri" w:hAnsi="Calibri"/>
          <w:sz w:val="13"/>
          <w:szCs w:val="13"/>
          <w:color w:val="auto"/>
        </w:rPr>
      </w:pPr>
    </w:p>
    <w:p>
      <w:pPr>
        <w:jc w:val="both"/>
        <w:ind w:left="320" w:right="80" w:hanging="4"/>
        <w:spacing w:after="0" w:line="253" w:lineRule="auto"/>
        <w:tabs>
          <w:tab w:leader="none" w:pos="494" w:val="left"/>
        </w:tabs>
        <w:numPr>
          <w:ilvl w:val="0"/>
          <w:numId w:val="43"/>
        </w:numPr>
        <w:rPr>
          <w:rFonts w:ascii="Calibri" w:cs="Calibri" w:eastAsia="Calibri" w:hAnsi="Calibri"/>
          <w:sz w:val="13"/>
          <w:szCs w:val="13"/>
          <w:color w:val="auto"/>
        </w:rPr>
      </w:pPr>
      <w:r>
        <w:rPr>
          <w:rFonts w:ascii="Calibri" w:cs="Calibri" w:eastAsia="Calibri" w:hAnsi="Calibri"/>
          <w:sz w:val="13"/>
          <w:szCs w:val="13"/>
          <w:color w:val="auto"/>
        </w:rPr>
        <w:t>We ofered NEOs (other than the CEO) the opportunity to partcipate in a Share Matching Program (“SMP”) in 2022. The SMP provided an opportunity for those NEOs to receive one restricted stock unit for every share of Company common stock acquired through the setlement of vested equity incentve awards or through open market purchases in the frst quarter of 2022 and subsequently held for a two-year period. The SMP restricted stock units vest as to 1/3 of the underlying grant on the second anniversary of the grant date and 2/3 on the third anniversary of the grant date.</w:t>
      </w:r>
    </w:p>
    <w:p>
      <w:pPr>
        <w:spacing w:after="0" w:line="2" w:lineRule="exact"/>
        <w:rPr>
          <w:rFonts w:ascii="Calibri" w:cs="Calibri" w:eastAsia="Calibri" w:hAnsi="Calibri"/>
          <w:sz w:val="13"/>
          <w:szCs w:val="13"/>
          <w:color w:val="auto"/>
        </w:rPr>
      </w:pPr>
    </w:p>
    <w:p>
      <w:pPr>
        <w:ind w:left="500" w:hanging="184"/>
        <w:spacing w:after="0"/>
        <w:tabs>
          <w:tab w:leader="none" w:pos="500" w:val="left"/>
        </w:tabs>
        <w:numPr>
          <w:ilvl w:val="0"/>
          <w:numId w:val="43"/>
        </w:numPr>
        <w:rPr>
          <w:rFonts w:ascii="Calibri" w:cs="Calibri" w:eastAsia="Calibri" w:hAnsi="Calibri"/>
          <w:sz w:val="13"/>
          <w:szCs w:val="13"/>
          <w:color w:val="auto"/>
        </w:rPr>
      </w:pPr>
      <w:r>
        <w:rPr>
          <w:rFonts w:ascii="Calibri" w:cs="Calibri" w:eastAsia="Calibri" w:hAnsi="Calibri"/>
          <w:sz w:val="13"/>
          <w:szCs w:val="13"/>
          <w:color w:val="auto"/>
        </w:rPr>
        <w:t>The restricted stock units granted in September 2021 vested as to 1/3 of the underlying grant on September 1, 2023, and the remaining 2/3 will vest on September 1, 2024.</w:t>
      </w:r>
    </w:p>
    <w:p>
      <w:pPr>
        <w:spacing w:after="0" w:line="13" w:lineRule="exact"/>
        <w:rPr>
          <w:rFonts w:ascii="Calibri" w:cs="Calibri" w:eastAsia="Calibri" w:hAnsi="Calibri"/>
          <w:sz w:val="13"/>
          <w:szCs w:val="13"/>
          <w:color w:val="auto"/>
        </w:rPr>
      </w:pPr>
    </w:p>
    <w:p>
      <w:pPr>
        <w:ind w:left="320" w:right="500" w:hanging="4"/>
        <w:spacing w:after="0" w:line="251" w:lineRule="auto"/>
        <w:tabs>
          <w:tab w:leader="none" w:pos="494" w:val="left"/>
        </w:tabs>
        <w:numPr>
          <w:ilvl w:val="0"/>
          <w:numId w:val="43"/>
        </w:numPr>
        <w:rPr>
          <w:rFonts w:ascii="Calibri" w:cs="Calibri" w:eastAsia="Calibri" w:hAnsi="Calibri"/>
          <w:sz w:val="13"/>
          <w:szCs w:val="13"/>
          <w:color w:val="auto"/>
        </w:rPr>
      </w:pPr>
      <w:r>
        <w:rPr>
          <w:rFonts w:ascii="Calibri" w:cs="Calibri" w:eastAsia="Calibri" w:hAnsi="Calibri"/>
          <w:sz w:val="13"/>
          <w:szCs w:val="13"/>
          <w:color w:val="auto"/>
        </w:rPr>
        <w:t>The Performance Restricted Stock Unit awards in this table vest and convert to shares, subject to performance, at the end of a three-year performance period, generally subject to contnued employment through such date. The vestng date for awards granted in 2022 is December 31, 2024 and for awards granted in 2023 is December 31, 2025.</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43"/>
        </w:numPr>
        <w:rPr>
          <w:rFonts w:ascii="Calibri" w:cs="Calibri" w:eastAsia="Calibri" w:hAnsi="Calibri"/>
          <w:sz w:val="13"/>
          <w:szCs w:val="13"/>
          <w:color w:val="auto"/>
        </w:rPr>
      </w:pPr>
      <w:r>
        <w:rPr>
          <w:rFonts w:ascii="Calibri" w:cs="Calibri" w:eastAsia="Calibri" w:hAnsi="Calibri"/>
          <w:sz w:val="13"/>
          <w:szCs w:val="13"/>
          <w:color w:val="auto"/>
        </w:rPr>
        <w:t>The price used in determining the market values set forth in this table is $30.85, which was the closing price of our stock on December 29, 2023.</w:t>
      </w:r>
    </w:p>
    <w:p>
      <w:pPr>
        <w:spacing w:after="0" w:line="13" w:lineRule="exact"/>
        <w:rPr>
          <w:rFonts w:ascii="Calibri" w:cs="Calibri" w:eastAsia="Calibri" w:hAnsi="Calibri"/>
          <w:sz w:val="13"/>
          <w:szCs w:val="13"/>
          <w:color w:val="auto"/>
        </w:rPr>
      </w:pPr>
    </w:p>
    <w:p>
      <w:pPr>
        <w:ind w:left="320" w:right="100" w:hanging="4"/>
        <w:spacing w:after="0" w:line="251" w:lineRule="auto"/>
        <w:tabs>
          <w:tab w:leader="none" w:pos="494" w:val="left"/>
        </w:tabs>
        <w:numPr>
          <w:ilvl w:val="0"/>
          <w:numId w:val="43"/>
        </w:numPr>
        <w:rPr>
          <w:rFonts w:ascii="Calibri" w:cs="Calibri" w:eastAsia="Calibri" w:hAnsi="Calibri"/>
          <w:sz w:val="13"/>
          <w:szCs w:val="13"/>
          <w:color w:val="auto"/>
        </w:rPr>
      </w:pPr>
      <w:r>
        <w:rPr>
          <w:rFonts w:ascii="Calibri" w:cs="Calibri" w:eastAsia="Calibri" w:hAnsi="Calibri"/>
          <w:sz w:val="13"/>
          <w:szCs w:val="13"/>
          <w:color w:val="auto"/>
        </w:rPr>
        <w:t>The amounts shown in this column refect target performance with the excepton of the 2022 Revenue-Linked PRSUs and the 2022 Relatve TSR-Linked PRSUs. Amounts shown in this column for the 2022 Revenue-Linked PRSUs and the 2022 Relatve TSR-Linked PRSUs refect maximum performance.</w:t>
      </w:r>
    </w:p>
    <w:p>
      <w:pPr>
        <w:spacing w:after="0" w:line="28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89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Opton exercises and stock vested during fscal year 2023</w:t>
      </w:r>
    </w:p>
    <w:p>
      <w:pPr>
        <w:spacing w:after="0" w:line="114"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The following table provides additonal informaton about the value realized by our named executve ofcers on opton award exercises and stock award vestng during fscal year 2023.</w:t>
      </w:r>
    </w:p>
    <w:p>
      <w:pPr>
        <w:spacing w:after="0" w:line="258" w:lineRule="exact"/>
        <w:rPr>
          <w:sz w:val="20"/>
          <w:szCs w:val="20"/>
          <w:color w:val="auto"/>
        </w:rPr>
      </w:pPr>
    </w:p>
    <w:tbl>
      <w:tblPr>
        <w:tblLayout w:type="fixed"/>
        <w:tblInd w:w="320" w:type="dxa"/>
        <w:tblCellMar>
          <w:top w:w="0" w:type="dxa"/>
          <w:left w:w="0" w:type="dxa"/>
          <w:bottom w:w="0" w:type="dxa"/>
          <w:right w:w="0" w:type="dxa"/>
        </w:tblCellMar>
      </w:tblPr>
      <w:tr>
        <w:trPr>
          <w:trHeight w:val="250"/>
        </w:trPr>
        <w:tc>
          <w:tcPr>
            <w:tcW w:w="2560" w:type="dxa"/>
            <w:vAlign w:val="bottom"/>
            <w:tcBorders>
              <w:right w:val="single" w:sz="8" w:color="FB4E0B"/>
            </w:tcBorders>
          </w:tcPr>
          <w:p>
            <w:pPr>
              <w:spacing w:after="0"/>
              <w:rPr>
                <w:sz w:val="21"/>
                <w:szCs w:val="21"/>
                <w:color w:val="auto"/>
              </w:rPr>
            </w:pPr>
          </w:p>
        </w:tc>
        <w:tc>
          <w:tcPr>
            <w:tcW w:w="4020" w:type="dxa"/>
            <w:vAlign w:val="bottom"/>
            <w:tcBorders>
              <w:right w:val="single" w:sz="8" w:color="FB4E0B"/>
            </w:tcBorders>
            <w:gridSpan w:val="2"/>
            <w:shd w:val="clear" w:color="auto" w:fill="FB4E0B"/>
          </w:tcPr>
          <w:p>
            <w:pPr>
              <w:ind w:left="1540"/>
              <w:spacing w:after="0"/>
              <w:rPr>
                <w:sz w:val="20"/>
                <w:szCs w:val="20"/>
                <w:color w:val="auto"/>
              </w:rPr>
            </w:pPr>
            <w:r>
              <w:rPr>
                <w:rFonts w:ascii="Calibri" w:cs="Calibri" w:eastAsia="Calibri" w:hAnsi="Calibri"/>
                <w:sz w:val="17"/>
                <w:szCs w:val="17"/>
                <w:b w:val="1"/>
                <w:bCs w:val="1"/>
                <w:color w:val="FFFFFF"/>
              </w:rPr>
              <w:t>Opton awards</w:t>
            </w:r>
          </w:p>
        </w:tc>
        <w:tc>
          <w:tcPr>
            <w:tcW w:w="4040" w:type="dxa"/>
            <w:vAlign w:val="bottom"/>
            <w:gridSpan w:val="2"/>
            <w:shd w:val="clear" w:color="auto" w:fill="FB4E0B"/>
          </w:tcPr>
          <w:p>
            <w:pPr>
              <w:ind w:left="1600"/>
              <w:spacing w:after="0"/>
              <w:rPr>
                <w:sz w:val="20"/>
                <w:szCs w:val="20"/>
                <w:color w:val="auto"/>
              </w:rPr>
            </w:pPr>
            <w:r>
              <w:rPr>
                <w:rFonts w:ascii="Calibri" w:cs="Calibri" w:eastAsia="Calibri" w:hAnsi="Calibri"/>
                <w:sz w:val="17"/>
                <w:szCs w:val="17"/>
                <w:b w:val="1"/>
                <w:bCs w:val="1"/>
                <w:color w:val="FFFFFF"/>
              </w:rPr>
              <w:t>Stock awards</w:t>
            </w:r>
          </w:p>
        </w:tc>
      </w:tr>
      <w:tr>
        <w:trPr>
          <w:trHeight w:val="88"/>
        </w:trPr>
        <w:tc>
          <w:tcPr>
            <w:tcW w:w="2560" w:type="dxa"/>
            <w:vAlign w:val="bottom"/>
            <w:tcBorders>
              <w:right w:val="single" w:sz="8" w:color="FB4E0B"/>
            </w:tcBorders>
          </w:tcPr>
          <w:p>
            <w:pPr>
              <w:spacing w:after="0"/>
              <w:rPr>
                <w:sz w:val="7"/>
                <w:szCs w:val="7"/>
                <w:color w:val="auto"/>
              </w:rPr>
            </w:pPr>
          </w:p>
        </w:tc>
        <w:tc>
          <w:tcPr>
            <w:tcW w:w="2000" w:type="dxa"/>
            <w:vAlign w:val="bottom"/>
            <w:tcBorders>
              <w:right w:val="single" w:sz="8" w:color="FB4E0B"/>
            </w:tcBorders>
            <w:shd w:val="clear" w:color="auto" w:fill="FB4E0B"/>
          </w:tcPr>
          <w:p>
            <w:pPr>
              <w:spacing w:after="0"/>
              <w:rPr>
                <w:sz w:val="7"/>
                <w:szCs w:val="7"/>
                <w:color w:val="auto"/>
              </w:rPr>
            </w:pPr>
          </w:p>
        </w:tc>
        <w:tc>
          <w:tcPr>
            <w:tcW w:w="2020" w:type="dxa"/>
            <w:vAlign w:val="bottom"/>
            <w:tcBorders>
              <w:right w:val="single" w:sz="8" w:color="FB4E0B"/>
            </w:tcBorders>
            <w:shd w:val="clear" w:color="auto" w:fill="FB4E0B"/>
          </w:tcPr>
          <w:p>
            <w:pPr>
              <w:spacing w:after="0"/>
              <w:rPr>
                <w:sz w:val="7"/>
                <w:szCs w:val="7"/>
                <w:color w:val="auto"/>
              </w:rPr>
            </w:pPr>
          </w:p>
        </w:tc>
        <w:tc>
          <w:tcPr>
            <w:tcW w:w="2020" w:type="dxa"/>
            <w:vAlign w:val="bottom"/>
            <w:tcBorders>
              <w:right w:val="single" w:sz="8" w:color="FB4E0B"/>
            </w:tcBorders>
            <w:shd w:val="clear" w:color="auto" w:fill="FB4E0B"/>
          </w:tcPr>
          <w:p>
            <w:pPr>
              <w:spacing w:after="0"/>
              <w:rPr>
                <w:sz w:val="7"/>
                <w:szCs w:val="7"/>
                <w:color w:val="auto"/>
              </w:rPr>
            </w:pPr>
          </w:p>
        </w:tc>
        <w:tc>
          <w:tcPr>
            <w:tcW w:w="2020" w:type="dxa"/>
            <w:vAlign w:val="bottom"/>
            <w:shd w:val="clear" w:color="auto" w:fill="FB4E0B"/>
          </w:tcPr>
          <w:p>
            <w:pPr>
              <w:spacing w:after="0"/>
              <w:rPr>
                <w:sz w:val="7"/>
                <w:szCs w:val="7"/>
                <w:color w:val="auto"/>
              </w:rPr>
            </w:pPr>
          </w:p>
        </w:tc>
      </w:tr>
      <w:tr>
        <w:trPr>
          <w:trHeight w:val="252"/>
        </w:trPr>
        <w:tc>
          <w:tcPr>
            <w:tcW w:w="256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Number of shares</w:t>
            </w:r>
          </w:p>
        </w:tc>
        <w:tc>
          <w:tcPr>
            <w:tcW w:w="2020" w:type="dxa"/>
            <w:vAlign w:val="bottom"/>
          </w:tcPr>
          <w:p>
            <w:pPr>
              <w:jc w:val="center"/>
              <w:ind w:left="13"/>
              <w:spacing w:after="0"/>
              <w:rPr>
                <w:sz w:val="20"/>
                <w:szCs w:val="20"/>
                <w:color w:val="auto"/>
              </w:rPr>
            </w:pPr>
            <w:r>
              <w:rPr>
                <w:rFonts w:ascii="Calibri" w:cs="Calibri" w:eastAsia="Calibri" w:hAnsi="Calibri"/>
                <w:sz w:val="17"/>
                <w:szCs w:val="17"/>
                <w:b w:val="1"/>
                <w:bCs w:val="1"/>
                <w:color w:val="FB4E0B"/>
                <w:w w:val="98"/>
              </w:rPr>
              <w:t>Value realized on</w:t>
            </w:r>
          </w:p>
        </w:tc>
        <w:tc>
          <w:tcPr>
            <w:tcW w:w="2020" w:type="dxa"/>
            <w:vAlign w:val="bottom"/>
          </w:tcPr>
          <w:p>
            <w:pPr>
              <w:jc w:val="center"/>
              <w:spacing w:after="0"/>
              <w:rPr>
                <w:sz w:val="20"/>
                <w:szCs w:val="20"/>
                <w:color w:val="auto"/>
              </w:rPr>
            </w:pPr>
            <w:r>
              <w:rPr>
                <w:rFonts w:ascii="Calibri" w:cs="Calibri" w:eastAsia="Calibri" w:hAnsi="Calibri"/>
                <w:sz w:val="17"/>
                <w:szCs w:val="17"/>
                <w:b w:val="1"/>
                <w:bCs w:val="1"/>
                <w:color w:val="FB4E0B"/>
              </w:rPr>
              <w:t>Number of shares</w:t>
            </w:r>
          </w:p>
        </w:tc>
        <w:tc>
          <w:tcPr>
            <w:tcW w:w="2020" w:type="dxa"/>
            <w:vAlign w:val="bottom"/>
          </w:tcPr>
          <w:p>
            <w:pPr>
              <w:jc w:val="center"/>
              <w:ind w:left="13"/>
              <w:spacing w:after="0"/>
              <w:rPr>
                <w:sz w:val="20"/>
                <w:szCs w:val="20"/>
                <w:color w:val="auto"/>
              </w:rPr>
            </w:pPr>
            <w:r>
              <w:rPr>
                <w:rFonts w:ascii="Calibri" w:cs="Calibri" w:eastAsia="Calibri" w:hAnsi="Calibri"/>
                <w:sz w:val="17"/>
                <w:szCs w:val="17"/>
                <w:b w:val="1"/>
                <w:bCs w:val="1"/>
                <w:color w:val="FB4E0B"/>
                <w:w w:val="98"/>
              </w:rPr>
              <w:t>Value realized on</w:t>
            </w:r>
          </w:p>
        </w:tc>
      </w:tr>
      <w:tr>
        <w:trPr>
          <w:trHeight w:val="208"/>
        </w:trPr>
        <w:tc>
          <w:tcPr>
            <w:tcW w:w="25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Calibri" w:cs="Calibri" w:eastAsia="Calibri" w:hAnsi="Calibri"/>
                <w:sz w:val="17"/>
                <w:szCs w:val="17"/>
                <w:b w:val="1"/>
                <w:bCs w:val="1"/>
                <w:color w:val="FB4E0B"/>
              </w:rPr>
              <w:t>acquired on</w:t>
            </w:r>
          </w:p>
        </w:tc>
        <w:tc>
          <w:tcPr>
            <w:tcW w:w="2020" w:type="dxa"/>
            <w:vAlign w:val="bottom"/>
          </w:tcPr>
          <w:p>
            <w:pPr>
              <w:jc w:val="center"/>
              <w:ind w:left="13"/>
              <w:spacing w:after="0" w:line="206" w:lineRule="exact"/>
              <w:rPr>
                <w:sz w:val="20"/>
                <w:szCs w:val="20"/>
                <w:color w:val="auto"/>
              </w:rPr>
            </w:pPr>
            <w:r>
              <w:rPr>
                <w:rFonts w:ascii="Calibri" w:cs="Calibri" w:eastAsia="Calibri" w:hAnsi="Calibri"/>
                <w:sz w:val="17"/>
                <w:szCs w:val="17"/>
                <w:b w:val="1"/>
                <w:bCs w:val="1"/>
                <w:color w:val="FB4E0B"/>
                <w:w w:val="97"/>
              </w:rPr>
              <w:t>exercise</w:t>
            </w:r>
          </w:p>
        </w:tc>
        <w:tc>
          <w:tcPr>
            <w:tcW w:w="2020" w:type="dxa"/>
            <w:vAlign w:val="bottom"/>
          </w:tcPr>
          <w:p>
            <w:pPr>
              <w:jc w:val="center"/>
              <w:ind w:left="13"/>
              <w:spacing w:after="0"/>
              <w:rPr>
                <w:sz w:val="20"/>
                <w:szCs w:val="20"/>
                <w:color w:val="auto"/>
              </w:rPr>
            </w:pPr>
            <w:r>
              <w:rPr>
                <w:rFonts w:ascii="Calibri" w:cs="Calibri" w:eastAsia="Calibri" w:hAnsi="Calibri"/>
                <w:sz w:val="17"/>
                <w:szCs w:val="17"/>
                <w:b w:val="1"/>
                <w:bCs w:val="1"/>
                <w:color w:val="FB4E0B"/>
              </w:rPr>
              <w:t>acquired on</w:t>
            </w:r>
          </w:p>
        </w:tc>
        <w:tc>
          <w:tcPr>
            <w:tcW w:w="2020" w:type="dxa"/>
            <w:vAlign w:val="bottom"/>
          </w:tcPr>
          <w:p>
            <w:pPr>
              <w:jc w:val="center"/>
              <w:ind w:left="33"/>
              <w:spacing w:after="0" w:line="206" w:lineRule="exact"/>
              <w:rPr>
                <w:sz w:val="20"/>
                <w:szCs w:val="20"/>
                <w:color w:val="auto"/>
              </w:rPr>
            </w:pPr>
            <w:r>
              <w:rPr>
                <w:rFonts w:ascii="Calibri" w:cs="Calibri" w:eastAsia="Calibri" w:hAnsi="Calibri"/>
                <w:sz w:val="17"/>
                <w:szCs w:val="17"/>
                <w:b w:val="1"/>
                <w:bCs w:val="1"/>
                <w:color w:val="FB4E0B"/>
              </w:rPr>
              <w:t>vestng</w:t>
            </w:r>
          </w:p>
        </w:tc>
      </w:tr>
      <w:tr>
        <w:trPr>
          <w:trHeight w:val="219"/>
        </w:trPr>
        <w:tc>
          <w:tcPr>
            <w:tcW w:w="2560" w:type="dxa"/>
            <w:vAlign w:val="bottom"/>
          </w:tcPr>
          <w:p>
            <w:pPr>
              <w:spacing w:after="0"/>
              <w:rPr>
                <w:sz w:val="20"/>
                <w:szCs w:val="20"/>
                <w:color w:val="auto"/>
              </w:rPr>
            </w:pPr>
            <w:r>
              <w:rPr>
                <w:rFonts w:ascii="Calibri" w:cs="Calibri" w:eastAsia="Calibri" w:hAnsi="Calibri"/>
                <w:sz w:val="17"/>
                <w:szCs w:val="17"/>
                <w:b w:val="1"/>
                <w:bCs w:val="1"/>
                <w:color w:val="FB4E0B"/>
              </w:rPr>
              <w:t> Name</w:t>
            </w:r>
          </w:p>
        </w:tc>
        <w:tc>
          <w:tcPr>
            <w:tcW w:w="2000" w:type="dxa"/>
            <w:vAlign w:val="bottom"/>
          </w:tcPr>
          <w:p>
            <w:pPr>
              <w:jc w:val="center"/>
              <w:spacing w:after="0"/>
              <w:rPr>
                <w:sz w:val="20"/>
                <w:szCs w:val="20"/>
                <w:color w:val="auto"/>
              </w:rPr>
            </w:pPr>
            <w:r>
              <w:rPr>
                <w:rFonts w:ascii="Calibri" w:cs="Calibri" w:eastAsia="Calibri" w:hAnsi="Calibri"/>
                <w:sz w:val="17"/>
                <w:szCs w:val="17"/>
                <w:b w:val="1"/>
                <w:bCs w:val="1"/>
                <w:color w:val="FB4E0B"/>
                <w:w w:val="97"/>
              </w:rPr>
              <w:t>exercise</w:t>
            </w:r>
          </w:p>
        </w:tc>
        <w:tc>
          <w:tcPr>
            <w:tcW w:w="2020" w:type="dxa"/>
            <w:vAlign w:val="bottom"/>
          </w:tcPr>
          <w:p>
            <w:pPr>
              <w:jc w:val="center"/>
              <w:ind w:left="13"/>
              <w:spacing w:after="0" w:line="206" w:lineRule="exact"/>
              <w:rPr>
                <w:sz w:val="20"/>
                <w:szCs w:val="20"/>
                <w:color w:val="auto"/>
              </w:rPr>
            </w:pPr>
            <w:r>
              <w:rPr>
                <w:rFonts w:ascii="Calibri" w:cs="Calibri" w:eastAsia="Calibri" w:hAnsi="Calibri"/>
                <w:sz w:val="17"/>
                <w:szCs w:val="17"/>
                <w:b w:val="1"/>
                <w:bCs w:val="1"/>
                <w:color w:val="FB4E0B"/>
              </w:rPr>
              <w:t>($)</w:t>
            </w:r>
          </w:p>
        </w:tc>
        <w:tc>
          <w:tcPr>
            <w:tcW w:w="2020" w:type="dxa"/>
            <w:vAlign w:val="bottom"/>
          </w:tcPr>
          <w:p>
            <w:pPr>
              <w:jc w:val="center"/>
              <w:spacing w:after="0"/>
              <w:rPr>
                <w:sz w:val="20"/>
                <w:szCs w:val="20"/>
                <w:color w:val="auto"/>
              </w:rPr>
            </w:pPr>
            <w:r>
              <w:rPr>
                <w:rFonts w:ascii="Calibri" w:cs="Calibri" w:eastAsia="Calibri" w:hAnsi="Calibri"/>
                <w:sz w:val="17"/>
                <w:szCs w:val="17"/>
                <w:b w:val="1"/>
                <w:bCs w:val="1"/>
                <w:color w:val="FB4E0B"/>
              </w:rPr>
              <w:t>vestng</w:t>
            </w:r>
          </w:p>
        </w:tc>
        <w:tc>
          <w:tcPr>
            <w:tcW w:w="2020" w:type="dxa"/>
            <w:vAlign w:val="bottom"/>
          </w:tcPr>
          <w:p>
            <w:pPr>
              <w:jc w:val="center"/>
              <w:ind w:left="13"/>
              <w:spacing w:after="0" w:line="206" w:lineRule="exact"/>
              <w:rPr>
                <w:sz w:val="20"/>
                <w:szCs w:val="20"/>
                <w:color w:val="auto"/>
              </w:rPr>
            </w:pPr>
            <w:r>
              <w:rPr>
                <w:rFonts w:ascii="Calibri" w:cs="Calibri" w:eastAsia="Calibri" w:hAnsi="Calibri"/>
                <w:sz w:val="17"/>
                <w:szCs w:val="17"/>
                <w:b w:val="1"/>
                <w:bCs w:val="1"/>
                <w:color w:val="FB4E0B"/>
              </w:rPr>
              <w:t>($)</w:t>
            </w:r>
          </w:p>
        </w:tc>
      </w:tr>
      <w:tr>
        <w:trPr>
          <w:trHeight w:val="42"/>
        </w:trPr>
        <w:tc>
          <w:tcPr>
            <w:tcW w:w="2560" w:type="dxa"/>
            <w:vAlign w:val="bottom"/>
            <w:tcBorders>
              <w:bottom w:val="single" w:sz="8" w:color="FB4E0B"/>
            </w:tcBorders>
          </w:tcPr>
          <w:p>
            <w:pPr>
              <w:spacing w:after="0"/>
              <w:rPr>
                <w:sz w:val="3"/>
                <w:szCs w:val="3"/>
                <w:color w:val="auto"/>
              </w:rPr>
            </w:pPr>
          </w:p>
        </w:tc>
        <w:tc>
          <w:tcPr>
            <w:tcW w:w="2000" w:type="dxa"/>
            <w:vAlign w:val="bottom"/>
            <w:tcBorders>
              <w:bottom w:val="single" w:sz="8" w:color="FB4E0B"/>
            </w:tcBorders>
          </w:tcPr>
          <w:p>
            <w:pPr>
              <w:spacing w:after="0"/>
              <w:rPr>
                <w:sz w:val="3"/>
                <w:szCs w:val="3"/>
                <w:color w:val="auto"/>
              </w:rPr>
            </w:pPr>
          </w:p>
        </w:tc>
        <w:tc>
          <w:tcPr>
            <w:tcW w:w="2020" w:type="dxa"/>
            <w:vAlign w:val="bottom"/>
            <w:tcBorders>
              <w:bottom w:val="single" w:sz="8" w:color="FB4E0B"/>
            </w:tcBorders>
          </w:tcPr>
          <w:p>
            <w:pPr>
              <w:spacing w:after="0"/>
              <w:rPr>
                <w:sz w:val="3"/>
                <w:szCs w:val="3"/>
                <w:color w:val="auto"/>
              </w:rPr>
            </w:pPr>
          </w:p>
        </w:tc>
        <w:tc>
          <w:tcPr>
            <w:tcW w:w="2020" w:type="dxa"/>
            <w:vAlign w:val="bottom"/>
            <w:tcBorders>
              <w:bottom w:val="single" w:sz="8" w:color="FB4E0B"/>
            </w:tcBorders>
          </w:tcPr>
          <w:p>
            <w:pPr>
              <w:spacing w:after="0"/>
              <w:rPr>
                <w:sz w:val="3"/>
                <w:szCs w:val="3"/>
                <w:color w:val="auto"/>
              </w:rPr>
            </w:pPr>
          </w:p>
        </w:tc>
        <w:tc>
          <w:tcPr>
            <w:tcW w:w="2020" w:type="dxa"/>
            <w:vAlign w:val="bottom"/>
            <w:tcBorders>
              <w:bottom w:val="single" w:sz="8" w:color="FB4E0B"/>
            </w:tcBorders>
          </w:tcPr>
          <w:p>
            <w:pPr>
              <w:spacing w:after="0"/>
              <w:rPr>
                <w:sz w:val="3"/>
                <w:szCs w:val="3"/>
                <w:color w:val="auto"/>
              </w:rPr>
            </w:pPr>
          </w:p>
        </w:tc>
      </w:tr>
      <w:tr>
        <w:trPr>
          <w:trHeight w:val="237"/>
        </w:trPr>
        <w:tc>
          <w:tcPr>
            <w:tcW w:w="256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Rohit Kapoor</w:t>
            </w:r>
          </w:p>
        </w:tc>
        <w:tc>
          <w:tcPr>
            <w:tcW w:w="20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w:t>
            </w:r>
          </w:p>
        </w:tc>
        <w:tc>
          <w:tcPr>
            <w:tcW w:w="2020" w:type="dxa"/>
            <w:vAlign w:val="bottom"/>
            <w:tcBorders>
              <w:right w:val="single" w:sz="8" w:color="auto"/>
            </w:tcBorders>
          </w:tcPr>
          <w:p>
            <w:pPr>
              <w:jc w:val="center"/>
              <w:ind w:left="13"/>
              <w:spacing w:after="0"/>
              <w:rPr>
                <w:sz w:val="20"/>
                <w:szCs w:val="20"/>
                <w:color w:val="auto"/>
              </w:rPr>
            </w:pPr>
            <w:r>
              <w:rPr>
                <w:rFonts w:ascii="Calibri" w:cs="Calibri" w:eastAsia="Calibri" w:hAnsi="Calibri"/>
                <w:sz w:val="17"/>
                <w:szCs w:val="17"/>
                <w:color w:val="auto"/>
              </w:rPr>
              <w:t>—</w:t>
            </w:r>
          </w:p>
        </w:tc>
        <w:tc>
          <w:tcPr>
            <w:tcW w:w="2020" w:type="dxa"/>
            <w:vAlign w:val="bottom"/>
            <w:tcBorders>
              <w:right w:val="single" w:sz="8" w:color="auto"/>
            </w:tcBorders>
          </w:tcPr>
          <w:p>
            <w:pPr>
              <w:jc w:val="center"/>
              <w:ind w:left="13"/>
              <w:spacing w:after="0"/>
              <w:rPr>
                <w:sz w:val="20"/>
                <w:szCs w:val="20"/>
                <w:color w:val="auto"/>
              </w:rPr>
            </w:pPr>
            <w:r>
              <w:rPr>
                <w:rFonts w:ascii="Calibri" w:cs="Calibri" w:eastAsia="Calibri" w:hAnsi="Calibri"/>
                <w:sz w:val="17"/>
                <w:szCs w:val="17"/>
                <w:color w:val="auto"/>
                <w:w w:val="99"/>
              </w:rPr>
              <w:t>495,245</w:t>
            </w:r>
          </w:p>
        </w:tc>
        <w:tc>
          <w:tcPr>
            <w:tcW w:w="2020" w:type="dxa"/>
            <w:vAlign w:val="bottom"/>
          </w:tcPr>
          <w:p>
            <w:pPr>
              <w:jc w:val="center"/>
              <w:ind w:left="13"/>
              <w:spacing w:after="0"/>
              <w:rPr>
                <w:sz w:val="20"/>
                <w:szCs w:val="20"/>
                <w:color w:val="auto"/>
              </w:rPr>
            </w:pPr>
            <w:r>
              <w:rPr>
                <w:rFonts w:ascii="Calibri" w:cs="Calibri" w:eastAsia="Calibri" w:hAnsi="Calibri"/>
                <w:sz w:val="17"/>
                <w:szCs w:val="17"/>
                <w:color w:val="auto"/>
                <w:w w:val="98"/>
              </w:rPr>
              <w:t>16,257,963</w:t>
            </w:r>
          </w:p>
        </w:tc>
      </w:tr>
      <w:tr>
        <w:trPr>
          <w:trHeight w:val="88"/>
        </w:trPr>
        <w:tc>
          <w:tcPr>
            <w:tcW w:w="256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r>
      <w:tr>
        <w:trPr>
          <w:trHeight w:val="230"/>
        </w:trPr>
        <w:tc>
          <w:tcPr>
            <w:tcW w:w="256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Maurizio Nicolelli</w:t>
            </w:r>
          </w:p>
        </w:tc>
        <w:tc>
          <w:tcPr>
            <w:tcW w:w="20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w:t>
            </w:r>
          </w:p>
        </w:tc>
        <w:tc>
          <w:tcPr>
            <w:tcW w:w="2020" w:type="dxa"/>
            <w:vAlign w:val="bottom"/>
            <w:tcBorders>
              <w:right w:val="single" w:sz="8" w:color="auto"/>
            </w:tcBorders>
          </w:tcPr>
          <w:p>
            <w:pPr>
              <w:jc w:val="center"/>
              <w:ind w:left="13"/>
              <w:spacing w:after="0"/>
              <w:rPr>
                <w:sz w:val="20"/>
                <w:szCs w:val="20"/>
                <w:color w:val="auto"/>
              </w:rPr>
            </w:pPr>
            <w:r>
              <w:rPr>
                <w:rFonts w:ascii="Calibri" w:cs="Calibri" w:eastAsia="Calibri" w:hAnsi="Calibri"/>
                <w:sz w:val="17"/>
                <w:szCs w:val="17"/>
                <w:color w:val="auto"/>
              </w:rPr>
              <w:t>—</w:t>
            </w:r>
          </w:p>
        </w:tc>
        <w:tc>
          <w:tcPr>
            <w:tcW w:w="2020" w:type="dxa"/>
            <w:vAlign w:val="bottom"/>
            <w:tcBorders>
              <w:right w:val="single" w:sz="8" w:color="auto"/>
            </w:tcBorders>
          </w:tcPr>
          <w:p>
            <w:pPr>
              <w:jc w:val="center"/>
              <w:ind w:left="13"/>
              <w:spacing w:after="0"/>
              <w:rPr>
                <w:sz w:val="20"/>
                <w:szCs w:val="20"/>
                <w:color w:val="auto"/>
              </w:rPr>
            </w:pPr>
            <w:r>
              <w:rPr>
                <w:rFonts w:ascii="Calibri" w:cs="Calibri" w:eastAsia="Calibri" w:hAnsi="Calibri"/>
                <w:sz w:val="17"/>
                <w:szCs w:val="17"/>
                <w:color w:val="auto"/>
                <w:w w:val="99"/>
              </w:rPr>
              <w:t>109,060</w:t>
            </w:r>
          </w:p>
        </w:tc>
        <w:tc>
          <w:tcPr>
            <w:tcW w:w="2020" w:type="dxa"/>
            <w:vAlign w:val="bottom"/>
          </w:tcPr>
          <w:p>
            <w:pPr>
              <w:jc w:val="center"/>
              <w:ind w:left="13"/>
              <w:spacing w:after="0"/>
              <w:rPr>
                <w:sz w:val="20"/>
                <w:szCs w:val="20"/>
                <w:color w:val="auto"/>
              </w:rPr>
            </w:pPr>
            <w:r>
              <w:rPr>
                <w:rFonts w:ascii="Calibri" w:cs="Calibri" w:eastAsia="Calibri" w:hAnsi="Calibri"/>
                <w:sz w:val="17"/>
                <w:szCs w:val="17"/>
                <w:color w:val="auto"/>
                <w:w w:val="92"/>
              </w:rPr>
              <w:t>  3,533,355</w:t>
            </w:r>
          </w:p>
        </w:tc>
      </w:tr>
      <w:tr>
        <w:trPr>
          <w:trHeight w:val="88"/>
        </w:trPr>
        <w:tc>
          <w:tcPr>
            <w:tcW w:w="256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r>
      <w:tr>
        <w:trPr>
          <w:trHeight w:val="230"/>
        </w:trPr>
        <w:tc>
          <w:tcPr>
            <w:tcW w:w="256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Vikas Bhalla</w:t>
            </w:r>
          </w:p>
        </w:tc>
        <w:tc>
          <w:tcPr>
            <w:tcW w:w="20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w:t>
            </w:r>
          </w:p>
        </w:tc>
        <w:tc>
          <w:tcPr>
            <w:tcW w:w="2020" w:type="dxa"/>
            <w:vAlign w:val="bottom"/>
            <w:tcBorders>
              <w:right w:val="single" w:sz="8" w:color="auto"/>
            </w:tcBorders>
          </w:tcPr>
          <w:p>
            <w:pPr>
              <w:jc w:val="center"/>
              <w:ind w:left="13"/>
              <w:spacing w:after="0"/>
              <w:rPr>
                <w:sz w:val="20"/>
                <w:szCs w:val="20"/>
                <w:color w:val="auto"/>
              </w:rPr>
            </w:pPr>
            <w:r>
              <w:rPr>
                <w:rFonts w:ascii="Calibri" w:cs="Calibri" w:eastAsia="Calibri" w:hAnsi="Calibri"/>
                <w:sz w:val="17"/>
                <w:szCs w:val="17"/>
                <w:color w:val="auto"/>
              </w:rPr>
              <w:t>—</w:t>
            </w:r>
          </w:p>
        </w:tc>
        <w:tc>
          <w:tcPr>
            <w:tcW w:w="2020" w:type="dxa"/>
            <w:vAlign w:val="bottom"/>
            <w:tcBorders>
              <w:right w:val="single" w:sz="8" w:color="auto"/>
            </w:tcBorders>
          </w:tcPr>
          <w:p>
            <w:pPr>
              <w:jc w:val="center"/>
              <w:ind w:left="13"/>
              <w:spacing w:after="0"/>
              <w:rPr>
                <w:sz w:val="20"/>
                <w:szCs w:val="20"/>
                <w:color w:val="auto"/>
              </w:rPr>
            </w:pPr>
            <w:r>
              <w:rPr>
                <w:rFonts w:ascii="Calibri" w:cs="Calibri" w:eastAsia="Calibri" w:hAnsi="Calibri"/>
                <w:sz w:val="17"/>
                <w:szCs w:val="17"/>
                <w:color w:val="auto"/>
                <w:w w:val="99"/>
              </w:rPr>
              <w:t>127,220</w:t>
            </w:r>
          </w:p>
        </w:tc>
        <w:tc>
          <w:tcPr>
            <w:tcW w:w="2020" w:type="dxa"/>
            <w:vAlign w:val="bottom"/>
          </w:tcPr>
          <w:p>
            <w:pPr>
              <w:jc w:val="center"/>
              <w:ind w:left="13"/>
              <w:spacing w:after="0"/>
              <w:rPr>
                <w:sz w:val="20"/>
                <w:szCs w:val="20"/>
                <w:color w:val="auto"/>
              </w:rPr>
            </w:pPr>
            <w:r>
              <w:rPr>
                <w:rFonts w:ascii="Calibri" w:cs="Calibri" w:eastAsia="Calibri" w:hAnsi="Calibri"/>
                <w:sz w:val="17"/>
                <w:szCs w:val="17"/>
                <w:color w:val="auto"/>
                <w:w w:val="92"/>
              </w:rPr>
              <w:t>  4,108,477</w:t>
            </w:r>
          </w:p>
        </w:tc>
      </w:tr>
      <w:tr>
        <w:trPr>
          <w:trHeight w:val="88"/>
        </w:trPr>
        <w:tc>
          <w:tcPr>
            <w:tcW w:w="256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r>
      <w:tr>
        <w:trPr>
          <w:trHeight w:val="230"/>
        </w:trPr>
        <w:tc>
          <w:tcPr>
            <w:tcW w:w="256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Vivek Jetley</w:t>
            </w:r>
          </w:p>
        </w:tc>
        <w:tc>
          <w:tcPr>
            <w:tcW w:w="20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w:t>
            </w:r>
          </w:p>
        </w:tc>
        <w:tc>
          <w:tcPr>
            <w:tcW w:w="2020" w:type="dxa"/>
            <w:vAlign w:val="bottom"/>
            <w:tcBorders>
              <w:right w:val="single" w:sz="8" w:color="auto"/>
            </w:tcBorders>
          </w:tcPr>
          <w:p>
            <w:pPr>
              <w:jc w:val="center"/>
              <w:ind w:left="13"/>
              <w:spacing w:after="0"/>
              <w:rPr>
                <w:sz w:val="20"/>
                <w:szCs w:val="20"/>
                <w:color w:val="auto"/>
              </w:rPr>
            </w:pPr>
            <w:r>
              <w:rPr>
                <w:rFonts w:ascii="Calibri" w:cs="Calibri" w:eastAsia="Calibri" w:hAnsi="Calibri"/>
                <w:sz w:val="17"/>
                <w:szCs w:val="17"/>
                <w:color w:val="auto"/>
              </w:rPr>
              <w:t>—</w:t>
            </w:r>
          </w:p>
        </w:tc>
        <w:tc>
          <w:tcPr>
            <w:tcW w:w="2020" w:type="dxa"/>
            <w:vAlign w:val="bottom"/>
            <w:tcBorders>
              <w:right w:val="single" w:sz="8" w:color="auto"/>
            </w:tcBorders>
          </w:tcPr>
          <w:p>
            <w:pPr>
              <w:jc w:val="center"/>
              <w:ind w:left="13"/>
              <w:spacing w:after="0"/>
              <w:rPr>
                <w:sz w:val="20"/>
                <w:szCs w:val="20"/>
                <w:color w:val="auto"/>
              </w:rPr>
            </w:pPr>
            <w:r>
              <w:rPr>
                <w:rFonts w:ascii="Calibri" w:cs="Calibri" w:eastAsia="Calibri" w:hAnsi="Calibri"/>
                <w:sz w:val="17"/>
                <w:szCs w:val="17"/>
                <w:color w:val="auto"/>
                <w:w w:val="99"/>
              </w:rPr>
              <w:t>101,410</w:t>
            </w:r>
          </w:p>
        </w:tc>
        <w:tc>
          <w:tcPr>
            <w:tcW w:w="2020" w:type="dxa"/>
            <w:vAlign w:val="bottom"/>
          </w:tcPr>
          <w:p>
            <w:pPr>
              <w:jc w:val="center"/>
              <w:ind w:left="13"/>
              <w:spacing w:after="0"/>
              <w:rPr>
                <w:sz w:val="20"/>
                <w:szCs w:val="20"/>
                <w:color w:val="auto"/>
              </w:rPr>
            </w:pPr>
            <w:r>
              <w:rPr>
                <w:rFonts w:ascii="Calibri" w:cs="Calibri" w:eastAsia="Calibri" w:hAnsi="Calibri"/>
                <w:sz w:val="17"/>
                <w:szCs w:val="17"/>
                <w:color w:val="auto"/>
                <w:w w:val="92"/>
              </w:rPr>
              <w:t>  3,253,190</w:t>
            </w:r>
          </w:p>
        </w:tc>
      </w:tr>
      <w:tr>
        <w:trPr>
          <w:trHeight w:val="88"/>
        </w:trPr>
        <w:tc>
          <w:tcPr>
            <w:tcW w:w="256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r>
      <w:tr>
        <w:trPr>
          <w:trHeight w:val="230"/>
        </w:trPr>
        <w:tc>
          <w:tcPr>
            <w:tcW w:w="256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Anita Mahon</w:t>
            </w:r>
          </w:p>
        </w:tc>
        <w:tc>
          <w:tcPr>
            <w:tcW w:w="20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w:t>
            </w:r>
          </w:p>
        </w:tc>
        <w:tc>
          <w:tcPr>
            <w:tcW w:w="2020" w:type="dxa"/>
            <w:vAlign w:val="bottom"/>
            <w:tcBorders>
              <w:right w:val="single" w:sz="8" w:color="auto"/>
            </w:tcBorders>
          </w:tcPr>
          <w:p>
            <w:pPr>
              <w:jc w:val="center"/>
              <w:ind w:left="13"/>
              <w:spacing w:after="0"/>
              <w:rPr>
                <w:sz w:val="20"/>
                <w:szCs w:val="20"/>
                <w:color w:val="auto"/>
              </w:rPr>
            </w:pPr>
            <w:r>
              <w:rPr>
                <w:rFonts w:ascii="Calibri" w:cs="Calibri" w:eastAsia="Calibri" w:hAnsi="Calibri"/>
                <w:sz w:val="17"/>
                <w:szCs w:val="17"/>
                <w:color w:val="auto"/>
              </w:rPr>
              <w:t>—</w:t>
            </w:r>
          </w:p>
        </w:tc>
        <w:tc>
          <w:tcPr>
            <w:tcW w:w="2020" w:type="dxa"/>
            <w:vAlign w:val="bottom"/>
            <w:tcBorders>
              <w:right w:val="single" w:sz="8" w:color="auto"/>
            </w:tcBorders>
          </w:tcPr>
          <w:p>
            <w:pPr>
              <w:jc w:val="center"/>
              <w:ind w:left="13"/>
              <w:spacing w:after="0"/>
              <w:rPr>
                <w:sz w:val="20"/>
                <w:szCs w:val="20"/>
                <w:color w:val="auto"/>
              </w:rPr>
            </w:pPr>
            <w:r>
              <w:rPr>
                <w:rFonts w:ascii="Calibri" w:cs="Calibri" w:eastAsia="Calibri" w:hAnsi="Calibri"/>
                <w:sz w:val="17"/>
                <w:szCs w:val="17"/>
                <w:color w:val="auto"/>
                <w:w w:val="92"/>
              </w:rPr>
              <w:t>  77,875</w:t>
            </w:r>
          </w:p>
        </w:tc>
        <w:tc>
          <w:tcPr>
            <w:tcW w:w="2020" w:type="dxa"/>
            <w:vAlign w:val="bottom"/>
          </w:tcPr>
          <w:p>
            <w:pPr>
              <w:jc w:val="center"/>
              <w:ind w:left="13"/>
              <w:spacing w:after="0"/>
              <w:rPr>
                <w:sz w:val="20"/>
                <w:szCs w:val="20"/>
                <w:color w:val="auto"/>
              </w:rPr>
            </w:pPr>
            <w:r>
              <w:rPr>
                <w:rFonts w:ascii="Calibri" w:cs="Calibri" w:eastAsia="Calibri" w:hAnsi="Calibri"/>
                <w:sz w:val="17"/>
                <w:szCs w:val="17"/>
                <w:color w:val="auto"/>
                <w:w w:val="92"/>
              </w:rPr>
              <w:t>  2,493,776</w:t>
            </w:r>
          </w:p>
        </w:tc>
      </w:tr>
      <w:tr>
        <w:trPr>
          <w:trHeight w:val="94"/>
        </w:trPr>
        <w:tc>
          <w:tcPr>
            <w:tcW w:w="2560" w:type="dxa"/>
            <w:vAlign w:val="bottom"/>
            <w:tcBorders>
              <w:bottom w:val="single" w:sz="8" w:color="FB4E0B"/>
              <w:right w:val="single" w:sz="8" w:color="auto"/>
            </w:tcBorders>
          </w:tcPr>
          <w:p>
            <w:pPr>
              <w:spacing w:after="0"/>
              <w:rPr>
                <w:sz w:val="8"/>
                <w:szCs w:val="8"/>
                <w:color w:val="auto"/>
              </w:rPr>
            </w:pPr>
          </w:p>
        </w:tc>
        <w:tc>
          <w:tcPr>
            <w:tcW w:w="2000" w:type="dxa"/>
            <w:vAlign w:val="bottom"/>
            <w:tcBorders>
              <w:bottom w:val="single" w:sz="8" w:color="FB4E0B"/>
              <w:right w:val="single" w:sz="8" w:color="auto"/>
            </w:tcBorders>
          </w:tcPr>
          <w:p>
            <w:pPr>
              <w:spacing w:after="0"/>
              <w:rPr>
                <w:sz w:val="8"/>
                <w:szCs w:val="8"/>
                <w:color w:val="auto"/>
              </w:rPr>
            </w:pPr>
          </w:p>
        </w:tc>
        <w:tc>
          <w:tcPr>
            <w:tcW w:w="2020" w:type="dxa"/>
            <w:vAlign w:val="bottom"/>
            <w:tcBorders>
              <w:bottom w:val="single" w:sz="8" w:color="FB4E0B"/>
              <w:right w:val="single" w:sz="8" w:color="auto"/>
            </w:tcBorders>
          </w:tcPr>
          <w:p>
            <w:pPr>
              <w:spacing w:after="0"/>
              <w:rPr>
                <w:sz w:val="8"/>
                <w:szCs w:val="8"/>
                <w:color w:val="auto"/>
              </w:rPr>
            </w:pPr>
          </w:p>
        </w:tc>
        <w:tc>
          <w:tcPr>
            <w:tcW w:w="2020" w:type="dxa"/>
            <w:vAlign w:val="bottom"/>
            <w:tcBorders>
              <w:bottom w:val="single" w:sz="8" w:color="FB4E0B"/>
              <w:right w:val="single" w:sz="8" w:color="auto"/>
            </w:tcBorders>
          </w:tcPr>
          <w:p>
            <w:pPr>
              <w:spacing w:after="0"/>
              <w:rPr>
                <w:sz w:val="8"/>
                <w:szCs w:val="8"/>
                <w:color w:val="auto"/>
              </w:rPr>
            </w:pPr>
          </w:p>
        </w:tc>
        <w:tc>
          <w:tcPr>
            <w:tcW w:w="2020" w:type="dxa"/>
            <w:vAlign w:val="bottom"/>
            <w:tcBorders>
              <w:bottom w:val="single" w:sz="8" w:color="FB4E0B"/>
            </w:tcBorders>
          </w:tcPr>
          <w:p>
            <w:pPr>
              <w:spacing w:after="0"/>
              <w:rPr>
                <w:sz w:val="8"/>
                <w:szCs w:val="8"/>
                <w:color w:val="auto"/>
              </w:rPr>
            </w:pPr>
          </w:p>
        </w:tc>
      </w:tr>
    </w:tbl>
    <w:p>
      <w:pPr>
        <w:spacing w:after="0" w:line="183"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Pension benefts for fscal year 2023</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discloses the present value of accumulated pension benefts payable to Mr. Bhalla.</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300" w:type="dxa"/>
            <w:vAlign w:val="bottom"/>
          </w:tcPr>
          <w:p>
            <w:pPr>
              <w:jc w:val="center"/>
              <w:ind w:left="13"/>
              <w:spacing w:after="0"/>
              <w:rPr>
                <w:sz w:val="20"/>
                <w:szCs w:val="20"/>
                <w:color w:val="auto"/>
              </w:rPr>
            </w:pPr>
            <w:r>
              <w:rPr>
                <w:rFonts w:ascii="Calibri" w:cs="Calibri" w:eastAsia="Calibri" w:hAnsi="Calibri"/>
                <w:sz w:val="17"/>
                <w:szCs w:val="17"/>
                <w:b w:val="1"/>
                <w:bCs w:val="1"/>
                <w:color w:val="FB4E0B"/>
                <w:w w:val="99"/>
              </w:rPr>
              <w:t>Number of</w:t>
            </w:r>
          </w:p>
        </w:tc>
        <w:tc>
          <w:tcPr>
            <w:tcW w:w="1460" w:type="dxa"/>
            <w:vAlign w:val="bottom"/>
          </w:tcPr>
          <w:p>
            <w:pPr>
              <w:jc w:val="center"/>
              <w:ind w:left="93"/>
              <w:spacing w:after="0"/>
              <w:rPr>
                <w:sz w:val="20"/>
                <w:szCs w:val="20"/>
                <w:color w:val="auto"/>
              </w:rPr>
            </w:pPr>
            <w:r>
              <w:rPr>
                <w:rFonts w:ascii="Calibri" w:cs="Calibri" w:eastAsia="Calibri" w:hAnsi="Calibri"/>
                <w:sz w:val="17"/>
                <w:szCs w:val="17"/>
                <w:b w:val="1"/>
                <w:bCs w:val="1"/>
                <w:color w:val="FB4E0B"/>
                <w:w w:val="99"/>
              </w:rPr>
              <w:t>Present value</w:t>
            </w:r>
          </w:p>
        </w:tc>
        <w:tc>
          <w:tcPr>
            <w:tcW w:w="1580" w:type="dxa"/>
            <w:vAlign w:val="bottom"/>
          </w:tcPr>
          <w:p>
            <w:pPr>
              <w:jc w:val="center"/>
              <w:ind w:left="113"/>
              <w:spacing w:after="0"/>
              <w:rPr>
                <w:sz w:val="20"/>
                <w:szCs w:val="20"/>
                <w:color w:val="auto"/>
              </w:rPr>
            </w:pPr>
            <w:r>
              <w:rPr>
                <w:rFonts w:ascii="Calibri" w:cs="Calibri" w:eastAsia="Calibri" w:hAnsi="Calibri"/>
                <w:sz w:val="17"/>
                <w:szCs w:val="17"/>
                <w:b w:val="1"/>
                <w:bCs w:val="1"/>
                <w:color w:val="FB4E0B"/>
                <w:w w:val="98"/>
              </w:rPr>
              <w:t>Payments during</w:t>
            </w:r>
          </w:p>
        </w:tc>
      </w:tr>
      <w:tr>
        <w:trPr>
          <w:trHeight w:val="208"/>
        </w:trPr>
        <w:tc>
          <w:tcPr>
            <w:tcW w:w="2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300" w:type="dxa"/>
            <w:vAlign w:val="bottom"/>
          </w:tcPr>
          <w:p>
            <w:pPr>
              <w:jc w:val="center"/>
              <w:ind w:left="13"/>
              <w:spacing w:after="0"/>
              <w:rPr>
                <w:sz w:val="20"/>
                <w:szCs w:val="20"/>
                <w:color w:val="auto"/>
              </w:rPr>
            </w:pPr>
            <w:r>
              <w:rPr>
                <w:rFonts w:ascii="Calibri" w:cs="Calibri" w:eastAsia="Calibri" w:hAnsi="Calibri"/>
                <w:sz w:val="17"/>
                <w:szCs w:val="17"/>
                <w:b w:val="1"/>
                <w:bCs w:val="1"/>
                <w:color w:val="FB4E0B"/>
                <w:w w:val="99"/>
              </w:rPr>
              <w:t>years credited</w:t>
            </w:r>
          </w:p>
        </w:tc>
        <w:tc>
          <w:tcPr>
            <w:tcW w:w="1460" w:type="dxa"/>
            <w:vAlign w:val="bottom"/>
          </w:tcPr>
          <w:p>
            <w:pPr>
              <w:jc w:val="center"/>
              <w:ind w:left="93"/>
              <w:spacing w:after="0"/>
              <w:rPr>
                <w:sz w:val="20"/>
                <w:szCs w:val="20"/>
                <w:color w:val="auto"/>
              </w:rPr>
            </w:pPr>
            <w:r>
              <w:rPr>
                <w:rFonts w:ascii="Calibri" w:cs="Calibri" w:eastAsia="Calibri" w:hAnsi="Calibri"/>
                <w:sz w:val="17"/>
                <w:szCs w:val="17"/>
                <w:b w:val="1"/>
                <w:bCs w:val="1"/>
                <w:color w:val="FB4E0B"/>
                <w:w w:val="98"/>
              </w:rPr>
              <w:t>of accumulated</w:t>
            </w:r>
          </w:p>
        </w:tc>
        <w:tc>
          <w:tcPr>
            <w:tcW w:w="1580" w:type="dxa"/>
            <w:vAlign w:val="bottom"/>
          </w:tcPr>
          <w:p>
            <w:pPr>
              <w:jc w:val="center"/>
              <w:ind w:left="93"/>
              <w:spacing w:after="0"/>
              <w:rPr>
                <w:sz w:val="20"/>
                <w:szCs w:val="20"/>
                <w:color w:val="auto"/>
              </w:rPr>
            </w:pPr>
            <w:r>
              <w:rPr>
                <w:rFonts w:ascii="Calibri" w:cs="Calibri" w:eastAsia="Calibri" w:hAnsi="Calibri"/>
                <w:sz w:val="17"/>
                <w:szCs w:val="17"/>
                <w:b w:val="1"/>
                <w:bCs w:val="1"/>
                <w:color w:val="FB4E0B"/>
              </w:rPr>
              <w:t>last fscal year</w:t>
            </w:r>
          </w:p>
        </w:tc>
      </w:tr>
      <w:tr>
        <w:trPr>
          <w:trHeight w:val="208"/>
        </w:trPr>
        <w:tc>
          <w:tcPr>
            <w:tcW w:w="2140" w:type="dxa"/>
            <w:vAlign w:val="bottom"/>
          </w:tcPr>
          <w:p>
            <w:pPr>
              <w:spacing w:after="0"/>
              <w:rPr>
                <w:sz w:val="20"/>
                <w:szCs w:val="20"/>
                <w:color w:val="auto"/>
              </w:rPr>
            </w:pPr>
            <w:r>
              <w:rPr>
                <w:rFonts w:ascii="Calibri" w:cs="Calibri" w:eastAsia="Calibri" w:hAnsi="Calibri"/>
                <w:sz w:val="17"/>
                <w:szCs w:val="17"/>
                <w:b w:val="1"/>
                <w:bCs w:val="1"/>
                <w:color w:val="FB4E0B"/>
              </w:rPr>
              <w:t>  Name</w:t>
            </w:r>
          </w:p>
        </w:tc>
        <w:tc>
          <w:tcPr>
            <w:tcW w:w="4140" w:type="dxa"/>
            <w:vAlign w:val="bottom"/>
          </w:tcPr>
          <w:p>
            <w:pPr>
              <w:ind w:left="80"/>
              <w:spacing w:after="0"/>
              <w:rPr>
                <w:sz w:val="20"/>
                <w:szCs w:val="20"/>
                <w:color w:val="auto"/>
              </w:rPr>
            </w:pPr>
            <w:r>
              <w:rPr>
                <w:rFonts w:ascii="Calibri" w:cs="Calibri" w:eastAsia="Calibri" w:hAnsi="Calibri"/>
                <w:sz w:val="17"/>
                <w:szCs w:val="17"/>
                <w:b w:val="1"/>
                <w:bCs w:val="1"/>
                <w:color w:val="FB4E0B"/>
              </w:rPr>
              <w:t>  Plan name</w:t>
            </w:r>
          </w:p>
        </w:tc>
        <w:tc>
          <w:tcPr>
            <w:tcW w:w="130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service (#)</w:t>
            </w:r>
            <w:r>
              <w:rPr>
                <w:rFonts w:ascii="Calibri" w:cs="Calibri" w:eastAsia="Calibri" w:hAnsi="Calibri"/>
                <w:sz w:val="13"/>
                <w:szCs w:val="13"/>
                <w:b w:val="1"/>
                <w:bCs w:val="1"/>
                <w:color w:val="FB4E0B"/>
                <w:w w:val="98"/>
              </w:rPr>
              <w:t>(1)</w:t>
            </w:r>
          </w:p>
        </w:tc>
        <w:tc>
          <w:tcPr>
            <w:tcW w:w="1460" w:type="dxa"/>
            <w:vAlign w:val="bottom"/>
          </w:tcPr>
          <w:p>
            <w:pPr>
              <w:jc w:val="center"/>
              <w:ind w:left="93"/>
              <w:spacing w:after="0"/>
              <w:rPr>
                <w:sz w:val="20"/>
                <w:szCs w:val="20"/>
                <w:color w:val="auto"/>
              </w:rPr>
            </w:pPr>
            <w:r>
              <w:rPr>
                <w:rFonts w:ascii="Calibri" w:cs="Calibri" w:eastAsia="Calibri" w:hAnsi="Calibri"/>
                <w:sz w:val="17"/>
                <w:szCs w:val="17"/>
                <w:b w:val="1"/>
                <w:bCs w:val="1"/>
                <w:color w:val="FB4E0B"/>
              </w:rPr>
              <w:t>beneft ($)</w:t>
            </w:r>
            <w:r>
              <w:rPr>
                <w:rFonts w:ascii="Calibri" w:cs="Calibri" w:eastAsia="Calibri" w:hAnsi="Calibri"/>
                <w:sz w:val="13"/>
                <w:szCs w:val="13"/>
                <w:b w:val="1"/>
                <w:bCs w:val="1"/>
                <w:color w:val="FB4E0B"/>
              </w:rPr>
              <w:t>(2)</w:t>
            </w:r>
          </w:p>
        </w:tc>
        <w:tc>
          <w:tcPr>
            <w:tcW w:w="1580" w:type="dxa"/>
            <w:vAlign w:val="bottom"/>
          </w:tcPr>
          <w:p>
            <w:pPr>
              <w:jc w:val="right"/>
              <w:ind w:right="513"/>
              <w:spacing w:after="0"/>
              <w:rPr>
                <w:sz w:val="20"/>
                <w:szCs w:val="20"/>
                <w:color w:val="auto"/>
              </w:rPr>
            </w:pPr>
            <w:r>
              <w:rPr>
                <w:rFonts w:ascii="Calibri" w:cs="Calibri" w:eastAsia="Calibri" w:hAnsi="Calibri"/>
                <w:sz w:val="17"/>
                <w:szCs w:val="17"/>
                <w:b w:val="1"/>
                <w:bCs w:val="1"/>
                <w:color w:val="FB4E0B"/>
              </w:rPr>
              <w:t>($)</w:t>
            </w:r>
          </w:p>
        </w:tc>
      </w:tr>
      <w:tr>
        <w:trPr>
          <w:trHeight w:val="55"/>
        </w:trPr>
        <w:tc>
          <w:tcPr>
            <w:tcW w:w="2140" w:type="dxa"/>
            <w:vAlign w:val="bottom"/>
            <w:tcBorders>
              <w:bottom w:val="single" w:sz="8" w:color="FB4E0B"/>
            </w:tcBorders>
          </w:tcPr>
          <w:p>
            <w:pPr>
              <w:spacing w:after="0"/>
              <w:rPr>
                <w:sz w:val="4"/>
                <w:szCs w:val="4"/>
                <w:color w:val="auto"/>
              </w:rPr>
            </w:pPr>
          </w:p>
        </w:tc>
        <w:tc>
          <w:tcPr>
            <w:tcW w:w="4140" w:type="dxa"/>
            <w:vAlign w:val="bottom"/>
            <w:tcBorders>
              <w:bottom w:val="single" w:sz="8" w:color="FB4E0B"/>
            </w:tcBorders>
          </w:tcPr>
          <w:p>
            <w:pPr>
              <w:spacing w:after="0"/>
              <w:rPr>
                <w:sz w:val="4"/>
                <w:szCs w:val="4"/>
                <w:color w:val="auto"/>
              </w:rPr>
            </w:pPr>
          </w:p>
        </w:tc>
        <w:tc>
          <w:tcPr>
            <w:tcW w:w="1300" w:type="dxa"/>
            <w:vAlign w:val="bottom"/>
            <w:tcBorders>
              <w:bottom w:val="single" w:sz="8" w:color="FB4E0B"/>
            </w:tcBorders>
          </w:tcPr>
          <w:p>
            <w:pPr>
              <w:spacing w:after="0"/>
              <w:rPr>
                <w:sz w:val="4"/>
                <w:szCs w:val="4"/>
                <w:color w:val="auto"/>
              </w:rPr>
            </w:pPr>
          </w:p>
        </w:tc>
        <w:tc>
          <w:tcPr>
            <w:tcW w:w="1460" w:type="dxa"/>
            <w:vAlign w:val="bottom"/>
            <w:tcBorders>
              <w:bottom w:val="single" w:sz="8" w:color="FB4E0B"/>
            </w:tcBorders>
          </w:tcPr>
          <w:p>
            <w:pPr>
              <w:spacing w:after="0"/>
              <w:rPr>
                <w:sz w:val="4"/>
                <w:szCs w:val="4"/>
                <w:color w:val="auto"/>
              </w:rPr>
            </w:pPr>
          </w:p>
        </w:tc>
        <w:tc>
          <w:tcPr>
            <w:tcW w:w="1580" w:type="dxa"/>
            <w:vAlign w:val="bottom"/>
            <w:tcBorders>
              <w:bottom w:val="single" w:sz="8" w:color="FB4E0B"/>
            </w:tcBorders>
          </w:tcPr>
          <w:p>
            <w:pPr>
              <w:spacing w:after="0"/>
              <w:rPr>
                <w:sz w:val="4"/>
                <w:szCs w:val="4"/>
                <w:color w:val="auto"/>
              </w:rPr>
            </w:pPr>
          </w:p>
        </w:tc>
      </w:tr>
      <w:tr>
        <w:trPr>
          <w:trHeight w:val="237"/>
        </w:trPr>
        <w:tc>
          <w:tcPr>
            <w:tcW w:w="21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Vikas Bhalla</w:t>
            </w:r>
          </w:p>
        </w:tc>
        <w:tc>
          <w:tcPr>
            <w:tcW w:w="41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  Gratuity Plan for Indian Employees</w:t>
            </w:r>
          </w:p>
        </w:tc>
        <w:tc>
          <w:tcPr>
            <w:tcW w:w="13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23</w:t>
            </w:r>
          </w:p>
        </w:tc>
        <w:tc>
          <w:tcPr>
            <w:tcW w:w="1460" w:type="dxa"/>
            <w:vAlign w:val="bottom"/>
            <w:tcBorders>
              <w:right w:val="single" w:sz="8" w:color="auto"/>
            </w:tcBorders>
          </w:tcPr>
          <w:p>
            <w:pPr>
              <w:jc w:val="center"/>
              <w:ind w:left="93"/>
              <w:spacing w:after="0"/>
              <w:rPr>
                <w:sz w:val="20"/>
                <w:szCs w:val="20"/>
                <w:color w:val="auto"/>
              </w:rPr>
            </w:pPr>
            <w:r>
              <w:rPr>
                <w:rFonts w:ascii="Calibri" w:cs="Calibri" w:eastAsia="Calibri" w:hAnsi="Calibri"/>
                <w:sz w:val="17"/>
                <w:szCs w:val="17"/>
                <w:color w:val="auto"/>
                <w:w w:val="99"/>
              </w:rPr>
              <w:t>129,769</w:t>
            </w:r>
          </w:p>
        </w:tc>
        <w:tc>
          <w:tcPr>
            <w:tcW w:w="1580" w:type="dxa"/>
            <w:vAlign w:val="bottom"/>
          </w:tcPr>
          <w:p>
            <w:pPr>
              <w:jc w:val="center"/>
              <w:ind w:left="93"/>
              <w:spacing w:after="0"/>
              <w:rPr>
                <w:sz w:val="20"/>
                <w:szCs w:val="20"/>
                <w:color w:val="auto"/>
              </w:rPr>
            </w:pPr>
            <w:r>
              <w:rPr>
                <w:rFonts w:ascii="Calibri" w:cs="Calibri" w:eastAsia="Calibri" w:hAnsi="Calibri"/>
                <w:sz w:val="17"/>
                <w:szCs w:val="17"/>
                <w:color w:val="auto"/>
              </w:rPr>
              <w:t>—</w:t>
            </w:r>
          </w:p>
        </w:tc>
      </w:tr>
      <w:tr>
        <w:trPr>
          <w:trHeight w:val="94"/>
        </w:trPr>
        <w:tc>
          <w:tcPr>
            <w:tcW w:w="2140" w:type="dxa"/>
            <w:vAlign w:val="bottom"/>
            <w:tcBorders>
              <w:bottom w:val="single" w:sz="8" w:color="FB4E0B"/>
              <w:right w:val="single" w:sz="8" w:color="auto"/>
            </w:tcBorders>
          </w:tcPr>
          <w:p>
            <w:pPr>
              <w:spacing w:after="0"/>
              <w:rPr>
                <w:sz w:val="8"/>
                <w:szCs w:val="8"/>
                <w:color w:val="auto"/>
              </w:rPr>
            </w:pPr>
          </w:p>
        </w:tc>
        <w:tc>
          <w:tcPr>
            <w:tcW w:w="4140" w:type="dxa"/>
            <w:vAlign w:val="bottom"/>
            <w:tcBorders>
              <w:bottom w:val="single" w:sz="8" w:color="FB4E0B"/>
              <w:right w:val="single" w:sz="8" w:color="auto"/>
            </w:tcBorders>
          </w:tcPr>
          <w:p>
            <w:pPr>
              <w:spacing w:after="0"/>
              <w:rPr>
                <w:sz w:val="8"/>
                <w:szCs w:val="8"/>
                <w:color w:val="auto"/>
              </w:rPr>
            </w:pPr>
          </w:p>
        </w:tc>
        <w:tc>
          <w:tcPr>
            <w:tcW w:w="1300" w:type="dxa"/>
            <w:vAlign w:val="bottom"/>
            <w:tcBorders>
              <w:bottom w:val="single" w:sz="8" w:color="FB4E0B"/>
              <w:right w:val="single" w:sz="8" w:color="auto"/>
            </w:tcBorders>
          </w:tcPr>
          <w:p>
            <w:pPr>
              <w:spacing w:after="0"/>
              <w:rPr>
                <w:sz w:val="8"/>
                <w:szCs w:val="8"/>
                <w:color w:val="auto"/>
              </w:rPr>
            </w:pPr>
          </w:p>
        </w:tc>
        <w:tc>
          <w:tcPr>
            <w:tcW w:w="1460" w:type="dxa"/>
            <w:vAlign w:val="bottom"/>
            <w:tcBorders>
              <w:bottom w:val="single" w:sz="8" w:color="FB4E0B"/>
              <w:right w:val="single" w:sz="8" w:color="auto"/>
            </w:tcBorders>
          </w:tcPr>
          <w:p>
            <w:pPr>
              <w:spacing w:after="0"/>
              <w:rPr>
                <w:sz w:val="8"/>
                <w:szCs w:val="8"/>
                <w:color w:val="auto"/>
              </w:rPr>
            </w:pPr>
          </w:p>
        </w:tc>
        <w:tc>
          <w:tcPr>
            <w:tcW w:w="1580" w:type="dxa"/>
            <w:vAlign w:val="bottom"/>
            <w:tcBorders>
              <w:bottom w:val="single" w:sz="8" w:color="FB4E0B"/>
            </w:tcBorders>
          </w:tcPr>
          <w:p>
            <w:pPr>
              <w:spacing w:after="0"/>
              <w:rPr>
                <w:sz w:val="8"/>
                <w:szCs w:val="8"/>
                <w:color w:val="auto"/>
              </w:rPr>
            </w:pPr>
          </w:p>
        </w:tc>
      </w:tr>
    </w:tbl>
    <w:p>
      <w:pPr>
        <w:spacing w:after="0" w:line="33" w:lineRule="exact"/>
        <w:rPr>
          <w:sz w:val="20"/>
          <w:szCs w:val="20"/>
          <w:color w:val="auto"/>
        </w:rPr>
      </w:pPr>
    </w:p>
    <w:p>
      <w:pPr>
        <w:ind w:left="320" w:right="300" w:hanging="4"/>
        <w:spacing w:after="0" w:line="251" w:lineRule="auto"/>
        <w:tabs>
          <w:tab w:leader="none" w:pos="494" w:val="left"/>
        </w:tabs>
        <w:numPr>
          <w:ilvl w:val="0"/>
          <w:numId w:val="44"/>
        </w:numPr>
        <w:rPr>
          <w:rFonts w:ascii="Calibri" w:cs="Calibri" w:eastAsia="Calibri" w:hAnsi="Calibri"/>
          <w:sz w:val="13"/>
          <w:szCs w:val="13"/>
          <w:color w:val="auto"/>
        </w:rPr>
      </w:pPr>
      <w:r>
        <w:rPr>
          <w:rFonts w:ascii="Calibri" w:cs="Calibri" w:eastAsia="Calibri" w:hAnsi="Calibri"/>
          <w:sz w:val="13"/>
          <w:szCs w:val="13"/>
          <w:color w:val="auto"/>
        </w:rPr>
        <w:t>Consists of the number of years of service credited as of December 31, 2023 for the purpose of determining beneft service under the Gratuity Plan. Credited service is determined based on the completed years of contnuous employment (rounded to the nearest whole number of years) with the Company since the executve’s date of hire.</w:t>
      </w:r>
    </w:p>
    <w:p>
      <w:pPr>
        <w:spacing w:after="0" w:line="6" w:lineRule="exact"/>
        <w:rPr>
          <w:rFonts w:ascii="Calibri" w:cs="Calibri" w:eastAsia="Calibri" w:hAnsi="Calibri"/>
          <w:sz w:val="13"/>
          <w:szCs w:val="13"/>
          <w:color w:val="auto"/>
        </w:rPr>
      </w:pPr>
    </w:p>
    <w:p>
      <w:pPr>
        <w:ind w:left="320" w:right="80" w:hanging="4"/>
        <w:spacing w:after="0" w:line="254" w:lineRule="auto"/>
        <w:tabs>
          <w:tab w:leader="none" w:pos="494" w:val="left"/>
        </w:tabs>
        <w:numPr>
          <w:ilvl w:val="0"/>
          <w:numId w:val="44"/>
        </w:numPr>
        <w:rPr>
          <w:rFonts w:ascii="Calibri" w:cs="Calibri" w:eastAsia="Calibri" w:hAnsi="Calibri"/>
          <w:sz w:val="13"/>
          <w:szCs w:val="13"/>
          <w:color w:val="auto"/>
        </w:rPr>
      </w:pPr>
      <w:r>
        <w:rPr>
          <w:rFonts w:ascii="Calibri" w:cs="Calibri" w:eastAsia="Calibri" w:hAnsi="Calibri"/>
          <w:sz w:val="13"/>
          <w:szCs w:val="13"/>
          <w:color w:val="auto"/>
        </w:rPr>
        <w:t>Liabilites with regard to the Gratuity Plans are determined by actuarial valuaton using the projected unit credit method. Under this method, we determine our liability based upon the discounted value of salary increases untl the date of separaton arising from retrement, death, resignaton or other terminaton of services. Critcal assumptons used in measuring the plan expense and projected liability under the projected unit credit method include the discount rate, expected return on assets and the expected increase in the compensaton rates. Details regarding the assumptons used in the calculaton of these amounts are included in footnote 20 to the audited fnancial statements for the fscal year ended December 31, 2023 included in our Annual Report on Form 10-K fled with the Securites and Exchange Commission on February 29, 2024.</w:t>
      </w:r>
    </w:p>
    <w:p>
      <w:pPr>
        <w:spacing w:after="0" w:line="95"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We are required to provide all Indian employees with benefts under the Gratuity Plan, a statutory, defned beneft pension plan in India. Distributons from the Gratuity Plan are made in a single lump sum following retrement from the Company. An executve’s beneft under the Gratuity Plan is determined at any tme as the executve’s annual base salary (determined based on the executve’s most recent monthly base salary) divided by 26, multplied by 15, and the product multplied by the executve’s completed years of contnuous service with the Company. An executve has a vested and nonforfeitable right to payment of his accrued Gratuity Plan beneft only afer fve years of service. The present value of Mr. Bhalla’s accumulated benefts has been determined based on his monthly basic salary rate in efect on December 31, 2023, which was approximately $9,780.</w:t>
      </w:r>
    </w:p>
    <w:p>
      <w:pPr>
        <w:spacing w:after="0" w:line="312"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Potental payments upon terminaton or change in control at fscal 2023 year-end</w:t>
      </w:r>
    </w:p>
    <w:p>
      <w:pPr>
        <w:spacing w:after="0" w:line="114"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The following tables summarize the amounts payable to each named executve ofcer upon a change in control or terminaton of his employment with us on December 31, 2023. In calculatng potental payments for purposes of this disclosure, we have</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90 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48"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quantfed our equity-based payments using the closing stock price on December 29, 2023, which was $30.85. Some of the capitalized terms used in the employment agreements for our named executve ofcers are defned in the secton enttled “Certain defned terms” on page 98.</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Rohit Kapoor</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Severance on Terminaton Without “Cause,” “Good Reason,” or “Retrement”</w:t>
      </w:r>
    </w:p>
    <w:p>
      <w:pPr>
        <w:spacing w:after="0" w:line="106"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If Mr. Kapoor’s employment were terminated by us without “cause” or by him for “good reason” (in each case, as described below), he would be enttled to cash severance consistng of: (1) contnuaton of his base salary for 24 months; (2) his actual bonus, if any, earned for the year of terminaton, determined as if he had been employed for the full year of terminaton, paid ratably over the remaining base salary contnuaton period; (3) 18 month contnuaton of life insurance coverage; and (4) only with respect to terminaton by us without cause, 18 months of post-terminaton COBRA payments or reimbursements, as applicable; provided, however, that the life insurance and COBRA benefts described in this sentence will terminate if Mr. Kapoor is eligible to receive comparable benefts from a subsequent employer prior to the conclusion of the 18 month post-terminaton period. If Mr. Kapoor’s employment terminated as a result of his retrement (described below), he would be enttled only to items (3) and (4) from the prior sentence.</w:t>
      </w:r>
    </w:p>
    <w:p>
      <w:pPr>
        <w:spacing w:after="0" w:line="213" w:lineRule="exact"/>
        <w:rPr>
          <w:sz w:val="20"/>
          <w:szCs w:val="20"/>
          <w:color w:val="auto"/>
        </w:rPr>
      </w:pPr>
    </w:p>
    <w:p>
      <w:pPr>
        <w:jc w:val="both"/>
        <w:ind w:left="320" w:right="220"/>
        <w:spacing w:after="0" w:line="239" w:lineRule="auto"/>
        <w:rPr>
          <w:sz w:val="20"/>
          <w:szCs w:val="20"/>
          <w:color w:val="auto"/>
        </w:rPr>
      </w:pPr>
      <w:r>
        <w:rPr>
          <w:rFonts w:ascii="Calibri" w:cs="Calibri" w:eastAsia="Calibri" w:hAnsi="Calibri"/>
          <w:sz w:val="17"/>
          <w:szCs w:val="17"/>
          <w:color w:val="auto"/>
        </w:rPr>
        <w:t>Mr. Kapoor will not receive any enhanced cash severance benefts in the event that he is terminated without “cause” or for “good reason” in connecton with a “Change in Control;” however, rather than salary contnuaton being paid in installments, he will receive his cash payment equal to 24 months of base salary in a lump sum.</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Severance on Death or Disability</w:t>
      </w:r>
    </w:p>
    <w:p>
      <w:pPr>
        <w:spacing w:after="0" w:line="106"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If Mr. Kapoor’s employment terminates due to his death or disability, he (or his estate) will be enttled to a prorated porton of his projected bonus amount for the year of terminaton.</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Treatment of Equity</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On a qualifying event described below, Mr. Kapoor’s outstanding equity awards will vest as follows:</w:t>
      </w:r>
    </w:p>
    <w:p>
      <w:pPr>
        <w:spacing w:after="0" w:line="313" w:lineRule="exact"/>
        <w:rPr>
          <w:sz w:val="20"/>
          <w:szCs w:val="20"/>
          <w:color w:val="auto"/>
        </w:rPr>
      </w:pPr>
    </w:p>
    <w:p>
      <w:pPr>
        <w:ind w:left="1160"/>
        <w:spacing w:after="0"/>
        <w:rPr>
          <w:sz w:val="20"/>
          <w:szCs w:val="20"/>
          <w:color w:val="auto"/>
        </w:rPr>
      </w:pPr>
      <w:r>
        <w:rPr>
          <w:rFonts w:ascii="Calibri" w:cs="Calibri" w:eastAsia="Calibri" w:hAnsi="Calibri"/>
          <w:sz w:val="17"/>
          <w:szCs w:val="17"/>
          <w:b w:val="1"/>
          <w:bCs w:val="1"/>
          <w:color w:val="auto"/>
        </w:rPr>
        <w:t>Time-Vested RSUs:</w:t>
      </w:r>
    </w:p>
    <w:p>
      <w:pPr>
        <w:spacing w:after="0" w:line="119" w:lineRule="exact"/>
        <w:rPr>
          <w:sz w:val="20"/>
          <w:szCs w:val="20"/>
          <w:color w:val="auto"/>
        </w:rPr>
      </w:pPr>
    </w:p>
    <w:p>
      <w:pPr>
        <w:ind w:left="2000" w:right="20" w:hanging="422"/>
        <w:spacing w:after="0" w:line="239" w:lineRule="auto"/>
        <w:tabs>
          <w:tab w:leader="none" w:pos="2000" w:val="left"/>
        </w:tabs>
        <w:numPr>
          <w:ilvl w:val="0"/>
          <w:numId w:val="45"/>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without Cause or for Good Reason (not in connecton with a Change in Control)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If Mr. Kapoor is terminated without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cause or for good reason, Mr. Kapoor’s Time-Vested RSUs will remain outstanding and eligible to vest for a period of 27 months following the terminaton date; any Time-Vested RSUs that do not vest in this period will be forfeited.</w:t>
      </w:r>
    </w:p>
    <w:p>
      <w:pPr>
        <w:spacing w:after="0" w:line="121" w:lineRule="exact"/>
        <w:rPr>
          <w:rFonts w:ascii="Calibri" w:cs="Calibri" w:eastAsia="Calibri" w:hAnsi="Calibri"/>
          <w:sz w:val="17"/>
          <w:szCs w:val="17"/>
          <w:color w:val="auto"/>
        </w:rPr>
      </w:pPr>
    </w:p>
    <w:p>
      <w:pPr>
        <w:ind w:left="2000" w:right="60" w:hanging="422"/>
        <w:spacing w:after="0" w:line="239" w:lineRule="auto"/>
        <w:tabs>
          <w:tab w:leader="none" w:pos="2000" w:val="left"/>
        </w:tabs>
        <w:numPr>
          <w:ilvl w:val="0"/>
          <w:numId w:val="45"/>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 If a change in control occurs prior to the end of the four-year vestng period, any porton of Mr. Kapoor’s Time-Vested RSUs that would have vested within the 12 months following the change in control will vest.</w:t>
      </w:r>
    </w:p>
    <w:p>
      <w:pPr>
        <w:spacing w:after="0" w:line="120" w:lineRule="exact"/>
        <w:rPr>
          <w:rFonts w:ascii="Calibri" w:cs="Calibri" w:eastAsia="Calibri" w:hAnsi="Calibri"/>
          <w:sz w:val="17"/>
          <w:szCs w:val="17"/>
          <w:color w:val="auto"/>
        </w:rPr>
      </w:pPr>
    </w:p>
    <w:p>
      <w:pPr>
        <w:ind w:left="2000" w:right="60" w:hanging="422"/>
        <w:spacing w:after="0" w:line="262" w:lineRule="auto"/>
        <w:tabs>
          <w:tab w:leader="none" w:pos="2000" w:val="left"/>
        </w:tabs>
        <w:numPr>
          <w:ilvl w:val="0"/>
          <w:numId w:val="45"/>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Terminaton without Cause or Resignaton for Good Reason in Connecton with a Change in Control</w:t>
      </w:r>
      <w:r>
        <w:rPr>
          <w:rFonts w:ascii="Calibri" w:cs="Calibri" w:eastAsia="Calibri" w:hAnsi="Calibri"/>
          <w:sz w:val="16"/>
          <w:szCs w:val="16"/>
          <w:color w:val="auto"/>
        </w:rPr>
        <w:t>: All of Mr. Kapoor’s</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outstanding Time-Vested RSUs will become fully vested on terminaton if, within 12 months following or in specifc contemplaton of a change in control, he is terminated without cause or, within 12 months following a change in control, resigns for good reason.</w:t>
      </w:r>
    </w:p>
    <w:p>
      <w:pPr>
        <w:spacing w:after="0" w:line="27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8" w:lineRule="exact"/>
        <w:rPr>
          <w:sz w:val="20"/>
          <w:szCs w:val="20"/>
          <w:color w:val="auto"/>
        </w:rPr>
      </w:pPr>
    </w:p>
    <w:p>
      <w:pPr>
        <w:ind w:left="2000" w:right="20" w:hanging="422"/>
        <w:spacing w:after="0" w:line="239" w:lineRule="auto"/>
        <w:tabs>
          <w:tab w:leader="none" w:pos="2000" w:val="left"/>
        </w:tabs>
        <w:numPr>
          <w:ilvl w:val="0"/>
          <w:numId w:val="46"/>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color w:val="auto"/>
        </w:rPr>
        <w:t>: If Mr. Kapoor dies before the end of the four-year vestng period, all of his outstanding Time-Vested RSUs will become fully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vested.</w:t>
      </w:r>
    </w:p>
    <w:p>
      <w:pPr>
        <w:spacing w:after="0" w:line="120" w:lineRule="exact"/>
        <w:rPr>
          <w:rFonts w:ascii="Calibri" w:cs="Calibri" w:eastAsia="Calibri" w:hAnsi="Calibri"/>
          <w:sz w:val="17"/>
          <w:szCs w:val="17"/>
          <w:color w:val="auto"/>
        </w:rPr>
      </w:pPr>
    </w:p>
    <w:p>
      <w:pPr>
        <w:ind w:left="2000" w:hanging="422"/>
        <w:spacing w:after="0" w:line="239" w:lineRule="auto"/>
        <w:tabs>
          <w:tab w:leader="none" w:pos="2000" w:val="left"/>
        </w:tabs>
        <w:numPr>
          <w:ilvl w:val="0"/>
          <w:numId w:val="46"/>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Mr. Kapoor retres at age 60 or older, his unvested Time-Vested RSUs will remain outstanding and eligible to vest for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 period of 27 months following his retrement. Because Mr. Kapoor is not yet 60, he is ineligible for retrement treatment with respect to his equity.</w:t>
      </w:r>
    </w:p>
    <w:p>
      <w:pPr>
        <w:spacing w:after="0" w:line="107" w:lineRule="exact"/>
        <w:rPr>
          <w:sz w:val="20"/>
          <w:szCs w:val="20"/>
          <w:color w:val="auto"/>
        </w:rPr>
      </w:pPr>
    </w:p>
    <w:p>
      <w:pPr>
        <w:ind w:left="1160"/>
        <w:spacing w:after="0"/>
        <w:rPr>
          <w:sz w:val="20"/>
          <w:szCs w:val="20"/>
          <w:color w:val="auto"/>
        </w:rPr>
      </w:pPr>
      <w:r>
        <w:rPr>
          <w:rFonts w:ascii="Calibri" w:cs="Calibri" w:eastAsia="Calibri" w:hAnsi="Calibri"/>
          <w:sz w:val="17"/>
          <w:szCs w:val="17"/>
          <w:b w:val="1"/>
          <w:bCs w:val="1"/>
          <w:color w:val="auto"/>
        </w:rPr>
        <w:t>Revenue-Linked PRSUs:</w:t>
      </w:r>
    </w:p>
    <w:p>
      <w:pPr>
        <w:spacing w:after="0" w:line="119" w:lineRule="exact"/>
        <w:rPr>
          <w:sz w:val="20"/>
          <w:szCs w:val="20"/>
          <w:color w:val="auto"/>
        </w:rPr>
      </w:pPr>
    </w:p>
    <w:p>
      <w:pPr>
        <w:ind w:left="2000" w:hanging="422"/>
        <w:spacing w:after="0"/>
        <w:tabs>
          <w:tab w:leader="none" w:pos="2000" w:val="left"/>
        </w:tabs>
        <w:numPr>
          <w:ilvl w:val="1"/>
          <w:numId w:val="47"/>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 If a change in control occurs prior to the end of the performance period, 100% of Mr. Kapoor’s Revenue-Linked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PRSUs will be deemed earned and converted to tme-vested RSUs. They will retroactvely be deemed subject to a three-year ratable vestng schedule, with each deemed vestng date occurring on the last day of each calendar year within the performance period. Any RSUs that are deemed to have vested on a date prior to the change in control, as well as any RSUs that are deemed scheduled to vest within the next 12 months, will vest upon the change in control. Any remaining RSUs will be subject to tme-based vestng through the last day of the original three-year performance period.</w:t>
      </w:r>
    </w:p>
    <w:p>
      <w:pPr>
        <w:spacing w:after="0" w:line="120" w:lineRule="exact"/>
        <w:rPr>
          <w:rFonts w:ascii="Calibri" w:cs="Calibri" w:eastAsia="Calibri" w:hAnsi="Calibri"/>
          <w:sz w:val="17"/>
          <w:szCs w:val="17"/>
          <w:color w:val="auto"/>
        </w:rPr>
      </w:pPr>
    </w:p>
    <w:p>
      <w:pPr>
        <w:ind w:left="2000" w:right="80" w:hanging="422"/>
        <w:spacing w:after="0" w:line="239" w:lineRule="auto"/>
        <w:tabs>
          <w:tab w:leader="none" w:pos="2000" w:val="left"/>
        </w:tabs>
        <w:numPr>
          <w:ilvl w:val="1"/>
          <w:numId w:val="47"/>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in Connecton with a Change in Control</w:t>
      </w:r>
      <w:r>
        <w:rPr>
          <w:rFonts w:ascii="Calibri" w:cs="Calibri" w:eastAsia="Calibri" w:hAnsi="Calibri"/>
          <w:sz w:val="17"/>
          <w:szCs w:val="17"/>
          <w:color w:val="auto"/>
        </w:rPr>
        <w:t>: All of Mr. Kapoor’s outstanding Revenue-Linked PRSUs (which converted to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tme-vested RSUs on the change in control, in accordance with the explanaton provided above) will become fully vested if</w:t>
      </w:r>
    </w:p>
    <w:p>
      <w:pPr>
        <w:spacing w:after="0" w:line="2" w:lineRule="exact"/>
        <w:rPr>
          <w:rFonts w:ascii="Calibri" w:cs="Calibri" w:eastAsia="Calibri" w:hAnsi="Calibri"/>
          <w:sz w:val="17"/>
          <w:szCs w:val="17"/>
          <w:color w:val="auto"/>
        </w:rPr>
      </w:pPr>
    </w:p>
    <w:p>
      <w:pPr>
        <w:ind w:left="2000" w:right="140" w:hanging="6"/>
        <w:spacing w:after="0" w:line="239" w:lineRule="auto"/>
        <w:tabs>
          <w:tab w:leader="none" w:pos="2180" w:val="left"/>
        </w:tabs>
        <w:numPr>
          <w:ilvl w:val="2"/>
          <w:numId w:val="47"/>
        </w:numPr>
        <w:rPr>
          <w:rFonts w:ascii="Calibri" w:cs="Calibri" w:eastAsia="Calibri" w:hAnsi="Calibri"/>
          <w:sz w:val="17"/>
          <w:szCs w:val="17"/>
          <w:color w:val="auto"/>
        </w:rPr>
      </w:pPr>
      <w:r>
        <w:rPr>
          <w:rFonts w:ascii="Calibri" w:cs="Calibri" w:eastAsia="Calibri" w:hAnsi="Calibri"/>
          <w:sz w:val="17"/>
          <w:szCs w:val="17"/>
          <w:color w:val="auto"/>
        </w:rPr>
        <w:t>following or in specifc contemplaton of a change in control, Mr. Kapoor is terminated without cause, or (ii) within 12 months following a change in control, he resigns for good reason.</w:t>
      </w:r>
    </w:p>
    <w:p>
      <w:pPr>
        <w:spacing w:after="0" w:line="120" w:lineRule="exact"/>
        <w:rPr>
          <w:rFonts w:ascii="Calibri" w:cs="Calibri" w:eastAsia="Calibri" w:hAnsi="Calibri"/>
          <w:sz w:val="17"/>
          <w:szCs w:val="17"/>
          <w:color w:val="auto"/>
        </w:rPr>
      </w:pPr>
    </w:p>
    <w:p>
      <w:pPr>
        <w:ind w:left="2000" w:right="280" w:hanging="422"/>
        <w:spacing w:after="0" w:line="239" w:lineRule="auto"/>
        <w:tabs>
          <w:tab w:leader="none" w:pos="2000" w:val="left"/>
        </w:tabs>
        <w:numPr>
          <w:ilvl w:val="1"/>
          <w:numId w:val="47"/>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color w:val="auto"/>
        </w:rPr>
        <w:t>: If Mr. Kapoor dies prior to the end of the performance period, he will generally become vested in the target number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Revenue-Linked PRSUs.</w:t>
      </w:r>
    </w:p>
    <w:p>
      <w:pPr>
        <w:spacing w:after="0" w:line="120" w:lineRule="exact"/>
        <w:rPr>
          <w:rFonts w:ascii="Calibri" w:cs="Calibri" w:eastAsia="Calibri" w:hAnsi="Calibri"/>
          <w:sz w:val="17"/>
          <w:szCs w:val="17"/>
          <w:color w:val="auto"/>
        </w:rPr>
      </w:pPr>
    </w:p>
    <w:p>
      <w:pPr>
        <w:ind w:left="2000" w:right="40" w:hanging="422"/>
        <w:spacing w:after="0" w:line="239" w:lineRule="auto"/>
        <w:tabs>
          <w:tab w:leader="none" w:pos="2000" w:val="left"/>
        </w:tabs>
        <w:numPr>
          <w:ilvl w:val="1"/>
          <w:numId w:val="47"/>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Mr. Kapoor retres at age 60 or older, his unvested Revenue-Linked PRSUs will remain outstanding and eligible to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vest for a period of 27 months following his retrement. Because Mr. Kapoor is not yet 60, he is ineligible for retrement treatment with respect to his equity.</w:t>
      </w:r>
    </w:p>
    <w:p>
      <w:pPr>
        <w:spacing w:after="0" w:line="120" w:lineRule="exact"/>
        <w:rPr>
          <w:rFonts w:ascii="Calibri" w:cs="Calibri" w:eastAsia="Calibri" w:hAnsi="Calibri"/>
          <w:sz w:val="17"/>
          <w:szCs w:val="17"/>
          <w:color w:val="auto"/>
        </w:rPr>
      </w:pPr>
    </w:p>
    <w:p>
      <w:pPr>
        <w:ind w:left="1140" w:hanging="407"/>
        <w:spacing w:after="0"/>
        <w:tabs>
          <w:tab w:leader="none" w:pos="1140" w:val="left"/>
        </w:tabs>
        <w:numPr>
          <w:ilvl w:val="0"/>
          <w:numId w:val="47"/>
        </w:numPr>
        <w:rPr>
          <w:rFonts w:ascii="Calibri" w:cs="Calibri" w:eastAsia="Calibri" w:hAnsi="Calibri"/>
          <w:sz w:val="17"/>
          <w:szCs w:val="17"/>
          <w:color w:val="auto"/>
        </w:rPr>
      </w:pPr>
      <w:r>
        <w:rPr>
          <w:rFonts w:ascii="Calibri" w:cs="Calibri" w:eastAsia="Calibri" w:hAnsi="Calibri"/>
          <w:sz w:val="17"/>
          <w:szCs w:val="17"/>
          <w:b w:val="1"/>
          <w:bCs w:val="1"/>
          <w:color w:val="auto"/>
        </w:rPr>
        <w:t>Relatve TSR-Linked PRSUs:</w:t>
      </w:r>
    </w:p>
    <w:p>
      <w:pPr>
        <w:spacing w:after="0" w:line="117" w:lineRule="exact"/>
        <w:rPr>
          <w:rFonts w:ascii="Calibri" w:cs="Calibri" w:eastAsia="Calibri" w:hAnsi="Calibri"/>
          <w:sz w:val="17"/>
          <w:szCs w:val="17"/>
          <w:color w:val="auto"/>
        </w:rPr>
      </w:pPr>
    </w:p>
    <w:p>
      <w:pPr>
        <w:ind w:left="2000" w:hanging="422"/>
        <w:spacing w:after="0"/>
        <w:tabs>
          <w:tab w:leader="none" w:pos="2000" w:val="left"/>
        </w:tabs>
        <w:numPr>
          <w:ilvl w:val="1"/>
          <w:numId w:val="47"/>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w:t>
      </w:r>
    </w:p>
    <w:p>
      <w:pPr>
        <w:spacing w:after="0" w:line="119" w:lineRule="exact"/>
        <w:rPr>
          <w:rFonts w:ascii="Calibri" w:cs="Calibri" w:eastAsia="Calibri" w:hAnsi="Calibri"/>
          <w:sz w:val="17"/>
          <w:szCs w:val="17"/>
          <w:color w:val="auto"/>
        </w:rPr>
      </w:pPr>
    </w:p>
    <w:p>
      <w:pPr>
        <w:ind w:left="2640" w:right="680" w:hanging="424"/>
        <w:spacing w:after="0" w:line="239" w:lineRule="auto"/>
        <w:tabs>
          <w:tab w:leader="none" w:pos="2640" w:val="left"/>
        </w:tabs>
        <w:numPr>
          <w:ilvl w:val="3"/>
          <w:numId w:val="47"/>
        </w:numPr>
        <w:rPr>
          <w:rFonts w:ascii="Calibri" w:cs="Calibri" w:eastAsia="Calibri" w:hAnsi="Calibri"/>
          <w:sz w:val="17"/>
          <w:szCs w:val="17"/>
          <w:color w:val="auto"/>
        </w:rPr>
      </w:pPr>
      <w:r>
        <w:rPr>
          <w:rFonts w:ascii="Calibri" w:cs="Calibri" w:eastAsia="Calibri" w:hAnsi="Calibri"/>
          <w:sz w:val="17"/>
          <w:szCs w:val="17"/>
          <w:color w:val="auto"/>
        </w:rPr>
        <w:t>If a change in control occurs on or prior to the frst anniversary of the grant date, 100% of Mr. Kapoor’s Relatve TSR-Linked PRSUs will be deemed earned.</w:t>
      </w:r>
    </w:p>
    <w:p>
      <w:pPr>
        <w:spacing w:after="0" w:line="120" w:lineRule="exact"/>
        <w:rPr>
          <w:rFonts w:ascii="Calibri" w:cs="Calibri" w:eastAsia="Calibri" w:hAnsi="Calibri"/>
          <w:sz w:val="17"/>
          <w:szCs w:val="17"/>
          <w:color w:val="auto"/>
        </w:rPr>
      </w:pPr>
    </w:p>
    <w:p>
      <w:pPr>
        <w:ind w:left="2640" w:right="100" w:hanging="424"/>
        <w:spacing w:after="0" w:line="239" w:lineRule="auto"/>
        <w:tabs>
          <w:tab w:leader="none" w:pos="2640" w:val="left"/>
        </w:tabs>
        <w:numPr>
          <w:ilvl w:val="3"/>
          <w:numId w:val="47"/>
        </w:numPr>
        <w:rPr>
          <w:rFonts w:ascii="Calibri" w:cs="Calibri" w:eastAsia="Calibri" w:hAnsi="Calibri"/>
          <w:sz w:val="17"/>
          <w:szCs w:val="17"/>
          <w:color w:val="auto"/>
        </w:rPr>
      </w:pPr>
      <w:r>
        <w:rPr>
          <w:rFonts w:ascii="Calibri" w:cs="Calibri" w:eastAsia="Calibri" w:hAnsi="Calibri"/>
          <w:sz w:val="17"/>
          <w:szCs w:val="17"/>
          <w:color w:val="auto"/>
        </w:rPr>
        <w:t>If a change in control occurs afer the frst anniversary of the grant date, the performance period will be deemed to end on the date of the change in control and the Compensaton and Talent Management Commitee will determine the number of earned Relatve TSR-Linked PRSUs based on actual performance as of the change in control.</w:t>
      </w:r>
    </w:p>
    <w:p>
      <w:pPr>
        <w:spacing w:after="0" w:line="121" w:lineRule="exact"/>
        <w:rPr>
          <w:rFonts w:ascii="Calibri" w:cs="Calibri" w:eastAsia="Calibri" w:hAnsi="Calibri"/>
          <w:sz w:val="17"/>
          <w:szCs w:val="17"/>
          <w:color w:val="auto"/>
        </w:rPr>
      </w:pPr>
    </w:p>
    <w:p>
      <w:pPr>
        <w:ind w:left="2640" w:right="160" w:hanging="424"/>
        <w:spacing w:after="0"/>
        <w:tabs>
          <w:tab w:leader="none" w:pos="2640" w:val="left"/>
        </w:tabs>
        <w:numPr>
          <w:ilvl w:val="3"/>
          <w:numId w:val="47"/>
        </w:numPr>
        <w:rPr>
          <w:rFonts w:ascii="Calibri" w:cs="Calibri" w:eastAsia="Calibri" w:hAnsi="Calibri"/>
          <w:sz w:val="17"/>
          <w:szCs w:val="17"/>
          <w:color w:val="auto"/>
        </w:rPr>
      </w:pPr>
      <w:r>
        <w:rPr>
          <w:rFonts w:ascii="Calibri" w:cs="Calibri" w:eastAsia="Calibri" w:hAnsi="Calibri"/>
          <w:sz w:val="17"/>
          <w:szCs w:val="17"/>
          <w:color w:val="auto"/>
        </w:rPr>
        <w:t>In either scenario, the Relatve TSR-Linked PRSUs that are deemed earned will convert to tme-vested RSUs. They will retroactvely be deemed subject to a three-year ratable vestng schedule, with each deemed vestng date occurring on the last day of each calendar year within the performance period. Any RSUs that are deemed to have vested on a prior date, as well as any RSUs that are deemed scheduled to</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92 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1" w:right="6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348" w:lineRule="exact"/>
        <w:rPr>
          <w:sz w:val="20"/>
          <w:szCs w:val="20"/>
          <w:color w:val="auto"/>
        </w:rPr>
      </w:pPr>
    </w:p>
    <w:p>
      <w:pPr>
        <w:ind w:left="2640" w:right="180"/>
        <w:spacing w:after="0" w:line="239" w:lineRule="auto"/>
        <w:rPr>
          <w:sz w:val="20"/>
          <w:szCs w:val="20"/>
          <w:color w:val="auto"/>
        </w:rPr>
      </w:pPr>
      <w:r>
        <w:rPr>
          <w:rFonts w:ascii="Calibri" w:cs="Calibri" w:eastAsia="Calibri" w:hAnsi="Calibri"/>
          <w:sz w:val="17"/>
          <w:szCs w:val="17"/>
          <w:color w:val="auto"/>
        </w:rPr>
        <w:t>vest within the next 12 months, will vest upon the change in control. Any remaining RSUs will be subject to tme-based vestng through the last day of the original three-year performance period.</w:t>
      </w:r>
    </w:p>
    <w:p>
      <w:pPr>
        <w:spacing w:after="0" w:line="120" w:lineRule="exact"/>
        <w:rPr>
          <w:sz w:val="20"/>
          <w:szCs w:val="20"/>
          <w:color w:val="auto"/>
        </w:rPr>
      </w:pPr>
    </w:p>
    <w:p>
      <w:pPr>
        <w:ind w:left="2000" w:right="300" w:hanging="422"/>
        <w:spacing w:after="0" w:line="239" w:lineRule="auto"/>
        <w:tabs>
          <w:tab w:leader="none" w:pos="2000" w:val="left"/>
        </w:tabs>
        <w:numPr>
          <w:ilvl w:val="0"/>
          <w:numId w:val="48"/>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without Cause or Resignaton for Good Reason in Connecton with a Change in Control</w:t>
      </w:r>
      <w:r>
        <w:rPr>
          <w:rFonts w:ascii="Calibri" w:cs="Calibri" w:eastAsia="Calibri" w:hAnsi="Calibri"/>
          <w:sz w:val="17"/>
          <w:szCs w:val="17"/>
          <w:color w:val="auto"/>
        </w:rPr>
        <w:t>: All of Mr. Kapoor’s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outstanding, earned TSR-Linked PRSUs (which converted to tme-vested RSUS on the change in control, in accordance with the explanaton provided above) will become fully vested if (i) following, or in specifc contemplaton of a change in control,</w:t>
      </w:r>
    </w:p>
    <w:p>
      <w:pPr>
        <w:spacing w:after="0" w:line="3" w:lineRule="exact"/>
        <w:rPr>
          <w:rFonts w:ascii="Calibri" w:cs="Calibri" w:eastAsia="Calibri" w:hAnsi="Calibri"/>
          <w:sz w:val="17"/>
          <w:szCs w:val="17"/>
          <w:color w:val="auto"/>
        </w:rPr>
      </w:pPr>
    </w:p>
    <w:p>
      <w:pPr>
        <w:ind w:left="2000"/>
        <w:spacing w:after="0"/>
        <w:rPr>
          <w:rFonts w:ascii="Calibri" w:cs="Calibri" w:eastAsia="Calibri" w:hAnsi="Calibri"/>
          <w:sz w:val="17"/>
          <w:szCs w:val="17"/>
          <w:color w:val="auto"/>
        </w:rPr>
      </w:pPr>
      <w:r>
        <w:rPr>
          <w:rFonts w:ascii="Calibri" w:cs="Calibri" w:eastAsia="Calibri" w:hAnsi="Calibri"/>
          <w:sz w:val="17"/>
          <w:szCs w:val="17"/>
          <w:color w:val="auto"/>
        </w:rPr>
        <w:t>Mr. Kapoor is terminated without cause or (ii) within 12 months following a change in control, he resigns for good reason.</w:t>
      </w:r>
    </w:p>
    <w:p>
      <w:pPr>
        <w:spacing w:after="0" w:line="119" w:lineRule="exact"/>
        <w:rPr>
          <w:rFonts w:ascii="Calibri" w:cs="Calibri" w:eastAsia="Calibri" w:hAnsi="Calibri"/>
          <w:sz w:val="17"/>
          <w:szCs w:val="17"/>
          <w:color w:val="auto"/>
        </w:rPr>
      </w:pPr>
    </w:p>
    <w:p>
      <w:pPr>
        <w:ind w:left="2000" w:right="320" w:hanging="422"/>
        <w:spacing w:after="0" w:line="239" w:lineRule="auto"/>
        <w:tabs>
          <w:tab w:leader="none" w:pos="2000" w:val="left"/>
        </w:tabs>
        <w:numPr>
          <w:ilvl w:val="0"/>
          <w:numId w:val="48"/>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If Mr. Kapoor dies prior to the end of the performance period, he will generally become vested in the target number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TSR-Linked PRSUs.</w:t>
      </w:r>
    </w:p>
    <w:p>
      <w:pPr>
        <w:spacing w:after="0" w:line="120" w:lineRule="exact"/>
        <w:rPr>
          <w:rFonts w:ascii="Calibri" w:cs="Calibri" w:eastAsia="Calibri" w:hAnsi="Calibri"/>
          <w:sz w:val="17"/>
          <w:szCs w:val="17"/>
          <w:color w:val="auto"/>
        </w:rPr>
      </w:pPr>
    </w:p>
    <w:p>
      <w:pPr>
        <w:ind w:left="2000" w:right="60" w:hanging="422"/>
        <w:spacing w:after="0" w:line="239" w:lineRule="auto"/>
        <w:tabs>
          <w:tab w:leader="none" w:pos="2000" w:val="left"/>
        </w:tabs>
        <w:numPr>
          <w:ilvl w:val="0"/>
          <w:numId w:val="48"/>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Mr. Kapoor retres at age 60 or older, his unvested TSR-Linked PRSUs will remain outstanding and eligible to vest for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 period of 27 months following his retrement. Because Mr. Kapoor is not yet 60, he is ineligible for retrement treatment with respect to his equity.</w:t>
      </w:r>
    </w:p>
    <w:p>
      <w:pPr>
        <w:spacing w:after="0" w:line="213"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Mr. Kapoor’s severance payments and terminaton-related equity acceleraton are subject to his executon of a waiver and release of claims against us. Mr. Kapoor is subject to perpetual confdentality and non-disparagement restrictons as well as noncompetton and non-solicitaton restrictons during his employment and for one year thereafer.</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Code Secton 280G</w:t>
      </w:r>
    </w:p>
    <w:p>
      <w:pPr>
        <w:spacing w:after="0" w:line="106" w:lineRule="exact"/>
        <w:rPr>
          <w:sz w:val="20"/>
          <w:szCs w:val="20"/>
          <w:color w:val="auto"/>
        </w:rPr>
      </w:pPr>
    </w:p>
    <w:p>
      <w:pPr>
        <w:ind w:left="320" w:right="160"/>
        <w:spacing w:after="0" w:line="262" w:lineRule="auto"/>
        <w:rPr>
          <w:sz w:val="20"/>
          <w:szCs w:val="20"/>
          <w:color w:val="auto"/>
        </w:rPr>
      </w:pPr>
      <w:r>
        <w:rPr>
          <w:rFonts w:ascii="Calibri" w:cs="Calibri" w:eastAsia="Calibri" w:hAnsi="Calibri"/>
          <w:sz w:val="16"/>
          <w:szCs w:val="16"/>
          <w:color w:val="auto"/>
        </w:rPr>
        <w:t>Mr. Kapoor’s employment agreement also contains a “modifed cut-back” provision such that any payments that consttute “excess parachute payments” under Secton 280G of the Code will be reduced to an amount that does not trigger the applicable excise taxes, to the extent such reduced amount is larger than the amount Mr. Kapoor would have received on a present value net-afer-tax basis (including excise taxes) absent such a reducton.</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Terminaton</w:t>
            </w:r>
          </w:p>
        </w:tc>
        <w:tc>
          <w:tcPr>
            <w:tcW w:w="660" w:type="dxa"/>
            <w:vAlign w:val="bottom"/>
          </w:tcPr>
          <w:p>
            <w:pPr>
              <w:spacing w:after="0"/>
              <w:rPr>
                <w:sz w:val="14"/>
                <w:szCs w:val="14"/>
                <w:color w:val="auto"/>
              </w:rPr>
            </w:pPr>
          </w:p>
        </w:tc>
      </w:tr>
      <w:tr>
        <w:trPr>
          <w:trHeight w:val="169"/>
        </w:trPr>
        <w:tc>
          <w:tcPr>
            <w:tcW w:w="2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without cause or for</w:t>
            </w:r>
          </w:p>
        </w:tc>
        <w:tc>
          <w:tcPr>
            <w:tcW w:w="660" w:type="dxa"/>
            <w:vAlign w:val="bottom"/>
          </w:tcPr>
          <w:p>
            <w:pPr>
              <w:spacing w:after="0"/>
              <w:rPr>
                <w:sz w:val="14"/>
                <w:szCs w:val="14"/>
                <w:color w:val="auto"/>
              </w:rPr>
            </w:pPr>
          </w:p>
        </w:tc>
      </w:tr>
      <w:tr>
        <w:trPr>
          <w:trHeight w:val="169"/>
        </w:trPr>
        <w:tc>
          <w:tcPr>
            <w:tcW w:w="2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good reason</w:t>
            </w:r>
          </w:p>
        </w:tc>
        <w:tc>
          <w:tcPr>
            <w:tcW w:w="660" w:type="dxa"/>
            <w:vAlign w:val="bottom"/>
          </w:tcPr>
          <w:p>
            <w:pPr>
              <w:spacing w:after="0"/>
              <w:rPr>
                <w:sz w:val="14"/>
                <w:szCs w:val="14"/>
                <w:color w:val="auto"/>
              </w:rPr>
            </w:pPr>
          </w:p>
        </w:tc>
      </w:tr>
      <w:tr>
        <w:trPr>
          <w:trHeight w:val="169"/>
        </w:trPr>
        <w:tc>
          <w:tcPr>
            <w:tcW w:w="2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6"/>
              </w:rPr>
              <w:t>following change</w:t>
            </w:r>
          </w:p>
        </w:tc>
        <w:tc>
          <w:tcPr>
            <w:tcW w:w="660" w:type="dxa"/>
            <w:vAlign w:val="bottom"/>
          </w:tcPr>
          <w:p>
            <w:pPr>
              <w:spacing w:after="0"/>
              <w:rPr>
                <w:sz w:val="14"/>
                <w:szCs w:val="14"/>
                <w:color w:val="auto"/>
              </w:rPr>
            </w:pPr>
          </w:p>
        </w:tc>
      </w:tr>
      <w:tr>
        <w:trPr>
          <w:trHeight w:val="169"/>
        </w:trPr>
        <w:tc>
          <w:tcPr>
            <w:tcW w:w="2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in control or</w:t>
            </w:r>
          </w:p>
        </w:tc>
        <w:tc>
          <w:tcPr>
            <w:tcW w:w="660" w:type="dxa"/>
            <w:vAlign w:val="bottom"/>
          </w:tcPr>
          <w:p>
            <w:pPr>
              <w:spacing w:after="0"/>
              <w:rPr>
                <w:sz w:val="14"/>
                <w:szCs w:val="14"/>
                <w:color w:val="auto"/>
              </w:rPr>
            </w:pPr>
          </w:p>
        </w:tc>
      </w:tr>
      <w:tr>
        <w:trPr>
          <w:trHeight w:val="169"/>
        </w:trPr>
        <w:tc>
          <w:tcPr>
            <w:tcW w:w="2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terminaton</w:t>
            </w:r>
          </w:p>
        </w:tc>
        <w:tc>
          <w:tcPr>
            <w:tcW w:w="660" w:type="dxa"/>
            <w:vAlign w:val="bottom"/>
          </w:tcPr>
          <w:p>
            <w:pPr>
              <w:spacing w:after="0"/>
              <w:rPr>
                <w:sz w:val="14"/>
                <w:szCs w:val="14"/>
                <w:color w:val="auto"/>
              </w:rPr>
            </w:pPr>
          </w:p>
        </w:tc>
      </w:tr>
      <w:tr>
        <w:trPr>
          <w:trHeight w:val="169"/>
        </w:trPr>
        <w:tc>
          <w:tcPr>
            <w:tcW w:w="2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without cause in</w:t>
            </w:r>
          </w:p>
        </w:tc>
        <w:tc>
          <w:tcPr>
            <w:tcW w:w="660" w:type="dxa"/>
            <w:vAlign w:val="bottom"/>
          </w:tcPr>
          <w:p>
            <w:pPr>
              <w:spacing w:after="0"/>
              <w:rPr>
                <w:sz w:val="14"/>
                <w:szCs w:val="14"/>
                <w:color w:val="auto"/>
              </w:rPr>
            </w:pPr>
          </w:p>
        </w:tc>
      </w:tr>
      <w:tr>
        <w:trPr>
          <w:trHeight w:val="169"/>
        </w:trPr>
        <w:tc>
          <w:tcPr>
            <w:tcW w:w="2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Terminaton for</w:t>
            </w:r>
          </w:p>
        </w:tc>
        <w:tc>
          <w:tcPr>
            <w:tcW w:w="12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specifc</w:t>
            </w:r>
          </w:p>
        </w:tc>
        <w:tc>
          <w:tcPr>
            <w:tcW w:w="660" w:type="dxa"/>
            <w:vAlign w:val="bottom"/>
          </w:tcPr>
          <w:p>
            <w:pPr>
              <w:spacing w:after="0"/>
              <w:rPr>
                <w:sz w:val="14"/>
                <w:szCs w:val="14"/>
                <w:color w:val="auto"/>
              </w:rPr>
            </w:pPr>
          </w:p>
        </w:tc>
      </w:tr>
      <w:tr>
        <w:trPr>
          <w:trHeight w:val="169"/>
        </w:trPr>
        <w:tc>
          <w:tcPr>
            <w:tcW w:w="244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Death prior to a</w:t>
            </w:r>
          </w:p>
        </w:tc>
        <w:tc>
          <w:tcPr>
            <w:tcW w:w="12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Death afer a</w:t>
            </w:r>
          </w:p>
        </w:tc>
        <w:tc>
          <w:tcPr>
            <w:tcW w:w="1180" w:type="dxa"/>
            <w:vAlign w:val="bottom"/>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good reason or</w:t>
            </w: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contemplaton of</w:t>
            </w:r>
          </w:p>
        </w:tc>
        <w:tc>
          <w:tcPr>
            <w:tcW w:w="660" w:type="dxa"/>
            <w:vAlign w:val="bottom"/>
          </w:tcPr>
          <w:p>
            <w:pPr>
              <w:spacing w:after="0"/>
              <w:rPr>
                <w:sz w:val="14"/>
                <w:szCs w:val="14"/>
                <w:color w:val="auto"/>
              </w:rPr>
            </w:pPr>
          </w:p>
        </w:tc>
      </w:tr>
      <w:tr>
        <w:trPr>
          <w:trHeight w:val="172"/>
        </w:trPr>
        <w:tc>
          <w:tcPr>
            <w:tcW w:w="2440" w:type="dxa"/>
            <w:vAlign w:val="bottom"/>
          </w:tcPr>
          <w:p>
            <w:pPr>
              <w:spacing w:after="0" w:line="169" w:lineRule="exact"/>
              <w:rPr>
                <w:sz w:val="20"/>
                <w:szCs w:val="20"/>
                <w:color w:val="auto"/>
              </w:rPr>
            </w:pPr>
            <w:r>
              <w:rPr>
                <w:rFonts w:ascii="Calibri" w:cs="Calibri" w:eastAsia="Calibri" w:hAnsi="Calibri"/>
                <w:sz w:val="14"/>
                <w:szCs w:val="14"/>
                <w:b w:val="1"/>
                <w:bCs w:val="1"/>
                <w:color w:val="FB4E0B"/>
              </w:rPr>
              <w:t>  Payments upon</w:t>
            </w: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change in control</w:t>
            </w:r>
          </w:p>
        </w:tc>
        <w:tc>
          <w:tcPr>
            <w:tcW w:w="12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180" w:type="dxa"/>
            <w:vAlign w:val="bottom"/>
          </w:tcPr>
          <w:p>
            <w:pPr>
              <w:jc w:val="right"/>
              <w:ind w:right="271"/>
              <w:spacing w:after="0" w:line="169" w:lineRule="exact"/>
              <w:rPr>
                <w:sz w:val="20"/>
                <w:szCs w:val="20"/>
                <w:color w:val="auto"/>
              </w:rPr>
            </w:pPr>
            <w:r>
              <w:rPr>
                <w:rFonts w:ascii="Calibri" w:cs="Calibri" w:eastAsia="Calibri" w:hAnsi="Calibri"/>
                <w:sz w:val="14"/>
                <w:szCs w:val="14"/>
                <w:b w:val="1"/>
                <w:bCs w:val="1"/>
                <w:color w:val="auto"/>
              </w:rPr>
              <w:t>Disability</w:t>
            </w:r>
          </w:p>
        </w:tc>
        <w:tc>
          <w:tcPr>
            <w:tcW w:w="1240" w:type="dxa"/>
            <w:vAlign w:val="bottom"/>
          </w:tcPr>
          <w:p>
            <w:pPr>
              <w:jc w:val="center"/>
              <w:spacing w:after="0" w:line="173" w:lineRule="exact"/>
              <w:rPr>
                <w:sz w:val="20"/>
                <w:szCs w:val="20"/>
                <w:color w:val="auto"/>
              </w:rPr>
            </w:pPr>
            <w:r>
              <w:rPr>
                <w:rFonts w:ascii="Calibri" w:cs="Calibri" w:eastAsia="Calibri" w:hAnsi="Calibri"/>
                <w:sz w:val="13"/>
                <w:szCs w:val="13"/>
                <w:b w:val="1"/>
                <w:bCs w:val="1"/>
                <w:color w:val="auto"/>
              </w:rPr>
              <w:t>without cause</w:t>
            </w:r>
            <w:r>
              <w:rPr>
                <w:rFonts w:ascii="Calibri" w:cs="Calibri" w:eastAsia="Calibri" w:hAnsi="Calibri"/>
                <w:sz w:val="18"/>
                <w:szCs w:val="18"/>
                <w:b w:val="1"/>
                <w:bCs w:val="1"/>
                <w:color w:val="auto"/>
                <w:vertAlign w:val="superscript"/>
              </w:rPr>
              <w:t>(1)</w:t>
            </w: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5"/>
              </w:rPr>
              <w:t>control</w:t>
            </w: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change in control</w:t>
            </w:r>
          </w:p>
        </w:tc>
        <w:tc>
          <w:tcPr>
            <w:tcW w:w="660" w:type="dxa"/>
            <w:vAlign w:val="bottom"/>
          </w:tcPr>
          <w:p>
            <w:pPr>
              <w:spacing w:after="0"/>
              <w:rPr>
                <w:sz w:val="14"/>
                <w:szCs w:val="14"/>
                <w:color w:val="auto"/>
              </w:rPr>
            </w:pPr>
          </w:p>
        </w:tc>
      </w:tr>
      <w:tr>
        <w:trPr>
          <w:trHeight w:val="179"/>
        </w:trPr>
        <w:tc>
          <w:tcPr>
            <w:tcW w:w="2440" w:type="dxa"/>
            <w:vAlign w:val="bottom"/>
          </w:tcPr>
          <w:p>
            <w:pPr>
              <w:spacing w:after="0" w:line="166" w:lineRule="exact"/>
              <w:rPr>
                <w:sz w:val="20"/>
                <w:szCs w:val="20"/>
                <w:color w:val="auto"/>
              </w:rPr>
            </w:pPr>
            <w:r>
              <w:rPr>
                <w:rFonts w:ascii="Calibri" w:cs="Calibri" w:eastAsia="Calibri" w:hAnsi="Calibri"/>
                <w:sz w:val="14"/>
                <w:szCs w:val="14"/>
                <w:b w:val="1"/>
                <w:bCs w:val="1"/>
                <w:color w:val="FB4E0B"/>
              </w:rPr>
              <w:t>  Terminaton</w:t>
            </w:r>
          </w:p>
        </w:tc>
        <w:tc>
          <w:tcPr>
            <w:tcW w:w="12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12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88"/>
              </w:rPr>
              <w:t>($)</w:t>
            </w:r>
          </w:p>
        </w:tc>
        <w:tc>
          <w:tcPr>
            <w:tcW w:w="1180" w:type="dxa"/>
            <w:vAlign w:val="bottom"/>
          </w:tcPr>
          <w:p>
            <w:pPr>
              <w:jc w:val="right"/>
              <w:ind w:right="451"/>
              <w:spacing w:after="0" w:line="166" w:lineRule="exact"/>
              <w:rPr>
                <w:sz w:val="20"/>
                <w:szCs w:val="20"/>
                <w:color w:val="auto"/>
              </w:rPr>
            </w:pPr>
            <w:r>
              <w:rPr>
                <w:rFonts w:ascii="Calibri" w:cs="Calibri" w:eastAsia="Calibri" w:hAnsi="Calibri"/>
                <w:sz w:val="14"/>
                <w:szCs w:val="14"/>
                <w:b w:val="1"/>
                <w:bCs w:val="1"/>
                <w:color w:val="auto"/>
              </w:rPr>
              <w:t>($)</w:t>
            </w:r>
          </w:p>
        </w:tc>
        <w:tc>
          <w:tcPr>
            <w:tcW w:w="12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88"/>
              </w:rPr>
              <w:t>($)</w:t>
            </w:r>
          </w:p>
        </w:tc>
        <w:tc>
          <w:tcPr>
            <w:tcW w:w="12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13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660" w:type="dxa"/>
            <w:vAlign w:val="bottom"/>
          </w:tcPr>
          <w:p>
            <w:pPr>
              <w:spacing w:after="0"/>
              <w:rPr>
                <w:sz w:val="20"/>
                <w:szCs w:val="20"/>
                <w:color w:val="auto"/>
              </w:rPr>
            </w:pPr>
            <w:r>
              <w:rPr>
                <w:rFonts w:ascii="Calibri" w:cs="Calibri" w:eastAsia="Calibri" w:hAnsi="Calibri"/>
                <w:sz w:val="14"/>
                <w:szCs w:val="14"/>
                <w:b w:val="1"/>
                <w:bCs w:val="1"/>
                <w:color w:val="auto"/>
              </w:rPr>
              <w:t>Retrement</w:t>
            </w:r>
          </w:p>
        </w:tc>
      </w:tr>
      <w:tr>
        <w:trPr>
          <w:trHeight w:val="37"/>
        </w:trPr>
        <w:tc>
          <w:tcPr>
            <w:tcW w:w="2440" w:type="dxa"/>
            <w:vAlign w:val="bottom"/>
            <w:tcBorders>
              <w:bottom w:val="single" w:sz="8" w:color="FB4E0B"/>
            </w:tcBorders>
          </w:tcPr>
          <w:p>
            <w:pPr>
              <w:spacing w:after="0"/>
              <w:rPr>
                <w:sz w:val="3"/>
                <w:szCs w:val="3"/>
                <w:color w:val="auto"/>
              </w:rPr>
            </w:pPr>
          </w:p>
        </w:tc>
        <w:tc>
          <w:tcPr>
            <w:tcW w:w="1260" w:type="dxa"/>
            <w:vAlign w:val="bottom"/>
            <w:tcBorders>
              <w:bottom w:val="single" w:sz="8" w:color="FB4E0B"/>
            </w:tcBorders>
          </w:tcPr>
          <w:p>
            <w:pPr>
              <w:spacing w:after="0"/>
              <w:rPr>
                <w:sz w:val="3"/>
                <w:szCs w:val="3"/>
                <w:color w:val="auto"/>
              </w:rPr>
            </w:pPr>
          </w:p>
        </w:tc>
        <w:tc>
          <w:tcPr>
            <w:tcW w:w="1240" w:type="dxa"/>
            <w:vAlign w:val="bottom"/>
            <w:tcBorders>
              <w:bottom w:val="single" w:sz="8" w:color="FB4E0B"/>
            </w:tcBorders>
          </w:tcPr>
          <w:p>
            <w:pPr>
              <w:spacing w:after="0"/>
              <w:rPr>
                <w:sz w:val="3"/>
                <w:szCs w:val="3"/>
                <w:color w:val="auto"/>
              </w:rPr>
            </w:pPr>
          </w:p>
        </w:tc>
        <w:tc>
          <w:tcPr>
            <w:tcW w:w="1180" w:type="dxa"/>
            <w:vAlign w:val="bottom"/>
            <w:tcBorders>
              <w:bottom w:val="single" w:sz="8" w:color="FB4E0B"/>
            </w:tcBorders>
          </w:tcPr>
          <w:p>
            <w:pPr>
              <w:spacing w:after="0"/>
              <w:rPr>
                <w:sz w:val="3"/>
                <w:szCs w:val="3"/>
                <w:color w:val="auto"/>
              </w:rPr>
            </w:pPr>
          </w:p>
        </w:tc>
        <w:tc>
          <w:tcPr>
            <w:tcW w:w="1240" w:type="dxa"/>
            <w:vAlign w:val="bottom"/>
            <w:tcBorders>
              <w:bottom w:val="single" w:sz="8" w:color="FB4E0B"/>
            </w:tcBorders>
          </w:tcPr>
          <w:p>
            <w:pPr>
              <w:spacing w:after="0"/>
              <w:rPr>
                <w:sz w:val="3"/>
                <w:szCs w:val="3"/>
                <w:color w:val="auto"/>
              </w:rPr>
            </w:pPr>
          </w:p>
        </w:tc>
        <w:tc>
          <w:tcPr>
            <w:tcW w:w="1260" w:type="dxa"/>
            <w:vAlign w:val="bottom"/>
            <w:tcBorders>
              <w:bottom w:val="single" w:sz="8" w:color="FB4E0B"/>
            </w:tcBorders>
          </w:tcPr>
          <w:p>
            <w:pPr>
              <w:spacing w:after="0"/>
              <w:rPr>
                <w:sz w:val="3"/>
                <w:szCs w:val="3"/>
                <w:color w:val="auto"/>
              </w:rPr>
            </w:pPr>
          </w:p>
        </w:tc>
        <w:tc>
          <w:tcPr>
            <w:tcW w:w="1340" w:type="dxa"/>
            <w:vAlign w:val="bottom"/>
            <w:tcBorders>
              <w:bottom w:val="single" w:sz="8" w:color="FB4E0B"/>
            </w:tcBorders>
          </w:tcPr>
          <w:p>
            <w:pPr>
              <w:spacing w:after="0"/>
              <w:rPr>
                <w:sz w:val="3"/>
                <w:szCs w:val="3"/>
                <w:color w:val="auto"/>
              </w:rPr>
            </w:pPr>
          </w:p>
        </w:tc>
        <w:tc>
          <w:tcPr>
            <w:tcW w:w="660" w:type="dxa"/>
            <w:vAlign w:val="bottom"/>
            <w:tcBorders>
              <w:bottom w:val="single" w:sz="8" w:color="FB4E0B"/>
            </w:tcBorders>
          </w:tcPr>
          <w:p>
            <w:pPr>
              <w:spacing w:after="0"/>
              <w:rPr>
                <w:sz w:val="3"/>
                <w:szCs w:val="3"/>
                <w:color w:val="auto"/>
              </w:rPr>
            </w:pPr>
          </w:p>
        </w:tc>
      </w:tr>
      <w:tr>
        <w:trPr>
          <w:trHeight w:val="203"/>
        </w:trPr>
        <w:tc>
          <w:tcPr>
            <w:tcW w:w="24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 Base salary payout</w:t>
            </w:r>
          </w:p>
        </w:tc>
        <w:tc>
          <w:tcPr>
            <w:tcW w:w="126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— </w:t>
            </w:r>
          </w:p>
        </w:tc>
        <w:tc>
          <w:tcPr>
            <w:tcW w:w="124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— </w:t>
            </w:r>
          </w:p>
        </w:tc>
        <w:tc>
          <w:tcPr>
            <w:tcW w:w="118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— </w:t>
            </w:r>
          </w:p>
        </w:tc>
        <w:tc>
          <w:tcPr>
            <w:tcW w:w="124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1,630,000 </w:t>
            </w:r>
          </w:p>
        </w:tc>
        <w:tc>
          <w:tcPr>
            <w:tcW w:w="126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— </w:t>
            </w:r>
          </w:p>
        </w:tc>
        <w:tc>
          <w:tcPr>
            <w:tcW w:w="1340" w:type="dxa"/>
            <w:vAlign w:val="bottom"/>
            <w:tcBorders>
              <w:right w:val="single" w:sz="8" w:color="auto"/>
            </w:tcBorders>
          </w:tcPr>
          <w:p>
            <w:pPr>
              <w:jc w:val="right"/>
              <w:ind w:right="171"/>
              <w:spacing w:after="0"/>
              <w:rPr>
                <w:sz w:val="20"/>
                <w:szCs w:val="20"/>
                <w:color w:val="auto"/>
              </w:rPr>
            </w:pPr>
            <w:r>
              <w:rPr>
                <w:rFonts w:ascii="Calibri" w:cs="Calibri" w:eastAsia="Calibri" w:hAnsi="Calibri"/>
                <w:sz w:val="14"/>
                <w:szCs w:val="14"/>
                <w:color w:val="auto"/>
              </w:rPr>
              <w:t>1,630,000 </w:t>
            </w:r>
          </w:p>
        </w:tc>
        <w:tc>
          <w:tcPr>
            <w:tcW w:w="660" w:type="dxa"/>
            <w:vAlign w:val="bottom"/>
          </w:tcPr>
          <w:p>
            <w:pPr>
              <w:ind w:left="280"/>
              <w:spacing w:after="0"/>
              <w:rPr>
                <w:sz w:val="20"/>
                <w:szCs w:val="20"/>
                <w:color w:val="auto"/>
              </w:rPr>
            </w:pPr>
            <w:r>
              <w:rPr>
                <w:rFonts w:ascii="Calibri" w:cs="Calibri" w:eastAsia="Calibri" w:hAnsi="Calibri"/>
                <w:sz w:val="14"/>
                <w:szCs w:val="14"/>
                <w:color w:val="auto"/>
              </w:rPr>
              <w:t>— </w:t>
            </w:r>
          </w:p>
        </w:tc>
      </w:tr>
      <w:tr>
        <w:trPr>
          <w:trHeight w:val="83"/>
        </w:trPr>
        <w:tc>
          <w:tcPr>
            <w:tcW w:w="24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r>
      <w:tr>
        <w:trPr>
          <w:trHeight w:val="196"/>
        </w:trPr>
        <w:tc>
          <w:tcPr>
            <w:tcW w:w="24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 Bonus payout</w:t>
            </w:r>
          </w:p>
        </w:tc>
        <w:tc>
          <w:tcPr>
            <w:tcW w:w="126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1,514,253 </w:t>
            </w:r>
          </w:p>
        </w:tc>
        <w:tc>
          <w:tcPr>
            <w:tcW w:w="124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1,514,253 </w:t>
            </w:r>
          </w:p>
        </w:tc>
        <w:tc>
          <w:tcPr>
            <w:tcW w:w="118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1,514,253 </w:t>
            </w:r>
          </w:p>
        </w:tc>
        <w:tc>
          <w:tcPr>
            <w:tcW w:w="124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1,514,253 </w:t>
            </w:r>
          </w:p>
        </w:tc>
        <w:tc>
          <w:tcPr>
            <w:tcW w:w="126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— </w:t>
            </w:r>
          </w:p>
        </w:tc>
        <w:tc>
          <w:tcPr>
            <w:tcW w:w="1340" w:type="dxa"/>
            <w:vAlign w:val="bottom"/>
            <w:tcBorders>
              <w:right w:val="single" w:sz="8" w:color="auto"/>
            </w:tcBorders>
          </w:tcPr>
          <w:p>
            <w:pPr>
              <w:jc w:val="right"/>
              <w:ind w:right="171"/>
              <w:spacing w:after="0"/>
              <w:rPr>
                <w:sz w:val="20"/>
                <w:szCs w:val="20"/>
                <w:color w:val="auto"/>
              </w:rPr>
            </w:pPr>
            <w:r>
              <w:rPr>
                <w:rFonts w:ascii="Calibri" w:cs="Calibri" w:eastAsia="Calibri" w:hAnsi="Calibri"/>
                <w:sz w:val="14"/>
                <w:szCs w:val="14"/>
                <w:color w:val="auto"/>
              </w:rPr>
              <w:t>1,514,253 </w:t>
            </w:r>
          </w:p>
        </w:tc>
        <w:tc>
          <w:tcPr>
            <w:tcW w:w="660" w:type="dxa"/>
            <w:vAlign w:val="bottom"/>
          </w:tcPr>
          <w:p>
            <w:pPr>
              <w:ind w:left="280"/>
              <w:spacing w:after="0"/>
              <w:rPr>
                <w:sz w:val="20"/>
                <w:szCs w:val="20"/>
                <w:color w:val="auto"/>
              </w:rPr>
            </w:pPr>
            <w:r>
              <w:rPr>
                <w:rFonts w:ascii="Calibri" w:cs="Calibri" w:eastAsia="Calibri" w:hAnsi="Calibri"/>
                <w:sz w:val="14"/>
                <w:szCs w:val="14"/>
                <w:color w:val="auto"/>
              </w:rPr>
              <w:t>— </w:t>
            </w:r>
          </w:p>
        </w:tc>
      </w:tr>
      <w:tr>
        <w:trPr>
          <w:trHeight w:val="83"/>
        </w:trPr>
        <w:tc>
          <w:tcPr>
            <w:tcW w:w="24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r>
      <w:tr>
        <w:trPr>
          <w:trHeight w:val="196"/>
        </w:trPr>
        <w:tc>
          <w:tcPr>
            <w:tcW w:w="24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 Life insurance</w:t>
            </w:r>
          </w:p>
        </w:tc>
        <w:tc>
          <w:tcPr>
            <w:tcW w:w="126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— </w:t>
            </w:r>
          </w:p>
        </w:tc>
        <w:tc>
          <w:tcPr>
            <w:tcW w:w="124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— </w:t>
            </w:r>
          </w:p>
        </w:tc>
        <w:tc>
          <w:tcPr>
            <w:tcW w:w="118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— </w:t>
            </w:r>
          </w:p>
        </w:tc>
        <w:tc>
          <w:tcPr>
            <w:tcW w:w="124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4,239 </w:t>
            </w:r>
          </w:p>
        </w:tc>
        <w:tc>
          <w:tcPr>
            <w:tcW w:w="126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— </w:t>
            </w:r>
          </w:p>
        </w:tc>
        <w:tc>
          <w:tcPr>
            <w:tcW w:w="1340" w:type="dxa"/>
            <w:vAlign w:val="bottom"/>
            <w:tcBorders>
              <w:right w:val="single" w:sz="8" w:color="auto"/>
            </w:tcBorders>
          </w:tcPr>
          <w:p>
            <w:pPr>
              <w:jc w:val="right"/>
              <w:ind w:right="171"/>
              <w:spacing w:after="0"/>
              <w:rPr>
                <w:sz w:val="20"/>
                <w:szCs w:val="20"/>
                <w:color w:val="auto"/>
              </w:rPr>
            </w:pPr>
            <w:r>
              <w:rPr>
                <w:rFonts w:ascii="Calibri" w:cs="Calibri" w:eastAsia="Calibri" w:hAnsi="Calibri"/>
                <w:sz w:val="14"/>
                <w:szCs w:val="14"/>
                <w:color w:val="auto"/>
              </w:rPr>
              <w:t>4,239 </w:t>
            </w:r>
          </w:p>
        </w:tc>
        <w:tc>
          <w:tcPr>
            <w:tcW w:w="660" w:type="dxa"/>
            <w:vAlign w:val="bottom"/>
          </w:tcPr>
          <w:p>
            <w:pPr>
              <w:ind w:left="280"/>
              <w:spacing w:after="0"/>
              <w:rPr>
                <w:sz w:val="20"/>
                <w:szCs w:val="20"/>
                <w:color w:val="auto"/>
              </w:rPr>
            </w:pPr>
            <w:r>
              <w:rPr>
                <w:rFonts w:ascii="Calibri" w:cs="Calibri" w:eastAsia="Calibri" w:hAnsi="Calibri"/>
                <w:sz w:val="14"/>
                <w:szCs w:val="14"/>
                <w:color w:val="auto"/>
              </w:rPr>
              <w:t>— </w:t>
            </w:r>
          </w:p>
        </w:tc>
      </w:tr>
      <w:tr>
        <w:trPr>
          <w:trHeight w:val="83"/>
        </w:trPr>
        <w:tc>
          <w:tcPr>
            <w:tcW w:w="24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r>
      <w:tr>
        <w:trPr>
          <w:trHeight w:val="196"/>
        </w:trPr>
        <w:tc>
          <w:tcPr>
            <w:tcW w:w="24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 Health insurance</w:t>
            </w:r>
          </w:p>
        </w:tc>
        <w:tc>
          <w:tcPr>
            <w:tcW w:w="126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— </w:t>
            </w:r>
          </w:p>
        </w:tc>
        <w:tc>
          <w:tcPr>
            <w:tcW w:w="124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— </w:t>
            </w:r>
          </w:p>
        </w:tc>
        <w:tc>
          <w:tcPr>
            <w:tcW w:w="118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— </w:t>
            </w:r>
          </w:p>
        </w:tc>
        <w:tc>
          <w:tcPr>
            <w:tcW w:w="124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47,070 </w:t>
            </w:r>
          </w:p>
        </w:tc>
        <w:tc>
          <w:tcPr>
            <w:tcW w:w="126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— </w:t>
            </w:r>
          </w:p>
        </w:tc>
        <w:tc>
          <w:tcPr>
            <w:tcW w:w="1340" w:type="dxa"/>
            <w:vAlign w:val="bottom"/>
            <w:tcBorders>
              <w:right w:val="single" w:sz="8" w:color="auto"/>
            </w:tcBorders>
          </w:tcPr>
          <w:p>
            <w:pPr>
              <w:jc w:val="right"/>
              <w:ind w:right="171"/>
              <w:spacing w:after="0"/>
              <w:rPr>
                <w:sz w:val="20"/>
                <w:szCs w:val="20"/>
                <w:color w:val="auto"/>
              </w:rPr>
            </w:pPr>
            <w:r>
              <w:rPr>
                <w:rFonts w:ascii="Calibri" w:cs="Calibri" w:eastAsia="Calibri" w:hAnsi="Calibri"/>
                <w:sz w:val="14"/>
                <w:szCs w:val="14"/>
                <w:color w:val="auto"/>
              </w:rPr>
              <w:t>47,070 </w:t>
            </w:r>
          </w:p>
        </w:tc>
        <w:tc>
          <w:tcPr>
            <w:tcW w:w="660" w:type="dxa"/>
            <w:vAlign w:val="bottom"/>
          </w:tcPr>
          <w:p>
            <w:pPr>
              <w:ind w:left="280"/>
              <w:spacing w:after="0"/>
              <w:rPr>
                <w:sz w:val="20"/>
                <w:szCs w:val="20"/>
                <w:color w:val="auto"/>
              </w:rPr>
            </w:pPr>
            <w:r>
              <w:rPr>
                <w:rFonts w:ascii="Calibri" w:cs="Calibri" w:eastAsia="Calibri" w:hAnsi="Calibri"/>
                <w:sz w:val="14"/>
                <w:szCs w:val="14"/>
                <w:color w:val="auto"/>
              </w:rPr>
              <w:t>— </w:t>
            </w:r>
          </w:p>
        </w:tc>
      </w:tr>
      <w:tr>
        <w:trPr>
          <w:trHeight w:val="83"/>
        </w:trPr>
        <w:tc>
          <w:tcPr>
            <w:tcW w:w="24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r>
      <w:tr>
        <w:trPr>
          <w:trHeight w:val="196"/>
        </w:trPr>
        <w:tc>
          <w:tcPr>
            <w:tcW w:w="24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 Restricted stock units</w:t>
            </w:r>
          </w:p>
        </w:tc>
        <w:tc>
          <w:tcPr>
            <w:tcW w:w="126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9,771,583 </w:t>
            </w:r>
          </w:p>
        </w:tc>
        <w:tc>
          <w:tcPr>
            <w:tcW w:w="124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9,771,583 </w:t>
            </w:r>
          </w:p>
        </w:tc>
        <w:tc>
          <w:tcPr>
            <w:tcW w:w="118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— </w:t>
            </w:r>
          </w:p>
        </w:tc>
        <w:tc>
          <w:tcPr>
            <w:tcW w:w="124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8,965,781 </w:t>
            </w:r>
          </w:p>
        </w:tc>
        <w:tc>
          <w:tcPr>
            <w:tcW w:w="126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4,048,291 </w:t>
            </w:r>
          </w:p>
        </w:tc>
        <w:tc>
          <w:tcPr>
            <w:tcW w:w="1340" w:type="dxa"/>
            <w:vAlign w:val="bottom"/>
            <w:tcBorders>
              <w:right w:val="single" w:sz="8" w:color="auto"/>
            </w:tcBorders>
          </w:tcPr>
          <w:p>
            <w:pPr>
              <w:jc w:val="right"/>
              <w:ind w:right="171"/>
              <w:spacing w:after="0"/>
              <w:rPr>
                <w:sz w:val="20"/>
                <w:szCs w:val="20"/>
                <w:color w:val="auto"/>
              </w:rPr>
            </w:pPr>
            <w:r>
              <w:rPr>
                <w:rFonts w:ascii="Calibri" w:cs="Calibri" w:eastAsia="Calibri" w:hAnsi="Calibri"/>
                <w:sz w:val="14"/>
                <w:szCs w:val="14"/>
                <w:color w:val="auto"/>
              </w:rPr>
              <w:t>9,771,583 </w:t>
            </w:r>
          </w:p>
        </w:tc>
        <w:tc>
          <w:tcPr>
            <w:tcW w:w="660" w:type="dxa"/>
            <w:vAlign w:val="bottom"/>
          </w:tcPr>
          <w:p>
            <w:pPr>
              <w:ind w:left="280"/>
              <w:spacing w:after="0"/>
              <w:rPr>
                <w:sz w:val="20"/>
                <w:szCs w:val="20"/>
                <w:color w:val="auto"/>
              </w:rPr>
            </w:pPr>
            <w:r>
              <w:rPr>
                <w:rFonts w:ascii="Calibri" w:cs="Calibri" w:eastAsia="Calibri" w:hAnsi="Calibri"/>
                <w:sz w:val="14"/>
                <w:szCs w:val="14"/>
                <w:color w:val="auto"/>
              </w:rPr>
              <w:t>— </w:t>
            </w:r>
          </w:p>
        </w:tc>
      </w:tr>
      <w:tr>
        <w:trPr>
          <w:trHeight w:val="83"/>
        </w:trPr>
        <w:tc>
          <w:tcPr>
            <w:tcW w:w="24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r>
      <w:tr>
        <w:trPr>
          <w:trHeight w:val="220"/>
        </w:trPr>
        <w:tc>
          <w:tcPr>
            <w:tcW w:w="2440" w:type="dxa"/>
            <w:vAlign w:val="bottom"/>
            <w:tcBorders>
              <w:bottom w:val="single" w:sz="8" w:color="FB4E0B"/>
              <w:right w:val="single" w:sz="8" w:color="auto"/>
            </w:tcBorders>
          </w:tcPr>
          <w:p>
            <w:pPr>
              <w:spacing w:after="0"/>
              <w:rPr>
                <w:sz w:val="20"/>
                <w:szCs w:val="20"/>
                <w:color w:val="auto"/>
              </w:rPr>
            </w:pPr>
            <w:r>
              <w:rPr>
                <w:rFonts w:ascii="Calibri" w:cs="Calibri" w:eastAsia="Calibri" w:hAnsi="Calibri"/>
                <w:sz w:val="14"/>
                <w:szCs w:val="14"/>
                <w:color w:val="auto"/>
              </w:rPr>
              <w:t> Performance restricted stock units</w:t>
            </w:r>
          </w:p>
        </w:tc>
        <w:tc>
          <w:tcPr>
            <w:tcW w:w="1260" w:type="dxa"/>
            <w:vAlign w:val="bottom"/>
            <w:tcBorders>
              <w:bottom w:val="single" w:sz="8" w:color="FB4E0B"/>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10,657,133 </w:t>
            </w:r>
          </w:p>
        </w:tc>
        <w:tc>
          <w:tcPr>
            <w:tcW w:w="1240" w:type="dxa"/>
            <w:vAlign w:val="bottom"/>
            <w:tcBorders>
              <w:bottom w:val="single" w:sz="8" w:color="FB4E0B"/>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10,657,133 </w:t>
            </w:r>
          </w:p>
        </w:tc>
        <w:tc>
          <w:tcPr>
            <w:tcW w:w="1180" w:type="dxa"/>
            <w:vAlign w:val="bottom"/>
            <w:tcBorders>
              <w:bottom w:val="single" w:sz="8" w:color="FB4E0B"/>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— </w:t>
            </w:r>
          </w:p>
        </w:tc>
        <w:tc>
          <w:tcPr>
            <w:tcW w:w="1240" w:type="dxa"/>
            <w:vAlign w:val="bottom"/>
            <w:tcBorders>
              <w:bottom w:val="single" w:sz="8" w:color="FB4E0B"/>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10,657,133 </w:t>
            </w:r>
          </w:p>
        </w:tc>
        <w:tc>
          <w:tcPr>
            <w:tcW w:w="1260" w:type="dxa"/>
            <w:vAlign w:val="bottom"/>
            <w:tcBorders>
              <w:bottom w:val="single" w:sz="8" w:color="FB4E0B"/>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13,955,847 </w:t>
            </w:r>
          </w:p>
        </w:tc>
        <w:tc>
          <w:tcPr>
            <w:tcW w:w="1340" w:type="dxa"/>
            <w:vAlign w:val="bottom"/>
            <w:tcBorders>
              <w:bottom w:val="single" w:sz="8" w:color="FB4E0B"/>
              <w:right w:val="single" w:sz="8" w:color="auto"/>
            </w:tcBorders>
          </w:tcPr>
          <w:p>
            <w:pPr>
              <w:jc w:val="right"/>
              <w:ind w:right="171"/>
              <w:spacing w:after="0"/>
              <w:rPr>
                <w:sz w:val="20"/>
                <w:szCs w:val="20"/>
                <w:color w:val="auto"/>
              </w:rPr>
            </w:pPr>
            <w:r>
              <w:rPr>
                <w:rFonts w:ascii="Calibri" w:cs="Calibri" w:eastAsia="Calibri" w:hAnsi="Calibri"/>
                <w:sz w:val="14"/>
                <w:szCs w:val="14"/>
                <w:color w:val="auto"/>
              </w:rPr>
              <w:t>10,657,133 </w:t>
            </w:r>
          </w:p>
        </w:tc>
        <w:tc>
          <w:tcPr>
            <w:tcW w:w="660" w:type="dxa"/>
            <w:vAlign w:val="bottom"/>
            <w:tcBorders>
              <w:bottom w:val="single" w:sz="8" w:color="FB4E0B"/>
            </w:tcBorders>
          </w:tcPr>
          <w:p>
            <w:pPr>
              <w:ind w:left="280"/>
              <w:spacing w:after="0"/>
              <w:rPr>
                <w:sz w:val="20"/>
                <w:szCs w:val="20"/>
                <w:color w:val="auto"/>
              </w:rPr>
            </w:pPr>
            <w:r>
              <w:rPr>
                <w:rFonts w:ascii="Calibri" w:cs="Calibri" w:eastAsia="Calibri" w:hAnsi="Calibri"/>
                <w:sz w:val="14"/>
                <w:szCs w:val="14"/>
                <w:color w:val="auto"/>
              </w:rPr>
              <w:t>— </w:t>
            </w:r>
          </w:p>
        </w:tc>
      </w:tr>
    </w:tbl>
    <w:p>
      <w:pPr>
        <w:spacing w:after="0" w:line="33" w:lineRule="exact"/>
        <w:rPr>
          <w:sz w:val="20"/>
          <w:szCs w:val="20"/>
          <w:color w:val="auto"/>
        </w:rPr>
      </w:pPr>
    </w:p>
    <w:p>
      <w:pPr>
        <w:ind w:left="320" w:right="240" w:hanging="4"/>
        <w:spacing w:after="0" w:line="253" w:lineRule="auto"/>
        <w:tabs>
          <w:tab w:leader="none" w:pos="494" w:val="left"/>
        </w:tabs>
        <w:numPr>
          <w:ilvl w:val="0"/>
          <w:numId w:val="49"/>
        </w:numPr>
        <w:rPr>
          <w:rFonts w:ascii="Calibri" w:cs="Calibri" w:eastAsia="Calibri" w:hAnsi="Calibri"/>
          <w:sz w:val="13"/>
          <w:szCs w:val="13"/>
          <w:color w:val="auto"/>
        </w:rPr>
      </w:pPr>
      <w:r>
        <w:rPr>
          <w:rFonts w:ascii="Calibri" w:cs="Calibri" w:eastAsia="Calibri" w:hAnsi="Calibri"/>
          <w:sz w:val="13"/>
          <w:szCs w:val="13"/>
          <w:color w:val="auto"/>
        </w:rPr>
        <w:t>As described above, upon his terminaton for good reason or without cause, Mr. Kapoor is treated as having contnued his employment for 27 additonal months for purposes of his annual equity awards. The informaton in this table was calculated assuming target performance over the additonal 27-month period, however, the actual payment would depend upon the Company’s actual performance following Mr. Kapoor’s terminaton.</w:t>
      </w:r>
    </w:p>
    <w:p>
      <w:pPr>
        <w:spacing w:after="0" w:line="28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All Other NEOs</w:t>
      </w:r>
    </w:p>
    <w:p>
      <w:pPr>
        <w:spacing w:after="0" w:line="115"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Either we or the applicable NEO may terminate his or her employment at any tme with 30 days’ notce (if terminaton is by the Company) or 90 days’ notce (if terminaton is by the NEO). If the NEO is terminated by us without “cause” (other than due to death or disability), or resigns for “good reason”, the NEO will receive a cash severance payment equal to twelve months’ of then-current base salary, with 25% payable on the frst payroll date at least 10 days following terminaton and the remainder payable in nine equal monthly installments.</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On a qualifying event described below, the NEOs’ outstanding equity awards will vest as follows:</w:t>
      </w:r>
    </w:p>
    <w:p>
      <w:pPr>
        <w:spacing w:after="0" w:line="118" w:lineRule="exact"/>
        <w:rPr>
          <w:sz w:val="20"/>
          <w:szCs w:val="20"/>
          <w:color w:val="auto"/>
        </w:rPr>
      </w:pPr>
    </w:p>
    <w:p>
      <w:pPr>
        <w:ind w:left="1140" w:hanging="407"/>
        <w:spacing w:after="0"/>
        <w:tabs>
          <w:tab w:leader="none" w:pos="1140" w:val="left"/>
        </w:tabs>
        <w:numPr>
          <w:ilvl w:val="0"/>
          <w:numId w:val="50"/>
        </w:numPr>
        <w:rPr>
          <w:rFonts w:ascii="Calibri" w:cs="Calibri" w:eastAsia="Calibri" w:hAnsi="Calibri"/>
          <w:sz w:val="17"/>
          <w:szCs w:val="17"/>
          <w:color w:val="auto"/>
        </w:rPr>
      </w:pPr>
      <w:r>
        <w:rPr>
          <w:rFonts w:ascii="Calibri" w:cs="Calibri" w:eastAsia="Calibri" w:hAnsi="Calibri"/>
          <w:sz w:val="17"/>
          <w:szCs w:val="17"/>
          <w:b w:val="1"/>
          <w:bCs w:val="1"/>
          <w:color w:val="auto"/>
        </w:rPr>
        <w:t>Time-Vested RSUs:</w:t>
      </w:r>
    </w:p>
    <w:p>
      <w:pPr>
        <w:spacing w:after="0" w:line="119" w:lineRule="exact"/>
        <w:rPr>
          <w:rFonts w:ascii="Calibri" w:cs="Calibri" w:eastAsia="Calibri" w:hAnsi="Calibri"/>
          <w:sz w:val="17"/>
          <w:szCs w:val="17"/>
          <w:color w:val="auto"/>
        </w:rPr>
      </w:pPr>
    </w:p>
    <w:p>
      <w:pPr>
        <w:ind w:left="2000" w:right="240" w:hanging="422"/>
        <w:spacing w:after="0" w:line="239" w:lineRule="auto"/>
        <w:tabs>
          <w:tab w:leader="none" w:pos="2000" w:val="left"/>
        </w:tabs>
        <w:numPr>
          <w:ilvl w:val="2"/>
          <w:numId w:val="50"/>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 If a change in control occurs prior to the end of the four-year vestng period, any porton of the NEO’s Time-Vested RSUs that would have vested within the 12 months following the change in control will accelerate and vest.</w:t>
      </w:r>
    </w:p>
    <w:p>
      <w:pPr>
        <w:spacing w:after="0" w:line="120" w:lineRule="exact"/>
        <w:rPr>
          <w:rFonts w:ascii="Calibri" w:cs="Calibri" w:eastAsia="Calibri" w:hAnsi="Calibri"/>
          <w:sz w:val="17"/>
          <w:szCs w:val="17"/>
          <w:color w:val="auto"/>
        </w:rPr>
      </w:pPr>
    </w:p>
    <w:p>
      <w:pPr>
        <w:ind w:left="2000" w:hanging="422"/>
        <w:spacing w:after="0" w:line="239" w:lineRule="auto"/>
        <w:tabs>
          <w:tab w:leader="none" w:pos="2000" w:val="left"/>
        </w:tabs>
        <w:numPr>
          <w:ilvl w:val="2"/>
          <w:numId w:val="50"/>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without Cause or Resignaton for Good Reason in Connecton with a Change in Control</w:t>
      </w:r>
      <w:r>
        <w:rPr>
          <w:rFonts w:ascii="Calibri" w:cs="Calibri" w:eastAsia="Calibri" w:hAnsi="Calibri"/>
          <w:sz w:val="17"/>
          <w:szCs w:val="17"/>
          <w:color w:val="auto"/>
        </w:rPr>
        <w:t>: All of the NEO’s outstanding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Time-Vested RSUs will become fully vested if, following or in specifc contemplaton of a change in control, the NEO is terminated without cause or, following a change in control, resigns for good reason.</w:t>
      </w:r>
    </w:p>
    <w:p>
      <w:pPr>
        <w:spacing w:after="0" w:line="121" w:lineRule="exact"/>
        <w:rPr>
          <w:rFonts w:ascii="Calibri" w:cs="Calibri" w:eastAsia="Calibri" w:hAnsi="Calibri"/>
          <w:sz w:val="17"/>
          <w:szCs w:val="17"/>
          <w:color w:val="auto"/>
        </w:rPr>
      </w:pPr>
    </w:p>
    <w:p>
      <w:pPr>
        <w:ind w:left="2000" w:right="100" w:hanging="422"/>
        <w:spacing w:after="0" w:line="239" w:lineRule="auto"/>
        <w:tabs>
          <w:tab w:leader="none" w:pos="2000" w:val="left"/>
        </w:tabs>
        <w:numPr>
          <w:ilvl w:val="2"/>
          <w:numId w:val="50"/>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color w:val="auto"/>
        </w:rPr>
        <w:t>: If the NEO dies before the end of the four-year vestng period, all of the NEO’s outstanding Time-Vested RSUs will become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fully vested.</w:t>
      </w:r>
    </w:p>
    <w:p>
      <w:pPr>
        <w:spacing w:after="0" w:line="120" w:lineRule="exact"/>
        <w:rPr>
          <w:rFonts w:ascii="Calibri" w:cs="Calibri" w:eastAsia="Calibri" w:hAnsi="Calibri"/>
          <w:sz w:val="17"/>
          <w:szCs w:val="17"/>
          <w:color w:val="auto"/>
        </w:rPr>
      </w:pPr>
    </w:p>
    <w:p>
      <w:pPr>
        <w:ind w:left="2000" w:right="20" w:hanging="422"/>
        <w:spacing w:after="0" w:line="258" w:lineRule="auto"/>
        <w:tabs>
          <w:tab w:leader="none" w:pos="2000" w:val="left"/>
        </w:tabs>
        <w:numPr>
          <w:ilvl w:val="2"/>
          <w:numId w:val="50"/>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Retrement</w:t>
      </w:r>
      <w:r>
        <w:rPr>
          <w:rFonts w:ascii="Calibri" w:cs="Calibri" w:eastAsia="Calibri" w:hAnsi="Calibri"/>
          <w:sz w:val="16"/>
          <w:szCs w:val="16"/>
          <w:color w:val="auto"/>
        </w:rPr>
        <w:t>: If the NEO retres at age 60 or older with at least 10 years of service and the applicable award has been outstanding</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for at least 6 months, the NEO will become vested in all unvested RSUs that would have vested within the next 12 months absent the NEO’s retrement. If the NEO retres at age 60 or older with at least 5 years of service but less than 10 years, the number of Time-Vested RSUs that the NEO will become vested in will be calculated as described in the preceding sentence and then (i) for awards granted prior to 2023, reduced by 50%, and (ii) for awards granted in 2023, reduced by a pro rata percentage to refect the NEO’s total years of service to the Company (5 years = 50% reducton, 6 years = 40%, 7 years = 30%, 8 years = 20%, 9 years = 10%).</w:t>
      </w:r>
    </w:p>
    <w:p>
      <w:pPr>
        <w:spacing w:after="0" w:line="104" w:lineRule="exact"/>
        <w:rPr>
          <w:rFonts w:ascii="Calibri" w:cs="Calibri" w:eastAsia="Calibri" w:hAnsi="Calibri"/>
          <w:sz w:val="16"/>
          <w:szCs w:val="16"/>
          <w:color w:val="auto"/>
        </w:rPr>
      </w:pPr>
    </w:p>
    <w:p>
      <w:pPr>
        <w:ind w:left="1140" w:hanging="303"/>
        <w:spacing w:after="0"/>
        <w:tabs>
          <w:tab w:leader="none" w:pos="1140" w:val="left"/>
        </w:tabs>
        <w:numPr>
          <w:ilvl w:val="1"/>
          <w:numId w:val="50"/>
        </w:numPr>
        <w:rPr>
          <w:rFonts w:ascii="Calibri" w:cs="Calibri" w:eastAsia="Calibri" w:hAnsi="Calibri"/>
          <w:sz w:val="17"/>
          <w:szCs w:val="17"/>
          <w:color w:val="auto"/>
        </w:rPr>
      </w:pPr>
      <w:r>
        <w:rPr>
          <w:rFonts w:ascii="Calibri" w:cs="Calibri" w:eastAsia="Calibri" w:hAnsi="Calibri"/>
          <w:sz w:val="17"/>
          <w:szCs w:val="17"/>
          <w:b w:val="1"/>
          <w:bCs w:val="1"/>
          <w:color w:val="auto"/>
        </w:rPr>
        <w:t>Revenue-Linked PRSUs:</w:t>
      </w:r>
    </w:p>
    <w:p>
      <w:pPr>
        <w:spacing w:after="0" w:line="119" w:lineRule="exact"/>
        <w:rPr>
          <w:rFonts w:ascii="Calibri" w:cs="Calibri" w:eastAsia="Calibri" w:hAnsi="Calibri"/>
          <w:sz w:val="17"/>
          <w:szCs w:val="17"/>
          <w:color w:val="auto"/>
        </w:rPr>
      </w:pPr>
    </w:p>
    <w:p>
      <w:pPr>
        <w:ind w:left="2000" w:right="140" w:hanging="422"/>
        <w:spacing w:after="0"/>
        <w:tabs>
          <w:tab w:leader="none" w:pos="2000" w:val="left"/>
        </w:tabs>
        <w:numPr>
          <w:ilvl w:val="2"/>
          <w:numId w:val="50"/>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 If a change in control occurs prior to the end of the performance period, 100% of the NEO’s Revenue-Linked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PRSUs will be deemed earned and converted to tme-vested RSUs. They will retroactvely be deemed subject to a three-year ratable vestng schedule, with each deemed vestng date occurring on the last day of each calendar year within the performance period. Any RSUs that are deemed to have vested on date prior to the change in control, as well as any RSUs that are deemed scheduled to vest within the next 12 months, will vest upon the change in control. Any remaining RSUs will be subject to tme-based vestng through the last day of the original three-year performance period.</w:t>
      </w:r>
    </w:p>
    <w:p>
      <w:pPr>
        <w:spacing w:after="0" w:line="120" w:lineRule="exact"/>
        <w:rPr>
          <w:rFonts w:ascii="Calibri" w:cs="Calibri" w:eastAsia="Calibri" w:hAnsi="Calibri"/>
          <w:sz w:val="17"/>
          <w:szCs w:val="17"/>
          <w:color w:val="auto"/>
        </w:rPr>
      </w:pPr>
    </w:p>
    <w:p>
      <w:pPr>
        <w:ind w:left="2000" w:right="300" w:hanging="422"/>
        <w:spacing w:after="0" w:line="239" w:lineRule="auto"/>
        <w:tabs>
          <w:tab w:leader="none" w:pos="2000" w:val="left"/>
        </w:tabs>
        <w:numPr>
          <w:ilvl w:val="2"/>
          <w:numId w:val="50"/>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in Connecton with a Change in Control</w:t>
      </w:r>
      <w:r>
        <w:rPr>
          <w:rFonts w:ascii="Calibri" w:cs="Calibri" w:eastAsia="Calibri" w:hAnsi="Calibri"/>
          <w:sz w:val="17"/>
          <w:szCs w:val="17"/>
          <w:color w:val="auto"/>
        </w:rPr>
        <w:t>: All of the NEO’s outstanding Revenue-Linked PRSUs (which converted to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tme-vested RSUs on the change in control, in accordance with the explanaton provided above) will become fully vested if</w:t>
      </w:r>
    </w:p>
    <w:p>
      <w:pPr>
        <w:spacing w:after="0" w:line="2" w:lineRule="exact"/>
        <w:rPr>
          <w:rFonts w:ascii="Calibri" w:cs="Calibri" w:eastAsia="Calibri" w:hAnsi="Calibri"/>
          <w:sz w:val="17"/>
          <w:szCs w:val="17"/>
          <w:color w:val="auto"/>
        </w:rPr>
      </w:pPr>
    </w:p>
    <w:p>
      <w:pPr>
        <w:ind w:left="2000" w:right="340"/>
        <w:spacing w:after="0" w:line="239" w:lineRule="auto"/>
        <w:rPr>
          <w:rFonts w:ascii="Calibri" w:cs="Calibri" w:eastAsia="Calibri" w:hAnsi="Calibri"/>
          <w:sz w:val="17"/>
          <w:szCs w:val="17"/>
          <w:color w:val="auto"/>
        </w:rPr>
      </w:pPr>
      <w:r>
        <w:rPr>
          <w:rFonts w:ascii="Calibri" w:cs="Calibri" w:eastAsia="Calibri" w:hAnsi="Calibri"/>
          <w:sz w:val="17"/>
          <w:szCs w:val="17"/>
          <w:color w:val="auto"/>
        </w:rPr>
        <w:t>(i) following or in specifc contemplaton of a change in control, the NEO is terminated without cause or, following a change in control, resigns for good reason or (ii) if the NEO dies following a change in control.</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94 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1" w:right="6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48" w:lineRule="exact"/>
        <w:rPr>
          <w:sz w:val="20"/>
          <w:szCs w:val="20"/>
          <w:color w:val="auto"/>
        </w:rPr>
      </w:pPr>
    </w:p>
    <w:p>
      <w:pPr>
        <w:ind w:left="2000" w:right="260" w:hanging="422"/>
        <w:spacing w:after="0" w:line="239" w:lineRule="auto"/>
        <w:tabs>
          <w:tab w:leader="none" w:pos="2000" w:val="left"/>
        </w:tabs>
        <w:numPr>
          <w:ilvl w:val="1"/>
          <w:numId w:val="51"/>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color w:val="auto"/>
        </w:rPr>
        <w:t>: If the NEO dies prior to the end of the performance period and no change in control has occurred, the NEO will become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vested in a pro rata porton of the target number of Revenue-Linked PRSUs.</w:t>
      </w:r>
    </w:p>
    <w:p>
      <w:pPr>
        <w:spacing w:after="0" w:line="120" w:lineRule="exact"/>
        <w:rPr>
          <w:rFonts w:ascii="Calibri" w:cs="Calibri" w:eastAsia="Calibri" w:hAnsi="Calibri"/>
          <w:sz w:val="17"/>
          <w:szCs w:val="17"/>
          <w:color w:val="auto"/>
        </w:rPr>
      </w:pPr>
    </w:p>
    <w:p>
      <w:pPr>
        <w:ind w:left="2000" w:right="100" w:hanging="422"/>
        <w:spacing w:after="0"/>
        <w:tabs>
          <w:tab w:leader="none" w:pos="2000" w:val="left"/>
        </w:tabs>
        <w:numPr>
          <w:ilvl w:val="1"/>
          <w:numId w:val="51"/>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the NEO retres at age 60 or older with at least 10 years of service and the applicable award has been outstanding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for at least 6 months, the award will remain outstanding through the end of the applicable performance period and vest pro-rata, based on actual performance at the end of such period. If the NEO retres at 60 years old or older with at least 5 years and fewer than 10 years of service and the applicable award has been outstanding for at least 6 months, the award will be calculated as described in the preceding sentence and then (i) for awards granted prior to 2023, reduced by 50%, and (ii) for awards granted in 2023, reduced by a pro rata percentage to refect the NEO’s total years of service to the Company (5 years = 50% reducton, 6 years = 40%, 7 years = 30%, 8 years = 20%, 9 years = 10%). Because none of the NEOs are 60, no NEO is eligible for retrement treatment with respect to his or her equity.</w:t>
      </w:r>
    </w:p>
    <w:p>
      <w:pPr>
        <w:spacing w:after="0" w:line="120" w:lineRule="exact"/>
        <w:rPr>
          <w:rFonts w:ascii="Calibri" w:cs="Calibri" w:eastAsia="Calibri" w:hAnsi="Calibri"/>
          <w:sz w:val="17"/>
          <w:szCs w:val="17"/>
          <w:color w:val="auto"/>
        </w:rPr>
      </w:pPr>
    </w:p>
    <w:p>
      <w:pPr>
        <w:ind w:left="1140" w:hanging="407"/>
        <w:spacing w:after="0"/>
        <w:tabs>
          <w:tab w:leader="none" w:pos="1140" w:val="left"/>
        </w:tabs>
        <w:numPr>
          <w:ilvl w:val="0"/>
          <w:numId w:val="51"/>
        </w:numPr>
        <w:rPr>
          <w:rFonts w:ascii="Calibri" w:cs="Calibri" w:eastAsia="Calibri" w:hAnsi="Calibri"/>
          <w:sz w:val="17"/>
          <w:szCs w:val="17"/>
          <w:color w:val="auto"/>
        </w:rPr>
      </w:pPr>
      <w:r>
        <w:rPr>
          <w:rFonts w:ascii="Calibri" w:cs="Calibri" w:eastAsia="Calibri" w:hAnsi="Calibri"/>
          <w:sz w:val="17"/>
          <w:szCs w:val="17"/>
          <w:b w:val="1"/>
          <w:bCs w:val="1"/>
          <w:color w:val="auto"/>
        </w:rPr>
        <w:t>Relatve TSR-Linked PRSUs:</w:t>
      </w:r>
    </w:p>
    <w:p>
      <w:pPr>
        <w:spacing w:after="0" w:line="117" w:lineRule="exact"/>
        <w:rPr>
          <w:rFonts w:ascii="Calibri" w:cs="Calibri" w:eastAsia="Calibri" w:hAnsi="Calibri"/>
          <w:sz w:val="17"/>
          <w:szCs w:val="17"/>
          <w:color w:val="auto"/>
        </w:rPr>
      </w:pPr>
    </w:p>
    <w:p>
      <w:pPr>
        <w:ind w:left="2000" w:hanging="422"/>
        <w:spacing w:after="0"/>
        <w:tabs>
          <w:tab w:leader="none" w:pos="2000" w:val="left"/>
        </w:tabs>
        <w:numPr>
          <w:ilvl w:val="1"/>
          <w:numId w:val="51"/>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w:t>
      </w:r>
    </w:p>
    <w:p>
      <w:pPr>
        <w:spacing w:after="0" w:line="119" w:lineRule="exact"/>
        <w:rPr>
          <w:rFonts w:ascii="Calibri" w:cs="Calibri" w:eastAsia="Calibri" w:hAnsi="Calibri"/>
          <w:sz w:val="17"/>
          <w:szCs w:val="17"/>
          <w:color w:val="auto"/>
        </w:rPr>
      </w:pPr>
    </w:p>
    <w:p>
      <w:pPr>
        <w:ind w:left="2860" w:right="680" w:hanging="423"/>
        <w:spacing w:after="0" w:line="239" w:lineRule="auto"/>
        <w:tabs>
          <w:tab w:leader="none" w:pos="2860" w:val="left"/>
        </w:tabs>
        <w:numPr>
          <w:ilvl w:val="2"/>
          <w:numId w:val="51"/>
        </w:numPr>
        <w:rPr>
          <w:rFonts w:ascii="Calibri" w:cs="Calibri" w:eastAsia="Calibri" w:hAnsi="Calibri"/>
          <w:sz w:val="17"/>
          <w:szCs w:val="17"/>
          <w:color w:val="auto"/>
        </w:rPr>
      </w:pPr>
      <w:r>
        <w:rPr>
          <w:rFonts w:ascii="Calibri" w:cs="Calibri" w:eastAsia="Calibri" w:hAnsi="Calibri"/>
          <w:sz w:val="17"/>
          <w:szCs w:val="17"/>
          <w:color w:val="auto"/>
        </w:rPr>
        <w:t>If a change in control occurs on or prior to the frst anniversary of the grant date, 100% of the NEO’s Relatve TSR-Linked PRSUs will be deemed earned.</w:t>
      </w:r>
    </w:p>
    <w:p>
      <w:pPr>
        <w:spacing w:after="0" w:line="120" w:lineRule="exact"/>
        <w:rPr>
          <w:rFonts w:ascii="Calibri" w:cs="Calibri" w:eastAsia="Calibri" w:hAnsi="Calibri"/>
          <w:sz w:val="17"/>
          <w:szCs w:val="17"/>
          <w:color w:val="auto"/>
        </w:rPr>
      </w:pPr>
    </w:p>
    <w:p>
      <w:pPr>
        <w:jc w:val="both"/>
        <w:ind w:left="2860" w:right="180" w:hanging="423"/>
        <w:spacing w:after="0" w:line="239" w:lineRule="auto"/>
        <w:tabs>
          <w:tab w:leader="none" w:pos="2860" w:val="left"/>
        </w:tabs>
        <w:numPr>
          <w:ilvl w:val="2"/>
          <w:numId w:val="51"/>
        </w:numPr>
        <w:rPr>
          <w:rFonts w:ascii="Calibri" w:cs="Calibri" w:eastAsia="Calibri" w:hAnsi="Calibri"/>
          <w:sz w:val="17"/>
          <w:szCs w:val="17"/>
          <w:color w:val="auto"/>
        </w:rPr>
      </w:pPr>
      <w:r>
        <w:rPr>
          <w:rFonts w:ascii="Calibri" w:cs="Calibri" w:eastAsia="Calibri" w:hAnsi="Calibri"/>
          <w:sz w:val="17"/>
          <w:szCs w:val="17"/>
          <w:color w:val="auto"/>
        </w:rPr>
        <w:t>If a change in control occurs afer the frst anniversary of the grant date, the performance period will be deemed to end on the date of the change in control and the Compensaton and Talent Management Commitee will determine the number of earned Relatve TSR-Linked PRSUs based on actual performance as of the change in control.</w:t>
      </w:r>
    </w:p>
    <w:p>
      <w:pPr>
        <w:spacing w:after="0" w:line="121" w:lineRule="exact"/>
        <w:rPr>
          <w:rFonts w:ascii="Calibri" w:cs="Calibri" w:eastAsia="Calibri" w:hAnsi="Calibri"/>
          <w:sz w:val="17"/>
          <w:szCs w:val="17"/>
          <w:color w:val="auto"/>
        </w:rPr>
      </w:pPr>
    </w:p>
    <w:p>
      <w:pPr>
        <w:ind w:left="2860" w:right="40" w:hanging="423"/>
        <w:spacing w:after="0"/>
        <w:tabs>
          <w:tab w:leader="none" w:pos="2860" w:val="left"/>
        </w:tabs>
        <w:numPr>
          <w:ilvl w:val="2"/>
          <w:numId w:val="51"/>
        </w:numPr>
        <w:rPr>
          <w:rFonts w:ascii="Calibri" w:cs="Calibri" w:eastAsia="Calibri" w:hAnsi="Calibri"/>
          <w:sz w:val="17"/>
          <w:szCs w:val="17"/>
          <w:color w:val="auto"/>
        </w:rPr>
      </w:pPr>
      <w:r>
        <w:rPr>
          <w:rFonts w:ascii="Calibri" w:cs="Calibri" w:eastAsia="Calibri" w:hAnsi="Calibri"/>
          <w:sz w:val="17"/>
          <w:szCs w:val="17"/>
          <w:color w:val="auto"/>
        </w:rPr>
        <w:t>In either scenario, the Relatve TSR-Linked PRSUs that are deemed earned will convert to tme-vested RSUs. They will retroactvely be deemed subject to a three-year ratable vestng schedule, with each deemed vestng date occurring on the last day of each calendar year within the performance period. Any RSUS that are deemed to have vested on a prior date, as well as any RSUs that are deemed scheduled to vest within the next 12 months, will vest upon the change in control. Any remaining RSUs will be subject to tme-based vestng through the last day of the original three-year performance period.</w:t>
      </w:r>
    </w:p>
    <w:p>
      <w:pPr>
        <w:spacing w:after="0" w:line="120" w:lineRule="exact"/>
        <w:rPr>
          <w:rFonts w:ascii="Calibri" w:cs="Calibri" w:eastAsia="Calibri" w:hAnsi="Calibri"/>
          <w:sz w:val="17"/>
          <w:szCs w:val="17"/>
          <w:color w:val="auto"/>
        </w:rPr>
      </w:pPr>
    </w:p>
    <w:p>
      <w:pPr>
        <w:ind w:left="2000" w:right="60" w:hanging="422"/>
        <w:spacing w:after="0"/>
        <w:tabs>
          <w:tab w:leader="none" w:pos="2000" w:val="left"/>
        </w:tabs>
        <w:numPr>
          <w:ilvl w:val="1"/>
          <w:numId w:val="51"/>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without Cause or Resignaton for Good Reason in Connecton with a Change in Control</w:t>
      </w:r>
      <w:r>
        <w:rPr>
          <w:rFonts w:ascii="Calibri" w:cs="Calibri" w:eastAsia="Calibri" w:hAnsi="Calibri"/>
          <w:sz w:val="17"/>
          <w:szCs w:val="17"/>
          <w:color w:val="auto"/>
        </w:rPr>
        <w:t>: All of the NEO’s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outstanding, earned TSR-Linked PRSUs (which converted to tme-vested RSUS on the change in control, in accordance with the explanaton provided above) will become fully vested if (i) following or in specifc contemplaton of a change in control, the NEO is terminated without cause or, following a change in control, resigns for good reason or (ii) if the NEO dies following a change in control.</w:t>
      </w:r>
    </w:p>
    <w:p>
      <w:pPr>
        <w:spacing w:after="0" w:line="120" w:lineRule="exact"/>
        <w:rPr>
          <w:rFonts w:ascii="Calibri" w:cs="Calibri" w:eastAsia="Calibri" w:hAnsi="Calibri"/>
          <w:sz w:val="17"/>
          <w:szCs w:val="17"/>
          <w:color w:val="auto"/>
        </w:rPr>
      </w:pPr>
    </w:p>
    <w:p>
      <w:pPr>
        <w:ind w:left="2000" w:right="260" w:hanging="422"/>
        <w:spacing w:after="0" w:line="239" w:lineRule="auto"/>
        <w:tabs>
          <w:tab w:leader="none" w:pos="2000" w:val="left"/>
        </w:tabs>
        <w:numPr>
          <w:ilvl w:val="1"/>
          <w:numId w:val="51"/>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If the NEO dies prior to the end of the performance period and no change in control has occurred, the NEO will become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vested in a pro rata porton of the target number of Revenue-Linked PRSUs.</w:t>
      </w:r>
    </w:p>
    <w:p>
      <w:pPr>
        <w:spacing w:after="0" w:line="118" w:lineRule="exact"/>
        <w:rPr>
          <w:rFonts w:ascii="Calibri" w:cs="Calibri" w:eastAsia="Calibri" w:hAnsi="Calibri"/>
          <w:sz w:val="17"/>
          <w:szCs w:val="17"/>
          <w:color w:val="auto"/>
        </w:rPr>
      </w:pPr>
    </w:p>
    <w:p>
      <w:pPr>
        <w:ind w:left="2000" w:hanging="422"/>
        <w:spacing w:after="0"/>
        <w:tabs>
          <w:tab w:leader="none" w:pos="2000" w:val="left"/>
        </w:tabs>
        <w:numPr>
          <w:ilvl w:val="1"/>
          <w:numId w:val="51"/>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Relatve TSR-Linked PRSUS receive the same treatment as described above for the Revenue-Linked PRSUs.</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8" w:lineRule="exact"/>
        <w:rPr>
          <w:sz w:val="20"/>
          <w:szCs w:val="20"/>
          <w:color w:val="auto"/>
        </w:rPr>
      </w:pPr>
    </w:p>
    <w:p>
      <w:pPr>
        <w:ind w:left="1140" w:right="140" w:hanging="407"/>
        <w:spacing w:after="0" w:line="268" w:lineRule="auto"/>
        <w:tabs>
          <w:tab w:leader="none" w:pos="1140" w:val="left"/>
        </w:tabs>
        <w:numPr>
          <w:ilvl w:val="0"/>
          <w:numId w:val="52"/>
        </w:numPr>
        <w:rPr>
          <w:rFonts w:ascii="Calibri" w:cs="Calibri" w:eastAsia="Calibri" w:hAnsi="Calibri"/>
          <w:sz w:val="16"/>
          <w:szCs w:val="16"/>
          <w:color w:val="auto"/>
        </w:rPr>
      </w:pPr>
      <w:r>
        <w:rPr>
          <w:rFonts w:ascii="Calibri" w:cs="Calibri" w:eastAsia="Calibri" w:hAnsi="Calibri"/>
          <w:sz w:val="16"/>
          <w:szCs w:val="16"/>
          <w:b w:val="1"/>
          <w:bCs w:val="1"/>
          <w:color w:val="auto"/>
        </w:rPr>
        <w:t>September 2021 RSU Grant</w:t>
      </w:r>
      <w:r>
        <w:rPr>
          <w:rFonts w:ascii="Calibri" w:cs="Calibri" w:eastAsia="Calibri" w:hAnsi="Calibri"/>
          <w:sz w:val="16"/>
          <w:szCs w:val="16"/>
          <w:color w:val="auto"/>
        </w:rPr>
        <w:t>: With respect to the restricted stock units granted in September 2021, the grant will only accelerate (i) on the</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NEO’s death or (ii) if in the twelve months following or in specifc contemplaton of a change in control, the NEO is terminated without cause.</w:t>
      </w:r>
    </w:p>
    <w:p>
      <w:pPr>
        <w:spacing w:after="0" w:line="97" w:lineRule="exact"/>
        <w:rPr>
          <w:rFonts w:ascii="Calibri" w:cs="Calibri" w:eastAsia="Calibri" w:hAnsi="Calibri"/>
          <w:sz w:val="16"/>
          <w:szCs w:val="16"/>
          <w:color w:val="auto"/>
        </w:rPr>
      </w:pPr>
    </w:p>
    <w:p>
      <w:pPr>
        <w:ind w:left="1140" w:right="80" w:hanging="407"/>
        <w:spacing w:after="0"/>
        <w:tabs>
          <w:tab w:leader="none" w:pos="1140" w:val="left"/>
        </w:tabs>
        <w:numPr>
          <w:ilvl w:val="0"/>
          <w:numId w:val="52"/>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Share Matching Program 2022 Awards: </w:t>
      </w:r>
      <w:r>
        <w:rPr>
          <w:rFonts w:ascii="Calibri" w:cs="Calibri" w:eastAsia="Calibri" w:hAnsi="Calibri"/>
          <w:sz w:val="17"/>
          <w:szCs w:val="17"/>
          <w:color w:val="auto"/>
        </w:rPr>
        <w:t>All of the NEO’s outstanding SMP RSUs will become fully vested if, following or in specifc</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contemplaton of a change in control, the NEO is terminated without cause or, following a change in control, the NEO terminates employment for good reason. If an NEO dies before the end of the vestng period, all of the applicable NEO’s outstanding SMP RSUs will become fully vested.</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52"/>
        </w:numPr>
        <w:rPr>
          <w:rFonts w:ascii="Calibri" w:cs="Calibri" w:eastAsia="Calibri" w:hAnsi="Calibri"/>
          <w:sz w:val="17"/>
          <w:szCs w:val="17"/>
          <w:color w:val="auto"/>
        </w:rPr>
      </w:pPr>
      <w:r>
        <w:rPr>
          <w:rFonts w:ascii="Calibri" w:cs="Calibri" w:eastAsia="Calibri" w:hAnsi="Calibri"/>
          <w:sz w:val="17"/>
          <w:szCs w:val="17"/>
          <w:b w:val="1"/>
          <w:bCs w:val="1"/>
          <w:color w:val="auto"/>
        </w:rPr>
        <w:t>Optons:</w:t>
      </w:r>
    </w:p>
    <w:p>
      <w:pPr>
        <w:spacing w:after="0" w:line="119" w:lineRule="exact"/>
        <w:rPr>
          <w:rFonts w:ascii="Calibri" w:cs="Calibri" w:eastAsia="Calibri" w:hAnsi="Calibri"/>
          <w:sz w:val="17"/>
          <w:szCs w:val="17"/>
          <w:color w:val="auto"/>
        </w:rPr>
      </w:pPr>
    </w:p>
    <w:p>
      <w:pPr>
        <w:ind w:left="2000" w:right="120" w:hanging="422"/>
        <w:spacing w:after="0" w:line="239" w:lineRule="auto"/>
        <w:tabs>
          <w:tab w:leader="none" w:pos="2000" w:val="left"/>
        </w:tabs>
        <w:numPr>
          <w:ilvl w:val="1"/>
          <w:numId w:val="52"/>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 If a change in control occurs prior to the end of the four-year vestng period, any porton of the NEO’s optons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that would have vested within the 12 months following the change in control will accelerate and vest.</w:t>
      </w:r>
    </w:p>
    <w:p>
      <w:pPr>
        <w:spacing w:after="0" w:line="120" w:lineRule="exact"/>
        <w:rPr>
          <w:rFonts w:ascii="Calibri" w:cs="Calibri" w:eastAsia="Calibri" w:hAnsi="Calibri"/>
          <w:sz w:val="17"/>
          <w:szCs w:val="17"/>
          <w:color w:val="auto"/>
        </w:rPr>
      </w:pPr>
    </w:p>
    <w:p>
      <w:pPr>
        <w:ind w:left="2000" w:hanging="422"/>
        <w:spacing w:after="0" w:line="239" w:lineRule="auto"/>
        <w:tabs>
          <w:tab w:leader="none" w:pos="2000" w:val="left"/>
        </w:tabs>
        <w:numPr>
          <w:ilvl w:val="1"/>
          <w:numId w:val="52"/>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without Cause or Resignaton for Good Reason in Connecton with a Change in Control</w:t>
      </w:r>
      <w:r>
        <w:rPr>
          <w:rFonts w:ascii="Calibri" w:cs="Calibri" w:eastAsia="Calibri" w:hAnsi="Calibri"/>
          <w:sz w:val="17"/>
          <w:szCs w:val="17"/>
          <w:color w:val="auto"/>
        </w:rPr>
        <w:t>: All of the NEO’s outstanding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optons will become fully vested if, following or in specifc contemplaton of a change in control, the NEO is terminated without cause or resigns for good reason.</w:t>
      </w:r>
    </w:p>
    <w:p>
      <w:pPr>
        <w:spacing w:after="0" w:line="120" w:lineRule="exact"/>
        <w:rPr>
          <w:rFonts w:ascii="Calibri" w:cs="Calibri" w:eastAsia="Calibri" w:hAnsi="Calibri"/>
          <w:sz w:val="17"/>
          <w:szCs w:val="17"/>
          <w:color w:val="auto"/>
        </w:rPr>
      </w:pPr>
    </w:p>
    <w:p>
      <w:pPr>
        <w:ind w:left="2000" w:hanging="422"/>
        <w:spacing w:after="0"/>
        <w:tabs>
          <w:tab w:leader="none" w:pos="2000" w:val="left"/>
        </w:tabs>
        <w:numPr>
          <w:ilvl w:val="1"/>
          <w:numId w:val="52"/>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color w:val="auto"/>
        </w:rPr>
        <w:t>: If the NEO dies before the end of the four-year vestng period, all outstanding optons will become fully vested.</w:t>
      </w:r>
    </w:p>
    <w:p>
      <w:pPr>
        <w:spacing w:after="0" w:line="119" w:lineRule="exact"/>
        <w:rPr>
          <w:rFonts w:ascii="Calibri" w:cs="Calibri" w:eastAsia="Calibri" w:hAnsi="Calibri"/>
          <w:sz w:val="17"/>
          <w:szCs w:val="17"/>
          <w:color w:val="auto"/>
        </w:rPr>
      </w:pPr>
    </w:p>
    <w:p>
      <w:pPr>
        <w:ind w:left="2000" w:right="40" w:hanging="422"/>
        <w:spacing w:after="0"/>
        <w:tabs>
          <w:tab w:leader="none" w:pos="2000" w:val="left"/>
        </w:tabs>
        <w:numPr>
          <w:ilvl w:val="1"/>
          <w:numId w:val="52"/>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the NEO retres at age 60 or older with at least 10 years of service and the applicable award has been outstanding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for at least 6 months, the NEO will become vested in all unvested optons that would have vested within the next 12 months if the NEO had not retred. If the NEO retres at 60 years old or older with at least 5 years of service but less than 10, the number of vested optons will be calculated as described in the preceding sentence and then reduced by a pro rata percentage to refect the NEO’s total years of service to the Company (5 years = 50% reducton, 6 years = 40%, 7 years = 30%, 8 years = 20%, 9 years = 10%). Because none of the NEOs are 60, no NEO is eligible for retrement treatment with respect to his or her optons.</w:t>
      </w:r>
    </w:p>
    <w:p>
      <w:pPr>
        <w:spacing w:after="0" w:line="120" w:lineRule="exact"/>
        <w:rPr>
          <w:rFonts w:ascii="Calibri" w:cs="Calibri" w:eastAsia="Calibri" w:hAnsi="Calibri"/>
          <w:sz w:val="17"/>
          <w:szCs w:val="17"/>
          <w:color w:val="auto"/>
        </w:rPr>
      </w:pPr>
    </w:p>
    <w:p>
      <w:pPr>
        <w:ind w:left="2000" w:hanging="422"/>
        <w:spacing w:after="0" w:line="239" w:lineRule="auto"/>
        <w:tabs>
          <w:tab w:leader="none" w:pos="2000" w:val="left"/>
        </w:tabs>
        <w:numPr>
          <w:ilvl w:val="1"/>
          <w:numId w:val="52"/>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Exercise</w:t>
      </w:r>
      <w:r>
        <w:rPr>
          <w:rFonts w:ascii="Calibri" w:cs="Calibri" w:eastAsia="Calibri" w:hAnsi="Calibri"/>
          <w:sz w:val="17"/>
          <w:szCs w:val="17"/>
          <w:color w:val="auto"/>
        </w:rPr>
        <w:t>: Generally, vested optons are exercisable untl the earlier of: (1) 90 days following terminaton and (2) the date preceding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tenth anniversary of the opton grant date.</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96 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1" w:right="6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140"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color w:val="auto"/>
        </w:rPr>
        <w:t>Each NEO’s severance payments and terminaton-related equity acceleraton are subject to the NEO’s executon of a waiver and release of claims against us. The NEOs are subject to confdentality restrictons at all tmes, as well as non-competton and non-solicitaton restrictons for two years following terminaton of employment.</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Indicatve Payouts for All Non-CEO NEOs</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jc w:val="center"/>
              <w:ind w:right="31"/>
              <w:spacing w:after="0"/>
              <w:rPr>
                <w:sz w:val="20"/>
                <w:szCs w:val="20"/>
                <w:color w:val="auto"/>
              </w:rPr>
            </w:pPr>
            <w:r>
              <w:rPr>
                <w:rFonts w:ascii="Calibri" w:cs="Calibri" w:eastAsia="Calibri" w:hAnsi="Calibri"/>
                <w:sz w:val="14"/>
                <w:szCs w:val="14"/>
                <w:b w:val="1"/>
                <w:bCs w:val="1"/>
                <w:color w:val="auto"/>
              </w:rPr>
              <w:t>Terminaton</w:t>
            </w:r>
          </w:p>
        </w:tc>
        <w:tc>
          <w:tcPr>
            <w:tcW w:w="9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w w:val="98"/>
              </w:rPr>
              <w:t>without cause or</w:t>
            </w:r>
          </w:p>
        </w:tc>
        <w:tc>
          <w:tcPr>
            <w:tcW w:w="9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for good reason</w:t>
            </w:r>
          </w:p>
        </w:tc>
        <w:tc>
          <w:tcPr>
            <w:tcW w:w="9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8"/>
              </w:rPr>
              <w:t>following change</w:t>
            </w:r>
          </w:p>
        </w:tc>
        <w:tc>
          <w:tcPr>
            <w:tcW w:w="9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in control or</w:t>
            </w:r>
          </w:p>
        </w:tc>
        <w:tc>
          <w:tcPr>
            <w:tcW w:w="9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terminaton</w:t>
            </w:r>
          </w:p>
        </w:tc>
        <w:tc>
          <w:tcPr>
            <w:tcW w:w="9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w w:val="99"/>
              </w:rPr>
              <w:t>without cause in</w:t>
            </w:r>
          </w:p>
        </w:tc>
        <w:tc>
          <w:tcPr>
            <w:tcW w:w="9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Terminaton for</w:t>
            </w:r>
          </w:p>
        </w:tc>
        <w:tc>
          <w:tcPr>
            <w:tcW w:w="840" w:type="dxa"/>
            <w:vAlign w:val="bottom"/>
          </w:tcPr>
          <w:p>
            <w:pPr>
              <w:spacing w:after="0"/>
              <w:rPr>
                <w:sz w:val="14"/>
                <w:szCs w:val="14"/>
                <w:color w:val="auto"/>
              </w:rPr>
            </w:pPr>
          </w:p>
        </w:tc>
        <w:tc>
          <w:tcPr>
            <w:tcW w:w="13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specifc</w:t>
            </w:r>
          </w:p>
        </w:tc>
        <w:tc>
          <w:tcPr>
            <w:tcW w:w="9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ind w:left="320"/>
              <w:spacing w:after="0" w:line="169" w:lineRule="exact"/>
              <w:rPr>
                <w:sz w:val="20"/>
                <w:szCs w:val="20"/>
                <w:color w:val="auto"/>
              </w:rPr>
            </w:pPr>
            <w:r>
              <w:rPr>
                <w:rFonts w:ascii="Calibri" w:cs="Calibri" w:eastAsia="Calibri" w:hAnsi="Calibri"/>
                <w:sz w:val="14"/>
                <w:szCs w:val="14"/>
                <w:b w:val="1"/>
                <w:bCs w:val="1"/>
                <w:color w:val="FB4E0B"/>
              </w:rPr>
              <w:t>Payments</w:t>
            </w:r>
          </w:p>
        </w:tc>
        <w:tc>
          <w:tcPr>
            <w:tcW w:w="128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w w:val="99"/>
              </w:rPr>
              <w:t>Death prior to a</w:t>
            </w:r>
          </w:p>
        </w:tc>
        <w:tc>
          <w:tcPr>
            <w:tcW w:w="13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Death afer a</w:t>
            </w:r>
          </w:p>
        </w:tc>
        <w:tc>
          <w:tcPr>
            <w:tcW w:w="12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good reason or</w:t>
            </w:r>
          </w:p>
        </w:tc>
        <w:tc>
          <w:tcPr>
            <w:tcW w:w="8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Change in</w:t>
            </w:r>
          </w:p>
        </w:tc>
        <w:tc>
          <w:tcPr>
            <w:tcW w:w="13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contemplaton of</w:t>
            </w:r>
          </w:p>
        </w:tc>
        <w:tc>
          <w:tcPr>
            <w:tcW w:w="9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ind w:left="320"/>
              <w:spacing w:after="0" w:line="169" w:lineRule="exact"/>
              <w:rPr>
                <w:sz w:val="20"/>
                <w:szCs w:val="20"/>
                <w:color w:val="auto"/>
              </w:rPr>
            </w:pPr>
            <w:r>
              <w:rPr>
                <w:rFonts w:ascii="Calibri" w:cs="Calibri" w:eastAsia="Calibri" w:hAnsi="Calibri"/>
                <w:sz w:val="14"/>
                <w:szCs w:val="14"/>
                <w:b w:val="1"/>
                <w:bCs w:val="1"/>
                <w:color w:val="FB4E0B"/>
              </w:rPr>
              <w:t>upon</w:t>
            </w:r>
          </w:p>
        </w:tc>
        <w:tc>
          <w:tcPr>
            <w:tcW w:w="128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w w:val="99"/>
              </w:rPr>
              <w:t>change in control</w:t>
            </w:r>
          </w:p>
        </w:tc>
        <w:tc>
          <w:tcPr>
            <w:tcW w:w="13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2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without cause</w:t>
            </w:r>
          </w:p>
        </w:tc>
        <w:tc>
          <w:tcPr>
            <w:tcW w:w="8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control</w:t>
            </w:r>
          </w:p>
        </w:tc>
        <w:tc>
          <w:tcPr>
            <w:tcW w:w="13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90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Retrement</w:t>
            </w: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ind w:left="320"/>
              <w:spacing w:after="0" w:line="169" w:lineRule="exact"/>
              <w:rPr>
                <w:sz w:val="20"/>
                <w:szCs w:val="20"/>
                <w:color w:val="auto"/>
              </w:rPr>
            </w:pPr>
            <w:r>
              <w:rPr>
                <w:rFonts w:ascii="Calibri" w:cs="Calibri" w:eastAsia="Calibri" w:hAnsi="Calibri"/>
                <w:sz w:val="14"/>
                <w:szCs w:val="14"/>
                <w:b w:val="1"/>
                <w:bCs w:val="1"/>
                <w:color w:val="FB4E0B"/>
              </w:rPr>
              <w:t>terminaton</w:t>
            </w:r>
          </w:p>
        </w:tc>
        <w:tc>
          <w:tcPr>
            <w:tcW w:w="128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w:t>
            </w:r>
          </w:p>
        </w:tc>
        <w:tc>
          <w:tcPr>
            <w:tcW w:w="13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88"/>
              </w:rPr>
              <w:t>($)</w:t>
            </w:r>
          </w:p>
        </w:tc>
        <w:tc>
          <w:tcPr>
            <w:tcW w:w="12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8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88"/>
              </w:rPr>
              <w:t>($)</w:t>
            </w:r>
          </w:p>
        </w:tc>
        <w:tc>
          <w:tcPr>
            <w:tcW w:w="132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w:t>
            </w:r>
          </w:p>
        </w:tc>
        <w:tc>
          <w:tcPr>
            <w:tcW w:w="900" w:type="dxa"/>
            <w:vAlign w:val="bottom"/>
          </w:tcPr>
          <w:p>
            <w:pPr>
              <w:jc w:val="right"/>
              <w:ind w:right="231"/>
              <w:spacing w:after="0" w:line="169" w:lineRule="exact"/>
              <w:rPr>
                <w:sz w:val="20"/>
                <w:szCs w:val="20"/>
                <w:color w:val="auto"/>
              </w:rPr>
            </w:pPr>
            <w:r>
              <w:rPr>
                <w:rFonts w:ascii="Calibri" w:cs="Calibri" w:eastAsia="Calibri" w:hAnsi="Calibri"/>
                <w:sz w:val="14"/>
                <w:szCs w:val="14"/>
                <w:b w:val="1"/>
                <w:bCs w:val="1"/>
                <w:color w:val="auto"/>
              </w:rPr>
              <w:t>($)</w:t>
            </w:r>
          </w:p>
        </w:tc>
      </w:tr>
      <w:tr>
        <w:trPr>
          <w:trHeight w:val="37"/>
        </w:trPr>
        <w:tc>
          <w:tcPr>
            <w:tcW w:w="1320" w:type="dxa"/>
            <w:vAlign w:val="bottom"/>
            <w:gridSpan w:val="2"/>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166"/>
        </w:trPr>
        <w:tc>
          <w:tcPr>
            <w:tcW w:w="20" w:type="dxa"/>
            <w:vAlign w:val="bottom"/>
          </w:tcPr>
          <w:p>
            <w:pPr>
              <w:spacing w:after="0"/>
              <w:rPr>
                <w:sz w:val="14"/>
                <w:szCs w:val="14"/>
                <w:color w:val="auto"/>
              </w:rPr>
            </w:pPr>
          </w:p>
        </w:tc>
        <w:tc>
          <w:tcPr>
            <w:tcW w:w="1300" w:type="dxa"/>
            <w:vAlign w:val="bottom"/>
            <w:tcBorders>
              <w:top w:val="single" w:sz="8" w:color="FB4E0B"/>
            </w:tcBorders>
          </w:tcPr>
          <w:p>
            <w:pPr>
              <w:spacing w:after="0" w:line="166" w:lineRule="exact"/>
              <w:rPr>
                <w:sz w:val="20"/>
                <w:szCs w:val="20"/>
                <w:color w:val="auto"/>
              </w:rPr>
            </w:pPr>
            <w:r>
              <w:rPr>
                <w:rFonts w:ascii="Calibri" w:cs="Calibri" w:eastAsia="Calibri" w:hAnsi="Calibri"/>
                <w:sz w:val="14"/>
                <w:szCs w:val="14"/>
                <w:b w:val="1"/>
                <w:bCs w:val="1"/>
                <w:color w:val="auto"/>
              </w:rPr>
              <w:t>Maurizio Nicolelli</w:t>
            </w:r>
          </w:p>
        </w:tc>
        <w:tc>
          <w:tcPr>
            <w:tcW w:w="2340" w:type="dxa"/>
            <w:vAlign w:val="bottom"/>
            <w:tcBorders>
              <w:top w:val="single" w:sz="8" w:color="FB4E0B"/>
            </w:tcBorders>
          </w:tcPr>
          <w:p>
            <w:pPr>
              <w:ind w:left="320"/>
              <w:spacing w:after="0" w:line="166" w:lineRule="exact"/>
              <w:rPr>
                <w:sz w:val="20"/>
                <w:szCs w:val="20"/>
                <w:color w:val="auto"/>
              </w:rPr>
            </w:pPr>
            <w:r>
              <w:rPr>
                <w:rFonts w:ascii="Calibri" w:cs="Calibri" w:eastAsia="Calibri" w:hAnsi="Calibri"/>
                <w:sz w:val="14"/>
                <w:szCs w:val="14"/>
                <w:color w:val="auto"/>
              </w:rPr>
              <w:t>Base salary payout</w:t>
            </w:r>
          </w:p>
        </w:tc>
        <w:tc>
          <w:tcPr>
            <w:tcW w:w="1280" w:type="dxa"/>
            <w:vAlign w:val="bottom"/>
            <w:tcBorders>
              <w:top w:val="single" w:sz="8" w:color="FB4E0B"/>
            </w:tcBorders>
          </w:tcPr>
          <w:p>
            <w:pPr>
              <w:jc w:val="right"/>
              <w:ind w:right="131"/>
              <w:spacing w:after="0" w:line="166" w:lineRule="exact"/>
              <w:rPr>
                <w:sz w:val="20"/>
                <w:szCs w:val="20"/>
                <w:color w:val="auto"/>
              </w:rPr>
            </w:pPr>
            <w:r>
              <w:rPr>
                <w:rFonts w:ascii="Calibri" w:cs="Calibri" w:eastAsia="Calibri" w:hAnsi="Calibri"/>
                <w:sz w:val="14"/>
                <w:szCs w:val="14"/>
                <w:color w:val="auto"/>
              </w:rPr>
              <w:t>—</w:t>
            </w:r>
          </w:p>
        </w:tc>
        <w:tc>
          <w:tcPr>
            <w:tcW w:w="1380" w:type="dxa"/>
            <w:vAlign w:val="bottom"/>
            <w:tcBorders>
              <w:top w:val="single" w:sz="8" w:color="FB4E0B"/>
            </w:tcBorders>
          </w:tcPr>
          <w:p>
            <w:pPr>
              <w:jc w:val="right"/>
              <w:ind w:right="111"/>
              <w:spacing w:after="0" w:line="166" w:lineRule="exact"/>
              <w:rPr>
                <w:sz w:val="20"/>
                <w:szCs w:val="20"/>
                <w:color w:val="auto"/>
              </w:rPr>
            </w:pPr>
            <w:r>
              <w:rPr>
                <w:rFonts w:ascii="Calibri" w:cs="Calibri" w:eastAsia="Calibri" w:hAnsi="Calibri"/>
                <w:sz w:val="14"/>
                <w:szCs w:val="14"/>
                <w:color w:val="auto"/>
              </w:rPr>
              <w:t>—</w:t>
            </w:r>
          </w:p>
        </w:tc>
        <w:tc>
          <w:tcPr>
            <w:tcW w:w="1240" w:type="dxa"/>
            <w:vAlign w:val="bottom"/>
            <w:tcBorders>
              <w:top w:val="single" w:sz="8" w:color="FB4E0B"/>
            </w:tcBorders>
          </w:tcPr>
          <w:p>
            <w:pPr>
              <w:jc w:val="right"/>
              <w:ind w:right="111"/>
              <w:spacing w:after="0" w:line="166" w:lineRule="exact"/>
              <w:rPr>
                <w:sz w:val="20"/>
                <w:szCs w:val="20"/>
                <w:color w:val="auto"/>
              </w:rPr>
            </w:pPr>
            <w:r>
              <w:rPr>
                <w:rFonts w:ascii="Calibri" w:cs="Calibri" w:eastAsia="Calibri" w:hAnsi="Calibri"/>
                <w:sz w:val="14"/>
                <w:szCs w:val="14"/>
                <w:color w:val="auto"/>
              </w:rPr>
              <w:t>510,000</w:t>
            </w:r>
          </w:p>
        </w:tc>
        <w:tc>
          <w:tcPr>
            <w:tcW w:w="840" w:type="dxa"/>
            <w:vAlign w:val="bottom"/>
            <w:tcBorders>
              <w:top w:val="single" w:sz="8" w:color="FB4E0B"/>
            </w:tcBorders>
          </w:tcPr>
          <w:p>
            <w:pPr>
              <w:jc w:val="right"/>
              <w:ind w:right="31"/>
              <w:spacing w:after="0" w:line="166" w:lineRule="exact"/>
              <w:rPr>
                <w:sz w:val="20"/>
                <w:szCs w:val="20"/>
                <w:color w:val="auto"/>
              </w:rPr>
            </w:pPr>
            <w:r>
              <w:rPr>
                <w:rFonts w:ascii="Calibri" w:cs="Calibri" w:eastAsia="Calibri" w:hAnsi="Calibri"/>
                <w:sz w:val="14"/>
                <w:szCs w:val="14"/>
                <w:color w:val="auto"/>
              </w:rPr>
              <w:t>—</w:t>
            </w:r>
          </w:p>
        </w:tc>
        <w:tc>
          <w:tcPr>
            <w:tcW w:w="1320" w:type="dxa"/>
            <w:vAlign w:val="bottom"/>
            <w:tcBorders>
              <w:top w:val="single" w:sz="8" w:color="FB4E0B"/>
            </w:tcBorders>
          </w:tcPr>
          <w:p>
            <w:pPr>
              <w:jc w:val="right"/>
              <w:ind w:right="151"/>
              <w:spacing w:after="0" w:line="166" w:lineRule="exact"/>
              <w:rPr>
                <w:sz w:val="20"/>
                <w:szCs w:val="20"/>
                <w:color w:val="auto"/>
              </w:rPr>
            </w:pPr>
            <w:r>
              <w:rPr>
                <w:rFonts w:ascii="Calibri" w:cs="Calibri" w:eastAsia="Calibri" w:hAnsi="Calibri"/>
                <w:sz w:val="14"/>
                <w:szCs w:val="14"/>
                <w:color w:val="auto"/>
              </w:rPr>
              <w:t>510,000</w:t>
            </w:r>
          </w:p>
        </w:tc>
        <w:tc>
          <w:tcPr>
            <w:tcW w:w="900" w:type="dxa"/>
            <w:vAlign w:val="bottom"/>
            <w:tcBorders>
              <w:top w:val="single" w:sz="8" w:color="FB4E0B"/>
            </w:tcBorders>
          </w:tcPr>
          <w:p>
            <w:pPr>
              <w:jc w:val="right"/>
              <w:spacing w:after="0" w:line="166" w:lineRule="exact"/>
              <w:rPr>
                <w:sz w:val="20"/>
                <w:szCs w:val="20"/>
                <w:color w:val="auto"/>
              </w:rPr>
            </w:pPr>
            <w:r>
              <w:rPr>
                <w:rFonts w:ascii="Calibri" w:cs="Calibri" w:eastAsia="Calibri" w:hAnsi="Calibri"/>
                <w:sz w:val="14"/>
                <w:szCs w:val="14"/>
                <w:color w:val="auto"/>
              </w:rPr>
              <w:t>—</w:t>
            </w: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ind w:left="320"/>
              <w:spacing w:after="0" w:line="167" w:lineRule="exact"/>
              <w:rPr>
                <w:sz w:val="20"/>
                <w:szCs w:val="20"/>
                <w:color w:val="auto"/>
              </w:rPr>
            </w:pPr>
            <w:r>
              <w:rPr>
                <w:rFonts w:ascii="Calibri" w:cs="Calibri" w:eastAsia="Calibri" w:hAnsi="Calibri"/>
                <w:sz w:val="14"/>
                <w:szCs w:val="14"/>
                <w:color w:val="auto"/>
              </w:rPr>
              <w:t>Restricted stock units</w:t>
            </w:r>
          </w:p>
        </w:tc>
        <w:tc>
          <w:tcPr>
            <w:tcW w:w="1280" w:type="dxa"/>
            <w:vAlign w:val="bottom"/>
          </w:tcPr>
          <w:p>
            <w:pPr>
              <w:jc w:val="right"/>
              <w:ind w:right="131"/>
              <w:spacing w:after="0" w:line="167" w:lineRule="exact"/>
              <w:rPr>
                <w:sz w:val="20"/>
                <w:szCs w:val="20"/>
                <w:color w:val="auto"/>
              </w:rPr>
            </w:pPr>
            <w:r>
              <w:rPr>
                <w:rFonts w:ascii="Calibri" w:cs="Calibri" w:eastAsia="Calibri" w:hAnsi="Calibri"/>
                <w:sz w:val="14"/>
                <w:szCs w:val="14"/>
                <w:color w:val="auto"/>
              </w:rPr>
              <w:t>2,721,433</w:t>
            </w:r>
          </w:p>
        </w:tc>
        <w:tc>
          <w:tcPr>
            <w:tcW w:w="1380" w:type="dxa"/>
            <w:vAlign w:val="bottom"/>
          </w:tcPr>
          <w:p>
            <w:pPr>
              <w:jc w:val="right"/>
              <w:ind w:right="111"/>
              <w:spacing w:after="0" w:line="167" w:lineRule="exact"/>
              <w:rPr>
                <w:sz w:val="20"/>
                <w:szCs w:val="20"/>
                <w:color w:val="auto"/>
              </w:rPr>
            </w:pPr>
            <w:r>
              <w:rPr>
                <w:rFonts w:ascii="Calibri" w:cs="Calibri" w:eastAsia="Calibri" w:hAnsi="Calibri"/>
                <w:sz w:val="14"/>
                <w:szCs w:val="14"/>
                <w:color w:val="auto"/>
              </w:rPr>
              <w:t>2,721,433</w:t>
            </w:r>
          </w:p>
        </w:tc>
        <w:tc>
          <w:tcPr>
            <w:tcW w:w="1240" w:type="dxa"/>
            <w:vAlign w:val="bottom"/>
          </w:tcPr>
          <w:p>
            <w:pPr>
              <w:jc w:val="right"/>
              <w:ind w:right="111"/>
              <w:spacing w:after="0" w:line="167"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ind w:right="31"/>
              <w:spacing w:after="0" w:line="167" w:lineRule="exact"/>
              <w:rPr>
                <w:sz w:val="20"/>
                <w:szCs w:val="20"/>
                <w:color w:val="auto"/>
              </w:rPr>
            </w:pPr>
            <w:r>
              <w:rPr>
                <w:rFonts w:ascii="Calibri" w:cs="Calibri" w:eastAsia="Calibri" w:hAnsi="Calibri"/>
                <w:sz w:val="14"/>
                <w:szCs w:val="14"/>
                <w:color w:val="auto"/>
              </w:rPr>
              <w:t>939,383</w:t>
            </w:r>
          </w:p>
        </w:tc>
        <w:tc>
          <w:tcPr>
            <w:tcW w:w="1320" w:type="dxa"/>
            <w:vAlign w:val="bottom"/>
          </w:tcPr>
          <w:p>
            <w:pPr>
              <w:jc w:val="right"/>
              <w:ind w:right="151"/>
              <w:spacing w:after="0" w:line="167" w:lineRule="exact"/>
              <w:rPr>
                <w:sz w:val="20"/>
                <w:szCs w:val="20"/>
                <w:color w:val="auto"/>
              </w:rPr>
            </w:pPr>
            <w:r>
              <w:rPr>
                <w:rFonts w:ascii="Calibri" w:cs="Calibri" w:eastAsia="Calibri" w:hAnsi="Calibri"/>
                <w:sz w:val="14"/>
                <w:szCs w:val="14"/>
                <w:color w:val="auto"/>
              </w:rPr>
              <w:t>2,721,433</w:t>
            </w:r>
          </w:p>
        </w:tc>
        <w:tc>
          <w:tcPr>
            <w:tcW w:w="900" w:type="dxa"/>
            <w:vAlign w:val="bottom"/>
          </w:tcPr>
          <w:p>
            <w:pPr>
              <w:jc w:val="right"/>
              <w:spacing w:after="0" w:line="167" w:lineRule="exact"/>
              <w:rPr>
                <w:sz w:val="20"/>
                <w:szCs w:val="20"/>
                <w:color w:val="auto"/>
              </w:rPr>
            </w:pPr>
            <w:r>
              <w:rPr>
                <w:rFonts w:ascii="Calibri" w:cs="Calibri" w:eastAsia="Calibri" w:hAnsi="Calibri"/>
                <w:sz w:val="14"/>
                <w:szCs w:val="14"/>
                <w:color w:val="auto"/>
              </w:rPr>
              <w:t>—</w:t>
            </w: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ind w:left="320"/>
              <w:spacing w:after="0" w:line="169" w:lineRule="exact"/>
              <w:rPr>
                <w:sz w:val="20"/>
                <w:szCs w:val="20"/>
                <w:color w:val="auto"/>
              </w:rPr>
            </w:pPr>
            <w:r>
              <w:rPr>
                <w:rFonts w:ascii="Calibri" w:cs="Calibri" w:eastAsia="Calibri" w:hAnsi="Calibri"/>
                <w:sz w:val="14"/>
                <w:szCs w:val="14"/>
                <w:color w:val="auto"/>
              </w:rPr>
              <w:t>Performance restricted stock units</w:t>
            </w:r>
          </w:p>
        </w:tc>
        <w:tc>
          <w:tcPr>
            <w:tcW w:w="1280" w:type="dxa"/>
            <w:vAlign w:val="bottom"/>
          </w:tcPr>
          <w:p>
            <w:pPr>
              <w:jc w:val="right"/>
              <w:ind w:right="131"/>
              <w:spacing w:after="0" w:line="169" w:lineRule="exact"/>
              <w:rPr>
                <w:sz w:val="20"/>
                <w:szCs w:val="20"/>
                <w:color w:val="auto"/>
              </w:rPr>
            </w:pPr>
            <w:r>
              <w:rPr>
                <w:rFonts w:ascii="Calibri" w:cs="Calibri" w:eastAsia="Calibri" w:hAnsi="Calibri"/>
                <w:sz w:val="14"/>
                <w:szCs w:val="14"/>
                <w:color w:val="auto"/>
              </w:rPr>
              <w:t>853,003</w:t>
            </w:r>
          </w:p>
        </w:tc>
        <w:tc>
          <w:tcPr>
            <w:tcW w:w="138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1,659,422</w:t>
            </w:r>
          </w:p>
        </w:tc>
        <w:tc>
          <w:tcPr>
            <w:tcW w:w="124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2,163,730</w:t>
            </w:r>
          </w:p>
        </w:tc>
        <w:tc>
          <w:tcPr>
            <w:tcW w:w="1320" w:type="dxa"/>
            <w:vAlign w:val="bottom"/>
          </w:tcPr>
          <w:p>
            <w:pPr>
              <w:jc w:val="right"/>
              <w:ind w:right="151"/>
              <w:spacing w:after="0" w:line="169" w:lineRule="exact"/>
              <w:rPr>
                <w:sz w:val="20"/>
                <w:szCs w:val="20"/>
                <w:color w:val="auto"/>
              </w:rPr>
            </w:pPr>
            <w:r>
              <w:rPr>
                <w:rFonts w:ascii="Calibri" w:cs="Calibri" w:eastAsia="Calibri" w:hAnsi="Calibri"/>
                <w:sz w:val="14"/>
                <w:szCs w:val="14"/>
                <w:color w:val="auto"/>
              </w:rPr>
              <w:t>1,659,422</w:t>
            </w: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ind w:left="320"/>
              <w:spacing w:after="0" w:line="169" w:lineRule="exact"/>
              <w:rPr>
                <w:sz w:val="20"/>
                <w:szCs w:val="20"/>
                <w:color w:val="auto"/>
              </w:rPr>
            </w:pPr>
            <w:r>
              <w:rPr>
                <w:rFonts w:ascii="Calibri" w:cs="Calibri" w:eastAsia="Calibri" w:hAnsi="Calibri"/>
                <w:sz w:val="14"/>
                <w:szCs w:val="14"/>
                <w:color w:val="auto"/>
              </w:rPr>
              <w:t>Optons</w:t>
            </w:r>
          </w:p>
        </w:tc>
        <w:tc>
          <w:tcPr>
            <w:tcW w:w="1280" w:type="dxa"/>
            <w:vAlign w:val="bottom"/>
          </w:tcPr>
          <w:p>
            <w:pPr>
              <w:jc w:val="right"/>
              <w:ind w:right="131"/>
              <w:spacing w:after="0" w:line="169" w:lineRule="exact"/>
              <w:rPr>
                <w:sz w:val="20"/>
                <w:szCs w:val="20"/>
                <w:color w:val="auto"/>
              </w:rPr>
            </w:pPr>
            <w:r>
              <w:rPr>
                <w:rFonts w:ascii="Calibri" w:cs="Calibri" w:eastAsia="Calibri" w:hAnsi="Calibri"/>
                <w:sz w:val="14"/>
                <w:szCs w:val="14"/>
                <w:color w:val="auto"/>
              </w:rPr>
              <w:t>94,028</w:t>
            </w:r>
          </w:p>
        </w:tc>
        <w:tc>
          <w:tcPr>
            <w:tcW w:w="138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94,028</w:t>
            </w:r>
          </w:p>
        </w:tc>
        <w:tc>
          <w:tcPr>
            <w:tcW w:w="124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23,507</w:t>
            </w:r>
          </w:p>
        </w:tc>
        <w:tc>
          <w:tcPr>
            <w:tcW w:w="1320" w:type="dxa"/>
            <w:vAlign w:val="bottom"/>
          </w:tcPr>
          <w:p>
            <w:pPr>
              <w:jc w:val="right"/>
              <w:ind w:right="151"/>
              <w:spacing w:after="0" w:line="169" w:lineRule="exact"/>
              <w:rPr>
                <w:sz w:val="20"/>
                <w:szCs w:val="20"/>
                <w:color w:val="auto"/>
              </w:rPr>
            </w:pPr>
            <w:r>
              <w:rPr>
                <w:rFonts w:ascii="Calibri" w:cs="Calibri" w:eastAsia="Calibri" w:hAnsi="Calibri"/>
                <w:sz w:val="14"/>
                <w:szCs w:val="14"/>
                <w:color w:val="auto"/>
              </w:rPr>
              <w:t>94,028</w:t>
            </w: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93"/>
        </w:trPr>
        <w:tc>
          <w:tcPr>
            <w:tcW w:w="20" w:type="dxa"/>
            <w:vAlign w:val="bottom"/>
          </w:tcPr>
          <w:p>
            <w:pPr>
              <w:spacing w:after="0"/>
              <w:rPr>
                <w:sz w:val="16"/>
                <w:szCs w:val="16"/>
                <w:color w:val="auto"/>
              </w:rPr>
            </w:pPr>
          </w:p>
        </w:tc>
        <w:tc>
          <w:tcPr>
            <w:tcW w:w="1300" w:type="dxa"/>
            <w:vAlign w:val="bottom"/>
            <w:tcBorders>
              <w:bottom w:val="single" w:sz="8" w:color="FB4E0B"/>
            </w:tcBorders>
          </w:tcPr>
          <w:p>
            <w:pPr>
              <w:spacing w:after="0"/>
              <w:rPr>
                <w:sz w:val="16"/>
                <w:szCs w:val="16"/>
                <w:color w:val="auto"/>
              </w:rPr>
            </w:pPr>
          </w:p>
        </w:tc>
        <w:tc>
          <w:tcPr>
            <w:tcW w:w="2340" w:type="dxa"/>
            <w:vAlign w:val="bottom"/>
            <w:tcBorders>
              <w:bottom w:val="single" w:sz="8" w:color="FB4E0B"/>
            </w:tcBorders>
          </w:tcPr>
          <w:p>
            <w:pPr>
              <w:ind w:left="320"/>
              <w:spacing w:after="0" w:line="169" w:lineRule="exact"/>
              <w:rPr>
                <w:sz w:val="20"/>
                <w:szCs w:val="20"/>
                <w:color w:val="auto"/>
              </w:rPr>
            </w:pPr>
            <w:r>
              <w:rPr>
                <w:rFonts w:ascii="Calibri" w:cs="Calibri" w:eastAsia="Calibri" w:hAnsi="Calibri"/>
                <w:sz w:val="14"/>
                <w:szCs w:val="14"/>
                <w:color w:val="auto"/>
              </w:rPr>
              <w:t>Share Match Program</w:t>
            </w:r>
          </w:p>
        </w:tc>
        <w:tc>
          <w:tcPr>
            <w:tcW w:w="1280" w:type="dxa"/>
            <w:vAlign w:val="bottom"/>
            <w:tcBorders>
              <w:bottom w:val="single" w:sz="8" w:color="FB4E0B"/>
            </w:tcBorders>
          </w:tcPr>
          <w:p>
            <w:pPr>
              <w:jc w:val="right"/>
              <w:ind w:right="131"/>
              <w:spacing w:after="0" w:line="169" w:lineRule="exact"/>
              <w:rPr>
                <w:sz w:val="20"/>
                <w:szCs w:val="20"/>
                <w:color w:val="auto"/>
              </w:rPr>
            </w:pPr>
            <w:r>
              <w:rPr>
                <w:rFonts w:ascii="Calibri" w:cs="Calibri" w:eastAsia="Calibri" w:hAnsi="Calibri"/>
                <w:sz w:val="14"/>
                <w:szCs w:val="14"/>
                <w:color w:val="auto"/>
              </w:rPr>
              <w:t>644,302</w:t>
            </w:r>
          </w:p>
        </w:tc>
        <w:tc>
          <w:tcPr>
            <w:tcW w:w="1380" w:type="dxa"/>
            <w:vAlign w:val="bottom"/>
            <w:tcBorders>
              <w:bottom w:val="single" w:sz="8" w:color="FB4E0B"/>
            </w:tcBorders>
          </w:tcPr>
          <w:p>
            <w:pPr>
              <w:jc w:val="right"/>
              <w:ind w:right="111"/>
              <w:spacing w:after="0" w:line="169" w:lineRule="exact"/>
              <w:rPr>
                <w:sz w:val="20"/>
                <w:szCs w:val="20"/>
                <w:color w:val="auto"/>
              </w:rPr>
            </w:pPr>
            <w:r>
              <w:rPr>
                <w:rFonts w:ascii="Calibri" w:cs="Calibri" w:eastAsia="Calibri" w:hAnsi="Calibri"/>
                <w:sz w:val="14"/>
                <w:szCs w:val="14"/>
                <w:color w:val="auto"/>
              </w:rPr>
              <w:t>644,302</w:t>
            </w:r>
          </w:p>
        </w:tc>
        <w:tc>
          <w:tcPr>
            <w:tcW w:w="1240" w:type="dxa"/>
            <w:vAlign w:val="bottom"/>
            <w:tcBorders>
              <w:bottom w:val="single" w:sz="8" w:color="FB4E0B"/>
            </w:tcBorders>
          </w:tcPr>
          <w:p>
            <w:pPr>
              <w:jc w:val="right"/>
              <w:ind w:right="111"/>
              <w:spacing w:after="0" w:line="169" w:lineRule="exact"/>
              <w:rPr>
                <w:sz w:val="20"/>
                <w:szCs w:val="20"/>
                <w:color w:val="auto"/>
              </w:rPr>
            </w:pPr>
            <w:r>
              <w:rPr>
                <w:rFonts w:ascii="Calibri" w:cs="Calibri" w:eastAsia="Calibri" w:hAnsi="Calibri"/>
                <w:sz w:val="14"/>
                <w:szCs w:val="14"/>
                <w:color w:val="auto"/>
              </w:rPr>
              <w:t>—</w:t>
            </w:r>
          </w:p>
        </w:tc>
        <w:tc>
          <w:tcPr>
            <w:tcW w:w="840" w:type="dxa"/>
            <w:vAlign w:val="bottom"/>
            <w:tcBorders>
              <w:bottom w:val="single" w:sz="8" w:color="FB4E0B"/>
            </w:tcBorders>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1320" w:type="dxa"/>
            <w:vAlign w:val="bottom"/>
            <w:tcBorders>
              <w:bottom w:val="single" w:sz="8" w:color="FB4E0B"/>
            </w:tcBorders>
          </w:tcPr>
          <w:p>
            <w:pPr>
              <w:jc w:val="right"/>
              <w:ind w:right="151"/>
              <w:spacing w:after="0" w:line="169" w:lineRule="exact"/>
              <w:rPr>
                <w:sz w:val="20"/>
                <w:szCs w:val="20"/>
                <w:color w:val="auto"/>
              </w:rPr>
            </w:pPr>
            <w:r>
              <w:rPr>
                <w:rFonts w:ascii="Calibri" w:cs="Calibri" w:eastAsia="Calibri" w:hAnsi="Calibri"/>
                <w:sz w:val="14"/>
                <w:szCs w:val="14"/>
                <w:color w:val="auto"/>
              </w:rPr>
              <w:t>644,302</w:t>
            </w:r>
          </w:p>
        </w:tc>
        <w:tc>
          <w:tcPr>
            <w:tcW w:w="900" w:type="dxa"/>
            <w:vAlign w:val="bottom"/>
            <w:tcBorders>
              <w:bottom w:val="single" w:sz="8" w:color="FB4E0B"/>
            </w:tcBorders>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66"/>
        </w:trPr>
        <w:tc>
          <w:tcPr>
            <w:tcW w:w="20" w:type="dxa"/>
            <w:vAlign w:val="bottom"/>
          </w:tcPr>
          <w:p>
            <w:pPr>
              <w:spacing w:after="0"/>
              <w:rPr>
                <w:sz w:val="14"/>
                <w:szCs w:val="14"/>
                <w:color w:val="auto"/>
              </w:rPr>
            </w:pPr>
          </w:p>
        </w:tc>
        <w:tc>
          <w:tcPr>
            <w:tcW w:w="1300" w:type="dxa"/>
            <w:vAlign w:val="bottom"/>
          </w:tcPr>
          <w:p>
            <w:pPr>
              <w:spacing w:after="0" w:line="166" w:lineRule="exact"/>
              <w:rPr>
                <w:sz w:val="20"/>
                <w:szCs w:val="20"/>
                <w:color w:val="auto"/>
              </w:rPr>
            </w:pPr>
            <w:r>
              <w:rPr>
                <w:rFonts w:ascii="Calibri" w:cs="Calibri" w:eastAsia="Calibri" w:hAnsi="Calibri"/>
                <w:sz w:val="14"/>
                <w:szCs w:val="14"/>
                <w:b w:val="1"/>
                <w:bCs w:val="1"/>
                <w:color w:val="auto"/>
              </w:rPr>
              <w:t>Vikas Bhalla</w:t>
            </w:r>
          </w:p>
        </w:tc>
        <w:tc>
          <w:tcPr>
            <w:tcW w:w="2340" w:type="dxa"/>
            <w:vAlign w:val="bottom"/>
          </w:tcPr>
          <w:p>
            <w:pPr>
              <w:ind w:left="320"/>
              <w:spacing w:after="0" w:line="166" w:lineRule="exact"/>
              <w:rPr>
                <w:sz w:val="20"/>
                <w:szCs w:val="20"/>
                <w:color w:val="auto"/>
              </w:rPr>
            </w:pPr>
            <w:r>
              <w:rPr>
                <w:rFonts w:ascii="Calibri" w:cs="Calibri" w:eastAsia="Calibri" w:hAnsi="Calibri"/>
                <w:sz w:val="14"/>
                <w:szCs w:val="14"/>
                <w:color w:val="auto"/>
              </w:rPr>
              <w:t>Base salary payout</w:t>
            </w:r>
          </w:p>
        </w:tc>
        <w:tc>
          <w:tcPr>
            <w:tcW w:w="12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w:t>
            </w:r>
          </w:p>
        </w:tc>
        <w:tc>
          <w:tcPr>
            <w:tcW w:w="1380" w:type="dxa"/>
            <w:vAlign w:val="bottom"/>
          </w:tcPr>
          <w:p>
            <w:pPr>
              <w:jc w:val="right"/>
              <w:ind w:right="111"/>
              <w:spacing w:after="0" w:line="166" w:lineRule="exact"/>
              <w:rPr>
                <w:sz w:val="20"/>
                <w:szCs w:val="20"/>
                <w:color w:val="auto"/>
              </w:rPr>
            </w:pPr>
            <w:r>
              <w:rPr>
                <w:rFonts w:ascii="Calibri" w:cs="Calibri" w:eastAsia="Calibri" w:hAnsi="Calibri"/>
                <w:sz w:val="14"/>
                <w:szCs w:val="14"/>
                <w:color w:val="auto"/>
              </w:rPr>
              <w:t>—</w:t>
            </w:r>
          </w:p>
        </w:tc>
        <w:tc>
          <w:tcPr>
            <w:tcW w:w="1240" w:type="dxa"/>
            <w:vAlign w:val="bottom"/>
          </w:tcPr>
          <w:p>
            <w:pPr>
              <w:jc w:val="right"/>
              <w:ind w:right="111"/>
              <w:spacing w:after="0" w:line="166" w:lineRule="exact"/>
              <w:rPr>
                <w:sz w:val="20"/>
                <w:szCs w:val="20"/>
                <w:color w:val="auto"/>
              </w:rPr>
            </w:pPr>
            <w:r>
              <w:rPr>
                <w:rFonts w:ascii="Calibri" w:cs="Calibri" w:eastAsia="Calibri" w:hAnsi="Calibri"/>
                <w:sz w:val="14"/>
                <w:szCs w:val="14"/>
                <w:color w:val="auto"/>
              </w:rPr>
              <w:t>335,304</w:t>
            </w:r>
          </w:p>
        </w:tc>
        <w:tc>
          <w:tcPr>
            <w:tcW w:w="840" w:type="dxa"/>
            <w:vAlign w:val="bottom"/>
          </w:tcPr>
          <w:p>
            <w:pPr>
              <w:jc w:val="right"/>
              <w:ind w:right="31"/>
              <w:spacing w:after="0" w:line="166" w:lineRule="exact"/>
              <w:rPr>
                <w:sz w:val="20"/>
                <w:szCs w:val="20"/>
                <w:color w:val="auto"/>
              </w:rPr>
            </w:pPr>
            <w:r>
              <w:rPr>
                <w:rFonts w:ascii="Calibri" w:cs="Calibri" w:eastAsia="Calibri" w:hAnsi="Calibri"/>
                <w:sz w:val="14"/>
                <w:szCs w:val="14"/>
                <w:color w:val="auto"/>
              </w:rPr>
              <w:t>—</w:t>
            </w:r>
          </w:p>
        </w:tc>
        <w:tc>
          <w:tcPr>
            <w:tcW w:w="1320" w:type="dxa"/>
            <w:vAlign w:val="bottom"/>
          </w:tcPr>
          <w:p>
            <w:pPr>
              <w:jc w:val="right"/>
              <w:ind w:right="151"/>
              <w:spacing w:after="0" w:line="166" w:lineRule="exact"/>
              <w:rPr>
                <w:sz w:val="20"/>
                <w:szCs w:val="20"/>
                <w:color w:val="auto"/>
              </w:rPr>
            </w:pPr>
            <w:r>
              <w:rPr>
                <w:rFonts w:ascii="Calibri" w:cs="Calibri" w:eastAsia="Calibri" w:hAnsi="Calibri"/>
                <w:sz w:val="14"/>
                <w:szCs w:val="14"/>
                <w:color w:val="auto"/>
              </w:rPr>
              <w:t>335,304</w:t>
            </w:r>
          </w:p>
        </w:tc>
        <w:tc>
          <w:tcPr>
            <w:tcW w:w="900" w:type="dxa"/>
            <w:vAlign w:val="bottom"/>
          </w:tcPr>
          <w:p>
            <w:pPr>
              <w:jc w:val="right"/>
              <w:spacing w:after="0" w:line="166" w:lineRule="exact"/>
              <w:rPr>
                <w:sz w:val="20"/>
                <w:szCs w:val="20"/>
                <w:color w:val="auto"/>
              </w:rPr>
            </w:pPr>
            <w:r>
              <w:rPr>
                <w:rFonts w:ascii="Calibri" w:cs="Calibri" w:eastAsia="Calibri" w:hAnsi="Calibri"/>
                <w:sz w:val="14"/>
                <w:szCs w:val="14"/>
                <w:color w:val="auto"/>
              </w:rPr>
              <w:t>—</w:t>
            </w: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ind w:left="320"/>
              <w:spacing w:after="0" w:line="167" w:lineRule="exact"/>
              <w:rPr>
                <w:sz w:val="20"/>
                <w:szCs w:val="20"/>
                <w:color w:val="auto"/>
              </w:rPr>
            </w:pPr>
            <w:r>
              <w:rPr>
                <w:rFonts w:ascii="Calibri" w:cs="Calibri" w:eastAsia="Calibri" w:hAnsi="Calibri"/>
                <w:sz w:val="14"/>
                <w:szCs w:val="14"/>
                <w:color w:val="auto"/>
              </w:rPr>
              <w:t>Restricted stock units</w:t>
            </w:r>
          </w:p>
        </w:tc>
        <w:tc>
          <w:tcPr>
            <w:tcW w:w="1280" w:type="dxa"/>
            <w:vAlign w:val="bottom"/>
          </w:tcPr>
          <w:p>
            <w:pPr>
              <w:jc w:val="right"/>
              <w:ind w:right="131"/>
              <w:spacing w:after="0" w:line="167" w:lineRule="exact"/>
              <w:rPr>
                <w:sz w:val="20"/>
                <w:szCs w:val="20"/>
                <w:color w:val="auto"/>
              </w:rPr>
            </w:pPr>
            <w:r>
              <w:rPr>
                <w:rFonts w:ascii="Calibri" w:cs="Calibri" w:eastAsia="Calibri" w:hAnsi="Calibri"/>
                <w:sz w:val="14"/>
                <w:szCs w:val="14"/>
                <w:color w:val="auto"/>
              </w:rPr>
              <w:t>3,184,954</w:t>
            </w:r>
          </w:p>
        </w:tc>
        <w:tc>
          <w:tcPr>
            <w:tcW w:w="1380" w:type="dxa"/>
            <w:vAlign w:val="bottom"/>
          </w:tcPr>
          <w:p>
            <w:pPr>
              <w:jc w:val="right"/>
              <w:ind w:right="111"/>
              <w:spacing w:after="0" w:line="167" w:lineRule="exact"/>
              <w:rPr>
                <w:sz w:val="20"/>
                <w:szCs w:val="20"/>
                <w:color w:val="auto"/>
              </w:rPr>
            </w:pPr>
            <w:r>
              <w:rPr>
                <w:rFonts w:ascii="Calibri" w:cs="Calibri" w:eastAsia="Calibri" w:hAnsi="Calibri"/>
                <w:sz w:val="14"/>
                <w:szCs w:val="14"/>
                <w:color w:val="auto"/>
              </w:rPr>
              <w:t>3,184,954</w:t>
            </w:r>
          </w:p>
        </w:tc>
        <w:tc>
          <w:tcPr>
            <w:tcW w:w="1240" w:type="dxa"/>
            <w:vAlign w:val="bottom"/>
          </w:tcPr>
          <w:p>
            <w:pPr>
              <w:jc w:val="right"/>
              <w:ind w:right="111"/>
              <w:spacing w:after="0" w:line="167"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ind w:right="31"/>
              <w:spacing w:after="0" w:line="167" w:lineRule="exact"/>
              <w:rPr>
                <w:sz w:val="20"/>
                <w:szCs w:val="20"/>
                <w:color w:val="auto"/>
              </w:rPr>
            </w:pPr>
            <w:r>
              <w:rPr>
                <w:rFonts w:ascii="Calibri" w:cs="Calibri" w:eastAsia="Calibri" w:hAnsi="Calibri"/>
                <w:sz w:val="14"/>
                <w:szCs w:val="14"/>
                <w:color w:val="auto"/>
              </w:rPr>
              <w:t>906,527</w:t>
            </w:r>
          </w:p>
        </w:tc>
        <w:tc>
          <w:tcPr>
            <w:tcW w:w="1320" w:type="dxa"/>
            <w:vAlign w:val="bottom"/>
          </w:tcPr>
          <w:p>
            <w:pPr>
              <w:jc w:val="right"/>
              <w:ind w:right="151"/>
              <w:spacing w:after="0" w:line="167" w:lineRule="exact"/>
              <w:rPr>
                <w:sz w:val="20"/>
                <w:szCs w:val="20"/>
                <w:color w:val="auto"/>
              </w:rPr>
            </w:pPr>
            <w:r>
              <w:rPr>
                <w:rFonts w:ascii="Calibri" w:cs="Calibri" w:eastAsia="Calibri" w:hAnsi="Calibri"/>
                <w:sz w:val="14"/>
                <w:szCs w:val="14"/>
                <w:color w:val="auto"/>
              </w:rPr>
              <w:t>3,184,954</w:t>
            </w:r>
          </w:p>
        </w:tc>
        <w:tc>
          <w:tcPr>
            <w:tcW w:w="900" w:type="dxa"/>
            <w:vAlign w:val="bottom"/>
          </w:tcPr>
          <w:p>
            <w:pPr>
              <w:jc w:val="right"/>
              <w:spacing w:after="0" w:line="167" w:lineRule="exact"/>
              <w:rPr>
                <w:sz w:val="20"/>
                <w:szCs w:val="20"/>
                <w:color w:val="auto"/>
              </w:rPr>
            </w:pPr>
            <w:r>
              <w:rPr>
                <w:rFonts w:ascii="Calibri" w:cs="Calibri" w:eastAsia="Calibri" w:hAnsi="Calibri"/>
                <w:sz w:val="14"/>
                <w:szCs w:val="14"/>
                <w:color w:val="auto"/>
              </w:rPr>
              <w:t>—</w:t>
            </w: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ind w:left="320"/>
              <w:spacing w:after="0" w:line="169" w:lineRule="exact"/>
              <w:rPr>
                <w:sz w:val="20"/>
                <w:szCs w:val="20"/>
                <w:color w:val="auto"/>
              </w:rPr>
            </w:pPr>
            <w:r>
              <w:rPr>
                <w:rFonts w:ascii="Calibri" w:cs="Calibri" w:eastAsia="Calibri" w:hAnsi="Calibri"/>
                <w:sz w:val="14"/>
                <w:szCs w:val="14"/>
                <w:color w:val="auto"/>
              </w:rPr>
              <w:t>Performance restricted stock units</w:t>
            </w:r>
          </w:p>
        </w:tc>
        <w:tc>
          <w:tcPr>
            <w:tcW w:w="1280" w:type="dxa"/>
            <w:vAlign w:val="bottom"/>
          </w:tcPr>
          <w:p>
            <w:pPr>
              <w:jc w:val="right"/>
              <w:ind w:right="131"/>
              <w:spacing w:after="0" w:line="169" w:lineRule="exact"/>
              <w:rPr>
                <w:sz w:val="20"/>
                <w:szCs w:val="20"/>
                <w:color w:val="auto"/>
              </w:rPr>
            </w:pPr>
            <w:r>
              <w:rPr>
                <w:rFonts w:ascii="Calibri" w:cs="Calibri" w:eastAsia="Calibri" w:hAnsi="Calibri"/>
                <w:sz w:val="14"/>
                <w:szCs w:val="14"/>
                <w:color w:val="auto"/>
              </w:rPr>
              <w:t>942,491</w:t>
            </w:r>
          </w:p>
        </w:tc>
        <w:tc>
          <w:tcPr>
            <w:tcW w:w="138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1,820,459</w:t>
            </w:r>
          </w:p>
        </w:tc>
        <w:tc>
          <w:tcPr>
            <w:tcW w:w="124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2,397,415</w:t>
            </w:r>
          </w:p>
        </w:tc>
        <w:tc>
          <w:tcPr>
            <w:tcW w:w="1320" w:type="dxa"/>
            <w:vAlign w:val="bottom"/>
          </w:tcPr>
          <w:p>
            <w:pPr>
              <w:jc w:val="right"/>
              <w:ind w:right="151"/>
              <w:spacing w:after="0" w:line="169" w:lineRule="exact"/>
              <w:rPr>
                <w:sz w:val="20"/>
                <w:szCs w:val="20"/>
                <w:color w:val="auto"/>
              </w:rPr>
            </w:pPr>
            <w:r>
              <w:rPr>
                <w:rFonts w:ascii="Calibri" w:cs="Calibri" w:eastAsia="Calibri" w:hAnsi="Calibri"/>
                <w:sz w:val="14"/>
                <w:szCs w:val="14"/>
                <w:color w:val="auto"/>
              </w:rPr>
              <w:t>1,820,459</w:t>
            </w: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ind w:left="320"/>
              <w:spacing w:after="0" w:line="169" w:lineRule="exact"/>
              <w:rPr>
                <w:sz w:val="20"/>
                <w:szCs w:val="20"/>
                <w:color w:val="auto"/>
              </w:rPr>
            </w:pPr>
            <w:r>
              <w:rPr>
                <w:rFonts w:ascii="Calibri" w:cs="Calibri" w:eastAsia="Calibri" w:hAnsi="Calibri"/>
                <w:sz w:val="14"/>
                <w:szCs w:val="14"/>
                <w:color w:val="auto"/>
              </w:rPr>
              <w:t>Optons</w:t>
            </w:r>
          </w:p>
        </w:tc>
        <w:tc>
          <w:tcPr>
            <w:tcW w:w="1280" w:type="dxa"/>
            <w:vAlign w:val="bottom"/>
          </w:tcPr>
          <w:p>
            <w:pPr>
              <w:jc w:val="right"/>
              <w:ind w:right="131"/>
              <w:spacing w:after="0" w:line="169" w:lineRule="exact"/>
              <w:rPr>
                <w:sz w:val="20"/>
                <w:szCs w:val="20"/>
                <w:color w:val="auto"/>
              </w:rPr>
            </w:pPr>
            <w:r>
              <w:rPr>
                <w:rFonts w:ascii="Calibri" w:cs="Calibri" w:eastAsia="Calibri" w:hAnsi="Calibri"/>
                <w:sz w:val="14"/>
                <w:szCs w:val="14"/>
                <w:color w:val="auto"/>
              </w:rPr>
              <w:t>188,055</w:t>
            </w:r>
          </w:p>
        </w:tc>
        <w:tc>
          <w:tcPr>
            <w:tcW w:w="138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188,055</w:t>
            </w:r>
          </w:p>
        </w:tc>
        <w:tc>
          <w:tcPr>
            <w:tcW w:w="124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47,014</w:t>
            </w:r>
          </w:p>
        </w:tc>
        <w:tc>
          <w:tcPr>
            <w:tcW w:w="1320" w:type="dxa"/>
            <w:vAlign w:val="bottom"/>
          </w:tcPr>
          <w:p>
            <w:pPr>
              <w:jc w:val="right"/>
              <w:ind w:right="151"/>
              <w:spacing w:after="0" w:line="169" w:lineRule="exact"/>
              <w:rPr>
                <w:sz w:val="20"/>
                <w:szCs w:val="20"/>
                <w:color w:val="auto"/>
              </w:rPr>
            </w:pPr>
            <w:r>
              <w:rPr>
                <w:rFonts w:ascii="Calibri" w:cs="Calibri" w:eastAsia="Calibri" w:hAnsi="Calibri"/>
                <w:sz w:val="14"/>
                <w:szCs w:val="14"/>
                <w:color w:val="auto"/>
              </w:rPr>
              <w:t>188,055</w:t>
            </w: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ind w:left="320"/>
              <w:spacing w:after="0" w:line="169" w:lineRule="exact"/>
              <w:rPr>
                <w:sz w:val="20"/>
                <w:szCs w:val="20"/>
                <w:color w:val="auto"/>
              </w:rPr>
            </w:pPr>
            <w:r>
              <w:rPr>
                <w:rFonts w:ascii="Calibri" w:cs="Calibri" w:eastAsia="Calibri" w:hAnsi="Calibri"/>
                <w:sz w:val="14"/>
                <w:szCs w:val="14"/>
                <w:color w:val="auto"/>
              </w:rPr>
              <w:t>Government-required payouts</w:t>
            </w:r>
          </w:p>
        </w:tc>
        <w:tc>
          <w:tcPr>
            <w:tcW w:w="1280" w:type="dxa"/>
            <w:vAlign w:val="bottom"/>
          </w:tcPr>
          <w:p>
            <w:pPr>
              <w:jc w:val="right"/>
              <w:ind w:right="131"/>
              <w:spacing w:after="0" w:line="169" w:lineRule="exact"/>
              <w:rPr>
                <w:sz w:val="20"/>
                <w:szCs w:val="20"/>
                <w:color w:val="auto"/>
              </w:rPr>
            </w:pPr>
            <w:r>
              <w:rPr>
                <w:rFonts w:ascii="Calibri" w:cs="Calibri" w:eastAsia="Calibri" w:hAnsi="Calibri"/>
                <w:sz w:val="14"/>
                <w:szCs w:val="14"/>
                <w:color w:val="auto"/>
              </w:rPr>
              <w:t>129,769</w:t>
            </w:r>
          </w:p>
        </w:tc>
        <w:tc>
          <w:tcPr>
            <w:tcW w:w="138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129,769</w:t>
            </w:r>
          </w:p>
        </w:tc>
        <w:tc>
          <w:tcPr>
            <w:tcW w:w="124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129,769</w:t>
            </w:r>
          </w:p>
        </w:tc>
        <w:tc>
          <w:tcPr>
            <w:tcW w:w="8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1320" w:type="dxa"/>
            <w:vAlign w:val="bottom"/>
          </w:tcPr>
          <w:p>
            <w:pPr>
              <w:jc w:val="right"/>
              <w:ind w:right="151"/>
              <w:spacing w:after="0" w:line="169" w:lineRule="exact"/>
              <w:rPr>
                <w:sz w:val="20"/>
                <w:szCs w:val="20"/>
                <w:color w:val="auto"/>
              </w:rPr>
            </w:pPr>
            <w:r>
              <w:rPr>
                <w:rFonts w:ascii="Calibri" w:cs="Calibri" w:eastAsia="Calibri" w:hAnsi="Calibri"/>
                <w:sz w:val="14"/>
                <w:szCs w:val="14"/>
                <w:color w:val="auto"/>
              </w:rPr>
              <w:t>129,769</w:t>
            </w: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93"/>
        </w:trPr>
        <w:tc>
          <w:tcPr>
            <w:tcW w:w="20" w:type="dxa"/>
            <w:vAlign w:val="bottom"/>
          </w:tcPr>
          <w:p>
            <w:pPr>
              <w:spacing w:after="0"/>
              <w:rPr>
                <w:sz w:val="16"/>
                <w:szCs w:val="16"/>
                <w:color w:val="auto"/>
              </w:rPr>
            </w:pPr>
          </w:p>
        </w:tc>
        <w:tc>
          <w:tcPr>
            <w:tcW w:w="1300" w:type="dxa"/>
            <w:vAlign w:val="bottom"/>
            <w:tcBorders>
              <w:bottom w:val="single" w:sz="8" w:color="FB4E0B"/>
            </w:tcBorders>
          </w:tcPr>
          <w:p>
            <w:pPr>
              <w:spacing w:after="0"/>
              <w:rPr>
                <w:sz w:val="16"/>
                <w:szCs w:val="16"/>
                <w:color w:val="auto"/>
              </w:rPr>
            </w:pPr>
          </w:p>
        </w:tc>
        <w:tc>
          <w:tcPr>
            <w:tcW w:w="2340" w:type="dxa"/>
            <w:vAlign w:val="bottom"/>
            <w:tcBorders>
              <w:bottom w:val="single" w:sz="8" w:color="FB4E0B"/>
            </w:tcBorders>
          </w:tcPr>
          <w:p>
            <w:pPr>
              <w:ind w:left="320"/>
              <w:spacing w:after="0" w:line="169" w:lineRule="exact"/>
              <w:rPr>
                <w:sz w:val="20"/>
                <w:szCs w:val="20"/>
                <w:color w:val="auto"/>
              </w:rPr>
            </w:pPr>
            <w:r>
              <w:rPr>
                <w:rFonts w:ascii="Calibri" w:cs="Calibri" w:eastAsia="Calibri" w:hAnsi="Calibri"/>
                <w:sz w:val="14"/>
                <w:szCs w:val="14"/>
                <w:color w:val="auto"/>
              </w:rPr>
              <w:t>Share Match Program</w:t>
            </w:r>
          </w:p>
        </w:tc>
        <w:tc>
          <w:tcPr>
            <w:tcW w:w="1280" w:type="dxa"/>
            <w:vAlign w:val="bottom"/>
            <w:tcBorders>
              <w:bottom w:val="single" w:sz="8" w:color="FB4E0B"/>
            </w:tcBorders>
          </w:tcPr>
          <w:p>
            <w:pPr>
              <w:jc w:val="right"/>
              <w:ind w:right="131"/>
              <w:spacing w:after="0" w:line="169" w:lineRule="exact"/>
              <w:rPr>
                <w:sz w:val="20"/>
                <w:szCs w:val="20"/>
                <w:color w:val="auto"/>
              </w:rPr>
            </w:pPr>
            <w:r>
              <w:rPr>
                <w:rFonts w:ascii="Calibri" w:cs="Calibri" w:eastAsia="Calibri" w:hAnsi="Calibri"/>
                <w:sz w:val="14"/>
                <w:szCs w:val="14"/>
                <w:color w:val="auto"/>
              </w:rPr>
              <w:t>644,302</w:t>
            </w:r>
          </w:p>
        </w:tc>
        <w:tc>
          <w:tcPr>
            <w:tcW w:w="1380" w:type="dxa"/>
            <w:vAlign w:val="bottom"/>
            <w:tcBorders>
              <w:bottom w:val="single" w:sz="8" w:color="FB4E0B"/>
            </w:tcBorders>
          </w:tcPr>
          <w:p>
            <w:pPr>
              <w:jc w:val="right"/>
              <w:ind w:right="111"/>
              <w:spacing w:after="0" w:line="169" w:lineRule="exact"/>
              <w:rPr>
                <w:sz w:val="20"/>
                <w:szCs w:val="20"/>
                <w:color w:val="auto"/>
              </w:rPr>
            </w:pPr>
            <w:r>
              <w:rPr>
                <w:rFonts w:ascii="Calibri" w:cs="Calibri" w:eastAsia="Calibri" w:hAnsi="Calibri"/>
                <w:sz w:val="14"/>
                <w:szCs w:val="14"/>
                <w:color w:val="auto"/>
              </w:rPr>
              <w:t>644,302</w:t>
            </w:r>
          </w:p>
        </w:tc>
        <w:tc>
          <w:tcPr>
            <w:tcW w:w="1240" w:type="dxa"/>
            <w:vAlign w:val="bottom"/>
            <w:tcBorders>
              <w:bottom w:val="single" w:sz="8" w:color="FB4E0B"/>
            </w:tcBorders>
          </w:tcPr>
          <w:p>
            <w:pPr>
              <w:jc w:val="right"/>
              <w:ind w:right="111"/>
              <w:spacing w:after="0" w:line="169" w:lineRule="exact"/>
              <w:rPr>
                <w:sz w:val="20"/>
                <w:szCs w:val="20"/>
                <w:color w:val="auto"/>
              </w:rPr>
            </w:pPr>
            <w:r>
              <w:rPr>
                <w:rFonts w:ascii="Calibri" w:cs="Calibri" w:eastAsia="Calibri" w:hAnsi="Calibri"/>
                <w:sz w:val="14"/>
                <w:szCs w:val="14"/>
                <w:color w:val="auto"/>
              </w:rPr>
              <w:t>—</w:t>
            </w:r>
          </w:p>
        </w:tc>
        <w:tc>
          <w:tcPr>
            <w:tcW w:w="840" w:type="dxa"/>
            <w:vAlign w:val="bottom"/>
            <w:tcBorders>
              <w:bottom w:val="single" w:sz="8" w:color="FB4E0B"/>
            </w:tcBorders>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1320" w:type="dxa"/>
            <w:vAlign w:val="bottom"/>
            <w:tcBorders>
              <w:bottom w:val="single" w:sz="8" w:color="FB4E0B"/>
            </w:tcBorders>
          </w:tcPr>
          <w:p>
            <w:pPr>
              <w:jc w:val="right"/>
              <w:ind w:right="151"/>
              <w:spacing w:after="0" w:line="169" w:lineRule="exact"/>
              <w:rPr>
                <w:sz w:val="20"/>
                <w:szCs w:val="20"/>
                <w:color w:val="auto"/>
              </w:rPr>
            </w:pPr>
            <w:r>
              <w:rPr>
                <w:rFonts w:ascii="Calibri" w:cs="Calibri" w:eastAsia="Calibri" w:hAnsi="Calibri"/>
                <w:sz w:val="14"/>
                <w:szCs w:val="14"/>
                <w:color w:val="auto"/>
              </w:rPr>
              <w:t>644,302</w:t>
            </w:r>
          </w:p>
        </w:tc>
        <w:tc>
          <w:tcPr>
            <w:tcW w:w="900" w:type="dxa"/>
            <w:vAlign w:val="bottom"/>
            <w:tcBorders>
              <w:bottom w:val="single" w:sz="8" w:color="FB4E0B"/>
            </w:tcBorders>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66"/>
        </w:trPr>
        <w:tc>
          <w:tcPr>
            <w:tcW w:w="20" w:type="dxa"/>
            <w:vAlign w:val="bottom"/>
          </w:tcPr>
          <w:p>
            <w:pPr>
              <w:spacing w:after="0"/>
              <w:rPr>
                <w:sz w:val="14"/>
                <w:szCs w:val="14"/>
                <w:color w:val="auto"/>
              </w:rPr>
            </w:pPr>
          </w:p>
        </w:tc>
        <w:tc>
          <w:tcPr>
            <w:tcW w:w="1300" w:type="dxa"/>
            <w:vAlign w:val="bottom"/>
          </w:tcPr>
          <w:p>
            <w:pPr>
              <w:spacing w:after="0" w:line="166" w:lineRule="exact"/>
              <w:rPr>
                <w:sz w:val="20"/>
                <w:szCs w:val="20"/>
                <w:color w:val="auto"/>
              </w:rPr>
            </w:pPr>
            <w:r>
              <w:rPr>
                <w:rFonts w:ascii="Calibri" w:cs="Calibri" w:eastAsia="Calibri" w:hAnsi="Calibri"/>
                <w:sz w:val="14"/>
                <w:szCs w:val="14"/>
                <w:b w:val="1"/>
                <w:bCs w:val="1"/>
                <w:color w:val="auto"/>
              </w:rPr>
              <w:t>Vivek Jetley</w:t>
            </w:r>
          </w:p>
        </w:tc>
        <w:tc>
          <w:tcPr>
            <w:tcW w:w="2340" w:type="dxa"/>
            <w:vAlign w:val="bottom"/>
          </w:tcPr>
          <w:p>
            <w:pPr>
              <w:ind w:left="320"/>
              <w:spacing w:after="0" w:line="166" w:lineRule="exact"/>
              <w:rPr>
                <w:sz w:val="20"/>
                <w:szCs w:val="20"/>
                <w:color w:val="auto"/>
              </w:rPr>
            </w:pPr>
            <w:r>
              <w:rPr>
                <w:rFonts w:ascii="Calibri" w:cs="Calibri" w:eastAsia="Calibri" w:hAnsi="Calibri"/>
                <w:sz w:val="14"/>
                <w:szCs w:val="14"/>
                <w:color w:val="auto"/>
              </w:rPr>
              <w:t>Base salary payout</w:t>
            </w:r>
          </w:p>
        </w:tc>
        <w:tc>
          <w:tcPr>
            <w:tcW w:w="12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w:t>
            </w:r>
          </w:p>
        </w:tc>
        <w:tc>
          <w:tcPr>
            <w:tcW w:w="1380" w:type="dxa"/>
            <w:vAlign w:val="bottom"/>
          </w:tcPr>
          <w:p>
            <w:pPr>
              <w:jc w:val="right"/>
              <w:ind w:right="111"/>
              <w:spacing w:after="0" w:line="166" w:lineRule="exact"/>
              <w:rPr>
                <w:sz w:val="20"/>
                <w:szCs w:val="20"/>
                <w:color w:val="auto"/>
              </w:rPr>
            </w:pPr>
            <w:r>
              <w:rPr>
                <w:rFonts w:ascii="Calibri" w:cs="Calibri" w:eastAsia="Calibri" w:hAnsi="Calibri"/>
                <w:sz w:val="14"/>
                <w:szCs w:val="14"/>
                <w:color w:val="auto"/>
              </w:rPr>
              <w:t>—</w:t>
            </w:r>
          </w:p>
        </w:tc>
        <w:tc>
          <w:tcPr>
            <w:tcW w:w="1240" w:type="dxa"/>
            <w:vAlign w:val="bottom"/>
          </w:tcPr>
          <w:p>
            <w:pPr>
              <w:jc w:val="right"/>
              <w:ind w:right="111"/>
              <w:spacing w:after="0" w:line="166" w:lineRule="exact"/>
              <w:rPr>
                <w:sz w:val="20"/>
                <w:szCs w:val="20"/>
                <w:color w:val="auto"/>
              </w:rPr>
            </w:pPr>
            <w:r>
              <w:rPr>
                <w:rFonts w:ascii="Calibri" w:cs="Calibri" w:eastAsia="Calibri" w:hAnsi="Calibri"/>
                <w:sz w:val="14"/>
                <w:szCs w:val="14"/>
                <w:color w:val="auto"/>
              </w:rPr>
              <w:t>500,000</w:t>
            </w:r>
          </w:p>
        </w:tc>
        <w:tc>
          <w:tcPr>
            <w:tcW w:w="840" w:type="dxa"/>
            <w:vAlign w:val="bottom"/>
          </w:tcPr>
          <w:p>
            <w:pPr>
              <w:jc w:val="right"/>
              <w:ind w:right="31"/>
              <w:spacing w:after="0" w:line="166" w:lineRule="exact"/>
              <w:rPr>
                <w:sz w:val="20"/>
                <w:szCs w:val="20"/>
                <w:color w:val="auto"/>
              </w:rPr>
            </w:pPr>
            <w:r>
              <w:rPr>
                <w:rFonts w:ascii="Calibri" w:cs="Calibri" w:eastAsia="Calibri" w:hAnsi="Calibri"/>
                <w:sz w:val="14"/>
                <w:szCs w:val="14"/>
                <w:color w:val="auto"/>
              </w:rPr>
              <w:t>—</w:t>
            </w:r>
          </w:p>
        </w:tc>
        <w:tc>
          <w:tcPr>
            <w:tcW w:w="1320" w:type="dxa"/>
            <w:vAlign w:val="bottom"/>
          </w:tcPr>
          <w:p>
            <w:pPr>
              <w:jc w:val="right"/>
              <w:ind w:right="151"/>
              <w:spacing w:after="0" w:line="166" w:lineRule="exact"/>
              <w:rPr>
                <w:sz w:val="20"/>
                <w:szCs w:val="20"/>
                <w:color w:val="auto"/>
              </w:rPr>
            </w:pPr>
            <w:r>
              <w:rPr>
                <w:rFonts w:ascii="Calibri" w:cs="Calibri" w:eastAsia="Calibri" w:hAnsi="Calibri"/>
                <w:sz w:val="14"/>
                <w:szCs w:val="14"/>
                <w:color w:val="auto"/>
              </w:rPr>
              <w:t>500,000</w:t>
            </w:r>
          </w:p>
        </w:tc>
        <w:tc>
          <w:tcPr>
            <w:tcW w:w="900" w:type="dxa"/>
            <w:vAlign w:val="bottom"/>
          </w:tcPr>
          <w:p>
            <w:pPr>
              <w:jc w:val="right"/>
              <w:spacing w:after="0" w:line="166" w:lineRule="exact"/>
              <w:rPr>
                <w:sz w:val="20"/>
                <w:szCs w:val="20"/>
                <w:color w:val="auto"/>
              </w:rPr>
            </w:pPr>
            <w:r>
              <w:rPr>
                <w:rFonts w:ascii="Calibri" w:cs="Calibri" w:eastAsia="Calibri" w:hAnsi="Calibri"/>
                <w:sz w:val="14"/>
                <w:szCs w:val="14"/>
                <w:color w:val="auto"/>
              </w:rPr>
              <w:t>—</w:t>
            </w: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ind w:left="320"/>
              <w:spacing w:after="0" w:line="167" w:lineRule="exact"/>
              <w:rPr>
                <w:sz w:val="20"/>
                <w:szCs w:val="20"/>
                <w:color w:val="auto"/>
              </w:rPr>
            </w:pPr>
            <w:r>
              <w:rPr>
                <w:rFonts w:ascii="Calibri" w:cs="Calibri" w:eastAsia="Calibri" w:hAnsi="Calibri"/>
                <w:sz w:val="14"/>
                <w:szCs w:val="14"/>
                <w:color w:val="auto"/>
              </w:rPr>
              <w:t>Restricted stock units</w:t>
            </w:r>
          </w:p>
        </w:tc>
        <w:tc>
          <w:tcPr>
            <w:tcW w:w="1280" w:type="dxa"/>
            <w:vAlign w:val="bottom"/>
          </w:tcPr>
          <w:p>
            <w:pPr>
              <w:jc w:val="right"/>
              <w:ind w:right="131"/>
              <w:spacing w:after="0" w:line="167" w:lineRule="exact"/>
              <w:rPr>
                <w:sz w:val="20"/>
                <w:szCs w:val="20"/>
                <w:color w:val="auto"/>
              </w:rPr>
            </w:pPr>
            <w:r>
              <w:rPr>
                <w:rFonts w:ascii="Calibri" w:cs="Calibri" w:eastAsia="Calibri" w:hAnsi="Calibri"/>
                <w:sz w:val="14"/>
                <w:szCs w:val="14"/>
                <w:color w:val="auto"/>
              </w:rPr>
              <w:t>2,890,954</w:t>
            </w:r>
          </w:p>
        </w:tc>
        <w:tc>
          <w:tcPr>
            <w:tcW w:w="1380" w:type="dxa"/>
            <w:vAlign w:val="bottom"/>
          </w:tcPr>
          <w:p>
            <w:pPr>
              <w:jc w:val="right"/>
              <w:ind w:right="111"/>
              <w:spacing w:after="0" w:line="167" w:lineRule="exact"/>
              <w:rPr>
                <w:sz w:val="20"/>
                <w:szCs w:val="20"/>
                <w:color w:val="auto"/>
              </w:rPr>
            </w:pPr>
            <w:r>
              <w:rPr>
                <w:rFonts w:ascii="Calibri" w:cs="Calibri" w:eastAsia="Calibri" w:hAnsi="Calibri"/>
                <w:sz w:val="14"/>
                <w:szCs w:val="14"/>
                <w:color w:val="auto"/>
              </w:rPr>
              <w:t>2,890,954</w:t>
            </w:r>
          </w:p>
        </w:tc>
        <w:tc>
          <w:tcPr>
            <w:tcW w:w="1240" w:type="dxa"/>
            <w:vAlign w:val="bottom"/>
          </w:tcPr>
          <w:p>
            <w:pPr>
              <w:jc w:val="right"/>
              <w:ind w:right="111"/>
              <w:spacing w:after="0" w:line="167"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ind w:right="31"/>
              <w:spacing w:after="0" w:line="167" w:lineRule="exact"/>
              <w:rPr>
                <w:sz w:val="20"/>
                <w:szCs w:val="20"/>
                <w:color w:val="auto"/>
              </w:rPr>
            </w:pPr>
            <w:r>
              <w:rPr>
                <w:rFonts w:ascii="Calibri" w:cs="Calibri" w:eastAsia="Calibri" w:hAnsi="Calibri"/>
                <w:sz w:val="14"/>
                <w:szCs w:val="14"/>
                <w:color w:val="auto"/>
              </w:rPr>
              <w:t>689,613</w:t>
            </w:r>
          </w:p>
        </w:tc>
        <w:tc>
          <w:tcPr>
            <w:tcW w:w="1320" w:type="dxa"/>
            <w:vAlign w:val="bottom"/>
          </w:tcPr>
          <w:p>
            <w:pPr>
              <w:jc w:val="right"/>
              <w:ind w:right="151"/>
              <w:spacing w:after="0" w:line="167" w:lineRule="exact"/>
              <w:rPr>
                <w:sz w:val="20"/>
                <w:szCs w:val="20"/>
                <w:color w:val="auto"/>
              </w:rPr>
            </w:pPr>
            <w:r>
              <w:rPr>
                <w:rFonts w:ascii="Calibri" w:cs="Calibri" w:eastAsia="Calibri" w:hAnsi="Calibri"/>
                <w:sz w:val="14"/>
                <w:szCs w:val="14"/>
                <w:color w:val="auto"/>
              </w:rPr>
              <w:t>2,890,954</w:t>
            </w:r>
          </w:p>
        </w:tc>
        <w:tc>
          <w:tcPr>
            <w:tcW w:w="900" w:type="dxa"/>
            <w:vAlign w:val="bottom"/>
          </w:tcPr>
          <w:p>
            <w:pPr>
              <w:jc w:val="right"/>
              <w:spacing w:after="0" w:line="167" w:lineRule="exact"/>
              <w:rPr>
                <w:sz w:val="20"/>
                <w:szCs w:val="20"/>
                <w:color w:val="auto"/>
              </w:rPr>
            </w:pPr>
            <w:r>
              <w:rPr>
                <w:rFonts w:ascii="Calibri" w:cs="Calibri" w:eastAsia="Calibri" w:hAnsi="Calibri"/>
                <w:sz w:val="14"/>
                <w:szCs w:val="14"/>
                <w:color w:val="auto"/>
              </w:rPr>
              <w:t>—</w:t>
            </w: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ind w:left="320"/>
              <w:spacing w:after="0" w:line="169" w:lineRule="exact"/>
              <w:rPr>
                <w:sz w:val="20"/>
                <w:szCs w:val="20"/>
                <w:color w:val="auto"/>
              </w:rPr>
            </w:pPr>
            <w:r>
              <w:rPr>
                <w:rFonts w:ascii="Calibri" w:cs="Calibri" w:eastAsia="Calibri" w:hAnsi="Calibri"/>
                <w:sz w:val="14"/>
                <w:szCs w:val="14"/>
                <w:color w:val="auto"/>
              </w:rPr>
              <w:t>Performance restricted stock units</w:t>
            </w:r>
          </w:p>
        </w:tc>
        <w:tc>
          <w:tcPr>
            <w:tcW w:w="1280" w:type="dxa"/>
            <w:vAlign w:val="bottom"/>
          </w:tcPr>
          <w:p>
            <w:pPr>
              <w:jc w:val="right"/>
              <w:ind w:right="131"/>
              <w:spacing w:after="0" w:line="169" w:lineRule="exact"/>
              <w:rPr>
                <w:sz w:val="20"/>
                <w:szCs w:val="20"/>
                <w:color w:val="auto"/>
              </w:rPr>
            </w:pPr>
            <w:r>
              <w:rPr>
                <w:rFonts w:ascii="Calibri" w:cs="Calibri" w:eastAsia="Calibri" w:hAnsi="Calibri"/>
                <w:sz w:val="14"/>
                <w:szCs w:val="14"/>
                <w:color w:val="auto"/>
              </w:rPr>
              <w:t>894,980</w:t>
            </w:r>
          </w:p>
        </w:tc>
        <w:tc>
          <w:tcPr>
            <w:tcW w:w="138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1,749,195</w:t>
            </w:r>
          </w:p>
        </w:tc>
        <w:tc>
          <w:tcPr>
            <w:tcW w:w="124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2,266,052</w:t>
            </w:r>
          </w:p>
        </w:tc>
        <w:tc>
          <w:tcPr>
            <w:tcW w:w="1320" w:type="dxa"/>
            <w:vAlign w:val="bottom"/>
          </w:tcPr>
          <w:p>
            <w:pPr>
              <w:jc w:val="right"/>
              <w:ind w:right="151"/>
              <w:spacing w:after="0" w:line="169" w:lineRule="exact"/>
              <w:rPr>
                <w:sz w:val="20"/>
                <w:szCs w:val="20"/>
                <w:color w:val="auto"/>
              </w:rPr>
            </w:pPr>
            <w:r>
              <w:rPr>
                <w:rFonts w:ascii="Calibri" w:cs="Calibri" w:eastAsia="Calibri" w:hAnsi="Calibri"/>
                <w:sz w:val="14"/>
                <w:szCs w:val="14"/>
                <w:color w:val="auto"/>
              </w:rPr>
              <w:t>1,749,195</w:t>
            </w: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ind w:left="320"/>
              <w:spacing w:after="0" w:line="169" w:lineRule="exact"/>
              <w:rPr>
                <w:sz w:val="20"/>
                <w:szCs w:val="20"/>
                <w:color w:val="auto"/>
              </w:rPr>
            </w:pPr>
            <w:r>
              <w:rPr>
                <w:rFonts w:ascii="Calibri" w:cs="Calibri" w:eastAsia="Calibri" w:hAnsi="Calibri"/>
                <w:sz w:val="14"/>
                <w:szCs w:val="14"/>
                <w:color w:val="auto"/>
              </w:rPr>
              <w:t>Optons</w:t>
            </w:r>
          </w:p>
        </w:tc>
        <w:tc>
          <w:tcPr>
            <w:tcW w:w="1280" w:type="dxa"/>
            <w:vAlign w:val="bottom"/>
          </w:tcPr>
          <w:p>
            <w:pPr>
              <w:jc w:val="right"/>
              <w:ind w:right="131"/>
              <w:spacing w:after="0" w:line="169" w:lineRule="exact"/>
              <w:rPr>
                <w:sz w:val="20"/>
                <w:szCs w:val="20"/>
                <w:color w:val="auto"/>
              </w:rPr>
            </w:pPr>
            <w:r>
              <w:rPr>
                <w:rFonts w:ascii="Calibri" w:cs="Calibri" w:eastAsia="Calibri" w:hAnsi="Calibri"/>
                <w:sz w:val="14"/>
                <w:szCs w:val="14"/>
                <w:color w:val="auto"/>
              </w:rPr>
              <w:t>188,055</w:t>
            </w:r>
          </w:p>
        </w:tc>
        <w:tc>
          <w:tcPr>
            <w:tcW w:w="138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188,055</w:t>
            </w:r>
          </w:p>
        </w:tc>
        <w:tc>
          <w:tcPr>
            <w:tcW w:w="124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47,014</w:t>
            </w:r>
          </w:p>
        </w:tc>
        <w:tc>
          <w:tcPr>
            <w:tcW w:w="1320" w:type="dxa"/>
            <w:vAlign w:val="bottom"/>
          </w:tcPr>
          <w:p>
            <w:pPr>
              <w:jc w:val="right"/>
              <w:ind w:right="151"/>
              <w:spacing w:after="0" w:line="169" w:lineRule="exact"/>
              <w:rPr>
                <w:sz w:val="20"/>
                <w:szCs w:val="20"/>
                <w:color w:val="auto"/>
              </w:rPr>
            </w:pPr>
            <w:r>
              <w:rPr>
                <w:rFonts w:ascii="Calibri" w:cs="Calibri" w:eastAsia="Calibri" w:hAnsi="Calibri"/>
                <w:sz w:val="14"/>
                <w:szCs w:val="14"/>
                <w:color w:val="auto"/>
              </w:rPr>
              <w:t>188,055</w:t>
            </w: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93"/>
        </w:trPr>
        <w:tc>
          <w:tcPr>
            <w:tcW w:w="20" w:type="dxa"/>
            <w:vAlign w:val="bottom"/>
          </w:tcPr>
          <w:p>
            <w:pPr>
              <w:spacing w:after="0"/>
              <w:rPr>
                <w:sz w:val="16"/>
                <w:szCs w:val="16"/>
                <w:color w:val="auto"/>
              </w:rPr>
            </w:pPr>
          </w:p>
        </w:tc>
        <w:tc>
          <w:tcPr>
            <w:tcW w:w="1300" w:type="dxa"/>
            <w:vAlign w:val="bottom"/>
            <w:tcBorders>
              <w:bottom w:val="single" w:sz="8" w:color="FB4E0B"/>
            </w:tcBorders>
          </w:tcPr>
          <w:p>
            <w:pPr>
              <w:spacing w:after="0"/>
              <w:rPr>
                <w:sz w:val="16"/>
                <w:szCs w:val="16"/>
                <w:color w:val="auto"/>
              </w:rPr>
            </w:pPr>
          </w:p>
        </w:tc>
        <w:tc>
          <w:tcPr>
            <w:tcW w:w="2340" w:type="dxa"/>
            <w:vAlign w:val="bottom"/>
            <w:tcBorders>
              <w:bottom w:val="single" w:sz="8" w:color="FB4E0B"/>
            </w:tcBorders>
          </w:tcPr>
          <w:p>
            <w:pPr>
              <w:ind w:left="320"/>
              <w:spacing w:after="0" w:line="169" w:lineRule="exact"/>
              <w:rPr>
                <w:sz w:val="20"/>
                <w:szCs w:val="20"/>
                <w:color w:val="auto"/>
              </w:rPr>
            </w:pPr>
            <w:r>
              <w:rPr>
                <w:rFonts w:ascii="Calibri" w:cs="Calibri" w:eastAsia="Calibri" w:hAnsi="Calibri"/>
                <w:sz w:val="14"/>
                <w:szCs w:val="14"/>
                <w:color w:val="auto"/>
              </w:rPr>
              <w:t>Share Match Program</w:t>
            </w:r>
          </w:p>
        </w:tc>
        <w:tc>
          <w:tcPr>
            <w:tcW w:w="1280" w:type="dxa"/>
            <w:vAlign w:val="bottom"/>
            <w:tcBorders>
              <w:bottom w:val="single" w:sz="8" w:color="FB4E0B"/>
            </w:tcBorders>
          </w:tcPr>
          <w:p>
            <w:pPr>
              <w:jc w:val="right"/>
              <w:ind w:right="131"/>
              <w:spacing w:after="0" w:line="169" w:lineRule="exact"/>
              <w:rPr>
                <w:sz w:val="20"/>
                <w:szCs w:val="20"/>
                <w:color w:val="auto"/>
              </w:rPr>
            </w:pPr>
            <w:r>
              <w:rPr>
                <w:rFonts w:ascii="Calibri" w:cs="Calibri" w:eastAsia="Calibri" w:hAnsi="Calibri"/>
                <w:sz w:val="14"/>
                <w:szCs w:val="14"/>
                <w:color w:val="auto"/>
              </w:rPr>
              <w:t>644,302</w:t>
            </w:r>
          </w:p>
        </w:tc>
        <w:tc>
          <w:tcPr>
            <w:tcW w:w="1380" w:type="dxa"/>
            <w:vAlign w:val="bottom"/>
            <w:tcBorders>
              <w:bottom w:val="single" w:sz="8" w:color="FB4E0B"/>
            </w:tcBorders>
          </w:tcPr>
          <w:p>
            <w:pPr>
              <w:jc w:val="right"/>
              <w:ind w:right="111"/>
              <w:spacing w:after="0" w:line="169" w:lineRule="exact"/>
              <w:rPr>
                <w:sz w:val="20"/>
                <w:szCs w:val="20"/>
                <w:color w:val="auto"/>
              </w:rPr>
            </w:pPr>
            <w:r>
              <w:rPr>
                <w:rFonts w:ascii="Calibri" w:cs="Calibri" w:eastAsia="Calibri" w:hAnsi="Calibri"/>
                <w:sz w:val="14"/>
                <w:szCs w:val="14"/>
                <w:color w:val="auto"/>
              </w:rPr>
              <w:t>644,302</w:t>
            </w:r>
          </w:p>
        </w:tc>
        <w:tc>
          <w:tcPr>
            <w:tcW w:w="1240" w:type="dxa"/>
            <w:vAlign w:val="bottom"/>
            <w:tcBorders>
              <w:bottom w:val="single" w:sz="8" w:color="FB4E0B"/>
            </w:tcBorders>
          </w:tcPr>
          <w:p>
            <w:pPr>
              <w:jc w:val="right"/>
              <w:ind w:right="111"/>
              <w:spacing w:after="0" w:line="169" w:lineRule="exact"/>
              <w:rPr>
                <w:sz w:val="20"/>
                <w:szCs w:val="20"/>
                <w:color w:val="auto"/>
              </w:rPr>
            </w:pPr>
            <w:r>
              <w:rPr>
                <w:rFonts w:ascii="Calibri" w:cs="Calibri" w:eastAsia="Calibri" w:hAnsi="Calibri"/>
                <w:sz w:val="14"/>
                <w:szCs w:val="14"/>
                <w:color w:val="auto"/>
              </w:rPr>
              <w:t>—</w:t>
            </w:r>
          </w:p>
        </w:tc>
        <w:tc>
          <w:tcPr>
            <w:tcW w:w="840" w:type="dxa"/>
            <w:vAlign w:val="bottom"/>
            <w:tcBorders>
              <w:bottom w:val="single" w:sz="8" w:color="FB4E0B"/>
            </w:tcBorders>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1320" w:type="dxa"/>
            <w:vAlign w:val="bottom"/>
            <w:tcBorders>
              <w:bottom w:val="single" w:sz="8" w:color="FB4E0B"/>
            </w:tcBorders>
          </w:tcPr>
          <w:p>
            <w:pPr>
              <w:jc w:val="right"/>
              <w:ind w:right="151"/>
              <w:spacing w:after="0" w:line="169" w:lineRule="exact"/>
              <w:rPr>
                <w:sz w:val="20"/>
                <w:szCs w:val="20"/>
                <w:color w:val="auto"/>
              </w:rPr>
            </w:pPr>
            <w:r>
              <w:rPr>
                <w:rFonts w:ascii="Calibri" w:cs="Calibri" w:eastAsia="Calibri" w:hAnsi="Calibri"/>
                <w:sz w:val="14"/>
                <w:szCs w:val="14"/>
                <w:color w:val="auto"/>
              </w:rPr>
              <w:t>644,302</w:t>
            </w:r>
          </w:p>
        </w:tc>
        <w:tc>
          <w:tcPr>
            <w:tcW w:w="900" w:type="dxa"/>
            <w:vAlign w:val="bottom"/>
            <w:tcBorders>
              <w:bottom w:val="single" w:sz="8" w:color="FB4E0B"/>
            </w:tcBorders>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66"/>
        </w:trPr>
        <w:tc>
          <w:tcPr>
            <w:tcW w:w="20" w:type="dxa"/>
            <w:vAlign w:val="bottom"/>
          </w:tcPr>
          <w:p>
            <w:pPr>
              <w:spacing w:after="0"/>
              <w:rPr>
                <w:sz w:val="14"/>
                <w:szCs w:val="14"/>
                <w:color w:val="auto"/>
              </w:rPr>
            </w:pPr>
          </w:p>
        </w:tc>
        <w:tc>
          <w:tcPr>
            <w:tcW w:w="1300" w:type="dxa"/>
            <w:vAlign w:val="bottom"/>
          </w:tcPr>
          <w:p>
            <w:pPr>
              <w:spacing w:after="0" w:line="166" w:lineRule="exact"/>
              <w:rPr>
                <w:sz w:val="20"/>
                <w:szCs w:val="20"/>
                <w:color w:val="auto"/>
              </w:rPr>
            </w:pPr>
            <w:r>
              <w:rPr>
                <w:rFonts w:ascii="Calibri" w:cs="Calibri" w:eastAsia="Calibri" w:hAnsi="Calibri"/>
                <w:sz w:val="14"/>
                <w:szCs w:val="14"/>
                <w:b w:val="1"/>
                <w:bCs w:val="1"/>
                <w:color w:val="auto"/>
              </w:rPr>
              <w:t>Anita Mahon</w:t>
            </w:r>
          </w:p>
        </w:tc>
        <w:tc>
          <w:tcPr>
            <w:tcW w:w="2340" w:type="dxa"/>
            <w:vAlign w:val="bottom"/>
          </w:tcPr>
          <w:p>
            <w:pPr>
              <w:ind w:left="320"/>
              <w:spacing w:after="0" w:line="166" w:lineRule="exact"/>
              <w:rPr>
                <w:sz w:val="20"/>
                <w:szCs w:val="20"/>
                <w:color w:val="auto"/>
              </w:rPr>
            </w:pPr>
            <w:r>
              <w:rPr>
                <w:rFonts w:ascii="Calibri" w:cs="Calibri" w:eastAsia="Calibri" w:hAnsi="Calibri"/>
                <w:sz w:val="14"/>
                <w:szCs w:val="14"/>
                <w:color w:val="auto"/>
              </w:rPr>
              <w:t>Base salary payout</w:t>
            </w:r>
          </w:p>
        </w:tc>
        <w:tc>
          <w:tcPr>
            <w:tcW w:w="12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w:t>
            </w:r>
          </w:p>
        </w:tc>
        <w:tc>
          <w:tcPr>
            <w:tcW w:w="1380" w:type="dxa"/>
            <w:vAlign w:val="bottom"/>
          </w:tcPr>
          <w:p>
            <w:pPr>
              <w:jc w:val="right"/>
              <w:ind w:right="111"/>
              <w:spacing w:after="0" w:line="166" w:lineRule="exact"/>
              <w:rPr>
                <w:sz w:val="20"/>
                <w:szCs w:val="20"/>
                <w:color w:val="auto"/>
              </w:rPr>
            </w:pPr>
            <w:r>
              <w:rPr>
                <w:rFonts w:ascii="Calibri" w:cs="Calibri" w:eastAsia="Calibri" w:hAnsi="Calibri"/>
                <w:sz w:val="14"/>
                <w:szCs w:val="14"/>
                <w:color w:val="auto"/>
              </w:rPr>
              <w:t>—</w:t>
            </w:r>
          </w:p>
        </w:tc>
        <w:tc>
          <w:tcPr>
            <w:tcW w:w="1240" w:type="dxa"/>
            <w:vAlign w:val="bottom"/>
          </w:tcPr>
          <w:p>
            <w:pPr>
              <w:jc w:val="right"/>
              <w:ind w:right="111"/>
              <w:spacing w:after="0" w:line="166" w:lineRule="exact"/>
              <w:rPr>
                <w:sz w:val="20"/>
                <w:szCs w:val="20"/>
                <w:color w:val="auto"/>
              </w:rPr>
            </w:pPr>
            <w:r>
              <w:rPr>
                <w:rFonts w:ascii="Calibri" w:cs="Calibri" w:eastAsia="Calibri" w:hAnsi="Calibri"/>
                <w:sz w:val="14"/>
                <w:szCs w:val="14"/>
                <w:color w:val="auto"/>
              </w:rPr>
              <w:t>450,000</w:t>
            </w:r>
          </w:p>
        </w:tc>
        <w:tc>
          <w:tcPr>
            <w:tcW w:w="840" w:type="dxa"/>
            <w:vAlign w:val="bottom"/>
          </w:tcPr>
          <w:p>
            <w:pPr>
              <w:jc w:val="right"/>
              <w:ind w:right="31"/>
              <w:spacing w:after="0" w:line="166" w:lineRule="exact"/>
              <w:rPr>
                <w:sz w:val="20"/>
                <w:szCs w:val="20"/>
                <w:color w:val="auto"/>
              </w:rPr>
            </w:pPr>
            <w:r>
              <w:rPr>
                <w:rFonts w:ascii="Calibri" w:cs="Calibri" w:eastAsia="Calibri" w:hAnsi="Calibri"/>
                <w:sz w:val="14"/>
                <w:szCs w:val="14"/>
                <w:color w:val="auto"/>
              </w:rPr>
              <w:t>—</w:t>
            </w:r>
          </w:p>
        </w:tc>
        <w:tc>
          <w:tcPr>
            <w:tcW w:w="1320" w:type="dxa"/>
            <w:vAlign w:val="bottom"/>
          </w:tcPr>
          <w:p>
            <w:pPr>
              <w:jc w:val="right"/>
              <w:ind w:right="151"/>
              <w:spacing w:after="0" w:line="166" w:lineRule="exact"/>
              <w:rPr>
                <w:sz w:val="20"/>
                <w:szCs w:val="20"/>
                <w:color w:val="auto"/>
              </w:rPr>
            </w:pPr>
            <w:r>
              <w:rPr>
                <w:rFonts w:ascii="Calibri" w:cs="Calibri" w:eastAsia="Calibri" w:hAnsi="Calibri"/>
                <w:sz w:val="14"/>
                <w:szCs w:val="14"/>
                <w:color w:val="auto"/>
              </w:rPr>
              <w:t>450,000</w:t>
            </w:r>
          </w:p>
        </w:tc>
        <w:tc>
          <w:tcPr>
            <w:tcW w:w="900" w:type="dxa"/>
            <w:vAlign w:val="bottom"/>
          </w:tcPr>
          <w:p>
            <w:pPr>
              <w:jc w:val="right"/>
              <w:spacing w:after="0" w:line="166" w:lineRule="exact"/>
              <w:rPr>
                <w:sz w:val="20"/>
                <w:szCs w:val="20"/>
                <w:color w:val="auto"/>
              </w:rPr>
            </w:pPr>
            <w:r>
              <w:rPr>
                <w:rFonts w:ascii="Calibri" w:cs="Calibri" w:eastAsia="Calibri" w:hAnsi="Calibri"/>
                <w:sz w:val="14"/>
                <w:szCs w:val="14"/>
                <w:color w:val="auto"/>
              </w:rPr>
              <w:t>—</w:t>
            </w: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ind w:left="320"/>
              <w:spacing w:after="0" w:line="167" w:lineRule="exact"/>
              <w:rPr>
                <w:sz w:val="20"/>
                <w:szCs w:val="20"/>
                <w:color w:val="auto"/>
              </w:rPr>
            </w:pPr>
            <w:r>
              <w:rPr>
                <w:rFonts w:ascii="Calibri" w:cs="Calibri" w:eastAsia="Calibri" w:hAnsi="Calibri"/>
                <w:sz w:val="14"/>
                <w:szCs w:val="14"/>
                <w:color w:val="auto"/>
              </w:rPr>
              <w:t>Restricted stock units</w:t>
            </w:r>
          </w:p>
        </w:tc>
        <w:tc>
          <w:tcPr>
            <w:tcW w:w="1280" w:type="dxa"/>
            <w:vAlign w:val="bottom"/>
          </w:tcPr>
          <w:p>
            <w:pPr>
              <w:jc w:val="right"/>
              <w:ind w:right="131"/>
              <w:spacing w:after="0" w:line="167" w:lineRule="exact"/>
              <w:rPr>
                <w:sz w:val="20"/>
                <w:szCs w:val="20"/>
                <w:color w:val="auto"/>
              </w:rPr>
            </w:pPr>
            <w:r>
              <w:rPr>
                <w:rFonts w:ascii="Calibri" w:cs="Calibri" w:eastAsia="Calibri" w:hAnsi="Calibri"/>
                <w:sz w:val="14"/>
                <w:szCs w:val="14"/>
                <w:color w:val="auto"/>
              </w:rPr>
              <w:t>2,148,548</w:t>
            </w:r>
          </w:p>
        </w:tc>
        <w:tc>
          <w:tcPr>
            <w:tcW w:w="1380" w:type="dxa"/>
            <w:vAlign w:val="bottom"/>
          </w:tcPr>
          <w:p>
            <w:pPr>
              <w:jc w:val="right"/>
              <w:ind w:right="111"/>
              <w:spacing w:after="0" w:line="167" w:lineRule="exact"/>
              <w:rPr>
                <w:sz w:val="20"/>
                <w:szCs w:val="20"/>
                <w:color w:val="auto"/>
              </w:rPr>
            </w:pPr>
            <w:r>
              <w:rPr>
                <w:rFonts w:ascii="Calibri" w:cs="Calibri" w:eastAsia="Calibri" w:hAnsi="Calibri"/>
                <w:sz w:val="14"/>
                <w:szCs w:val="14"/>
                <w:color w:val="auto"/>
              </w:rPr>
              <w:t>2,148,548</w:t>
            </w:r>
          </w:p>
        </w:tc>
        <w:tc>
          <w:tcPr>
            <w:tcW w:w="1240" w:type="dxa"/>
            <w:vAlign w:val="bottom"/>
          </w:tcPr>
          <w:p>
            <w:pPr>
              <w:jc w:val="right"/>
              <w:ind w:right="111"/>
              <w:spacing w:after="0" w:line="167"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ind w:right="31"/>
              <w:spacing w:after="0" w:line="167" w:lineRule="exact"/>
              <w:rPr>
                <w:sz w:val="20"/>
                <w:szCs w:val="20"/>
                <w:color w:val="auto"/>
              </w:rPr>
            </w:pPr>
            <w:r>
              <w:rPr>
                <w:rFonts w:ascii="Calibri" w:cs="Calibri" w:eastAsia="Calibri" w:hAnsi="Calibri"/>
                <w:sz w:val="14"/>
                <w:szCs w:val="14"/>
                <w:color w:val="auto"/>
              </w:rPr>
              <w:t>628,723</w:t>
            </w:r>
          </w:p>
        </w:tc>
        <w:tc>
          <w:tcPr>
            <w:tcW w:w="1320" w:type="dxa"/>
            <w:vAlign w:val="bottom"/>
          </w:tcPr>
          <w:p>
            <w:pPr>
              <w:jc w:val="right"/>
              <w:ind w:right="151"/>
              <w:spacing w:after="0" w:line="167" w:lineRule="exact"/>
              <w:rPr>
                <w:sz w:val="20"/>
                <w:szCs w:val="20"/>
                <w:color w:val="auto"/>
              </w:rPr>
            </w:pPr>
            <w:r>
              <w:rPr>
                <w:rFonts w:ascii="Calibri" w:cs="Calibri" w:eastAsia="Calibri" w:hAnsi="Calibri"/>
                <w:sz w:val="14"/>
                <w:szCs w:val="14"/>
                <w:color w:val="auto"/>
              </w:rPr>
              <w:t>2,148,548</w:t>
            </w:r>
          </w:p>
        </w:tc>
        <w:tc>
          <w:tcPr>
            <w:tcW w:w="900" w:type="dxa"/>
            <w:vAlign w:val="bottom"/>
          </w:tcPr>
          <w:p>
            <w:pPr>
              <w:jc w:val="right"/>
              <w:spacing w:after="0" w:line="167" w:lineRule="exact"/>
              <w:rPr>
                <w:sz w:val="20"/>
                <w:szCs w:val="20"/>
                <w:color w:val="auto"/>
              </w:rPr>
            </w:pPr>
            <w:r>
              <w:rPr>
                <w:rFonts w:ascii="Calibri" w:cs="Calibri" w:eastAsia="Calibri" w:hAnsi="Calibri"/>
                <w:sz w:val="14"/>
                <w:szCs w:val="14"/>
                <w:color w:val="auto"/>
              </w:rPr>
              <w:t>—</w:t>
            </w: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ind w:left="320"/>
              <w:spacing w:after="0" w:line="169" w:lineRule="exact"/>
              <w:rPr>
                <w:sz w:val="20"/>
                <w:szCs w:val="20"/>
                <w:color w:val="auto"/>
              </w:rPr>
            </w:pPr>
            <w:r>
              <w:rPr>
                <w:rFonts w:ascii="Calibri" w:cs="Calibri" w:eastAsia="Calibri" w:hAnsi="Calibri"/>
                <w:sz w:val="14"/>
                <w:szCs w:val="14"/>
                <w:color w:val="auto"/>
              </w:rPr>
              <w:t>Performance restricted stock units</w:t>
            </w:r>
          </w:p>
        </w:tc>
        <w:tc>
          <w:tcPr>
            <w:tcW w:w="1280" w:type="dxa"/>
            <w:vAlign w:val="bottom"/>
          </w:tcPr>
          <w:p>
            <w:pPr>
              <w:jc w:val="right"/>
              <w:ind w:right="131"/>
              <w:spacing w:after="0" w:line="169" w:lineRule="exact"/>
              <w:rPr>
                <w:sz w:val="20"/>
                <w:szCs w:val="20"/>
                <w:color w:val="auto"/>
              </w:rPr>
            </w:pPr>
            <w:r>
              <w:rPr>
                <w:rFonts w:ascii="Calibri" w:cs="Calibri" w:eastAsia="Calibri" w:hAnsi="Calibri"/>
                <w:sz w:val="14"/>
                <w:szCs w:val="14"/>
                <w:color w:val="auto"/>
              </w:rPr>
              <w:t>606,751</w:t>
            </w:r>
          </w:p>
        </w:tc>
        <w:tc>
          <w:tcPr>
            <w:tcW w:w="138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1,208,703</w:t>
            </w:r>
          </w:p>
        </w:tc>
        <w:tc>
          <w:tcPr>
            <w:tcW w:w="124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1,524,565</w:t>
            </w:r>
          </w:p>
        </w:tc>
        <w:tc>
          <w:tcPr>
            <w:tcW w:w="1320" w:type="dxa"/>
            <w:vAlign w:val="bottom"/>
          </w:tcPr>
          <w:p>
            <w:pPr>
              <w:jc w:val="right"/>
              <w:ind w:right="151"/>
              <w:spacing w:after="0" w:line="169" w:lineRule="exact"/>
              <w:rPr>
                <w:sz w:val="20"/>
                <w:szCs w:val="20"/>
                <w:color w:val="auto"/>
              </w:rPr>
            </w:pPr>
            <w:r>
              <w:rPr>
                <w:rFonts w:ascii="Calibri" w:cs="Calibri" w:eastAsia="Calibri" w:hAnsi="Calibri"/>
                <w:sz w:val="14"/>
                <w:szCs w:val="14"/>
                <w:color w:val="auto"/>
              </w:rPr>
              <w:t>1,208,703</w:t>
            </w: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ind w:left="320"/>
              <w:spacing w:after="0" w:line="169" w:lineRule="exact"/>
              <w:rPr>
                <w:sz w:val="20"/>
                <w:szCs w:val="20"/>
                <w:color w:val="auto"/>
              </w:rPr>
            </w:pPr>
            <w:r>
              <w:rPr>
                <w:rFonts w:ascii="Calibri" w:cs="Calibri" w:eastAsia="Calibri" w:hAnsi="Calibri"/>
                <w:sz w:val="14"/>
                <w:szCs w:val="14"/>
                <w:color w:val="auto"/>
              </w:rPr>
              <w:t>Optons</w:t>
            </w:r>
          </w:p>
        </w:tc>
        <w:tc>
          <w:tcPr>
            <w:tcW w:w="1280" w:type="dxa"/>
            <w:vAlign w:val="bottom"/>
          </w:tcPr>
          <w:p>
            <w:pPr>
              <w:jc w:val="right"/>
              <w:ind w:right="131"/>
              <w:spacing w:after="0" w:line="169" w:lineRule="exact"/>
              <w:rPr>
                <w:sz w:val="20"/>
                <w:szCs w:val="20"/>
                <w:color w:val="auto"/>
              </w:rPr>
            </w:pPr>
            <w:r>
              <w:rPr>
                <w:rFonts w:ascii="Calibri" w:cs="Calibri" w:eastAsia="Calibri" w:hAnsi="Calibri"/>
                <w:sz w:val="14"/>
                <w:szCs w:val="14"/>
                <w:color w:val="auto"/>
              </w:rPr>
              <w:t>94,028</w:t>
            </w:r>
          </w:p>
        </w:tc>
        <w:tc>
          <w:tcPr>
            <w:tcW w:w="138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94,028</w:t>
            </w:r>
          </w:p>
        </w:tc>
        <w:tc>
          <w:tcPr>
            <w:tcW w:w="124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23,507</w:t>
            </w:r>
          </w:p>
        </w:tc>
        <w:tc>
          <w:tcPr>
            <w:tcW w:w="1320" w:type="dxa"/>
            <w:vAlign w:val="bottom"/>
          </w:tcPr>
          <w:p>
            <w:pPr>
              <w:jc w:val="right"/>
              <w:ind w:right="151"/>
              <w:spacing w:after="0" w:line="169" w:lineRule="exact"/>
              <w:rPr>
                <w:sz w:val="20"/>
                <w:szCs w:val="20"/>
                <w:color w:val="auto"/>
              </w:rPr>
            </w:pPr>
            <w:r>
              <w:rPr>
                <w:rFonts w:ascii="Calibri" w:cs="Calibri" w:eastAsia="Calibri" w:hAnsi="Calibri"/>
                <w:sz w:val="14"/>
                <w:szCs w:val="14"/>
                <w:color w:val="auto"/>
              </w:rPr>
              <w:t>94,028</w:t>
            </w: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93"/>
        </w:trPr>
        <w:tc>
          <w:tcPr>
            <w:tcW w:w="20" w:type="dxa"/>
            <w:vAlign w:val="bottom"/>
          </w:tcPr>
          <w:p>
            <w:pPr>
              <w:spacing w:after="0"/>
              <w:rPr>
                <w:sz w:val="16"/>
                <w:szCs w:val="16"/>
                <w:color w:val="auto"/>
              </w:rPr>
            </w:pPr>
          </w:p>
        </w:tc>
        <w:tc>
          <w:tcPr>
            <w:tcW w:w="1300" w:type="dxa"/>
            <w:vAlign w:val="bottom"/>
            <w:tcBorders>
              <w:bottom w:val="single" w:sz="8" w:color="FB4E0B"/>
            </w:tcBorders>
          </w:tcPr>
          <w:p>
            <w:pPr>
              <w:spacing w:after="0"/>
              <w:rPr>
                <w:sz w:val="16"/>
                <w:szCs w:val="16"/>
                <w:color w:val="auto"/>
              </w:rPr>
            </w:pPr>
          </w:p>
        </w:tc>
        <w:tc>
          <w:tcPr>
            <w:tcW w:w="2340" w:type="dxa"/>
            <w:vAlign w:val="bottom"/>
            <w:tcBorders>
              <w:bottom w:val="single" w:sz="8" w:color="FB4E0B"/>
            </w:tcBorders>
          </w:tcPr>
          <w:p>
            <w:pPr>
              <w:ind w:left="320"/>
              <w:spacing w:after="0" w:line="169" w:lineRule="exact"/>
              <w:rPr>
                <w:sz w:val="20"/>
                <w:szCs w:val="20"/>
                <w:color w:val="auto"/>
              </w:rPr>
            </w:pPr>
            <w:r>
              <w:rPr>
                <w:rFonts w:ascii="Calibri" w:cs="Calibri" w:eastAsia="Calibri" w:hAnsi="Calibri"/>
                <w:sz w:val="14"/>
                <w:szCs w:val="14"/>
                <w:color w:val="auto"/>
              </w:rPr>
              <w:t>Share Match Program</w:t>
            </w:r>
          </w:p>
        </w:tc>
        <w:tc>
          <w:tcPr>
            <w:tcW w:w="1280" w:type="dxa"/>
            <w:vAlign w:val="bottom"/>
            <w:tcBorders>
              <w:bottom w:val="single" w:sz="8" w:color="FB4E0B"/>
            </w:tcBorders>
          </w:tcPr>
          <w:p>
            <w:pPr>
              <w:jc w:val="right"/>
              <w:ind w:right="131"/>
              <w:spacing w:after="0" w:line="169" w:lineRule="exact"/>
              <w:rPr>
                <w:sz w:val="20"/>
                <w:szCs w:val="20"/>
                <w:color w:val="auto"/>
              </w:rPr>
            </w:pPr>
            <w:r>
              <w:rPr>
                <w:rFonts w:ascii="Calibri" w:cs="Calibri" w:eastAsia="Calibri" w:hAnsi="Calibri"/>
                <w:sz w:val="14"/>
                <w:szCs w:val="14"/>
                <w:color w:val="auto"/>
              </w:rPr>
              <w:t>464,601</w:t>
            </w:r>
          </w:p>
        </w:tc>
        <w:tc>
          <w:tcPr>
            <w:tcW w:w="1380" w:type="dxa"/>
            <w:vAlign w:val="bottom"/>
            <w:tcBorders>
              <w:bottom w:val="single" w:sz="8" w:color="FB4E0B"/>
            </w:tcBorders>
          </w:tcPr>
          <w:p>
            <w:pPr>
              <w:jc w:val="right"/>
              <w:ind w:right="111"/>
              <w:spacing w:after="0" w:line="169" w:lineRule="exact"/>
              <w:rPr>
                <w:sz w:val="20"/>
                <w:szCs w:val="20"/>
                <w:color w:val="auto"/>
              </w:rPr>
            </w:pPr>
            <w:r>
              <w:rPr>
                <w:rFonts w:ascii="Calibri" w:cs="Calibri" w:eastAsia="Calibri" w:hAnsi="Calibri"/>
                <w:sz w:val="14"/>
                <w:szCs w:val="14"/>
                <w:color w:val="auto"/>
              </w:rPr>
              <w:t>464,601</w:t>
            </w:r>
          </w:p>
        </w:tc>
        <w:tc>
          <w:tcPr>
            <w:tcW w:w="1240" w:type="dxa"/>
            <w:vAlign w:val="bottom"/>
            <w:tcBorders>
              <w:bottom w:val="single" w:sz="8" w:color="FB4E0B"/>
            </w:tcBorders>
          </w:tcPr>
          <w:p>
            <w:pPr>
              <w:jc w:val="right"/>
              <w:ind w:right="111"/>
              <w:spacing w:after="0" w:line="169" w:lineRule="exact"/>
              <w:rPr>
                <w:sz w:val="20"/>
                <w:szCs w:val="20"/>
                <w:color w:val="auto"/>
              </w:rPr>
            </w:pPr>
            <w:r>
              <w:rPr>
                <w:rFonts w:ascii="Calibri" w:cs="Calibri" w:eastAsia="Calibri" w:hAnsi="Calibri"/>
                <w:sz w:val="14"/>
                <w:szCs w:val="14"/>
                <w:color w:val="auto"/>
              </w:rPr>
              <w:t>—</w:t>
            </w:r>
          </w:p>
        </w:tc>
        <w:tc>
          <w:tcPr>
            <w:tcW w:w="840" w:type="dxa"/>
            <w:vAlign w:val="bottom"/>
            <w:tcBorders>
              <w:bottom w:val="single" w:sz="8" w:color="FB4E0B"/>
            </w:tcBorders>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1320" w:type="dxa"/>
            <w:vAlign w:val="bottom"/>
            <w:tcBorders>
              <w:bottom w:val="single" w:sz="8" w:color="FB4E0B"/>
            </w:tcBorders>
          </w:tcPr>
          <w:p>
            <w:pPr>
              <w:jc w:val="right"/>
              <w:ind w:right="151"/>
              <w:spacing w:after="0" w:line="169" w:lineRule="exact"/>
              <w:rPr>
                <w:sz w:val="20"/>
                <w:szCs w:val="20"/>
                <w:color w:val="auto"/>
              </w:rPr>
            </w:pPr>
            <w:r>
              <w:rPr>
                <w:rFonts w:ascii="Calibri" w:cs="Calibri" w:eastAsia="Calibri" w:hAnsi="Calibri"/>
                <w:sz w:val="14"/>
                <w:szCs w:val="14"/>
                <w:color w:val="auto"/>
              </w:rPr>
              <w:t>464,601</w:t>
            </w:r>
          </w:p>
        </w:tc>
        <w:tc>
          <w:tcPr>
            <w:tcW w:w="900" w:type="dxa"/>
            <w:vAlign w:val="bottom"/>
            <w:tcBorders>
              <w:bottom w:val="single" w:sz="8" w:color="FB4E0B"/>
            </w:tcBorders>
          </w:tcPr>
          <w:p>
            <w:pPr>
              <w:jc w:val="right"/>
              <w:spacing w:after="0" w:line="169" w:lineRule="exact"/>
              <w:rPr>
                <w:sz w:val="20"/>
                <w:szCs w:val="20"/>
                <w:color w:val="auto"/>
              </w:rPr>
            </w:pPr>
            <w:r>
              <w:rPr>
                <w:rFonts w:ascii="Calibri" w:cs="Calibri" w:eastAsia="Calibri" w:hAnsi="Calibri"/>
                <w:sz w:val="14"/>
                <w:szCs w:val="14"/>
                <w:color w:val="auto"/>
              </w:rPr>
              <w:t>—</w:t>
            </w:r>
          </w:p>
        </w:tc>
      </w:tr>
    </w:tbl>
    <w:p>
      <w:pPr>
        <w:spacing w:after="0" w:line="27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Certain defned terms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cause</w:t>
      </w:r>
    </w:p>
    <w:p>
      <w:pPr>
        <w:spacing w:after="0" w:line="106"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The following defniton of “cause” generally applies to all named executve ofcers unless stated otherwise. “Cause” will occur if: (i) there is a fnal non-appealable convicton of, or pleading of no contest to, (1) a crime of moral turpitude which causes serious economic injury or serious injury to our reputaton or (2) a felony; (ii) the executve engages in fraud, embezzlement, gross negligence, self-dealing, dishonesty or other gross and willful misconduct which causes serious and demonstrable injury to us; (iii) the executve materially violates any of our material policies (for Mr. Kapoor, which is not remedied within 15 days of receipt of notce from the Company specifying the breach in reasonable detail); (iv) the executve willfully and contnually fails to substantally perform his or her dutes (other than for reason of physical or mental incapacity) which contnues beyond 15 days afer we notfy the executve in writng of the need to substantally improve performance; provided that a failure to achieve performance objectves will not by itself consttute cause and no act or failure to act shall be considered “willful” unless done or failed to be done by the executve in bad faith and without a reasonable belief that his actons or omission was in our best interest; (v) the executve fails to reasonably cooperate in a governmental investgaton involving the Company; (vi) the executve materially, knowingly and intentonally fails to comply with applicable laws with respect to the executon of the Company’s business operatons (subject to a presumpton of good faith if the executve is following advice of counsel); (vii) the executve fails to follow his supervisor’s (or, for Mr. Kapoor, our board of directors’) lawful instructons and does not remedy the failure for 15 days afer we give him writen notce;</w:t>
      </w:r>
    </w:p>
    <w:p>
      <w:pPr>
        <w:spacing w:after="0" w:line="8" w:lineRule="exact"/>
        <w:rPr>
          <w:sz w:val="20"/>
          <w:szCs w:val="20"/>
          <w:color w:val="auto"/>
        </w:rPr>
      </w:pPr>
    </w:p>
    <w:p>
      <w:pPr>
        <w:ind w:left="320" w:right="200" w:hanging="4"/>
        <w:spacing w:after="0"/>
        <w:tabs>
          <w:tab w:leader="none" w:pos="654"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the executve’s use of alcohol or drugs materially interferes with the performance of his or her dutes; (ix) for Mr. Kapoor only, he fails to take reasonable steps to end certain afliatons specifed in his employment agreement within six months afer a request by our board of directors; or (x) for Mr. Kapoor only, he materially breaches any material term of his employment agreement which is not remedied within 15 days of receipt of notce from the Company specifying the breach in reasonable detail.</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good reason</w:t>
      </w:r>
    </w:p>
    <w:p>
      <w:pPr>
        <w:spacing w:after="0" w:line="10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Mr. Kapoor, “good reason” generally means: (i) his dutes or responsibilites are substantally reduced, he is required to report to anyone other than our board of directors, or his ttle as our ofcer is adversely changed; however, if following a change in control, his new ttle and authority are similar to his old ttle and authority, then any change in the executve’s ttle will not consttute a signifcant reducton in his dutes and authorites, it being understood that “good reason” shall be deemed to exist if Mr. Kapoor is no longer the chief executve ofcer of the Company or any entty that acquires the Company;</w:t>
      </w:r>
    </w:p>
    <w:p>
      <w:pPr>
        <w:spacing w:after="0" w:line="3" w:lineRule="exact"/>
        <w:rPr>
          <w:sz w:val="20"/>
          <w:szCs w:val="20"/>
          <w:color w:val="auto"/>
        </w:rPr>
      </w:pPr>
    </w:p>
    <w:p>
      <w:pPr>
        <w:ind w:left="320" w:right="40" w:hanging="4"/>
        <w:spacing w:after="0"/>
        <w:tabs>
          <w:tab w:leader="none" w:pos="539" w:val="left"/>
        </w:tabs>
        <w:numPr>
          <w:ilvl w:val="0"/>
          <w:numId w:val="54"/>
        </w:numPr>
        <w:rPr>
          <w:rFonts w:ascii="Calibri" w:cs="Calibri" w:eastAsia="Calibri" w:hAnsi="Calibri"/>
          <w:sz w:val="17"/>
          <w:szCs w:val="17"/>
          <w:color w:val="auto"/>
        </w:rPr>
      </w:pPr>
      <w:r>
        <w:rPr>
          <w:rFonts w:ascii="Calibri" w:cs="Calibri" w:eastAsia="Calibri" w:hAnsi="Calibri"/>
          <w:sz w:val="17"/>
          <w:szCs w:val="17"/>
          <w:color w:val="auto"/>
        </w:rPr>
        <w:t>his base salary is reduced, or his target annual bonus opportunity is reduced below 100% of his base salary; (iii) the ofce or locaton where he is based in the metropolitan New York City area is moved more than 30 miles, and the new locaton is more than 30 miles from his primary residence in the metropolitan New York City area; or (iv) we breach any material term of his employment agreement. If Mr. Kapoor plans to terminate his employment for good reason, he must notfy us within 45 days following the date the executve frst becomes aware of the circumstances giving rise to good reason and must allow us 30 days to remedy the problem.</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defniton of “good reason” applies to Mr. Nicolelli, Bhalla and Jetley and Ms. Mahon unless stated otherwise. “Good reason” means, without the executve’s prior writen consent: (i) the executve’s dutes or responsibilites are substantally reduced, or he or she is required to report to anyone other than our board of directors, or our CEO; (ii) the executve’s ttle as our ofcer is adversely changed; however, if following a change in control (as defned in the 2018 Plan), his or her new ttle and authority are similar to the old ttle and authority, then any change in the executve’s ttle will not consttute a signifcant reducton</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98 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1" w:right="6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in his dutes and authorites; (iii) there is a change in the ofce or locaton where the executve is based of more than 50 miles (100 kilometers for</w:t>
      </w:r>
    </w:p>
    <w:p>
      <w:pPr>
        <w:spacing w:after="0" w:line="2"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Mr. Bhalla); or (iv) we breach any material term of the executve’s employment agreement. If the executve plans to terminate his or her employment for good reason, he or she must provide us with a notce of terminaton within 30 days following the date the executve frst becomes aware of the circumstances giving rise to good reason and must allow us 30 days to remedy the problem.</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change in control</w:t>
      </w:r>
    </w:p>
    <w:p>
      <w:pPr>
        <w:spacing w:after="0" w:line="106"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A “change in control” (as generally defned in Mr. Kapoor’s employment agreement and the 2018 Plan, as applicable) generally means any of the following events: (i) subject to certain exceptons, any person, entty or group becomes a benefcial owner of more than 50% of either (1) the combined votng power of our then-outstanding votng securites enttled to vote in the electon of directors or (2) our outstanding shares of common stock (taking into account as outstanding all rights to acquire common stock through optons, warrants, conversion of convertble stock or debt, and the like); (ii) a majority of the members of our board of directors changes from those in ofce as of the date of Mr. Kapoor’s employment agreement (August 3, 2020) or the efectve date of the 2018 Plan (as applicable), except that the electon of any new director whose electon or nominaton was approved by at least two-thirds of our incumbent directors will not be regarded towards a change in the majority for these purposes; (iii) our dissoluton or liquidaton; (iv) the sale, transfer or other dispositon of all or substantally all of our business or our assets; or (v) consummaton of a reorganizaton, recapitalizaton, merger, consolidaton or similar transacton with another entty which requires the approval of our stockholders; however, any such transacton will not be a change in control if afer the transacton (1) more than 50% of the total votng power of the resultng entty or its ultmate parent is represented by what were our outstanding votng securites before the transacton in substantally the same proporton among holders; (2) no person or group is or becomes the benefcial owner of more than 50% of the total votng power of the outstanding votng securites eligible to elect members of the board of directors of the parent or surviving company; and (3) at least a majority of the members of our board of directors of the parent or surviving company following the transacton were our board members when our board frst approved the transacton.</w:t>
      </w:r>
    </w:p>
    <w:p>
      <w:pPr>
        <w:spacing w:after="0" w:line="320"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retrement</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 “retrement” generally means an NEO’s voluntary terminaton of employment that is efectve afer he or she reaches age 60.</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disability</w:t>
      </w:r>
    </w:p>
    <w:p>
      <w:pPr>
        <w:spacing w:after="0" w:line="106" w:lineRule="exact"/>
        <w:rPr>
          <w:sz w:val="20"/>
          <w:szCs w:val="20"/>
          <w:color w:val="auto"/>
        </w:rPr>
      </w:pPr>
    </w:p>
    <w:p>
      <w:pPr>
        <w:ind w:left="320" w:right="540"/>
        <w:spacing w:after="0" w:line="239" w:lineRule="auto"/>
        <w:rPr>
          <w:sz w:val="20"/>
          <w:szCs w:val="20"/>
          <w:color w:val="auto"/>
        </w:rPr>
      </w:pPr>
      <w:r>
        <w:rPr>
          <w:rFonts w:ascii="Calibri" w:cs="Calibri" w:eastAsia="Calibri" w:hAnsi="Calibri"/>
          <w:sz w:val="17"/>
          <w:szCs w:val="17"/>
          <w:color w:val="auto"/>
        </w:rPr>
        <w:t>“Disability” generally means the NEO’s incapacity, due to mental, physical or emotonal injury or illness, such that the NEO is substantally unable to perform his or her dutes hereunder for a period of six (6) consecutve months (or 180 days for Mr. Kapoor).</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CEO pay rato</w:t>
      </w:r>
    </w:p>
    <w:p>
      <w:pPr>
        <w:spacing w:after="0" w:line="114"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In accordance with SEC rules and the Dodd-Frank Wall Street Reform and Consumer Protecton Act, presented below is an estmate of the rato of our CEO’s annual total compensaton to our median employee’s annual total compensaton (our “Pay Rato”). Due to the size and complexity of our organizaton, which as of December 31, 2023, was made up of approximately 54,160 professionals throughout the world, with delivery centers in over 10 countries, our Pay Rato is based on reasonable assumptons and estmates described below.</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2024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8"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We selected the median employee used for Pay Rato in 2023 by looking at our entre full-tme and part-tme employee populaton (excluding our CEO) as of December 31, 2023, but excluding leased employees and independent contractors. Each employee’s “total pay” was calculated using the sum of his or her fxed pay / base salary and variable pay (including any performance bonus, sales commission, and retenton or signing bonus). We also annualized total pay for all full-tme and part-tme employees that were employed for less than the full fscal year 2023.</w:t>
      </w:r>
    </w:p>
    <w:p>
      <w:pPr>
        <w:spacing w:after="0" w:line="211"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For all employees located in jurisdictons other than the United States, a cost-of-living adjustment was made to align their compensaton with the higher cost-of-living standards in the United States, the jurisdicton in which our CEO resides. We converted all amounts paid in a foreign currency to U.S. dollars using the exchange rate as of December 29, 2023 for each jurisdicton in which we have employees. Finally, we identfed the median employee and calculated his annual total compensaton and the CEO’s annual total compensaton in the manner required by Item 402(u) of Regulaton S-K, to determine the pay rato shown in the table below.</w:t>
      </w:r>
    </w:p>
    <w:p>
      <w:pPr>
        <w:spacing w:after="0" w:line="35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FB4E0B"/>
        </w:rPr>
        <w:t> Pay Rato – all employees (with COLA)</w:t>
      </w:r>
      <w:r>
        <w:rPr>
          <w:rFonts w:ascii="Calibri" w:cs="Calibri" w:eastAsia="Calibri" w:hAnsi="Calibri"/>
          <w:sz w:val="13"/>
          <w:szCs w:val="13"/>
          <w:b w:val="1"/>
          <w:bCs w:val="1"/>
          <w:color w:val="FB4E0B"/>
        </w:rPr>
        <w:t>(1)</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9460" w:type="dxa"/>
            <w:vAlign w:val="bottom"/>
            <w:tcBorders>
              <w:top w:val="single" w:sz="8" w:color="FB4E0B"/>
              <w:right w:val="single" w:sz="8" w:color="auto"/>
            </w:tcBorders>
          </w:tcPr>
          <w:p>
            <w:pPr>
              <w:spacing w:after="0"/>
              <w:rPr>
                <w:sz w:val="20"/>
                <w:szCs w:val="20"/>
                <w:color w:val="auto"/>
              </w:rPr>
            </w:pPr>
            <w:r>
              <w:rPr>
                <w:rFonts w:ascii="Calibri" w:cs="Calibri" w:eastAsia="Calibri" w:hAnsi="Calibri"/>
                <w:sz w:val="17"/>
                <w:szCs w:val="17"/>
                <w:color w:val="auto"/>
              </w:rPr>
              <w:t> Chief Executve Ofcer’s annual total compensaton</w:t>
            </w:r>
          </w:p>
        </w:tc>
        <w:tc>
          <w:tcPr>
            <w:tcW w:w="240" w:type="dxa"/>
            <w:vAlign w:val="bottom"/>
            <w:tcBorders>
              <w:top w:val="single" w:sz="8" w:color="FB4E0B"/>
            </w:tcBorders>
          </w:tcPr>
          <w:p>
            <w:pPr>
              <w:jc w:val="right"/>
              <w:spacing w:after="0"/>
              <w:rPr>
                <w:sz w:val="20"/>
                <w:szCs w:val="20"/>
                <w:color w:val="auto"/>
              </w:rPr>
            </w:pPr>
            <w:r>
              <w:rPr>
                <w:rFonts w:ascii="Calibri" w:cs="Calibri" w:eastAsia="Calibri" w:hAnsi="Calibri"/>
                <w:sz w:val="17"/>
                <w:szCs w:val="17"/>
                <w:color w:val="auto"/>
              </w:rPr>
              <w:t>$</w:t>
            </w:r>
          </w:p>
        </w:tc>
        <w:tc>
          <w:tcPr>
            <w:tcW w:w="920" w:type="dxa"/>
            <w:vAlign w:val="bottom"/>
            <w:tcBorders>
              <w:top w:val="single" w:sz="8" w:color="FB4E0B"/>
            </w:tcBorders>
          </w:tcPr>
          <w:p>
            <w:pPr>
              <w:jc w:val="right"/>
              <w:ind w:right="13"/>
              <w:spacing w:after="0"/>
              <w:rPr>
                <w:sz w:val="20"/>
                <w:szCs w:val="20"/>
                <w:color w:val="auto"/>
              </w:rPr>
            </w:pPr>
            <w:r>
              <w:rPr>
                <w:rFonts w:ascii="Calibri" w:cs="Calibri" w:eastAsia="Calibri" w:hAnsi="Calibri"/>
                <w:sz w:val="17"/>
                <w:szCs w:val="17"/>
                <w:color w:val="auto"/>
              </w:rPr>
              <w:t>12,346,006</w:t>
            </w:r>
          </w:p>
        </w:tc>
      </w:tr>
      <w:tr>
        <w:trPr>
          <w:trHeight w:val="127"/>
        </w:trPr>
        <w:tc>
          <w:tcPr>
            <w:tcW w:w="946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269"/>
        </w:trPr>
        <w:tc>
          <w:tcPr>
            <w:tcW w:w="9460" w:type="dxa"/>
            <w:vAlign w:val="bottom"/>
            <w:tcBorders>
              <w:right w:val="single" w:sz="8" w:color="auto"/>
            </w:tcBorders>
          </w:tcPr>
          <w:p>
            <w:pPr>
              <w:spacing w:after="0"/>
              <w:rPr>
                <w:sz w:val="20"/>
                <w:szCs w:val="20"/>
                <w:color w:val="auto"/>
              </w:rPr>
            </w:pPr>
            <w:r>
              <w:rPr>
                <w:rFonts w:ascii="Calibri" w:cs="Calibri" w:eastAsia="Calibri" w:hAnsi="Calibri"/>
                <w:sz w:val="17"/>
                <w:szCs w:val="17"/>
                <w:color w:val="auto"/>
              </w:rPr>
              <w:t> Median employee’s annual total compensaton</w:t>
            </w:r>
          </w:p>
        </w:tc>
        <w:tc>
          <w:tcPr>
            <w:tcW w:w="240" w:type="dxa"/>
            <w:vAlign w:val="bottom"/>
          </w:tcPr>
          <w:p>
            <w:pPr>
              <w:jc w:val="right"/>
              <w:spacing w:after="0"/>
              <w:rPr>
                <w:sz w:val="20"/>
                <w:szCs w:val="20"/>
                <w:color w:val="auto"/>
              </w:rPr>
            </w:pPr>
            <w:r>
              <w:rPr>
                <w:rFonts w:ascii="Calibri" w:cs="Calibri" w:eastAsia="Calibri" w:hAnsi="Calibri"/>
                <w:sz w:val="17"/>
                <w:szCs w:val="17"/>
                <w:color w:val="auto"/>
              </w:rPr>
              <w:t>$</w:t>
            </w:r>
          </w:p>
        </w:tc>
        <w:tc>
          <w:tcPr>
            <w:tcW w:w="920" w:type="dxa"/>
            <w:vAlign w:val="bottom"/>
          </w:tcPr>
          <w:p>
            <w:pPr>
              <w:jc w:val="right"/>
              <w:ind w:right="33"/>
              <w:spacing w:after="0"/>
              <w:rPr>
                <w:sz w:val="20"/>
                <w:szCs w:val="20"/>
                <w:color w:val="auto"/>
              </w:rPr>
            </w:pPr>
            <w:r>
              <w:rPr>
                <w:rFonts w:ascii="Calibri" w:cs="Calibri" w:eastAsia="Calibri" w:hAnsi="Calibri"/>
                <w:sz w:val="17"/>
                <w:szCs w:val="17"/>
                <w:color w:val="auto"/>
              </w:rPr>
              <w:t>13,235</w:t>
            </w:r>
          </w:p>
        </w:tc>
      </w:tr>
      <w:tr>
        <w:trPr>
          <w:trHeight w:val="127"/>
        </w:trPr>
        <w:tc>
          <w:tcPr>
            <w:tcW w:w="946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269"/>
        </w:trPr>
        <w:tc>
          <w:tcPr>
            <w:tcW w:w="9460" w:type="dxa"/>
            <w:vAlign w:val="bottom"/>
            <w:tcBorders>
              <w:right w:val="single" w:sz="8" w:color="auto"/>
            </w:tcBorders>
          </w:tcPr>
          <w:p>
            <w:pPr>
              <w:spacing w:after="0"/>
              <w:rPr>
                <w:sz w:val="20"/>
                <w:szCs w:val="20"/>
                <w:color w:val="auto"/>
              </w:rPr>
            </w:pPr>
            <w:r>
              <w:rPr>
                <w:rFonts w:ascii="Calibri" w:cs="Calibri" w:eastAsia="Calibri" w:hAnsi="Calibri"/>
                <w:sz w:val="17"/>
                <w:szCs w:val="17"/>
                <w:color w:val="auto"/>
              </w:rPr>
              <w:t> Rato of Chief Executve Ofcer’s annual total compensaton to median employee’s annual total compensaton</w:t>
            </w:r>
          </w:p>
        </w:tc>
        <w:tc>
          <w:tcPr>
            <w:tcW w:w="24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Calibri" w:cs="Calibri" w:eastAsia="Calibri" w:hAnsi="Calibri"/>
                <w:sz w:val="17"/>
                <w:szCs w:val="17"/>
                <w:color w:val="auto"/>
              </w:rPr>
              <w:t>933:1</w:t>
            </w:r>
          </w:p>
        </w:tc>
      </w:tr>
      <w:tr>
        <w:trPr>
          <w:trHeight w:val="133"/>
        </w:trPr>
        <w:tc>
          <w:tcPr>
            <w:tcW w:w="9460" w:type="dxa"/>
            <w:vAlign w:val="bottom"/>
            <w:tcBorders>
              <w:bottom w:val="single" w:sz="8" w:color="FB4E0B"/>
              <w:right w:val="single" w:sz="8" w:color="auto"/>
            </w:tcBorders>
          </w:tcPr>
          <w:p>
            <w:pPr>
              <w:spacing w:after="0"/>
              <w:rPr>
                <w:sz w:val="11"/>
                <w:szCs w:val="11"/>
                <w:color w:val="auto"/>
              </w:rPr>
            </w:pPr>
          </w:p>
        </w:tc>
        <w:tc>
          <w:tcPr>
            <w:tcW w:w="240" w:type="dxa"/>
            <w:vAlign w:val="bottom"/>
            <w:tcBorders>
              <w:bottom w:val="single" w:sz="8" w:color="FB4E0B"/>
            </w:tcBorders>
          </w:tcPr>
          <w:p>
            <w:pPr>
              <w:spacing w:after="0"/>
              <w:rPr>
                <w:sz w:val="11"/>
                <w:szCs w:val="11"/>
                <w:color w:val="auto"/>
              </w:rPr>
            </w:pPr>
          </w:p>
        </w:tc>
        <w:tc>
          <w:tcPr>
            <w:tcW w:w="920" w:type="dxa"/>
            <w:vAlign w:val="bottom"/>
            <w:tcBorders>
              <w:bottom w:val="single" w:sz="8" w:color="FB4E0B"/>
            </w:tcBorders>
          </w:tcPr>
          <w:p>
            <w:pPr>
              <w:spacing w:after="0"/>
              <w:rPr>
                <w:sz w:val="11"/>
                <w:szCs w:val="11"/>
                <w:color w:val="auto"/>
              </w:rPr>
            </w:pPr>
          </w:p>
        </w:tc>
      </w:tr>
    </w:tbl>
    <w:p>
      <w:pPr>
        <w:spacing w:after="0" w:line="33" w:lineRule="exact"/>
        <w:rPr>
          <w:sz w:val="20"/>
          <w:szCs w:val="20"/>
          <w:color w:val="auto"/>
        </w:rPr>
      </w:pPr>
    </w:p>
    <w:p>
      <w:pPr>
        <w:ind w:left="320" w:right="140" w:hanging="4"/>
        <w:spacing w:after="0" w:line="251" w:lineRule="auto"/>
        <w:tabs>
          <w:tab w:leader="none" w:pos="494" w:val="left"/>
        </w:tabs>
        <w:numPr>
          <w:ilvl w:val="0"/>
          <w:numId w:val="55"/>
        </w:numPr>
        <w:rPr>
          <w:rFonts w:ascii="Calibri" w:cs="Calibri" w:eastAsia="Calibri" w:hAnsi="Calibri"/>
          <w:sz w:val="13"/>
          <w:szCs w:val="13"/>
          <w:color w:val="auto"/>
        </w:rPr>
      </w:pPr>
      <w:r>
        <w:rPr>
          <w:rFonts w:ascii="Calibri" w:cs="Calibri" w:eastAsia="Calibri" w:hAnsi="Calibri"/>
          <w:sz w:val="13"/>
          <w:szCs w:val="13"/>
          <w:color w:val="auto"/>
        </w:rPr>
        <w:t>2023 Mercer Combined Index. Our median employee, identfed without performing a cost-of-living adjustment, is based in India and had an annual total compensaton of $7,669, resultng in a pay rato of 1,610:1.</w:t>
      </w:r>
    </w:p>
    <w:p>
      <w:pPr>
        <w:spacing w:after="0" w:line="96"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Approximately 95% of our employees are located outside of the United States, primarily in India and the Philippines, where the cost of living is lower than in the United States, as is employee compensaton. As is common with many global companies, our compensaton programs are market based, and as such they may difer for employees based on the country where an employee works. Accordingly, we believe that it is important to show our pay-rato calculated in a similar manner as described above using the median U.S.-based employee to provide a commensurable view of our pay practces.</w:t>
      </w:r>
    </w:p>
    <w:p>
      <w:pPr>
        <w:spacing w:after="0" w:line="352"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FB4E0B"/>
        </w:rPr>
        <w:t>Pay Rato – United States employees</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9460" w:type="dxa"/>
            <w:vAlign w:val="bottom"/>
            <w:tcBorders>
              <w:top w:val="single" w:sz="8" w:color="FB4E0B"/>
              <w:right w:val="single" w:sz="8" w:color="auto"/>
            </w:tcBorders>
          </w:tcPr>
          <w:p>
            <w:pPr>
              <w:spacing w:after="0"/>
              <w:rPr>
                <w:sz w:val="20"/>
                <w:szCs w:val="20"/>
                <w:color w:val="auto"/>
              </w:rPr>
            </w:pPr>
            <w:r>
              <w:rPr>
                <w:rFonts w:ascii="Calibri" w:cs="Calibri" w:eastAsia="Calibri" w:hAnsi="Calibri"/>
                <w:sz w:val="17"/>
                <w:szCs w:val="17"/>
                <w:color w:val="auto"/>
              </w:rPr>
              <w:t> Chief Executve Ofcer’s annual total compensaton</w:t>
            </w:r>
          </w:p>
        </w:tc>
        <w:tc>
          <w:tcPr>
            <w:tcW w:w="240" w:type="dxa"/>
            <w:vAlign w:val="bottom"/>
            <w:tcBorders>
              <w:top w:val="single" w:sz="8" w:color="FB4E0B"/>
            </w:tcBorders>
          </w:tcPr>
          <w:p>
            <w:pPr>
              <w:jc w:val="right"/>
              <w:spacing w:after="0"/>
              <w:rPr>
                <w:sz w:val="20"/>
                <w:szCs w:val="20"/>
                <w:color w:val="auto"/>
              </w:rPr>
            </w:pPr>
            <w:r>
              <w:rPr>
                <w:rFonts w:ascii="Calibri" w:cs="Calibri" w:eastAsia="Calibri" w:hAnsi="Calibri"/>
                <w:sz w:val="17"/>
                <w:szCs w:val="17"/>
                <w:color w:val="auto"/>
              </w:rPr>
              <w:t>$</w:t>
            </w:r>
          </w:p>
        </w:tc>
        <w:tc>
          <w:tcPr>
            <w:tcW w:w="920" w:type="dxa"/>
            <w:vAlign w:val="bottom"/>
            <w:tcBorders>
              <w:top w:val="single" w:sz="8" w:color="FB4E0B"/>
            </w:tcBorders>
          </w:tcPr>
          <w:p>
            <w:pPr>
              <w:jc w:val="right"/>
              <w:ind w:right="13"/>
              <w:spacing w:after="0"/>
              <w:rPr>
                <w:sz w:val="20"/>
                <w:szCs w:val="20"/>
                <w:color w:val="auto"/>
              </w:rPr>
            </w:pPr>
            <w:r>
              <w:rPr>
                <w:rFonts w:ascii="Calibri" w:cs="Calibri" w:eastAsia="Calibri" w:hAnsi="Calibri"/>
                <w:sz w:val="17"/>
                <w:szCs w:val="17"/>
                <w:color w:val="auto"/>
              </w:rPr>
              <w:t>12,346,006</w:t>
            </w:r>
          </w:p>
        </w:tc>
        <w:tc>
          <w:tcPr>
            <w:tcW w:w="0" w:type="dxa"/>
            <w:vAlign w:val="bottom"/>
          </w:tcPr>
          <w:p>
            <w:pPr>
              <w:spacing w:after="0"/>
              <w:rPr>
                <w:sz w:val="1"/>
                <w:szCs w:val="1"/>
                <w:color w:val="auto"/>
              </w:rPr>
            </w:pPr>
          </w:p>
        </w:tc>
      </w:tr>
      <w:tr>
        <w:trPr>
          <w:trHeight w:val="127"/>
        </w:trPr>
        <w:tc>
          <w:tcPr>
            <w:tcW w:w="946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9460" w:type="dxa"/>
            <w:vAlign w:val="bottom"/>
            <w:tcBorders>
              <w:right w:val="single" w:sz="8" w:color="auto"/>
            </w:tcBorders>
          </w:tcPr>
          <w:p>
            <w:pPr>
              <w:spacing w:after="0"/>
              <w:rPr>
                <w:sz w:val="20"/>
                <w:szCs w:val="20"/>
                <w:color w:val="auto"/>
              </w:rPr>
            </w:pPr>
            <w:r>
              <w:rPr>
                <w:rFonts w:ascii="Calibri" w:cs="Calibri" w:eastAsia="Calibri" w:hAnsi="Calibri"/>
                <w:sz w:val="17"/>
                <w:szCs w:val="17"/>
                <w:color w:val="auto"/>
              </w:rPr>
              <w:t> Median employee’s annual total compensaton</w:t>
            </w:r>
          </w:p>
        </w:tc>
        <w:tc>
          <w:tcPr>
            <w:tcW w:w="240" w:type="dxa"/>
            <w:vAlign w:val="bottom"/>
          </w:tcPr>
          <w:p>
            <w:pPr>
              <w:jc w:val="right"/>
              <w:spacing w:after="0"/>
              <w:rPr>
                <w:sz w:val="20"/>
                <w:szCs w:val="20"/>
                <w:color w:val="auto"/>
              </w:rPr>
            </w:pPr>
            <w:r>
              <w:rPr>
                <w:rFonts w:ascii="Calibri" w:cs="Calibri" w:eastAsia="Calibri" w:hAnsi="Calibri"/>
                <w:sz w:val="17"/>
                <w:szCs w:val="17"/>
                <w:color w:val="auto"/>
              </w:rPr>
              <w:t>$</w:t>
            </w:r>
          </w:p>
        </w:tc>
        <w:tc>
          <w:tcPr>
            <w:tcW w:w="920" w:type="dxa"/>
            <w:vAlign w:val="bottom"/>
          </w:tcPr>
          <w:p>
            <w:pPr>
              <w:jc w:val="right"/>
              <w:ind w:right="13"/>
              <w:spacing w:after="0"/>
              <w:rPr>
                <w:sz w:val="20"/>
                <w:szCs w:val="20"/>
                <w:color w:val="auto"/>
              </w:rPr>
            </w:pPr>
            <w:r>
              <w:rPr>
                <w:rFonts w:ascii="Calibri" w:cs="Calibri" w:eastAsia="Calibri" w:hAnsi="Calibri"/>
                <w:sz w:val="17"/>
                <w:szCs w:val="17"/>
                <w:color w:val="auto"/>
              </w:rPr>
              <w:t>105,442</w:t>
            </w:r>
          </w:p>
        </w:tc>
        <w:tc>
          <w:tcPr>
            <w:tcW w:w="0" w:type="dxa"/>
            <w:vAlign w:val="bottom"/>
          </w:tcPr>
          <w:p>
            <w:pPr>
              <w:spacing w:after="0"/>
              <w:rPr>
                <w:sz w:val="1"/>
                <w:szCs w:val="1"/>
                <w:color w:val="auto"/>
              </w:rPr>
            </w:pPr>
          </w:p>
        </w:tc>
      </w:tr>
      <w:tr>
        <w:trPr>
          <w:trHeight w:val="127"/>
        </w:trPr>
        <w:tc>
          <w:tcPr>
            <w:tcW w:w="946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9460" w:type="dxa"/>
            <w:vAlign w:val="bottom"/>
            <w:tcBorders>
              <w:right w:val="single" w:sz="8" w:color="auto"/>
            </w:tcBorders>
          </w:tcPr>
          <w:p>
            <w:pPr>
              <w:spacing w:after="0"/>
              <w:rPr>
                <w:sz w:val="20"/>
                <w:szCs w:val="20"/>
                <w:color w:val="auto"/>
              </w:rPr>
            </w:pPr>
            <w:r>
              <w:rPr>
                <w:rFonts w:ascii="Calibri" w:cs="Calibri" w:eastAsia="Calibri" w:hAnsi="Calibri"/>
                <w:sz w:val="17"/>
                <w:szCs w:val="17"/>
                <w:color w:val="auto"/>
              </w:rPr>
              <w:t> Rato of Chief Executve Ofcer’s annual total compensaton to median employee’s annual total compensaton</w:t>
            </w:r>
          </w:p>
        </w:tc>
        <w:tc>
          <w:tcPr>
            <w:tcW w:w="24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Calibri" w:cs="Calibri" w:eastAsia="Calibri" w:hAnsi="Calibri"/>
                <w:sz w:val="17"/>
                <w:szCs w:val="17"/>
                <w:color w:val="auto"/>
              </w:rPr>
              <w:t>117:1</w:t>
            </w:r>
          </w:p>
        </w:tc>
        <w:tc>
          <w:tcPr>
            <w:tcW w:w="0" w:type="dxa"/>
            <w:vAlign w:val="bottom"/>
          </w:tcPr>
          <w:p>
            <w:pPr>
              <w:spacing w:after="0"/>
              <w:rPr>
                <w:sz w:val="1"/>
                <w:szCs w:val="1"/>
                <w:color w:val="auto"/>
              </w:rPr>
            </w:pPr>
          </w:p>
        </w:tc>
      </w:tr>
      <w:tr>
        <w:trPr>
          <w:trHeight w:val="133"/>
        </w:trPr>
        <w:tc>
          <w:tcPr>
            <w:tcW w:w="9460" w:type="dxa"/>
            <w:vAlign w:val="bottom"/>
            <w:tcBorders>
              <w:bottom w:val="single" w:sz="8" w:color="FB4E0B"/>
              <w:right w:val="single" w:sz="8" w:color="auto"/>
            </w:tcBorders>
          </w:tcPr>
          <w:p>
            <w:pPr>
              <w:spacing w:after="0"/>
              <w:rPr>
                <w:sz w:val="11"/>
                <w:szCs w:val="11"/>
                <w:color w:val="auto"/>
              </w:rPr>
            </w:pPr>
          </w:p>
        </w:tc>
        <w:tc>
          <w:tcPr>
            <w:tcW w:w="240" w:type="dxa"/>
            <w:vAlign w:val="bottom"/>
            <w:tcBorders>
              <w:bottom w:val="single" w:sz="8" w:color="FB4E0B"/>
            </w:tcBorders>
          </w:tcPr>
          <w:p>
            <w:pPr>
              <w:spacing w:after="0"/>
              <w:rPr>
                <w:sz w:val="11"/>
                <w:szCs w:val="11"/>
                <w:color w:val="auto"/>
              </w:rPr>
            </w:pPr>
          </w:p>
        </w:tc>
        <w:tc>
          <w:tcPr>
            <w:tcW w:w="92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r>
        <w:trPr>
          <w:trHeight w:val="328"/>
        </w:trPr>
        <w:tc>
          <w:tcPr>
            <w:tcW w:w="9460" w:type="dxa"/>
            <w:vAlign w:val="bottom"/>
            <w:vMerge w:val="restart"/>
          </w:tcPr>
          <w:p>
            <w:pPr>
              <w:ind w:left="80"/>
              <w:spacing w:after="0"/>
              <w:rPr>
                <w:sz w:val="20"/>
                <w:szCs w:val="20"/>
                <w:color w:val="auto"/>
              </w:rPr>
            </w:pPr>
            <w:r>
              <w:rPr>
                <w:rFonts w:ascii="Calibri" w:cs="Calibri" w:eastAsia="Calibri" w:hAnsi="Calibri"/>
                <w:sz w:val="17"/>
                <w:szCs w:val="17"/>
                <w:b w:val="1"/>
                <w:bCs w:val="1"/>
                <w:color w:val="auto"/>
              </w:rPr>
              <w:t xml:space="preserve">100    </w:t>
            </w:r>
            <w:r>
              <w:rPr>
                <w:rFonts w:ascii="Calibri" w:cs="Calibri" w:eastAsia="Calibri" w:hAnsi="Calibri"/>
                <w:sz w:val="27"/>
                <w:szCs w:val="27"/>
                <w:b w:val="1"/>
                <w:bCs w:val="1"/>
                <w:color w:val="FB4E0B"/>
              </w:rPr>
              <w:t>/</w:t>
            </w:r>
            <w:r>
              <w:rPr>
                <w:rFonts w:ascii="Calibri" w:cs="Calibri" w:eastAsia="Calibri" w:hAnsi="Calibri"/>
                <w:sz w:val="17"/>
                <w:szCs w:val="17"/>
                <w:b w:val="1"/>
                <w:bCs w:val="1"/>
                <w:color w:val="auto"/>
              </w:rPr>
              <w:t xml:space="preserve"> </w:t>
            </w:r>
            <w:r>
              <w:rPr>
                <w:rFonts w:ascii="Calibri" w:cs="Calibri" w:eastAsia="Calibri" w:hAnsi="Calibri"/>
                <w:sz w:val="13"/>
                <w:szCs w:val="13"/>
                <w:color w:val="auto"/>
              </w:rPr>
              <w:t xml:space="preserve">   EXL 2024 Proxy Statement</w:t>
            </w:r>
          </w:p>
        </w:tc>
        <w:tc>
          <w:tcPr>
            <w:tcW w:w="240" w:type="dxa"/>
            <w:vAlign w:val="bottom"/>
          </w:tcPr>
          <w:p>
            <w:pPr>
              <w:spacing w:after="0"/>
              <w:rPr>
                <w:sz w:val="24"/>
                <w:szCs w:val="24"/>
                <w:color w:val="auto"/>
              </w:rPr>
            </w:pPr>
          </w:p>
        </w:tc>
        <w:tc>
          <w:tcPr>
            <w:tcW w:w="920" w:type="dxa"/>
            <w:vAlign w:val="bottom"/>
          </w:tcPr>
          <w:p>
            <w:pPr>
              <w:jc w:val="right"/>
              <w:ind w:right="53"/>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94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Pay versus performance</w:t>
      </w:r>
    </w:p>
    <w:p>
      <w:pPr>
        <w:spacing w:after="0" w:line="114"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Our executve compensaton philosophy is focused on pay-for-performance. In this regard, we link a signifcant porton of each NEO’s total compensaton to the achievement of specifed performance goals. This variable compensaton is “at-risk” and rewards performance and contributons to both short- and long-term fnancial performance.</w:t>
      </w:r>
    </w:p>
    <w:p>
      <w:pPr>
        <w:spacing w:after="0" w:line="109" w:lineRule="exact"/>
        <w:rPr>
          <w:sz w:val="20"/>
          <w:szCs w:val="20"/>
          <w:color w:val="auto"/>
        </w:rPr>
      </w:pPr>
    </w:p>
    <w:p>
      <w:pPr>
        <w:ind w:left="320" w:right="260"/>
        <w:spacing w:after="0"/>
        <w:rPr>
          <w:sz w:val="20"/>
          <w:szCs w:val="20"/>
          <w:color w:val="auto"/>
        </w:rPr>
      </w:pPr>
      <w:r>
        <w:rPr>
          <w:rFonts w:ascii="Calibri" w:cs="Calibri" w:eastAsia="Calibri" w:hAnsi="Calibri"/>
          <w:sz w:val="17"/>
          <w:szCs w:val="17"/>
          <w:color w:val="auto"/>
        </w:rPr>
        <w:t>In accordance with SEC rules and the Dodd-Frank Wall Street Reform and Consumer Protecton Act, the following table shows the past four fscal years’ total compensaton for our named executve ofcers as set forth in the Summary Compensaton Table, the “compensaton actually paid” to our named executve ofcers (as determined under SEC rules), our total shareholder return (TSR), the TSR of our peer group over the same period, our net income, and our revenue, which we have selected as our Company Selected Measure because of its role as a component of both our annual and long-term incentve compensaton program.</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2023 Pay versus performance table</w:t>
      </w: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alibri" w:cs="Calibri" w:eastAsia="Calibri" w:hAnsi="Calibri"/>
                <w:sz w:val="14"/>
                <w:szCs w:val="14"/>
                <w:b w:val="1"/>
                <w:bCs w:val="1"/>
                <w:color w:val="auto"/>
                <w:w w:val="97"/>
              </w:rPr>
              <w:t>Avg. Summary</w:t>
            </w: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w w:val="98"/>
              </w:rPr>
              <w:t>Company Selected Measure:</w:t>
            </w:r>
          </w:p>
        </w:tc>
        <w:tc>
          <w:tcPr>
            <w:tcW w:w="0" w:type="dxa"/>
            <w:vAlign w:val="bottom"/>
          </w:tcPr>
          <w:p>
            <w:pPr>
              <w:spacing w:after="0"/>
              <w:rPr>
                <w:sz w:val="1"/>
                <w:szCs w:val="1"/>
                <w:color w:val="auto"/>
              </w:rPr>
            </w:pPr>
          </w:p>
        </w:tc>
      </w:tr>
      <w:tr>
        <w:trPr>
          <w:trHeight w:val="81"/>
        </w:trPr>
        <w:tc>
          <w:tcPr>
            <w:tcW w:w="2220" w:type="dxa"/>
            <w:vAlign w:val="bottom"/>
          </w:tcPr>
          <w:p>
            <w:pPr>
              <w:spacing w:after="0"/>
              <w:rPr>
                <w:sz w:val="6"/>
                <w:szCs w:val="6"/>
                <w:color w:val="auto"/>
              </w:rPr>
            </w:pPr>
          </w:p>
        </w:tc>
        <w:tc>
          <w:tcPr>
            <w:tcW w:w="1180" w:type="dxa"/>
            <w:vAlign w:val="bottom"/>
            <w:vMerge w:val="restart"/>
          </w:tcPr>
          <w:p>
            <w:pPr>
              <w:jc w:val="center"/>
              <w:spacing w:after="0" w:line="169" w:lineRule="exact"/>
              <w:rPr>
                <w:sz w:val="20"/>
                <w:szCs w:val="20"/>
                <w:color w:val="auto"/>
              </w:rPr>
            </w:pPr>
            <w:r>
              <w:rPr>
                <w:rFonts w:ascii="Calibri" w:cs="Calibri" w:eastAsia="Calibri" w:hAnsi="Calibri"/>
                <w:sz w:val="14"/>
                <w:szCs w:val="14"/>
                <w:b w:val="1"/>
                <w:bCs w:val="1"/>
                <w:color w:val="auto"/>
                <w:w w:val="97"/>
              </w:rPr>
              <w:t>Summary</w:t>
            </w:r>
          </w:p>
        </w:tc>
        <w:tc>
          <w:tcPr>
            <w:tcW w:w="3260" w:type="dxa"/>
            <w:vAlign w:val="bottom"/>
            <w:gridSpan w:val="3"/>
            <w:vMerge w:val="restart"/>
          </w:tcPr>
          <w:p>
            <w:pPr>
              <w:jc w:val="right"/>
              <w:spacing w:after="0" w:line="169" w:lineRule="exact"/>
              <w:rPr>
                <w:sz w:val="20"/>
                <w:szCs w:val="20"/>
                <w:color w:val="auto"/>
              </w:rPr>
            </w:pPr>
            <w:r>
              <w:rPr>
                <w:rFonts w:ascii="Calibri" w:cs="Calibri" w:eastAsia="Calibri" w:hAnsi="Calibri"/>
                <w:sz w:val="14"/>
                <w:szCs w:val="14"/>
                <w:b w:val="1"/>
                <w:bCs w:val="1"/>
                <w:color w:val="auto"/>
              </w:rPr>
              <w:t>Compensaton Compensaton Table Avg. compensaton</w:t>
            </w:r>
          </w:p>
        </w:tc>
        <w:tc>
          <w:tcPr>
            <w:tcW w:w="5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Borders>
              <w:bottom w:val="single" w:sz="8" w:color="FB4E0B"/>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2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326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2120" w:type="dxa"/>
            <w:vAlign w:val="bottom"/>
            <w:gridSpan w:val="2"/>
          </w:tcPr>
          <w:p>
            <w:pPr>
              <w:jc w:val="right"/>
              <w:spacing w:after="0" w:line="169" w:lineRule="exact"/>
              <w:rPr>
                <w:sz w:val="20"/>
                <w:szCs w:val="20"/>
                <w:color w:val="auto"/>
              </w:rPr>
            </w:pPr>
            <w:r>
              <w:rPr>
                <w:rFonts w:ascii="Calibri" w:cs="Calibri" w:eastAsia="Calibri" w:hAnsi="Calibri"/>
                <w:sz w:val="14"/>
                <w:szCs w:val="14"/>
                <w:b w:val="1"/>
                <w:bCs w:val="1"/>
                <w:color w:val="auto"/>
                <w:w w:val="98"/>
              </w:rPr>
              <w:t>Compensaton Table actually paid to</w:t>
            </w:r>
          </w:p>
        </w:tc>
        <w:tc>
          <w:tcPr>
            <w:tcW w:w="12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total for other</w:t>
            </w:r>
          </w:p>
        </w:tc>
        <w:tc>
          <w:tcPr>
            <w:tcW w:w="1120" w:type="dxa"/>
            <w:vAlign w:val="bottom"/>
          </w:tcPr>
          <w:p>
            <w:pPr>
              <w:jc w:val="right"/>
              <w:ind w:right="71"/>
              <w:spacing w:after="0" w:line="169" w:lineRule="exact"/>
              <w:rPr>
                <w:sz w:val="20"/>
                <w:szCs w:val="20"/>
                <w:color w:val="auto"/>
              </w:rPr>
            </w:pPr>
            <w:r>
              <w:rPr>
                <w:rFonts w:ascii="Calibri" w:cs="Calibri" w:eastAsia="Calibri" w:hAnsi="Calibri"/>
                <w:sz w:val="14"/>
                <w:szCs w:val="14"/>
                <w:b w:val="1"/>
                <w:bCs w:val="1"/>
                <w:color w:val="auto"/>
              </w:rPr>
              <w:t>actually paid to</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w w:val="98"/>
              </w:rPr>
              <w:t>Revenue</w:t>
            </w:r>
          </w:p>
        </w:tc>
        <w:tc>
          <w:tcPr>
            <w:tcW w:w="0" w:type="dxa"/>
            <w:vAlign w:val="bottom"/>
          </w:tcPr>
          <w:p>
            <w:pPr>
              <w:spacing w:after="0"/>
              <w:rPr>
                <w:sz w:val="1"/>
                <w:szCs w:val="1"/>
                <w:color w:val="auto"/>
              </w:rPr>
            </w:pPr>
          </w:p>
        </w:tc>
      </w:tr>
      <w:tr>
        <w:trPr>
          <w:trHeight w:val="65"/>
        </w:trPr>
        <w:tc>
          <w:tcPr>
            <w:tcW w:w="2220" w:type="dxa"/>
            <w:vAlign w:val="bottom"/>
          </w:tcPr>
          <w:p>
            <w:pPr>
              <w:spacing w:after="0"/>
              <w:rPr>
                <w:sz w:val="5"/>
                <w:szCs w:val="5"/>
                <w:color w:val="auto"/>
              </w:rPr>
            </w:pPr>
          </w:p>
        </w:tc>
        <w:tc>
          <w:tcPr>
            <w:tcW w:w="1180" w:type="dxa"/>
            <w:vAlign w:val="bottom"/>
            <w:vMerge w:val="restart"/>
          </w:tcPr>
          <w:p>
            <w:pPr>
              <w:jc w:val="center"/>
              <w:spacing w:after="0" w:line="199" w:lineRule="exact"/>
              <w:rPr>
                <w:sz w:val="20"/>
                <w:szCs w:val="20"/>
                <w:color w:val="auto"/>
              </w:rPr>
            </w:pPr>
            <w:r>
              <w:rPr>
                <w:rFonts w:ascii="Calibri" w:cs="Calibri" w:eastAsia="Calibri" w:hAnsi="Calibri"/>
                <w:sz w:val="14"/>
                <w:szCs w:val="14"/>
                <w:b w:val="1"/>
                <w:bCs w:val="1"/>
                <w:color w:val="auto"/>
                <w:w w:val="93"/>
              </w:rPr>
              <w:t>total for CEO</w:t>
            </w:r>
            <w:r>
              <w:rPr>
                <w:rFonts w:ascii="Calibri" w:cs="Calibri" w:eastAsia="Calibri" w:hAnsi="Calibri"/>
                <w:sz w:val="17"/>
                <w:szCs w:val="17"/>
                <w:b w:val="1"/>
                <w:bCs w:val="1"/>
                <w:color w:val="auto"/>
                <w:w w:val="93"/>
                <w:vertAlign w:val="superscript"/>
              </w:rPr>
              <w:t>(1)</w:t>
            </w:r>
          </w:p>
        </w:tc>
        <w:tc>
          <w:tcPr>
            <w:tcW w:w="940" w:type="dxa"/>
            <w:vAlign w:val="bottom"/>
            <w:vMerge w:val="restart"/>
          </w:tcPr>
          <w:p>
            <w:pPr>
              <w:jc w:val="right"/>
              <w:ind w:right="195"/>
              <w:spacing w:after="0" w:line="200" w:lineRule="exact"/>
              <w:rPr>
                <w:sz w:val="20"/>
                <w:szCs w:val="20"/>
                <w:color w:val="auto"/>
              </w:rPr>
            </w:pPr>
            <w:r>
              <w:rPr>
                <w:rFonts w:ascii="Calibri" w:cs="Calibri" w:eastAsia="Calibri" w:hAnsi="Calibri"/>
                <w:sz w:val="21"/>
                <w:szCs w:val="21"/>
                <w:b w:val="1"/>
                <w:bCs w:val="1"/>
                <w:color w:val="auto"/>
                <w:vertAlign w:val="subscript"/>
              </w:rPr>
              <w:t>CEO</w:t>
            </w:r>
            <w:r>
              <w:rPr>
                <w:rFonts w:ascii="Calibri" w:cs="Calibri" w:eastAsia="Calibri" w:hAnsi="Calibri"/>
                <w:sz w:val="8"/>
                <w:szCs w:val="8"/>
                <w:b w:val="1"/>
                <w:bCs w:val="1"/>
                <w:color w:val="auto"/>
              </w:rPr>
              <w:t>(1)(3)</w:t>
            </w:r>
          </w:p>
        </w:tc>
        <w:tc>
          <w:tcPr>
            <w:tcW w:w="1200" w:type="dxa"/>
            <w:vAlign w:val="bottom"/>
            <w:vMerge w:val="restart"/>
          </w:tcPr>
          <w:p>
            <w:pPr>
              <w:jc w:val="center"/>
              <w:spacing w:after="0" w:line="199" w:lineRule="exact"/>
              <w:rPr>
                <w:sz w:val="20"/>
                <w:szCs w:val="20"/>
                <w:color w:val="auto"/>
              </w:rPr>
            </w:pPr>
            <w:r>
              <w:rPr>
                <w:rFonts w:ascii="Calibri" w:cs="Calibri" w:eastAsia="Calibri" w:hAnsi="Calibri"/>
                <w:sz w:val="14"/>
                <w:szCs w:val="14"/>
                <w:b w:val="1"/>
                <w:bCs w:val="1"/>
                <w:color w:val="auto"/>
                <w:w w:val="90"/>
              </w:rPr>
              <w:t>NEOs</w:t>
            </w:r>
            <w:r>
              <w:rPr>
                <w:rFonts w:ascii="Calibri" w:cs="Calibri" w:eastAsia="Calibri" w:hAnsi="Calibri"/>
                <w:sz w:val="17"/>
                <w:szCs w:val="17"/>
                <w:b w:val="1"/>
                <w:bCs w:val="1"/>
                <w:color w:val="auto"/>
                <w:w w:val="90"/>
                <w:vertAlign w:val="superscript"/>
              </w:rPr>
              <w:t>(2)</w:t>
            </w:r>
          </w:p>
        </w:tc>
        <w:tc>
          <w:tcPr>
            <w:tcW w:w="1120" w:type="dxa"/>
            <w:vAlign w:val="bottom"/>
            <w:vMerge w:val="restart"/>
          </w:tcPr>
          <w:p>
            <w:pPr>
              <w:jc w:val="right"/>
              <w:ind w:right="91"/>
              <w:spacing w:after="0" w:line="199" w:lineRule="exact"/>
              <w:rPr>
                <w:sz w:val="20"/>
                <w:szCs w:val="20"/>
                <w:color w:val="auto"/>
              </w:rPr>
            </w:pPr>
            <w:r>
              <w:rPr>
                <w:rFonts w:ascii="Calibri" w:cs="Calibri" w:eastAsia="Calibri" w:hAnsi="Calibri"/>
                <w:sz w:val="14"/>
                <w:szCs w:val="14"/>
                <w:b w:val="1"/>
                <w:bCs w:val="1"/>
                <w:color w:val="auto"/>
              </w:rPr>
              <w:t>other NEOs</w:t>
            </w:r>
            <w:r>
              <w:rPr>
                <w:rFonts w:ascii="Calibri" w:cs="Calibri" w:eastAsia="Calibri" w:hAnsi="Calibri"/>
                <w:sz w:val="17"/>
                <w:szCs w:val="17"/>
                <w:b w:val="1"/>
                <w:bCs w:val="1"/>
                <w:color w:val="auto"/>
                <w:vertAlign w:val="superscript"/>
              </w:rPr>
              <w:t>(2)(3)</w:t>
            </w:r>
          </w:p>
        </w:tc>
        <w:tc>
          <w:tcPr>
            <w:tcW w:w="520" w:type="dxa"/>
            <w:vAlign w:val="bottom"/>
            <w:vMerge w:val="restart"/>
          </w:tcPr>
          <w:p>
            <w:pPr>
              <w:ind w:left="100"/>
              <w:spacing w:after="0" w:line="199" w:lineRule="exact"/>
              <w:rPr>
                <w:sz w:val="20"/>
                <w:szCs w:val="20"/>
                <w:color w:val="auto"/>
              </w:rPr>
            </w:pPr>
            <w:r>
              <w:rPr>
                <w:rFonts w:ascii="Calibri" w:cs="Calibri" w:eastAsia="Calibri" w:hAnsi="Calibri"/>
                <w:sz w:val="14"/>
                <w:szCs w:val="14"/>
                <w:b w:val="1"/>
                <w:bCs w:val="1"/>
                <w:color w:val="auto"/>
              </w:rPr>
              <w:t>TSR</w:t>
            </w:r>
            <w:r>
              <w:rPr>
                <w:rFonts w:ascii="Calibri" w:cs="Calibri" w:eastAsia="Calibri" w:hAnsi="Calibri"/>
                <w:sz w:val="17"/>
                <w:szCs w:val="17"/>
                <w:b w:val="1"/>
                <w:bCs w:val="1"/>
                <w:color w:val="auto"/>
                <w:vertAlign w:val="superscript"/>
              </w:rPr>
              <w:t>(4)</w:t>
            </w:r>
          </w:p>
        </w:tc>
        <w:tc>
          <w:tcPr>
            <w:tcW w:w="1000" w:type="dxa"/>
            <w:vAlign w:val="bottom"/>
            <w:vMerge w:val="restart"/>
          </w:tcPr>
          <w:p>
            <w:pPr>
              <w:jc w:val="right"/>
              <w:spacing w:after="0" w:line="199" w:lineRule="exact"/>
              <w:rPr>
                <w:sz w:val="20"/>
                <w:szCs w:val="20"/>
                <w:color w:val="auto"/>
              </w:rPr>
            </w:pPr>
            <w:r>
              <w:rPr>
                <w:rFonts w:ascii="Calibri" w:cs="Calibri" w:eastAsia="Calibri" w:hAnsi="Calibri"/>
                <w:sz w:val="14"/>
                <w:szCs w:val="14"/>
                <w:b w:val="1"/>
                <w:bCs w:val="1"/>
                <w:color w:val="auto"/>
                <w:w w:val="92"/>
              </w:rPr>
              <w:t>Peer group TSR</w:t>
            </w:r>
            <w:r>
              <w:rPr>
                <w:rFonts w:ascii="Calibri" w:cs="Calibri" w:eastAsia="Calibri" w:hAnsi="Calibri"/>
                <w:sz w:val="17"/>
                <w:szCs w:val="17"/>
                <w:b w:val="1"/>
                <w:bCs w:val="1"/>
                <w:color w:val="auto"/>
                <w:w w:val="92"/>
                <w:vertAlign w:val="superscript"/>
              </w:rPr>
              <w:t>(4)</w:t>
            </w:r>
          </w:p>
        </w:tc>
        <w:tc>
          <w:tcPr>
            <w:tcW w:w="800" w:type="dxa"/>
            <w:vAlign w:val="bottom"/>
            <w:vMerge w:val="restart"/>
          </w:tcPr>
          <w:p>
            <w:pPr>
              <w:jc w:val="right"/>
              <w:ind w:right="11"/>
              <w:spacing w:after="0" w:line="169" w:lineRule="exact"/>
              <w:rPr>
                <w:sz w:val="20"/>
                <w:szCs w:val="20"/>
                <w:color w:val="auto"/>
              </w:rPr>
            </w:pPr>
            <w:r>
              <w:rPr>
                <w:rFonts w:ascii="Calibri" w:cs="Calibri" w:eastAsia="Calibri" w:hAnsi="Calibri"/>
                <w:sz w:val="14"/>
                <w:szCs w:val="14"/>
                <w:b w:val="1"/>
                <w:bCs w:val="1"/>
                <w:color w:val="auto"/>
              </w:rPr>
              <w:t>Net income</w:t>
            </w: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640" w:type="dxa"/>
            <w:vAlign w:val="bottom"/>
            <w:vMerge w:val="restart"/>
          </w:tcPr>
          <w:p>
            <w:pPr>
              <w:jc w:val="center"/>
              <w:spacing w:after="0" w:line="169" w:lineRule="exact"/>
              <w:rPr>
                <w:sz w:val="20"/>
                <w:szCs w:val="20"/>
                <w:color w:val="auto"/>
              </w:rPr>
            </w:pPr>
            <w:r>
              <w:rPr>
                <w:rFonts w:ascii="Calibri" w:cs="Calibri" w:eastAsia="Calibri" w:hAnsi="Calibri"/>
                <w:sz w:val="14"/>
                <w:szCs w:val="14"/>
                <w:b w:val="1"/>
                <w:bCs w:val="1"/>
                <w:color w:val="auto"/>
                <w:w w:val="98"/>
              </w:rPr>
              <w:t>($ in millions)</w:t>
            </w:r>
          </w:p>
        </w:tc>
        <w:tc>
          <w:tcPr>
            <w:tcW w:w="0" w:type="dxa"/>
            <w:vAlign w:val="bottom"/>
          </w:tcPr>
          <w:p>
            <w:pPr>
              <w:spacing w:after="0"/>
              <w:rPr>
                <w:sz w:val="1"/>
                <w:szCs w:val="1"/>
                <w:color w:val="auto"/>
              </w:rPr>
            </w:pPr>
          </w:p>
        </w:tc>
      </w:tr>
      <w:tr>
        <w:trPr>
          <w:trHeight w:val="34"/>
        </w:trPr>
        <w:tc>
          <w:tcPr>
            <w:tcW w:w="2220" w:type="dxa"/>
            <w:vAlign w:val="bottom"/>
            <w:vMerge w:val="restart"/>
          </w:tcPr>
          <w:p>
            <w:pPr>
              <w:spacing w:after="0" w:line="166" w:lineRule="exact"/>
              <w:rPr>
                <w:sz w:val="20"/>
                <w:szCs w:val="20"/>
                <w:color w:val="auto"/>
              </w:rPr>
            </w:pPr>
            <w:r>
              <w:rPr>
                <w:rFonts w:ascii="Calibri" w:cs="Calibri" w:eastAsia="Calibri" w:hAnsi="Calibri"/>
                <w:sz w:val="14"/>
                <w:szCs w:val="14"/>
                <w:b w:val="1"/>
                <w:bCs w:val="1"/>
                <w:color w:val="FB4E0B"/>
              </w:rPr>
              <w:t>  Year</w:t>
            </w:r>
          </w:p>
        </w:tc>
        <w:tc>
          <w:tcPr>
            <w:tcW w:w="1180" w:type="dxa"/>
            <w:vAlign w:val="bottom"/>
            <w:vMerge w:val="restart"/>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940" w:type="dxa"/>
            <w:vAlign w:val="bottom"/>
            <w:vMerge w:val="restart"/>
          </w:tcPr>
          <w:p>
            <w:pPr>
              <w:jc w:val="right"/>
              <w:ind w:right="335"/>
              <w:spacing w:after="0" w:line="166" w:lineRule="exact"/>
              <w:rPr>
                <w:sz w:val="20"/>
                <w:szCs w:val="20"/>
                <w:color w:val="auto"/>
              </w:rPr>
            </w:pPr>
            <w:r>
              <w:rPr>
                <w:rFonts w:ascii="Calibri" w:cs="Calibri" w:eastAsia="Calibri" w:hAnsi="Calibri"/>
                <w:sz w:val="14"/>
                <w:szCs w:val="14"/>
                <w:b w:val="1"/>
                <w:bCs w:val="1"/>
                <w:color w:val="auto"/>
              </w:rPr>
              <w:t>($)</w:t>
            </w:r>
          </w:p>
        </w:tc>
        <w:tc>
          <w:tcPr>
            <w:tcW w:w="1200" w:type="dxa"/>
            <w:vAlign w:val="bottom"/>
            <w:vMerge w:val="restart"/>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1120" w:type="dxa"/>
            <w:vAlign w:val="bottom"/>
            <w:vMerge w:val="restart"/>
          </w:tcPr>
          <w:p>
            <w:pPr>
              <w:jc w:val="right"/>
              <w:ind w:right="431"/>
              <w:spacing w:after="0" w:line="166" w:lineRule="exact"/>
              <w:rPr>
                <w:sz w:val="20"/>
                <w:szCs w:val="20"/>
                <w:color w:val="auto"/>
              </w:rPr>
            </w:pPr>
            <w:r>
              <w:rPr>
                <w:rFonts w:ascii="Calibri" w:cs="Calibri" w:eastAsia="Calibri" w:hAnsi="Calibri"/>
                <w:sz w:val="14"/>
                <w:szCs w:val="14"/>
                <w:b w:val="1"/>
                <w:bCs w:val="1"/>
                <w:color w:val="auto"/>
              </w:rPr>
              <w:t>($)</w:t>
            </w:r>
          </w:p>
        </w:tc>
        <w:tc>
          <w:tcPr>
            <w:tcW w:w="520" w:type="dxa"/>
            <w:vAlign w:val="bottom"/>
            <w:vMerge w:val="restart"/>
          </w:tcPr>
          <w:p>
            <w:pPr>
              <w:ind w:left="160"/>
              <w:spacing w:after="0" w:line="166" w:lineRule="exact"/>
              <w:rPr>
                <w:sz w:val="20"/>
                <w:szCs w:val="20"/>
                <w:color w:val="auto"/>
              </w:rPr>
            </w:pPr>
            <w:r>
              <w:rPr>
                <w:rFonts w:ascii="Calibri" w:cs="Calibri" w:eastAsia="Calibri" w:hAnsi="Calibri"/>
                <w:sz w:val="14"/>
                <w:szCs w:val="14"/>
                <w:b w:val="1"/>
                <w:bCs w:val="1"/>
                <w:color w:val="auto"/>
              </w:rPr>
              <w:t>($)</w:t>
            </w:r>
          </w:p>
        </w:tc>
        <w:tc>
          <w:tcPr>
            <w:tcW w:w="1000" w:type="dxa"/>
            <w:vAlign w:val="bottom"/>
            <w:vMerge w:val="restart"/>
          </w:tcPr>
          <w:p>
            <w:pPr>
              <w:jc w:val="right"/>
              <w:ind w:right="371"/>
              <w:spacing w:after="0" w:line="166" w:lineRule="exact"/>
              <w:rPr>
                <w:sz w:val="20"/>
                <w:szCs w:val="20"/>
                <w:color w:val="auto"/>
              </w:rPr>
            </w:pPr>
            <w:r>
              <w:rPr>
                <w:rFonts w:ascii="Calibri" w:cs="Calibri" w:eastAsia="Calibri" w:hAnsi="Calibri"/>
                <w:sz w:val="14"/>
                <w:szCs w:val="14"/>
                <w:b w:val="1"/>
                <w:bCs w:val="1"/>
                <w:color w:val="auto"/>
              </w:rPr>
              <w:t>($)</w:t>
            </w:r>
          </w:p>
        </w:tc>
        <w:tc>
          <w:tcPr>
            <w:tcW w:w="800" w:type="dxa"/>
            <w:vAlign w:val="bottom"/>
            <w:vMerge w:val="restart"/>
          </w:tcPr>
          <w:p>
            <w:pPr>
              <w:jc w:val="right"/>
              <w:spacing w:after="0" w:line="166" w:lineRule="exact"/>
              <w:rPr>
                <w:sz w:val="20"/>
                <w:szCs w:val="20"/>
                <w:color w:val="auto"/>
              </w:rPr>
            </w:pPr>
            <w:r>
              <w:rPr>
                <w:rFonts w:ascii="Calibri" w:cs="Calibri" w:eastAsia="Calibri" w:hAnsi="Calibri"/>
                <w:sz w:val="14"/>
                <w:szCs w:val="14"/>
                <w:b w:val="1"/>
                <w:bCs w:val="1"/>
                <w:color w:val="auto"/>
                <w:w w:val="96"/>
              </w:rPr>
              <w:t>($ in millions)</w:t>
            </w: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220" w:type="dxa"/>
            <w:vAlign w:val="bottom"/>
            <w:tcBorders>
              <w:bottom w:val="single" w:sz="8" w:color="FB4E0B"/>
            </w:tcBorders>
            <w:vMerge w:val="continue"/>
          </w:tcPr>
          <w:p>
            <w:pPr>
              <w:spacing w:after="0"/>
              <w:rPr>
                <w:sz w:val="12"/>
                <w:szCs w:val="12"/>
                <w:color w:val="auto"/>
              </w:rPr>
            </w:pPr>
          </w:p>
        </w:tc>
        <w:tc>
          <w:tcPr>
            <w:tcW w:w="1180" w:type="dxa"/>
            <w:vAlign w:val="bottom"/>
            <w:tcBorders>
              <w:bottom w:val="single" w:sz="8" w:color="FB4E0B"/>
            </w:tcBorders>
            <w:vMerge w:val="continue"/>
          </w:tcPr>
          <w:p>
            <w:pPr>
              <w:spacing w:after="0"/>
              <w:rPr>
                <w:sz w:val="12"/>
                <w:szCs w:val="12"/>
                <w:color w:val="auto"/>
              </w:rPr>
            </w:pPr>
          </w:p>
        </w:tc>
        <w:tc>
          <w:tcPr>
            <w:tcW w:w="940" w:type="dxa"/>
            <w:vAlign w:val="bottom"/>
            <w:tcBorders>
              <w:bottom w:val="single" w:sz="8" w:color="FB4E0B"/>
            </w:tcBorders>
            <w:vMerge w:val="continue"/>
          </w:tcPr>
          <w:p>
            <w:pPr>
              <w:spacing w:after="0"/>
              <w:rPr>
                <w:sz w:val="12"/>
                <w:szCs w:val="12"/>
                <w:color w:val="auto"/>
              </w:rPr>
            </w:pPr>
          </w:p>
        </w:tc>
        <w:tc>
          <w:tcPr>
            <w:tcW w:w="1200" w:type="dxa"/>
            <w:vAlign w:val="bottom"/>
            <w:tcBorders>
              <w:bottom w:val="single" w:sz="8" w:color="FB4E0B"/>
            </w:tcBorders>
            <w:vMerge w:val="continue"/>
          </w:tcPr>
          <w:p>
            <w:pPr>
              <w:spacing w:after="0"/>
              <w:rPr>
                <w:sz w:val="12"/>
                <w:szCs w:val="12"/>
                <w:color w:val="auto"/>
              </w:rPr>
            </w:pPr>
          </w:p>
        </w:tc>
        <w:tc>
          <w:tcPr>
            <w:tcW w:w="1120" w:type="dxa"/>
            <w:vAlign w:val="bottom"/>
            <w:tcBorders>
              <w:bottom w:val="single" w:sz="8" w:color="FB4E0B"/>
            </w:tcBorders>
            <w:vMerge w:val="continue"/>
          </w:tcPr>
          <w:p>
            <w:pPr>
              <w:spacing w:after="0"/>
              <w:rPr>
                <w:sz w:val="12"/>
                <w:szCs w:val="12"/>
                <w:color w:val="auto"/>
              </w:rPr>
            </w:pPr>
          </w:p>
        </w:tc>
        <w:tc>
          <w:tcPr>
            <w:tcW w:w="520" w:type="dxa"/>
            <w:vAlign w:val="bottom"/>
            <w:tcBorders>
              <w:bottom w:val="single" w:sz="8" w:color="FB4E0B"/>
            </w:tcBorders>
            <w:vMerge w:val="continue"/>
          </w:tcPr>
          <w:p>
            <w:pPr>
              <w:spacing w:after="0"/>
              <w:rPr>
                <w:sz w:val="12"/>
                <w:szCs w:val="12"/>
                <w:color w:val="auto"/>
              </w:rPr>
            </w:pPr>
          </w:p>
        </w:tc>
        <w:tc>
          <w:tcPr>
            <w:tcW w:w="1000" w:type="dxa"/>
            <w:vAlign w:val="bottom"/>
            <w:tcBorders>
              <w:bottom w:val="single" w:sz="8" w:color="FB4E0B"/>
            </w:tcBorders>
            <w:vMerge w:val="continue"/>
          </w:tcPr>
          <w:p>
            <w:pPr>
              <w:spacing w:after="0"/>
              <w:rPr>
                <w:sz w:val="12"/>
                <w:szCs w:val="12"/>
                <w:color w:val="auto"/>
              </w:rPr>
            </w:pPr>
          </w:p>
        </w:tc>
        <w:tc>
          <w:tcPr>
            <w:tcW w:w="800" w:type="dxa"/>
            <w:vAlign w:val="bottom"/>
            <w:tcBorders>
              <w:bottom w:val="single" w:sz="8" w:color="FB4E0B"/>
            </w:tcBorders>
            <w:vMerge w:val="continue"/>
          </w:tcPr>
          <w:p>
            <w:pPr>
              <w:spacing w:after="0"/>
              <w:rPr>
                <w:sz w:val="12"/>
                <w:szCs w:val="12"/>
                <w:color w:val="auto"/>
              </w:rPr>
            </w:pPr>
          </w:p>
        </w:tc>
        <w:tc>
          <w:tcPr>
            <w:tcW w:w="1640" w:type="dxa"/>
            <w:vAlign w:val="bottom"/>
            <w:tcBorders>
              <w:bottom w:val="single" w:sz="8" w:color="FB4E0B"/>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22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  2023</w:t>
            </w:r>
          </w:p>
        </w:tc>
        <w:tc>
          <w:tcPr>
            <w:tcW w:w="118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12,346,006</w:t>
            </w:r>
          </w:p>
        </w:tc>
        <w:tc>
          <w:tcPr>
            <w:tcW w:w="940" w:type="dxa"/>
            <w:vAlign w:val="bottom"/>
            <w:tcBorders>
              <w:right w:val="single" w:sz="8" w:color="auto"/>
            </w:tcBorders>
          </w:tcPr>
          <w:p>
            <w:pPr>
              <w:jc w:val="right"/>
              <w:ind w:right="75"/>
              <w:spacing w:after="0"/>
              <w:rPr>
                <w:sz w:val="20"/>
                <w:szCs w:val="20"/>
                <w:color w:val="auto"/>
              </w:rPr>
            </w:pPr>
            <w:r>
              <w:rPr>
                <w:rFonts w:ascii="Calibri" w:cs="Calibri" w:eastAsia="Calibri" w:hAnsi="Calibri"/>
                <w:sz w:val="14"/>
                <w:szCs w:val="14"/>
                <w:color w:val="auto"/>
              </w:rPr>
              <w:t>8,676,507</w:t>
            </w:r>
          </w:p>
        </w:tc>
        <w:tc>
          <w:tcPr>
            <w:tcW w:w="12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4,831,740</w:t>
            </w:r>
          </w:p>
        </w:tc>
        <w:tc>
          <w:tcPr>
            <w:tcW w:w="112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1,838,204</w:t>
            </w:r>
          </w:p>
        </w:tc>
        <w:tc>
          <w:tcPr>
            <w:tcW w:w="520" w:type="dxa"/>
            <w:vAlign w:val="bottom"/>
            <w:tcBorders>
              <w:right w:val="single" w:sz="8" w:color="auto"/>
            </w:tcBorders>
          </w:tcPr>
          <w:p>
            <w:pPr>
              <w:ind w:left="160"/>
              <w:spacing w:after="0"/>
              <w:rPr>
                <w:sz w:val="20"/>
                <w:szCs w:val="20"/>
                <w:color w:val="auto"/>
              </w:rPr>
            </w:pPr>
            <w:r>
              <w:rPr>
                <w:rFonts w:ascii="Calibri" w:cs="Calibri" w:eastAsia="Calibri" w:hAnsi="Calibri"/>
                <w:sz w:val="14"/>
                <w:szCs w:val="14"/>
                <w:color w:val="auto"/>
              </w:rPr>
              <w:t>222</w:t>
            </w:r>
          </w:p>
        </w:tc>
        <w:tc>
          <w:tcPr>
            <w:tcW w:w="10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89</w:t>
            </w:r>
          </w:p>
        </w:tc>
        <w:tc>
          <w:tcPr>
            <w:tcW w:w="8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184.6</w:t>
            </w:r>
          </w:p>
        </w:tc>
        <w:tc>
          <w:tcPr>
            <w:tcW w:w="1640" w:type="dxa"/>
            <w:vAlign w:val="bottom"/>
          </w:tcPr>
          <w:p>
            <w:pPr>
              <w:jc w:val="right"/>
              <w:ind w:right="71"/>
              <w:spacing w:after="0"/>
              <w:rPr>
                <w:sz w:val="20"/>
                <w:szCs w:val="20"/>
                <w:color w:val="auto"/>
              </w:rPr>
            </w:pPr>
            <w:r>
              <w:rPr>
                <w:rFonts w:ascii="Calibri" w:cs="Calibri" w:eastAsia="Calibri" w:hAnsi="Calibri"/>
                <w:sz w:val="14"/>
                <w:szCs w:val="14"/>
                <w:color w:val="auto"/>
              </w:rPr>
              <w:t>1,630.7</w:t>
            </w:r>
          </w:p>
        </w:tc>
        <w:tc>
          <w:tcPr>
            <w:tcW w:w="0" w:type="dxa"/>
            <w:vAlign w:val="bottom"/>
          </w:tcPr>
          <w:p>
            <w:pPr>
              <w:spacing w:after="0"/>
              <w:rPr>
                <w:sz w:val="1"/>
                <w:szCs w:val="1"/>
                <w:color w:val="auto"/>
              </w:rPr>
            </w:pPr>
          </w:p>
        </w:tc>
      </w:tr>
      <w:tr>
        <w:trPr>
          <w:trHeight w:val="122"/>
        </w:trPr>
        <w:tc>
          <w:tcPr>
            <w:tcW w:w="222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22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  2022</w:t>
            </w:r>
          </w:p>
        </w:tc>
        <w:tc>
          <w:tcPr>
            <w:tcW w:w="118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11,010,906</w:t>
            </w:r>
          </w:p>
        </w:tc>
        <w:tc>
          <w:tcPr>
            <w:tcW w:w="940" w:type="dxa"/>
            <w:vAlign w:val="bottom"/>
            <w:tcBorders>
              <w:right w:val="single" w:sz="8" w:color="auto"/>
            </w:tcBorders>
          </w:tcPr>
          <w:p>
            <w:pPr>
              <w:jc w:val="right"/>
              <w:ind w:right="75"/>
              <w:spacing w:after="0"/>
              <w:rPr>
                <w:sz w:val="20"/>
                <w:szCs w:val="20"/>
                <w:color w:val="auto"/>
              </w:rPr>
            </w:pPr>
            <w:r>
              <w:rPr>
                <w:rFonts w:ascii="Calibri" w:cs="Calibri" w:eastAsia="Calibri" w:hAnsi="Calibri"/>
                <w:sz w:val="14"/>
                <w:szCs w:val="14"/>
                <w:color w:val="auto"/>
              </w:rPr>
              <w:t>16,069,419</w:t>
            </w:r>
          </w:p>
        </w:tc>
        <w:tc>
          <w:tcPr>
            <w:tcW w:w="12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2,697,045</w:t>
            </w:r>
          </w:p>
        </w:tc>
        <w:tc>
          <w:tcPr>
            <w:tcW w:w="112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4,081,949</w:t>
            </w:r>
          </w:p>
        </w:tc>
        <w:tc>
          <w:tcPr>
            <w:tcW w:w="520" w:type="dxa"/>
            <w:vAlign w:val="bottom"/>
            <w:tcBorders>
              <w:right w:val="single" w:sz="8" w:color="auto"/>
            </w:tcBorders>
          </w:tcPr>
          <w:p>
            <w:pPr>
              <w:ind w:left="160"/>
              <w:spacing w:after="0"/>
              <w:rPr>
                <w:sz w:val="20"/>
                <w:szCs w:val="20"/>
                <w:color w:val="auto"/>
              </w:rPr>
            </w:pPr>
            <w:r>
              <w:rPr>
                <w:rFonts w:ascii="Calibri" w:cs="Calibri" w:eastAsia="Calibri" w:hAnsi="Calibri"/>
                <w:sz w:val="14"/>
                <w:szCs w:val="14"/>
                <w:color w:val="auto"/>
              </w:rPr>
              <w:t>244</w:t>
            </w:r>
          </w:p>
        </w:tc>
        <w:tc>
          <w:tcPr>
            <w:tcW w:w="10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116</w:t>
            </w:r>
          </w:p>
        </w:tc>
        <w:tc>
          <w:tcPr>
            <w:tcW w:w="8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143</w:t>
            </w:r>
          </w:p>
        </w:tc>
        <w:tc>
          <w:tcPr>
            <w:tcW w:w="1640" w:type="dxa"/>
            <w:vAlign w:val="bottom"/>
          </w:tcPr>
          <w:p>
            <w:pPr>
              <w:jc w:val="right"/>
              <w:ind w:right="71"/>
              <w:spacing w:after="0"/>
              <w:rPr>
                <w:sz w:val="20"/>
                <w:szCs w:val="20"/>
                <w:color w:val="auto"/>
              </w:rPr>
            </w:pPr>
            <w:r>
              <w:rPr>
                <w:rFonts w:ascii="Calibri" w:cs="Calibri" w:eastAsia="Calibri" w:hAnsi="Calibri"/>
                <w:sz w:val="14"/>
                <w:szCs w:val="14"/>
                <w:color w:val="auto"/>
              </w:rPr>
              <w:t>1,412</w:t>
            </w:r>
          </w:p>
        </w:tc>
        <w:tc>
          <w:tcPr>
            <w:tcW w:w="0" w:type="dxa"/>
            <w:vAlign w:val="bottom"/>
          </w:tcPr>
          <w:p>
            <w:pPr>
              <w:spacing w:after="0"/>
              <w:rPr>
                <w:sz w:val="1"/>
                <w:szCs w:val="1"/>
                <w:color w:val="auto"/>
              </w:rPr>
            </w:pPr>
          </w:p>
        </w:tc>
      </w:tr>
      <w:tr>
        <w:trPr>
          <w:trHeight w:val="122"/>
        </w:trPr>
        <w:tc>
          <w:tcPr>
            <w:tcW w:w="222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22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  2021</w:t>
            </w:r>
          </w:p>
        </w:tc>
        <w:tc>
          <w:tcPr>
            <w:tcW w:w="118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10,033,589</w:t>
            </w:r>
          </w:p>
        </w:tc>
        <w:tc>
          <w:tcPr>
            <w:tcW w:w="940" w:type="dxa"/>
            <w:vAlign w:val="bottom"/>
            <w:tcBorders>
              <w:right w:val="single" w:sz="8" w:color="auto"/>
            </w:tcBorders>
          </w:tcPr>
          <w:p>
            <w:pPr>
              <w:jc w:val="right"/>
              <w:ind w:right="75"/>
              <w:spacing w:after="0"/>
              <w:rPr>
                <w:sz w:val="20"/>
                <w:szCs w:val="20"/>
                <w:color w:val="auto"/>
              </w:rPr>
            </w:pPr>
            <w:r>
              <w:rPr>
                <w:rFonts w:ascii="Calibri" w:cs="Calibri" w:eastAsia="Calibri" w:hAnsi="Calibri"/>
                <w:sz w:val="14"/>
                <w:szCs w:val="14"/>
                <w:color w:val="auto"/>
              </w:rPr>
              <w:t>19,117,355</w:t>
            </w:r>
          </w:p>
        </w:tc>
        <w:tc>
          <w:tcPr>
            <w:tcW w:w="12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3,445,143</w:t>
            </w:r>
          </w:p>
        </w:tc>
        <w:tc>
          <w:tcPr>
            <w:tcW w:w="112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5,740,391</w:t>
            </w:r>
          </w:p>
        </w:tc>
        <w:tc>
          <w:tcPr>
            <w:tcW w:w="520" w:type="dxa"/>
            <w:vAlign w:val="bottom"/>
            <w:tcBorders>
              <w:right w:val="single" w:sz="8" w:color="auto"/>
            </w:tcBorders>
          </w:tcPr>
          <w:p>
            <w:pPr>
              <w:ind w:left="160"/>
              <w:spacing w:after="0"/>
              <w:rPr>
                <w:sz w:val="20"/>
                <w:szCs w:val="20"/>
                <w:color w:val="auto"/>
              </w:rPr>
            </w:pPr>
            <w:r>
              <w:rPr>
                <w:rFonts w:ascii="Calibri" w:cs="Calibri" w:eastAsia="Calibri" w:hAnsi="Calibri"/>
                <w:sz w:val="14"/>
                <w:szCs w:val="14"/>
                <w:color w:val="auto"/>
              </w:rPr>
              <w:t>208</w:t>
            </w:r>
          </w:p>
        </w:tc>
        <w:tc>
          <w:tcPr>
            <w:tcW w:w="10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130</w:t>
            </w:r>
          </w:p>
        </w:tc>
        <w:tc>
          <w:tcPr>
            <w:tcW w:w="8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115</w:t>
            </w:r>
          </w:p>
        </w:tc>
        <w:tc>
          <w:tcPr>
            <w:tcW w:w="1640" w:type="dxa"/>
            <w:vAlign w:val="bottom"/>
          </w:tcPr>
          <w:p>
            <w:pPr>
              <w:jc w:val="right"/>
              <w:ind w:right="71"/>
              <w:spacing w:after="0"/>
              <w:rPr>
                <w:sz w:val="20"/>
                <w:szCs w:val="20"/>
                <w:color w:val="auto"/>
              </w:rPr>
            </w:pPr>
            <w:r>
              <w:rPr>
                <w:rFonts w:ascii="Calibri" w:cs="Calibri" w:eastAsia="Calibri" w:hAnsi="Calibri"/>
                <w:sz w:val="14"/>
                <w:szCs w:val="14"/>
                <w:color w:val="auto"/>
              </w:rPr>
              <w:t>1,122</w:t>
            </w:r>
          </w:p>
        </w:tc>
        <w:tc>
          <w:tcPr>
            <w:tcW w:w="0" w:type="dxa"/>
            <w:vAlign w:val="bottom"/>
          </w:tcPr>
          <w:p>
            <w:pPr>
              <w:spacing w:after="0"/>
              <w:rPr>
                <w:sz w:val="1"/>
                <w:szCs w:val="1"/>
                <w:color w:val="auto"/>
              </w:rPr>
            </w:pPr>
          </w:p>
        </w:tc>
      </w:tr>
      <w:tr>
        <w:trPr>
          <w:trHeight w:val="122"/>
        </w:trPr>
        <w:tc>
          <w:tcPr>
            <w:tcW w:w="222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22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  2020</w:t>
            </w:r>
          </w:p>
        </w:tc>
        <w:tc>
          <w:tcPr>
            <w:tcW w:w="118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7,141,267</w:t>
            </w:r>
          </w:p>
        </w:tc>
        <w:tc>
          <w:tcPr>
            <w:tcW w:w="940" w:type="dxa"/>
            <w:vAlign w:val="bottom"/>
            <w:tcBorders>
              <w:right w:val="single" w:sz="8" w:color="auto"/>
            </w:tcBorders>
          </w:tcPr>
          <w:p>
            <w:pPr>
              <w:jc w:val="right"/>
              <w:ind w:right="75"/>
              <w:spacing w:after="0"/>
              <w:rPr>
                <w:sz w:val="20"/>
                <w:szCs w:val="20"/>
                <w:color w:val="auto"/>
              </w:rPr>
            </w:pPr>
            <w:r>
              <w:rPr>
                <w:rFonts w:ascii="Calibri" w:cs="Calibri" w:eastAsia="Calibri" w:hAnsi="Calibri"/>
                <w:sz w:val="14"/>
                <w:szCs w:val="14"/>
                <w:color w:val="auto"/>
              </w:rPr>
              <w:t>8,690,902</w:t>
            </w:r>
          </w:p>
        </w:tc>
        <w:tc>
          <w:tcPr>
            <w:tcW w:w="12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1,913,189</w:t>
            </w:r>
          </w:p>
        </w:tc>
        <w:tc>
          <w:tcPr>
            <w:tcW w:w="112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3,166,120</w:t>
            </w:r>
          </w:p>
        </w:tc>
        <w:tc>
          <w:tcPr>
            <w:tcW w:w="520" w:type="dxa"/>
            <w:vAlign w:val="bottom"/>
            <w:tcBorders>
              <w:right w:val="single" w:sz="8" w:color="auto"/>
            </w:tcBorders>
          </w:tcPr>
          <w:p>
            <w:pPr>
              <w:ind w:left="160"/>
              <w:spacing w:after="0"/>
              <w:rPr>
                <w:sz w:val="20"/>
                <w:szCs w:val="20"/>
                <w:color w:val="auto"/>
              </w:rPr>
            </w:pPr>
            <w:r>
              <w:rPr>
                <w:rFonts w:ascii="Calibri" w:cs="Calibri" w:eastAsia="Calibri" w:hAnsi="Calibri"/>
                <w:sz w:val="14"/>
                <w:szCs w:val="14"/>
                <w:color w:val="auto"/>
              </w:rPr>
              <w:t>123</w:t>
            </w:r>
          </w:p>
        </w:tc>
        <w:tc>
          <w:tcPr>
            <w:tcW w:w="10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102</w:t>
            </w:r>
          </w:p>
        </w:tc>
        <w:tc>
          <w:tcPr>
            <w:tcW w:w="8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89</w:t>
            </w:r>
          </w:p>
        </w:tc>
        <w:tc>
          <w:tcPr>
            <w:tcW w:w="1640" w:type="dxa"/>
            <w:vAlign w:val="bottom"/>
          </w:tcPr>
          <w:p>
            <w:pPr>
              <w:jc w:val="right"/>
              <w:ind w:right="71"/>
              <w:spacing w:after="0"/>
              <w:rPr>
                <w:sz w:val="20"/>
                <w:szCs w:val="20"/>
                <w:color w:val="auto"/>
              </w:rPr>
            </w:pPr>
            <w:r>
              <w:rPr>
                <w:rFonts w:ascii="Calibri" w:cs="Calibri" w:eastAsia="Calibri" w:hAnsi="Calibri"/>
                <w:sz w:val="14"/>
                <w:szCs w:val="14"/>
                <w:color w:val="auto"/>
              </w:rPr>
              <w:t>958</w:t>
            </w:r>
          </w:p>
        </w:tc>
        <w:tc>
          <w:tcPr>
            <w:tcW w:w="0" w:type="dxa"/>
            <w:vAlign w:val="bottom"/>
          </w:tcPr>
          <w:p>
            <w:pPr>
              <w:spacing w:after="0"/>
              <w:rPr>
                <w:sz w:val="1"/>
                <w:szCs w:val="1"/>
                <w:color w:val="auto"/>
              </w:rPr>
            </w:pPr>
          </w:p>
        </w:tc>
      </w:tr>
      <w:tr>
        <w:trPr>
          <w:trHeight w:val="128"/>
        </w:trPr>
        <w:tc>
          <w:tcPr>
            <w:tcW w:w="2220" w:type="dxa"/>
            <w:vAlign w:val="bottom"/>
            <w:tcBorders>
              <w:bottom w:val="single" w:sz="8" w:color="FB4E0B"/>
              <w:right w:val="single" w:sz="8" w:color="auto"/>
            </w:tcBorders>
          </w:tcPr>
          <w:p>
            <w:pPr>
              <w:spacing w:after="0"/>
              <w:rPr>
                <w:sz w:val="11"/>
                <w:szCs w:val="11"/>
                <w:color w:val="auto"/>
              </w:rPr>
            </w:pPr>
          </w:p>
        </w:tc>
        <w:tc>
          <w:tcPr>
            <w:tcW w:w="1180" w:type="dxa"/>
            <w:vAlign w:val="bottom"/>
            <w:tcBorders>
              <w:bottom w:val="single" w:sz="8" w:color="FB4E0B"/>
              <w:right w:val="single" w:sz="8" w:color="auto"/>
            </w:tcBorders>
          </w:tcPr>
          <w:p>
            <w:pPr>
              <w:spacing w:after="0"/>
              <w:rPr>
                <w:sz w:val="11"/>
                <w:szCs w:val="11"/>
                <w:color w:val="auto"/>
              </w:rPr>
            </w:pPr>
          </w:p>
        </w:tc>
        <w:tc>
          <w:tcPr>
            <w:tcW w:w="940" w:type="dxa"/>
            <w:vAlign w:val="bottom"/>
            <w:tcBorders>
              <w:bottom w:val="single" w:sz="8" w:color="FB4E0B"/>
              <w:right w:val="single" w:sz="8" w:color="auto"/>
            </w:tcBorders>
          </w:tcPr>
          <w:p>
            <w:pPr>
              <w:spacing w:after="0"/>
              <w:rPr>
                <w:sz w:val="11"/>
                <w:szCs w:val="11"/>
                <w:color w:val="auto"/>
              </w:rPr>
            </w:pPr>
          </w:p>
        </w:tc>
        <w:tc>
          <w:tcPr>
            <w:tcW w:w="1200" w:type="dxa"/>
            <w:vAlign w:val="bottom"/>
            <w:tcBorders>
              <w:bottom w:val="single" w:sz="8" w:color="FB4E0B"/>
              <w:right w:val="single" w:sz="8" w:color="auto"/>
            </w:tcBorders>
          </w:tcPr>
          <w:p>
            <w:pPr>
              <w:spacing w:after="0"/>
              <w:rPr>
                <w:sz w:val="11"/>
                <w:szCs w:val="11"/>
                <w:color w:val="auto"/>
              </w:rPr>
            </w:pPr>
          </w:p>
        </w:tc>
        <w:tc>
          <w:tcPr>
            <w:tcW w:w="1120" w:type="dxa"/>
            <w:vAlign w:val="bottom"/>
            <w:tcBorders>
              <w:bottom w:val="single" w:sz="8" w:color="FB4E0B"/>
              <w:right w:val="single" w:sz="8" w:color="auto"/>
            </w:tcBorders>
          </w:tcPr>
          <w:p>
            <w:pPr>
              <w:spacing w:after="0"/>
              <w:rPr>
                <w:sz w:val="11"/>
                <w:szCs w:val="11"/>
                <w:color w:val="auto"/>
              </w:rPr>
            </w:pPr>
          </w:p>
        </w:tc>
        <w:tc>
          <w:tcPr>
            <w:tcW w:w="520" w:type="dxa"/>
            <w:vAlign w:val="bottom"/>
            <w:tcBorders>
              <w:bottom w:val="single" w:sz="8" w:color="FB4E0B"/>
              <w:right w:val="single" w:sz="8" w:color="auto"/>
            </w:tcBorders>
          </w:tcPr>
          <w:p>
            <w:pPr>
              <w:spacing w:after="0"/>
              <w:rPr>
                <w:sz w:val="11"/>
                <w:szCs w:val="11"/>
                <w:color w:val="auto"/>
              </w:rPr>
            </w:pPr>
          </w:p>
        </w:tc>
        <w:tc>
          <w:tcPr>
            <w:tcW w:w="1000" w:type="dxa"/>
            <w:vAlign w:val="bottom"/>
            <w:tcBorders>
              <w:bottom w:val="single" w:sz="8" w:color="FB4E0B"/>
              <w:right w:val="single" w:sz="8" w:color="auto"/>
            </w:tcBorders>
          </w:tcPr>
          <w:p>
            <w:pPr>
              <w:spacing w:after="0"/>
              <w:rPr>
                <w:sz w:val="11"/>
                <w:szCs w:val="11"/>
                <w:color w:val="auto"/>
              </w:rPr>
            </w:pPr>
          </w:p>
        </w:tc>
        <w:tc>
          <w:tcPr>
            <w:tcW w:w="800" w:type="dxa"/>
            <w:vAlign w:val="bottom"/>
            <w:tcBorders>
              <w:bottom w:val="single" w:sz="8" w:color="FB4E0B"/>
              <w:right w:val="single" w:sz="8" w:color="auto"/>
            </w:tcBorders>
          </w:tcPr>
          <w:p>
            <w:pPr>
              <w:spacing w:after="0"/>
              <w:rPr>
                <w:sz w:val="11"/>
                <w:szCs w:val="11"/>
                <w:color w:val="auto"/>
              </w:rPr>
            </w:pPr>
          </w:p>
        </w:tc>
        <w:tc>
          <w:tcPr>
            <w:tcW w:w="164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500" w:hanging="184"/>
        <w:spacing w:after="0"/>
        <w:tabs>
          <w:tab w:leader="none" w:pos="500" w:val="left"/>
        </w:tabs>
        <w:numPr>
          <w:ilvl w:val="0"/>
          <w:numId w:val="56"/>
        </w:numPr>
        <w:rPr>
          <w:rFonts w:ascii="Calibri" w:cs="Calibri" w:eastAsia="Calibri" w:hAnsi="Calibri"/>
          <w:sz w:val="13"/>
          <w:szCs w:val="13"/>
          <w:color w:val="auto"/>
        </w:rPr>
      </w:pPr>
      <w:r>
        <w:rPr>
          <w:rFonts w:ascii="Calibri" w:cs="Calibri" w:eastAsia="Calibri" w:hAnsi="Calibri"/>
          <w:sz w:val="13"/>
          <w:szCs w:val="13"/>
          <w:color w:val="auto"/>
        </w:rPr>
        <w:t>The CEO for each of 2023, 2022, 2021, and 2020 was Rohit Kapoor.</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56"/>
        </w:numPr>
        <w:rPr>
          <w:rFonts w:ascii="Calibri" w:cs="Calibri" w:eastAsia="Calibri" w:hAnsi="Calibri"/>
          <w:sz w:val="13"/>
          <w:szCs w:val="13"/>
          <w:color w:val="auto"/>
        </w:rPr>
      </w:pPr>
      <w:r>
        <w:rPr>
          <w:rFonts w:ascii="Calibri" w:cs="Calibri" w:eastAsia="Calibri" w:hAnsi="Calibri"/>
          <w:sz w:val="13"/>
          <w:szCs w:val="13"/>
          <w:color w:val="auto"/>
        </w:rPr>
        <w:t>The other named executve ofcers for each applicable year are as follows:</w:t>
      </w:r>
    </w:p>
    <w:p>
      <w:pPr>
        <w:spacing w:after="0" w:line="127" w:lineRule="exact"/>
        <w:rPr>
          <w:rFonts w:ascii="Calibri" w:cs="Calibri" w:eastAsia="Calibri" w:hAnsi="Calibri"/>
          <w:sz w:val="13"/>
          <w:szCs w:val="13"/>
          <w:color w:val="auto"/>
        </w:rPr>
      </w:pPr>
    </w:p>
    <w:p>
      <w:pPr>
        <w:ind w:left="940" w:hanging="311"/>
        <w:spacing w:after="0"/>
        <w:tabs>
          <w:tab w:leader="none" w:pos="940" w:val="left"/>
        </w:tabs>
        <w:numPr>
          <w:ilvl w:val="1"/>
          <w:numId w:val="56"/>
        </w:numPr>
        <w:rPr>
          <w:rFonts w:ascii="Calibri" w:cs="Calibri" w:eastAsia="Calibri" w:hAnsi="Calibri"/>
          <w:sz w:val="13"/>
          <w:szCs w:val="13"/>
          <w:color w:val="auto"/>
        </w:rPr>
      </w:pPr>
      <w:r>
        <w:rPr>
          <w:rFonts w:ascii="Calibri" w:cs="Calibri" w:eastAsia="Calibri" w:hAnsi="Calibri"/>
          <w:sz w:val="13"/>
          <w:szCs w:val="13"/>
          <w:color w:val="auto"/>
        </w:rPr>
        <w:t>2023: Maurizio Nicolelli, Vikas Bhalla, Vivek Jetley, and Anita Mahon</w:t>
      </w:r>
    </w:p>
    <w:p>
      <w:pPr>
        <w:spacing w:after="0" w:line="10" w:lineRule="exact"/>
        <w:rPr>
          <w:rFonts w:ascii="Calibri" w:cs="Calibri" w:eastAsia="Calibri" w:hAnsi="Calibri"/>
          <w:sz w:val="13"/>
          <w:szCs w:val="13"/>
          <w:color w:val="auto"/>
        </w:rPr>
      </w:pPr>
    </w:p>
    <w:p>
      <w:pPr>
        <w:ind w:left="940" w:hanging="311"/>
        <w:spacing w:after="0"/>
        <w:tabs>
          <w:tab w:leader="none" w:pos="940" w:val="left"/>
        </w:tabs>
        <w:numPr>
          <w:ilvl w:val="1"/>
          <w:numId w:val="56"/>
        </w:numPr>
        <w:rPr>
          <w:rFonts w:ascii="Calibri" w:cs="Calibri" w:eastAsia="Calibri" w:hAnsi="Calibri"/>
          <w:sz w:val="13"/>
          <w:szCs w:val="13"/>
          <w:color w:val="auto"/>
        </w:rPr>
      </w:pPr>
      <w:r>
        <w:rPr>
          <w:rFonts w:ascii="Calibri" w:cs="Calibri" w:eastAsia="Calibri" w:hAnsi="Calibri"/>
          <w:sz w:val="13"/>
          <w:szCs w:val="13"/>
          <w:color w:val="auto"/>
        </w:rPr>
        <w:t>2022: Maurizio Nicolelli, Vikas Bhalla, Vivek Jetley, and Ankor Rai</w:t>
      </w:r>
    </w:p>
    <w:p>
      <w:pPr>
        <w:spacing w:after="0" w:line="10" w:lineRule="exact"/>
        <w:rPr>
          <w:rFonts w:ascii="Calibri" w:cs="Calibri" w:eastAsia="Calibri" w:hAnsi="Calibri"/>
          <w:sz w:val="13"/>
          <w:szCs w:val="13"/>
          <w:color w:val="auto"/>
        </w:rPr>
      </w:pPr>
    </w:p>
    <w:p>
      <w:pPr>
        <w:ind w:left="940" w:hanging="311"/>
        <w:spacing w:after="0"/>
        <w:tabs>
          <w:tab w:leader="none" w:pos="940" w:val="left"/>
        </w:tabs>
        <w:numPr>
          <w:ilvl w:val="1"/>
          <w:numId w:val="56"/>
        </w:numPr>
        <w:rPr>
          <w:rFonts w:ascii="Calibri" w:cs="Calibri" w:eastAsia="Calibri" w:hAnsi="Calibri"/>
          <w:sz w:val="13"/>
          <w:szCs w:val="13"/>
          <w:color w:val="auto"/>
        </w:rPr>
      </w:pPr>
      <w:r>
        <w:rPr>
          <w:rFonts w:ascii="Calibri" w:cs="Calibri" w:eastAsia="Calibri" w:hAnsi="Calibri"/>
          <w:sz w:val="13"/>
          <w:szCs w:val="13"/>
          <w:color w:val="auto"/>
        </w:rPr>
        <w:t>2021: Maurizio Nicolelli, Vikas Bhalla, Vivek Jetley, and Samuel Meckey</w:t>
      </w:r>
    </w:p>
    <w:p>
      <w:pPr>
        <w:spacing w:after="0" w:line="10" w:lineRule="exact"/>
        <w:rPr>
          <w:rFonts w:ascii="Calibri" w:cs="Calibri" w:eastAsia="Calibri" w:hAnsi="Calibri"/>
          <w:sz w:val="13"/>
          <w:szCs w:val="13"/>
          <w:color w:val="auto"/>
        </w:rPr>
      </w:pPr>
    </w:p>
    <w:p>
      <w:pPr>
        <w:ind w:left="940" w:hanging="311"/>
        <w:spacing w:after="0"/>
        <w:tabs>
          <w:tab w:leader="none" w:pos="940" w:val="left"/>
        </w:tabs>
        <w:numPr>
          <w:ilvl w:val="1"/>
          <w:numId w:val="56"/>
        </w:numPr>
        <w:rPr>
          <w:rFonts w:ascii="Calibri" w:cs="Calibri" w:eastAsia="Calibri" w:hAnsi="Calibri"/>
          <w:sz w:val="13"/>
          <w:szCs w:val="13"/>
          <w:color w:val="auto"/>
        </w:rPr>
      </w:pPr>
      <w:r>
        <w:rPr>
          <w:rFonts w:ascii="Calibri" w:cs="Calibri" w:eastAsia="Calibri" w:hAnsi="Calibri"/>
          <w:sz w:val="13"/>
          <w:szCs w:val="13"/>
          <w:color w:val="auto"/>
        </w:rPr>
        <w:t>2020: Maurizio Nicolelli, Pavan Bagai, Nalin Miglani, Vikas Bhalla, and Samuel Meckey</w:t>
      </w:r>
    </w:p>
    <w:p>
      <w:pPr>
        <w:spacing w:after="0" w:line="117" w:lineRule="exact"/>
        <w:rPr>
          <w:rFonts w:ascii="Calibri" w:cs="Calibri" w:eastAsia="Calibri" w:hAnsi="Calibri"/>
          <w:sz w:val="13"/>
          <w:szCs w:val="13"/>
          <w:color w:val="auto"/>
        </w:rPr>
      </w:pPr>
    </w:p>
    <w:p>
      <w:pPr>
        <w:ind w:left="320" w:right="100" w:hanging="4"/>
        <w:spacing w:after="0" w:line="254" w:lineRule="auto"/>
        <w:tabs>
          <w:tab w:leader="none" w:pos="494" w:val="left"/>
        </w:tabs>
        <w:numPr>
          <w:ilvl w:val="0"/>
          <w:numId w:val="56"/>
        </w:numPr>
        <w:rPr>
          <w:rFonts w:ascii="Calibri" w:cs="Calibri" w:eastAsia="Calibri" w:hAnsi="Calibri"/>
          <w:sz w:val="13"/>
          <w:szCs w:val="13"/>
          <w:color w:val="auto"/>
        </w:rPr>
      </w:pPr>
      <w:r>
        <w:rPr>
          <w:rFonts w:ascii="Calibri" w:cs="Calibri" w:eastAsia="Calibri" w:hAnsi="Calibri"/>
          <w:sz w:val="13"/>
          <w:szCs w:val="13"/>
          <w:color w:val="auto"/>
        </w:rPr>
        <w:t>SEC rules require certain adjustments be made to the Summary Compensaton Table totals to determine “compensaton actually paid” as reported in the Pay versus Performance Table. “Compensaton actually paid” does not represent cash and/or equity value transferred to, or actually earned or realized by, the applicable named executve ofcer without restricton, but rather is a valuaton calculated under applicable SEC rules. In general, “compensaton actually paid” is calculated as summary compensaton table total compensaton adjusted to (a) include the value of any pension beneft (or loss) atributed to the past fscal year, including on account of any amendments adopted during such year; and (b) include the fair market value of equity awards as of December 31, 2023, or, if earlier, the vestng date (rather than the grant date) and factor in dividends and interest accrued with respect to such awards. For purposes of the pension valuaton adjustments shown below, there was no prior service cost to report. In additon, for purposes of the equity award adjustments shown below, no equity awards were cancelled due to failure to meet vestng conditons, no equity awards were granted and vested in the same year, and there are no dividends or interest accrued to report. The following table details these adjustments:</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w w:val="97"/>
              </w:rPr>
              <w:t>Add change in</w:t>
            </w:r>
          </w:p>
        </w:tc>
        <w:tc>
          <w:tcPr>
            <w:tcW w:w="960" w:type="dxa"/>
            <w:vAlign w:val="bottom"/>
          </w:tcPr>
          <w:p>
            <w:pPr>
              <w:spacing w:after="0"/>
              <w:rPr>
                <w:sz w:val="14"/>
                <w:szCs w:val="14"/>
                <w:color w:val="auto"/>
              </w:rPr>
            </w:pPr>
          </w:p>
        </w:tc>
      </w:tr>
      <w:tr>
        <w:trPr>
          <w:trHeight w:val="169"/>
        </w:trPr>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Add change in</w:t>
            </w:r>
          </w:p>
        </w:tc>
        <w:tc>
          <w:tcPr>
            <w:tcW w:w="10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value of</w:t>
            </w:r>
          </w:p>
        </w:tc>
        <w:tc>
          <w:tcPr>
            <w:tcW w:w="960" w:type="dxa"/>
            <w:vAlign w:val="bottom"/>
          </w:tcPr>
          <w:p>
            <w:pPr>
              <w:spacing w:after="0"/>
              <w:rPr>
                <w:sz w:val="14"/>
                <w:szCs w:val="14"/>
                <w:color w:val="auto"/>
              </w:rPr>
            </w:pPr>
          </w:p>
        </w:tc>
      </w:tr>
      <w:tr>
        <w:trPr>
          <w:trHeight w:val="169"/>
        </w:trPr>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80" w:type="dxa"/>
            <w:vAlign w:val="bottom"/>
            <w:gridSpan w:val="2"/>
          </w:tcPr>
          <w:p>
            <w:pPr>
              <w:jc w:val="right"/>
              <w:spacing w:after="0" w:line="169" w:lineRule="exact"/>
              <w:rPr>
                <w:sz w:val="20"/>
                <w:szCs w:val="20"/>
                <w:color w:val="auto"/>
              </w:rPr>
            </w:pPr>
            <w:r>
              <w:rPr>
                <w:rFonts w:ascii="Calibri" w:cs="Calibri" w:eastAsia="Calibri" w:hAnsi="Calibri"/>
                <w:sz w:val="14"/>
                <w:szCs w:val="14"/>
                <w:b w:val="1"/>
                <w:bCs w:val="1"/>
                <w:color w:val="auto"/>
                <w:w w:val="97"/>
              </w:rPr>
              <w:t>Add year-end value value of unvested</w:t>
            </w:r>
          </w:p>
        </w:tc>
        <w:tc>
          <w:tcPr>
            <w:tcW w:w="10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6"/>
              </w:rPr>
              <w:t>equity awards</w:t>
            </w:r>
          </w:p>
        </w:tc>
        <w:tc>
          <w:tcPr>
            <w:tcW w:w="960" w:type="dxa"/>
            <w:vAlign w:val="bottom"/>
          </w:tcPr>
          <w:p>
            <w:pPr>
              <w:spacing w:after="0"/>
              <w:rPr>
                <w:sz w:val="14"/>
                <w:szCs w:val="14"/>
                <w:color w:val="auto"/>
              </w:rPr>
            </w:pPr>
          </w:p>
        </w:tc>
      </w:tr>
      <w:tr>
        <w:trPr>
          <w:trHeight w:val="169"/>
        </w:trPr>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Summary</w:t>
            </w:r>
          </w:p>
        </w:tc>
        <w:tc>
          <w:tcPr>
            <w:tcW w:w="8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Deduct change</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of unvested equity</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equity awards</w:t>
            </w:r>
          </w:p>
        </w:tc>
        <w:tc>
          <w:tcPr>
            <w:tcW w:w="10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granted in prior</w:t>
            </w:r>
          </w:p>
        </w:tc>
        <w:tc>
          <w:tcPr>
            <w:tcW w:w="9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4"/>
              </w:rPr>
              <w:t>Total</w:t>
            </w:r>
          </w:p>
        </w:tc>
      </w:tr>
      <w:tr>
        <w:trPr>
          <w:trHeight w:val="169"/>
        </w:trPr>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8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in pension</w:t>
            </w:r>
          </w:p>
        </w:tc>
        <w:tc>
          <w:tcPr>
            <w:tcW w:w="8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Add pension</w:t>
            </w:r>
          </w:p>
        </w:tc>
        <w:tc>
          <w:tcPr>
            <w:tcW w:w="9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Deduct equity</w:t>
            </w: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awards granted in</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granted in prior</w:t>
            </w:r>
          </w:p>
        </w:tc>
        <w:tc>
          <w:tcPr>
            <w:tcW w:w="10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years which</w:t>
            </w:r>
          </w:p>
        </w:tc>
        <w:tc>
          <w:tcPr>
            <w:tcW w:w="9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r>
      <w:tr>
        <w:trPr>
          <w:trHeight w:val="169"/>
        </w:trPr>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Table total</w:t>
            </w:r>
          </w:p>
        </w:tc>
        <w:tc>
          <w:tcPr>
            <w:tcW w:w="8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value</w:t>
            </w:r>
          </w:p>
        </w:tc>
        <w:tc>
          <w:tcPr>
            <w:tcW w:w="8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service cost</w:t>
            </w:r>
          </w:p>
        </w:tc>
        <w:tc>
          <w:tcPr>
            <w:tcW w:w="9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awards</w:t>
            </w: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3"/>
              </w:rPr>
              <w:t>year</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6"/>
              </w:rPr>
              <w:t>years</w:t>
            </w:r>
          </w:p>
        </w:tc>
        <w:tc>
          <w:tcPr>
            <w:tcW w:w="10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vested in year</w:t>
            </w:r>
          </w:p>
        </w:tc>
        <w:tc>
          <w:tcPr>
            <w:tcW w:w="9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Actually Paid</w:t>
            </w:r>
          </w:p>
        </w:tc>
      </w:tr>
      <w:tr>
        <w:trPr>
          <w:trHeight w:val="182"/>
        </w:trPr>
        <w:tc>
          <w:tcPr>
            <w:tcW w:w="1600" w:type="dxa"/>
            <w:vAlign w:val="bottom"/>
          </w:tcPr>
          <w:p>
            <w:pPr>
              <w:spacing w:after="0"/>
              <w:rPr>
                <w:sz w:val="20"/>
                <w:szCs w:val="20"/>
                <w:color w:val="auto"/>
              </w:rPr>
            </w:pPr>
            <w:r>
              <w:rPr>
                <w:rFonts w:ascii="Calibri" w:cs="Calibri" w:eastAsia="Calibri" w:hAnsi="Calibri"/>
                <w:sz w:val="14"/>
                <w:szCs w:val="14"/>
                <w:b w:val="1"/>
                <w:bCs w:val="1"/>
                <w:color w:val="FB4E0B"/>
              </w:rPr>
              <w:t>  Year</w:t>
            </w:r>
          </w:p>
        </w:tc>
        <w:tc>
          <w:tcPr>
            <w:tcW w:w="1100" w:type="dxa"/>
            <w:vAlign w:val="bottom"/>
          </w:tcPr>
          <w:p>
            <w:pPr>
              <w:ind w:left="200"/>
              <w:spacing w:after="0"/>
              <w:rPr>
                <w:sz w:val="20"/>
                <w:szCs w:val="20"/>
                <w:color w:val="auto"/>
              </w:rPr>
            </w:pPr>
            <w:r>
              <w:rPr>
                <w:rFonts w:ascii="Calibri" w:cs="Calibri" w:eastAsia="Calibri" w:hAnsi="Calibri"/>
                <w:sz w:val="14"/>
                <w:szCs w:val="14"/>
                <w:b w:val="1"/>
                <w:bCs w:val="1"/>
                <w:color w:val="auto"/>
              </w:rPr>
              <w:t>Executve(s)</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88"/>
              </w:rPr>
              <w:t>($)</w:t>
            </w:r>
          </w:p>
        </w:tc>
        <w:tc>
          <w:tcPr>
            <w:tcW w:w="8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8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9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88"/>
              </w:rPr>
              <w:t>($)</w:t>
            </w:r>
          </w:p>
        </w:tc>
        <w:tc>
          <w:tcPr>
            <w:tcW w:w="10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9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r>
      <w:tr>
        <w:trPr>
          <w:trHeight w:val="50"/>
        </w:trPr>
        <w:tc>
          <w:tcPr>
            <w:tcW w:w="1600" w:type="dxa"/>
            <w:vAlign w:val="bottom"/>
            <w:tcBorders>
              <w:bottom w:val="single" w:sz="8" w:color="FB4E0B"/>
            </w:tcBorders>
          </w:tcPr>
          <w:p>
            <w:pPr>
              <w:spacing w:after="0"/>
              <w:rPr>
                <w:sz w:val="4"/>
                <w:szCs w:val="4"/>
                <w:color w:val="auto"/>
              </w:rPr>
            </w:pPr>
          </w:p>
        </w:tc>
        <w:tc>
          <w:tcPr>
            <w:tcW w:w="1100" w:type="dxa"/>
            <w:vAlign w:val="bottom"/>
            <w:tcBorders>
              <w:bottom w:val="single" w:sz="8" w:color="FB4E0B"/>
            </w:tcBorders>
          </w:tcPr>
          <w:p>
            <w:pPr>
              <w:spacing w:after="0"/>
              <w:rPr>
                <w:sz w:val="4"/>
                <w:szCs w:val="4"/>
                <w:color w:val="auto"/>
              </w:rPr>
            </w:pPr>
          </w:p>
        </w:tc>
        <w:tc>
          <w:tcPr>
            <w:tcW w:w="1040" w:type="dxa"/>
            <w:vAlign w:val="bottom"/>
            <w:tcBorders>
              <w:bottom w:val="single" w:sz="8" w:color="FB4E0B"/>
            </w:tcBorders>
          </w:tcPr>
          <w:p>
            <w:pPr>
              <w:spacing w:after="0"/>
              <w:rPr>
                <w:sz w:val="4"/>
                <w:szCs w:val="4"/>
                <w:color w:val="auto"/>
              </w:rPr>
            </w:pPr>
          </w:p>
        </w:tc>
        <w:tc>
          <w:tcPr>
            <w:tcW w:w="860" w:type="dxa"/>
            <w:vAlign w:val="bottom"/>
            <w:tcBorders>
              <w:bottom w:val="single" w:sz="8" w:color="FB4E0B"/>
            </w:tcBorders>
          </w:tcPr>
          <w:p>
            <w:pPr>
              <w:spacing w:after="0"/>
              <w:rPr>
                <w:sz w:val="4"/>
                <w:szCs w:val="4"/>
                <w:color w:val="auto"/>
              </w:rPr>
            </w:pPr>
          </w:p>
        </w:tc>
        <w:tc>
          <w:tcPr>
            <w:tcW w:w="860" w:type="dxa"/>
            <w:vAlign w:val="bottom"/>
            <w:tcBorders>
              <w:bottom w:val="single" w:sz="8" w:color="FB4E0B"/>
            </w:tcBorders>
          </w:tcPr>
          <w:p>
            <w:pPr>
              <w:spacing w:after="0"/>
              <w:rPr>
                <w:sz w:val="4"/>
                <w:szCs w:val="4"/>
                <w:color w:val="auto"/>
              </w:rPr>
            </w:pPr>
          </w:p>
        </w:tc>
        <w:tc>
          <w:tcPr>
            <w:tcW w:w="960" w:type="dxa"/>
            <w:vAlign w:val="bottom"/>
            <w:tcBorders>
              <w:bottom w:val="single" w:sz="8" w:color="FB4E0B"/>
            </w:tcBorders>
          </w:tcPr>
          <w:p>
            <w:pPr>
              <w:spacing w:after="0"/>
              <w:rPr>
                <w:sz w:val="4"/>
                <w:szCs w:val="4"/>
                <w:color w:val="auto"/>
              </w:rPr>
            </w:pPr>
          </w:p>
        </w:tc>
        <w:tc>
          <w:tcPr>
            <w:tcW w:w="1140" w:type="dxa"/>
            <w:vAlign w:val="bottom"/>
            <w:tcBorders>
              <w:bottom w:val="single" w:sz="8" w:color="FB4E0B"/>
            </w:tcBorders>
          </w:tcPr>
          <w:p>
            <w:pPr>
              <w:spacing w:after="0"/>
              <w:rPr>
                <w:sz w:val="4"/>
                <w:szCs w:val="4"/>
                <w:color w:val="auto"/>
              </w:rPr>
            </w:pPr>
          </w:p>
        </w:tc>
        <w:tc>
          <w:tcPr>
            <w:tcW w:w="1040" w:type="dxa"/>
            <w:vAlign w:val="bottom"/>
            <w:tcBorders>
              <w:bottom w:val="single" w:sz="8" w:color="FB4E0B"/>
            </w:tcBorders>
          </w:tcPr>
          <w:p>
            <w:pPr>
              <w:spacing w:after="0"/>
              <w:rPr>
                <w:sz w:val="4"/>
                <w:szCs w:val="4"/>
                <w:color w:val="auto"/>
              </w:rPr>
            </w:pPr>
          </w:p>
        </w:tc>
        <w:tc>
          <w:tcPr>
            <w:tcW w:w="1060" w:type="dxa"/>
            <w:vAlign w:val="bottom"/>
            <w:tcBorders>
              <w:bottom w:val="single" w:sz="8" w:color="FB4E0B"/>
            </w:tcBorders>
          </w:tcPr>
          <w:p>
            <w:pPr>
              <w:spacing w:after="0"/>
              <w:rPr>
                <w:sz w:val="4"/>
                <w:szCs w:val="4"/>
                <w:color w:val="auto"/>
              </w:rPr>
            </w:pPr>
          </w:p>
        </w:tc>
        <w:tc>
          <w:tcPr>
            <w:tcW w:w="960" w:type="dxa"/>
            <w:vAlign w:val="bottom"/>
            <w:tcBorders>
              <w:bottom w:val="single" w:sz="8" w:color="FB4E0B"/>
            </w:tcBorders>
          </w:tcPr>
          <w:p>
            <w:pPr>
              <w:spacing w:after="0"/>
              <w:rPr>
                <w:sz w:val="4"/>
                <w:szCs w:val="4"/>
                <w:color w:val="auto"/>
              </w:rPr>
            </w:pPr>
          </w:p>
        </w:tc>
      </w:tr>
      <w:tr>
        <w:trPr>
          <w:trHeight w:val="203"/>
        </w:trPr>
        <w:tc>
          <w:tcPr>
            <w:tcW w:w="160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  2023</w:t>
            </w:r>
          </w:p>
        </w:tc>
        <w:tc>
          <w:tcPr>
            <w:tcW w:w="1100" w:type="dxa"/>
            <w:vAlign w:val="bottom"/>
            <w:tcBorders>
              <w:right w:val="single" w:sz="8" w:color="auto"/>
            </w:tcBorders>
          </w:tcPr>
          <w:p>
            <w:pPr>
              <w:ind w:left="80"/>
              <w:spacing w:after="0"/>
              <w:rPr>
                <w:sz w:val="20"/>
                <w:szCs w:val="20"/>
                <w:color w:val="auto"/>
              </w:rPr>
            </w:pPr>
            <w:r>
              <w:rPr>
                <w:rFonts w:ascii="Calibri" w:cs="Calibri" w:eastAsia="Calibri" w:hAnsi="Calibri"/>
                <w:sz w:val="14"/>
                <w:szCs w:val="14"/>
                <w:color w:val="auto"/>
              </w:rPr>
              <w:t>CEO</w:t>
            </w:r>
          </w:p>
        </w:tc>
        <w:tc>
          <w:tcPr>
            <w:tcW w:w="104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12,346,006</w:t>
            </w:r>
          </w:p>
        </w:tc>
        <w:tc>
          <w:tcPr>
            <w:tcW w:w="8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0</w:t>
            </w:r>
          </w:p>
        </w:tc>
        <w:tc>
          <w:tcPr>
            <w:tcW w:w="8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0</w:t>
            </w:r>
          </w:p>
        </w:tc>
        <w:tc>
          <w:tcPr>
            <w:tcW w:w="9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9,982,605</w:t>
            </w:r>
          </w:p>
        </w:tc>
        <w:tc>
          <w:tcPr>
            <w:tcW w:w="114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8,058,020</w:t>
            </w:r>
          </w:p>
        </w:tc>
        <w:tc>
          <w:tcPr>
            <w:tcW w:w="10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(1,219,025)</w:t>
            </w:r>
          </w:p>
        </w:tc>
        <w:tc>
          <w:tcPr>
            <w:tcW w:w="106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(525,890)</w:t>
            </w:r>
          </w:p>
        </w:tc>
        <w:tc>
          <w:tcPr>
            <w:tcW w:w="960" w:type="dxa"/>
            <w:vAlign w:val="bottom"/>
          </w:tcPr>
          <w:p>
            <w:pPr>
              <w:jc w:val="right"/>
              <w:ind w:right="111"/>
              <w:spacing w:after="0"/>
              <w:rPr>
                <w:sz w:val="20"/>
                <w:szCs w:val="20"/>
                <w:color w:val="auto"/>
              </w:rPr>
            </w:pPr>
            <w:r>
              <w:rPr>
                <w:rFonts w:ascii="Calibri" w:cs="Calibri" w:eastAsia="Calibri" w:hAnsi="Calibri"/>
                <w:sz w:val="14"/>
                <w:szCs w:val="14"/>
                <w:color w:val="auto"/>
              </w:rPr>
              <w:t>8,676,507</w:t>
            </w:r>
          </w:p>
        </w:tc>
      </w:tr>
      <w:tr>
        <w:trPr>
          <w:trHeight w:val="83"/>
        </w:trPr>
        <w:tc>
          <w:tcPr>
            <w:tcW w:w="160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r>
        <w:trPr>
          <w:trHeight w:val="196"/>
        </w:trPr>
        <w:tc>
          <w:tcPr>
            <w:tcW w:w="16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ind w:left="100"/>
              <w:spacing w:after="0"/>
              <w:rPr>
                <w:sz w:val="20"/>
                <w:szCs w:val="20"/>
                <w:color w:val="auto"/>
              </w:rPr>
            </w:pPr>
            <w:r>
              <w:rPr>
                <w:rFonts w:ascii="Calibri" w:cs="Calibri" w:eastAsia="Calibri" w:hAnsi="Calibri"/>
                <w:sz w:val="14"/>
                <w:szCs w:val="14"/>
                <w:color w:val="auto"/>
              </w:rPr>
              <w:t xml:space="preserve">Other NEOs    </w:t>
            </w:r>
          </w:p>
        </w:tc>
        <w:tc>
          <w:tcPr>
            <w:tcW w:w="104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4,831,740</w:t>
            </w:r>
          </w:p>
        </w:tc>
        <w:tc>
          <w:tcPr>
            <w:tcW w:w="8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5,643</w:t>
            </w:r>
          </w:p>
        </w:tc>
        <w:tc>
          <w:tcPr>
            <w:tcW w:w="8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129,782</w:t>
            </w:r>
          </w:p>
        </w:tc>
        <w:tc>
          <w:tcPr>
            <w:tcW w:w="9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3,965,188</w:t>
            </w:r>
          </w:p>
        </w:tc>
        <w:tc>
          <w:tcPr>
            <w:tcW w:w="114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1,385,839</w:t>
            </w:r>
          </w:p>
        </w:tc>
        <w:tc>
          <w:tcPr>
            <w:tcW w:w="10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(364,652)</w:t>
            </w:r>
          </w:p>
        </w:tc>
        <w:tc>
          <w:tcPr>
            <w:tcW w:w="106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(173,675.00)</w:t>
            </w:r>
          </w:p>
        </w:tc>
        <w:tc>
          <w:tcPr>
            <w:tcW w:w="960" w:type="dxa"/>
            <w:vAlign w:val="bottom"/>
          </w:tcPr>
          <w:p>
            <w:pPr>
              <w:jc w:val="right"/>
              <w:ind w:right="111"/>
              <w:spacing w:after="0"/>
              <w:rPr>
                <w:sz w:val="20"/>
                <w:szCs w:val="20"/>
                <w:color w:val="auto"/>
              </w:rPr>
            </w:pPr>
            <w:r>
              <w:rPr>
                <w:rFonts w:ascii="Calibri" w:cs="Calibri" w:eastAsia="Calibri" w:hAnsi="Calibri"/>
                <w:sz w:val="14"/>
                <w:szCs w:val="14"/>
                <w:color w:val="auto"/>
              </w:rPr>
              <w:t>1,838,204</w:t>
            </w:r>
          </w:p>
        </w:tc>
      </w:tr>
      <w:tr>
        <w:trPr>
          <w:trHeight w:val="89"/>
        </w:trPr>
        <w:tc>
          <w:tcPr>
            <w:tcW w:w="1600" w:type="dxa"/>
            <w:vAlign w:val="bottom"/>
            <w:tcBorders>
              <w:bottom w:val="single" w:sz="8" w:color="FB4E0B"/>
              <w:right w:val="single" w:sz="8" w:color="auto"/>
            </w:tcBorders>
          </w:tcPr>
          <w:p>
            <w:pPr>
              <w:spacing w:after="0"/>
              <w:rPr>
                <w:sz w:val="7"/>
                <w:szCs w:val="7"/>
                <w:color w:val="auto"/>
              </w:rPr>
            </w:pPr>
          </w:p>
        </w:tc>
        <w:tc>
          <w:tcPr>
            <w:tcW w:w="1100" w:type="dxa"/>
            <w:vAlign w:val="bottom"/>
            <w:tcBorders>
              <w:bottom w:val="single" w:sz="8" w:color="FB4E0B"/>
              <w:right w:val="single" w:sz="8" w:color="auto"/>
            </w:tcBorders>
          </w:tcPr>
          <w:p>
            <w:pPr>
              <w:spacing w:after="0"/>
              <w:rPr>
                <w:sz w:val="7"/>
                <w:szCs w:val="7"/>
                <w:color w:val="auto"/>
              </w:rPr>
            </w:pPr>
          </w:p>
        </w:tc>
        <w:tc>
          <w:tcPr>
            <w:tcW w:w="1040" w:type="dxa"/>
            <w:vAlign w:val="bottom"/>
            <w:tcBorders>
              <w:bottom w:val="single" w:sz="8" w:color="FB4E0B"/>
              <w:right w:val="single" w:sz="8" w:color="auto"/>
            </w:tcBorders>
          </w:tcPr>
          <w:p>
            <w:pPr>
              <w:spacing w:after="0"/>
              <w:rPr>
                <w:sz w:val="7"/>
                <w:szCs w:val="7"/>
                <w:color w:val="auto"/>
              </w:rPr>
            </w:pPr>
          </w:p>
        </w:tc>
        <w:tc>
          <w:tcPr>
            <w:tcW w:w="860" w:type="dxa"/>
            <w:vAlign w:val="bottom"/>
            <w:tcBorders>
              <w:bottom w:val="single" w:sz="8" w:color="FB4E0B"/>
              <w:right w:val="single" w:sz="8" w:color="auto"/>
            </w:tcBorders>
          </w:tcPr>
          <w:p>
            <w:pPr>
              <w:spacing w:after="0"/>
              <w:rPr>
                <w:sz w:val="7"/>
                <w:szCs w:val="7"/>
                <w:color w:val="auto"/>
              </w:rPr>
            </w:pPr>
          </w:p>
        </w:tc>
        <w:tc>
          <w:tcPr>
            <w:tcW w:w="860" w:type="dxa"/>
            <w:vAlign w:val="bottom"/>
            <w:tcBorders>
              <w:bottom w:val="single" w:sz="8" w:color="FB4E0B"/>
              <w:right w:val="single" w:sz="8" w:color="auto"/>
            </w:tcBorders>
          </w:tcPr>
          <w:p>
            <w:pPr>
              <w:spacing w:after="0"/>
              <w:rPr>
                <w:sz w:val="7"/>
                <w:szCs w:val="7"/>
                <w:color w:val="auto"/>
              </w:rPr>
            </w:pPr>
          </w:p>
        </w:tc>
        <w:tc>
          <w:tcPr>
            <w:tcW w:w="960" w:type="dxa"/>
            <w:vAlign w:val="bottom"/>
            <w:tcBorders>
              <w:bottom w:val="single" w:sz="8" w:color="FB4E0B"/>
              <w:right w:val="single" w:sz="8" w:color="auto"/>
            </w:tcBorders>
          </w:tcPr>
          <w:p>
            <w:pPr>
              <w:spacing w:after="0"/>
              <w:rPr>
                <w:sz w:val="7"/>
                <w:szCs w:val="7"/>
                <w:color w:val="auto"/>
              </w:rPr>
            </w:pPr>
          </w:p>
        </w:tc>
        <w:tc>
          <w:tcPr>
            <w:tcW w:w="1140" w:type="dxa"/>
            <w:vAlign w:val="bottom"/>
            <w:tcBorders>
              <w:bottom w:val="single" w:sz="8" w:color="FB4E0B"/>
              <w:right w:val="single" w:sz="8" w:color="auto"/>
            </w:tcBorders>
          </w:tcPr>
          <w:p>
            <w:pPr>
              <w:spacing w:after="0"/>
              <w:rPr>
                <w:sz w:val="7"/>
                <w:szCs w:val="7"/>
                <w:color w:val="auto"/>
              </w:rPr>
            </w:pPr>
          </w:p>
        </w:tc>
        <w:tc>
          <w:tcPr>
            <w:tcW w:w="1040" w:type="dxa"/>
            <w:vAlign w:val="bottom"/>
            <w:tcBorders>
              <w:bottom w:val="single" w:sz="8" w:color="FB4E0B"/>
              <w:right w:val="single" w:sz="8" w:color="auto"/>
            </w:tcBorders>
          </w:tcPr>
          <w:p>
            <w:pPr>
              <w:spacing w:after="0"/>
              <w:rPr>
                <w:sz w:val="7"/>
                <w:szCs w:val="7"/>
                <w:color w:val="auto"/>
              </w:rPr>
            </w:pPr>
          </w:p>
        </w:tc>
        <w:tc>
          <w:tcPr>
            <w:tcW w:w="1060" w:type="dxa"/>
            <w:vAlign w:val="bottom"/>
            <w:tcBorders>
              <w:bottom w:val="single" w:sz="8" w:color="FB4E0B"/>
              <w:right w:val="single" w:sz="8" w:color="auto"/>
            </w:tcBorders>
          </w:tcPr>
          <w:p>
            <w:pPr>
              <w:spacing w:after="0"/>
              <w:rPr>
                <w:sz w:val="7"/>
                <w:szCs w:val="7"/>
                <w:color w:val="auto"/>
              </w:rPr>
            </w:pPr>
          </w:p>
        </w:tc>
        <w:tc>
          <w:tcPr>
            <w:tcW w:w="960" w:type="dxa"/>
            <w:vAlign w:val="bottom"/>
            <w:tcBorders>
              <w:bottom w:val="single" w:sz="8" w:color="FB4E0B"/>
            </w:tcBorders>
          </w:tcPr>
          <w:p>
            <w:pPr>
              <w:spacing w:after="0"/>
              <w:rPr>
                <w:sz w:val="7"/>
                <w:szCs w:val="7"/>
                <w:color w:val="auto"/>
              </w:rPr>
            </w:pPr>
          </w:p>
        </w:tc>
      </w:tr>
    </w:tbl>
    <w:p>
      <w:pPr>
        <w:spacing w:after="0" w:line="33" w:lineRule="exact"/>
        <w:rPr>
          <w:sz w:val="20"/>
          <w:szCs w:val="20"/>
          <w:color w:val="auto"/>
        </w:rPr>
      </w:pPr>
    </w:p>
    <w:p>
      <w:pPr>
        <w:ind w:left="320" w:right="340" w:hanging="4"/>
        <w:spacing w:after="0" w:line="251" w:lineRule="auto"/>
        <w:tabs>
          <w:tab w:leader="none" w:pos="494" w:val="left"/>
        </w:tabs>
        <w:numPr>
          <w:ilvl w:val="0"/>
          <w:numId w:val="57"/>
        </w:numPr>
        <w:rPr>
          <w:rFonts w:ascii="Calibri" w:cs="Calibri" w:eastAsia="Calibri" w:hAnsi="Calibri"/>
          <w:sz w:val="13"/>
          <w:szCs w:val="13"/>
          <w:color w:val="auto"/>
        </w:rPr>
      </w:pPr>
      <w:r>
        <w:rPr>
          <w:rFonts w:ascii="Calibri" w:cs="Calibri" w:eastAsia="Calibri" w:hAnsi="Calibri"/>
          <w:sz w:val="13"/>
          <w:szCs w:val="13"/>
          <w:color w:val="auto"/>
        </w:rPr>
        <w:t>TSR is determined based on the value of an inital fxed investment of $100. The peer group TSR represents TSR of the peer group, consistng of Genpact Limited and WNS (Holdings) Limited, as disclosed in our Form 10-K performance graph pursuant to Regulaton S-K Item 201(e)(1)(ii).</w:t>
      </w:r>
    </w:p>
    <w:p>
      <w:pPr>
        <w:spacing w:after="0" w:line="28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2024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101</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Relatonship between “compensaton actually paid” and performance measures</w:t>
      </w:r>
    </w:p>
    <w:p>
      <w:pPr>
        <w:spacing w:after="0" w:line="115"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The following comparisons describe the relatonships between the amounts included in the pay versus performance table above for each of 2023, 2022, 2021 and 2020, including (i) the relatonship between our TSR and our peer group TSR, and (ii) the relatonship between compensaton actually paid to our CEO and other NEOs and revenue (our Company-Selected Measure), TSR,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165100</wp:posOffset>
            </wp:positionV>
            <wp:extent cx="5815330" cy="131318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815330" cy="131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384175</wp:posOffset>
            </wp:positionV>
            <wp:extent cx="5848350" cy="13138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848350" cy="131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1"/>
          <w:szCs w:val="21"/>
          <w:color w:val="auto"/>
        </w:rPr>
        <w:t xml:space="preserve">      </w:t>
      </w:r>
    </w:p>
    <w:p>
      <w:pPr>
        <w:spacing w:after="0" w:line="94"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2023 Performance measures</w:t>
      </w:r>
    </w:p>
    <w:p>
      <w:pPr>
        <w:spacing w:after="0" w:line="115"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As noted above, our Compensaton and Talent Management Commitee believes in a wholistc evaluaton of our executves’ and our Company’s performance and uses a mix of performance measures throughout our annual and long-term incentve programs to align executve pay with stockholder value creaton. As required by SEC rules, in 2023, the fnancial performance measures identfed as the most important and used by us to link compensaton actually paid for our for named executve ofcers’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163830</wp:posOffset>
            </wp:positionV>
            <wp:extent cx="4436110" cy="6032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436110" cy="603250"/>
                    </a:xfrm>
                    <a:prstGeom prst="rect">
                      <a:avLst/>
                    </a:prstGeom>
                    <a:noFill/>
                  </pic:spPr>
                </pic:pic>
              </a:graphicData>
            </a:graphic>
          </wp:anchor>
        </w:drawing>
      </w:r>
    </w:p>
    <w:p>
      <w:pPr>
        <w:spacing w:after="0" w:line="267" w:lineRule="exact"/>
        <w:rPr>
          <w:sz w:val="20"/>
          <w:szCs w:val="20"/>
          <w:color w:val="auto"/>
        </w:rPr>
      </w:pPr>
    </w:p>
    <w:p>
      <w:pPr>
        <w:jc w:val="center"/>
        <w:ind w:right="-379"/>
        <w:spacing w:after="0"/>
        <w:rPr>
          <w:sz w:val="20"/>
          <w:szCs w:val="20"/>
          <w:color w:val="auto"/>
        </w:rPr>
      </w:pPr>
      <w:r>
        <w:rPr>
          <w:rFonts w:ascii="Calibri" w:cs="Calibri" w:eastAsia="Calibri" w:hAnsi="Calibri"/>
          <w:sz w:val="17"/>
          <w:szCs w:val="17"/>
          <w:color w:val="auto"/>
        </w:rPr>
        <w:t>Revenue</w:t>
      </w:r>
    </w:p>
    <w:p>
      <w:pPr>
        <w:spacing w:after="0" w:line="105" w:lineRule="exact"/>
        <w:rPr>
          <w:sz w:val="20"/>
          <w:szCs w:val="20"/>
          <w:color w:val="auto"/>
        </w:rPr>
      </w:pPr>
    </w:p>
    <w:p>
      <w:pPr>
        <w:jc w:val="center"/>
        <w:ind w:right="-379"/>
        <w:spacing w:after="0"/>
        <w:rPr>
          <w:sz w:val="20"/>
          <w:szCs w:val="20"/>
          <w:color w:val="auto"/>
        </w:rPr>
      </w:pPr>
      <w:r>
        <w:rPr>
          <w:rFonts w:ascii="Calibri" w:cs="Calibri" w:eastAsia="Calibri" w:hAnsi="Calibri"/>
          <w:sz w:val="17"/>
          <w:szCs w:val="17"/>
          <w:color w:val="auto"/>
        </w:rPr>
        <w:t>Adjusted Operatng Proft Margin</w:t>
      </w:r>
    </w:p>
    <w:p>
      <w:pPr>
        <w:spacing w:after="0" w:line="105" w:lineRule="exact"/>
        <w:rPr>
          <w:sz w:val="20"/>
          <w:szCs w:val="20"/>
          <w:color w:val="auto"/>
        </w:rPr>
      </w:pPr>
    </w:p>
    <w:p>
      <w:pPr>
        <w:jc w:val="center"/>
        <w:ind w:right="-379"/>
        <w:spacing w:after="0"/>
        <w:rPr>
          <w:sz w:val="20"/>
          <w:szCs w:val="20"/>
          <w:color w:val="auto"/>
        </w:rPr>
      </w:pPr>
      <w:r>
        <w:rPr>
          <w:rFonts w:ascii="Calibri" w:cs="Calibri" w:eastAsia="Calibri" w:hAnsi="Calibri"/>
          <w:sz w:val="17"/>
          <w:szCs w:val="17"/>
          <w:color w:val="auto"/>
        </w:rPr>
        <w:t>Relatve TSR</w:t>
      </w:r>
    </w:p>
    <w:p>
      <w:pPr>
        <w:spacing w:after="0" w:line="192"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102 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2024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1" w:right="6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Director compensaton for fscal year 2023</w:t>
      </w:r>
    </w:p>
    <w:p>
      <w:pPr>
        <w:spacing w:after="0" w:line="29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sets forth informaton for compensaton earned in fscal year 2023 by our non-executve directors who served during fscal year 2023:</w:t>
      </w:r>
    </w:p>
    <w:p>
      <w:pPr>
        <w:spacing w:after="0" w:line="326"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Calibri" w:cs="Calibri" w:eastAsia="Calibri" w:hAnsi="Calibri"/>
                <w:sz w:val="17"/>
                <w:szCs w:val="17"/>
                <w:b w:val="1"/>
                <w:bCs w:val="1"/>
                <w:color w:val="FB4E0B"/>
                <w:w w:val="99"/>
              </w:rPr>
              <w:t>Fees earned or</w:t>
            </w: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center"/>
              <w:ind w:left="233"/>
              <w:spacing w:after="0"/>
              <w:rPr>
                <w:sz w:val="20"/>
                <w:szCs w:val="20"/>
                <w:color w:val="auto"/>
              </w:rPr>
            </w:pPr>
            <w:r>
              <w:rPr>
                <w:rFonts w:ascii="Calibri" w:cs="Calibri" w:eastAsia="Calibri" w:hAnsi="Calibri"/>
                <w:sz w:val="17"/>
                <w:szCs w:val="17"/>
                <w:b w:val="1"/>
                <w:bCs w:val="1"/>
                <w:color w:val="FB4E0B"/>
              </w:rPr>
              <w:t>All Other</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8"/>
        </w:trPr>
        <w:tc>
          <w:tcPr>
            <w:tcW w:w="3940" w:type="dxa"/>
            <w:vAlign w:val="bottom"/>
          </w:tcPr>
          <w:p>
            <w:pPr>
              <w:spacing w:after="0"/>
              <w:rPr>
                <w:sz w:val="18"/>
                <w:szCs w:val="18"/>
                <w:color w:val="auto"/>
              </w:rPr>
            </w:pPr>
          </w:p>
        </w:tc>
        <w:tc>
          <w:tcPr>
            <w:tcW w:w="1260" w:type="dxa"/>
            <w:vAlign w:val="bottom"/>
          </w:tcPr>
          <w:p>
            <w:pPr>
              <w:jc w:val="center"/>
              <w:ind w:left="273"/>
              <w:spacing w:after="0" w:line="206" w:lineRule="exact"/>
              <w:rPr>
                <w:sz w:val="20"/>
                <w:szCs w:val="20"/>
                <w:color w:val="auto"/>
              </w:rPr>
            </w:pPr>
            <w:r>
              <w:rPr>
                <w:rFonts w:ascii="Calibri" w:cs="Calibri" w:eastAsia="Calibri" w:hAnsi="Calibri"/>
                <w:sz w:val="17"/>
                <w:szCs w:val="17"/>
                <w:b w:val="1"/>
                <w:bCs w:val="1"/>
                <w:color w:val="FB4E0B"/>
                <w:w w:val="98"/>
              </w:rPr>
              <w:t>paid in cash</w:t>
            </w: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Calibri" w:cs="Calibri" w:eastAsia="Calibri" w:hAnsi="Calibri"/>
                <w:sz w:val="17"/>
                <w:szCs w:val="17"/>
                <w:b w:val="1"/>
                <w:bCs w:val="1"/>
                <w:color w:val="FB4E0B"/>
              </w:rPr>
              <w:t>Stock awards</w:t>
            </w:r>
          </w:p>
        </w:tc>
        <w:tc>
          <w:tcPr>
            <w:tcW w:w="400" w:type="dxa"/>
            <w:vAlign w:val="bottom"/>
          </w:tcPr>
          <w:p>
            <w:pPr>
              <w:spacing w:after="0"/>
              <w:rPr>
                <w:sz w:val="18"/>
                <w:szCs w:val="18"/>
                <w:color w:val="auto"/>
              </w:rPr>
            </w:pPr>
          </w:p>
        </w:tc>
        <w:tc>
          <w:tcPr>
            <w:tcW w:w="1320" w:type="dxa"/>
            <w:vAlign w:val="bottom"/>
          </w:tcPr>
          <w:p>
            <w:pPr>
              <w:jc w:val="center"/>
              <w:ind w:left="233"/>
              <w:spacing w:after="0"/>
              <w:rPr>
                <w:sz w:val="20"/>
                <w:szCs w:val="20"/>
                <w:color w:val="auto"/>
              </w:rPr>
            </w:pPr>
            <w:r>
              <w:rPr>
                <w:rFonts w:ascii="Calibri" w:cs="Calibri" w:eastAsia="Calibri" w:hAnsi="Calibri"/>
                <w:sz w:val="17"/>
                <w:szCs w:val="17"/>
                <w:b w:val="1"/>
                <w:bCs w:val="1"/>
                <w:color w:val="FB4E0B"/>
              </w:rPr>
              <w:t>compensaton</w:t>
            </w:r>
          </w:p>
        </w:tc>
        <w:tc>
          <w:tcPr>
            <w:tcW w:w="360" w:type="dxa"/>
            <w:vAlign w:val="bottom"/>
          </w:tcPr>
          <w:p>
            <w:pPr>
              <w:spacing w:after="0"/>
              <w:rPr>
                <w:sz w:val="18"/>
                <w:szCs w:val="18"/>
                <w:color w:val="auto"/>
              </w:rPr>
            </w:pPr>
          </w:p>
        </w:tc>
        <w:tc>
          <w:tcPr>
            <w:tcW w:w="1540" w:type="dxa"/>
            <w:vAlign w:val="bottom"/>
          </w:tcPr>
          <w:p>
            <w:pPr>
              <w:jc w:val="right"/>
              <w:ind w:right="533"/>
              <w:spacing w:after="0" w:line="206" w:lineRule="exact"/>
              <w:rPr>
                <w:sz w:val="20"/>
                <w:szCs w:val="20"/>
                <w:color w:val="auto"/>
              </w:rPr>
            </w:pPr>
            <w:r>
              <w:rPr>
                <w:rFonts w:ascii="Calibri" w:cs="Calibri" w:eastAsia="Calibri" w:hAnsi="Calibri"/>
                <w:sz w:val="17"/>
                <w:szCs w:val="17"/>
                <w:b w:val="1"/>
                <w:bCs w:val="1"/>
                <w:color w:val="FB4E0B"/>
              </w:rPr>
              <w:t>Total</w:t>
            </w:r>
          </w:p>
        </w:tc>
      </w:tr>
      <w:tr>
        <w:trPr>
          <w:trHeight w:val="274"/>
        </w:trPr>
        <w:tc>
          <w:tcPr>
            <w:tcW w:w="3940" w:type="dxa"/>
            <w:vAlign w:val="bottom"/>
            <w:tcBorders>
              <w:bottom w:val="single" w:sz="8" w:color="FB4E0B"/>
            </w:tcBorders>
          </w:tcPr>
          <w:p>
            <w:pPr>
              <w:spacing w:after="0"/>
              <w:rPr>
                <w:sz w:val="20"/>
                <w:szCs w:val="20"/>
                <w:color w:val="auto"/>
              </w:rPr>
            </w:pPr>
            <w:r>
              <w:rPr>
                <w:rFonts w:ascii="Calibri" w:cs="Calibri" w:eastAsia="Calibri" w:hAnsi="Calibri"/>
                <w:sz w:val="17"/>
                <w:szCs w:val="17"/>
                <w:b w:val="1"/>
                <w:bCs w:val="1"/>
                <w:color w:val="FB4E0B"/>
              </w:rPr>
              <w:t> Name</w:t>
            </w:r>
            <w:r>
              <w:rPr>
                <w:rFonts w:ascii="Calibri" w:cs="Calibri" w:eastAsia="Calibri" w:hAnsi="Calibri"/>
                <w:sz w:val="13"/>
                <w:szCs w:val="13"/>
                <w:b w:val="1"/>
                <w:bCs w:val="1"/>
                <w:color w:val="FB4E0B"/>
              </w:rPr>
              <w:t>(1)</w:t>
            </w:r>
          </w:p>
        </w:tc>
        <w:tc>
          <w:tcPr>
            <w:tcW w:w="1260" w:type="dxa"/>
            <w:vAlign w:val="bottom"/>
            <w:tcBorders>
              <w:bottom w:val="single" w:sz="8" w:color="FB4E0B"/>
            </w:tcBorders>
          </w:tcPr>
          <w:p>
            <w:pPr>
              <w:jc w:val="center"/>
              <w:ind w:left="253"/>
              <w:spacing w:after="0" w:line="206" w:lineRule="exact"/>
              <w:rPr>
                <w:sz w:val="20"/>
                <w:szCs w:val="20"/>
                <w:color w:val="auto"/>
              </w:rPr>
            </w:pPr>
            <w:r>
              <w:rPr>
                <w:rFonts w:ascii="Calibri" w:cs="Calibri" w:eastAsia="Calibri" w:hAnsi="Calibri"/>
                <w:sz w:val="17"/>
                <w:szCs w:val="17"/>
                <w:b w:val="1"/>
                <w:bCs w:val="1"/>
                <w:color w:val="FB4E0B"/>
              </w:rPr>
              <w:t>($)</w:t>
            </w:r>
          </w:p>
        </w:tc>
        <w:tc>
          <w:tcPr>
            <w:tcW w:w="380" w:type="dxa"/>
            <w:vAlign w:val="bottom"/>
            <w:tcBorders>
              <w:bottom w:val="single" w:sz="8" w:color="FB4E0B"/>
            </w:tcBorders>
          </w:tcPr>
          <w:p>
            <w:pPr>
              <w:spacing w:after="0"/>
              <w:rPr>
                <w:sz w:val="23"/>
                <w:szCs w:val="23"/>
                <w:color w:val="auto"/>
              </w:rPr>
            </w:pPr>
          </w:p>
        </w:tc>
        <w:tc>
          <w:tcPr>
            <w:tcW w:w="1420" w:type="dxa"/>
            <w:vAlign w:val="bottom"/>
            <w:tcBorders>
              <w:bottom w:val="single" w:sz="8" w:color="FB4E0B"/>
            </w:tcBorders>
          </w:tcPr>
          <w:p>
            <w:pPr>
              <w:jc w:val="right"/>
              <w:ind w:right="196"/>
              <w:spacing w:after="0" w:line="267" w:lineRule="exact"/>
              <w:rPr>
                <w:sz w:val="20"/>
                <w:szCs w:val="20"/>
                <w:color w:val="auto"/>
              </w:rPr>
            </w:pPr>
            <w:r>
              <w:rPr>
                <w:rFonts w:ascii="Calibri" w:cs="Calibri" w:eastAsia="Calibri" w:hAnsi="Calibri"/>
                <w:sz w:val="29"/>
                <w:szCs w:val="29"/>
                <w:b w:val="1"/>
                <w:bCs w:val="1"/>
                <w:color w:val="FB4E0B"/>
                <w:vertAlign w:val="subscript"/>
              </w:rPr>
              <w:t>($)</w:t>
            </w:r>
            <w:r>
              <w:rPr>
                <w:rFonts w:ascii="Calibri" w:cs="Calibri" w:eastAsia="Calibri" w:hAnsi="Calibri"/>
                <w:sz w:val="12"/>
                <w:szCs w:val="12"/>
                <w:b w:val="1"/>
                <w:bCs w:val="1"/>
                <w:color w:val="FB4E0B"/>
              </w:rPr>
              <w:t>(2)(3)</w:t>
            </w:r>
          </w:p>
        </w:tc>
        <w:tc>
          <w:tcPr>
            <w:tcW w:w="400" w:type="dxa"/>
            <w:vAlign w:val="bottom"/>
            <w:tcBorders>
              <w:bottom w:val="single" w:sz="8" w:color="FB4E0B"/>
            </w:tcBorders>
          </w:tcPr>
          <w:p>
            <w:pPr>
              <w:spacing w:after="0"/>
              <w:rPr>
                <w:sz w:val="23"/>
                <w:szCs w:val="23"/>
                <w:color w:val="auto"/>
              </w:rPr>
            </w:pPr>
          </w:p>
        </w:tc>
        <w:tc>
          <w:tcPr>
            <w:tcW w:w="1320" w:type="dxa"/>
            <w:vAlign w:val="bottom"/>
            <w:tcBorders>
              <w:bottom w:val="single" w:sz="8" w:color="FB4E0B"/>
            </w:tcBorders>
          </w:tcPr>
          <w:p>
            <w:pPr>
              <w:jc w:val="center"/>
              <w:ind w:left="213"/>
              <w:spacing w:after="0"/>
              <w:rPr>
                <w:sz w:val="20"/>
                <w:szCs w:val="20"/>
                <w:color w:val="auto"/>
              </w:rPr>
            </w:pPr>
            <w:r>
              <w:rPr>
                <w:rFonts w:ascii="Calibri" w:cs="Calibri" w:eastAsia="Calibri" w:hAnsi="Calibri"/>
                <w:sz w:val="17"/>
                <w:szCs w:val="17"/>
                <w:b w:val="1"/>
                <w:bCs w:val="1"/>
                <w:color w:val="FB4E0B"/>
              </w:rPr>
              <w:t>($)</w:t>
            </w:r>
            <w:r>
              <w:rPr>
                <w:rFonts w:ascii="Calibri" w:cs="Calibri" w:eastAsia="Calibri" w:hAnsi="Calibri"/>
                <w:sz w:val="13"/>
                <w:szCs w:val="13"/>
                <w:b w:val="1"/>
                <w:bCs w:val="1"/>
                <w:color w:val="FB4E0B"/>
              </w:rPr>
              <w:t>(4)</w:t>
            </w:r>
          </w:p>
        </w:tc>
        <w:tc>
          <w:tcPr>
            <w:tcW w:w="360" w:type="dxa"/>
            <w:vAlign w:val="bottom"/>
            <w:tcBorders>
              <w:bottom w:val="single" w:sz="8" w:color="FB4E0B"/>
            </w:tcBorders>
          </w:tcPr>
          <w:p>
            <w:pPr>
              <w:spacing w:after="0"/>
              <w:rPr>
                <w:sz w:val="23"/>
                <w:szCs w:val="23"/>
                <w:color w:val="auto"/>
              </w:rPr>
            </w:pPr>
          </w:p>
        </w:tc>
        <w:tc>
          <w:tcPr>
            <w:tcW w:w="1540" w:type="dxa"/>
            <w:vAlign w:val="bottom"/>
            <w:tcBorders>
              <w:bottom w:val="single" w:sz="8" w:color="FB4E0B"/>
            </w:tcBorders>
          </w:tcPr>
          <w:p>
            <w:pPr>
              <w:jc w:val="right"/>
              <w:ind w:right="593"/>
              <w:spacing w:after="0" w:line="206" w:lineRule="exact"/>
              <w:rPr>
                <w:sz w:val="20"/>
                <w:szCs w:val="20"/>
                <w:color w:val="auto"/>
              </w:rPr>
            </w:pPr>
            <w:r>
              <w:rPr>
                <w:rFonts w:ascii="Calibri" w:cs="Calibri" w:eastAsia="Calibri" w:hAnsi="Calibri"/>
                <w:sz w:val="17"/>
                <w:szCs w:val="17"/>
                <w:b w:val="1"/>
                <w:bCs w:val="1"/>
                <w:color w:val="FB4E0B"/>
              </w:rPr>
              <w:t>($)</w:t>
            </w:r>
          </w:p>
        </w:tc>
      </w:tr>
      <w:tr>
        <w:trPr>
          <w:trHeight w:val="276"/>
        </w:trPr>
        <w:tc>
          <w:tcPr>
            <w:tcW w:w="39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 Andreas Fibig</w:t>
            </w:r>
            <w:r>
              <w:rPr>
                <w:rFonts w:ascii="Calibri" w:cs="Calibri" w:eastAsia="Calibri" w:hAnsi="Calibri"/>
                <w:sz w:val="13"/>
                <w:szCs w:val="13"/>
                <w:b w:val="1"/>
                <w:bCs w:val="1"/>
                <w:color w:val="auto"/>
              </w:rPr>
              <w:t>(5)</w:t>
            </w:r>
          </w:p>
        </w:tc>
        <w:tc>
          <w:tcPr>
            <w:tcW w:w="1260" w:type="dxa"/>
            <w:vAlign w:val="bottom"/>
          </w:tcPr>
          <w:p>
            <w:pPr>
              <w:ind w:left="660"/>
              <w:spacing w:after="0"/>
              <w:rPr>
                <w:sz w:val="20"/>
                <w:szCs w:val="20"/>
                <w:color w:val="auto"/>
              </w:rPr>
            </w:pPr>
            <w:r>
              <w:rPr>
                <w:rFonts w:ascii="Calibri" w:cs="Calibri" w:eastAsia="Calibri" w:hAnsi="Calibri"/>
                <w:sz w:val="17"/>
                <w:szCs w:val="17"/>
                <w:color w:val="auto"/>
                <w:w w:val="90"/>
              </w:rPr>
              <w:t>85,000 </w:t>
            </w:r>
          </w:p>
        </w:tc>
        <w:tc>
          <w:tcPr>
            <w:tcW w:w="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420" w:type="dxa"/>
            <w:vAlign w:val="bottom"/>
          </w:tcPr>
          <w:p>
            <w:pPr>
              <w:jc w:val="right"/>
              <w:spacing w:after="0"/>
              <w:rPr>
                <w:sz w:val="20"/>
                <w:szCs w:val="20"/>
                <w:color w:val="auto"/>
              </w:rPr>
            </w:pPr>
            <w:r>
              <w:rPr>
                <w:rFonts w:ascii="Calibri" w:cs="Calibri" w:eastAsia="Calibri" w:hAnsi="Calibri"/>
                <w:sz w:val="17"/>
                <w:szCs w:val="17"/>
                <w:color w:val="auto"/>
              </w:rPr>
              <w:t>273,808 </w:t>
            </w:r>
          </w:p>
        </w:tc>
        <w:tc>
          <w:tcPr>
            <w:tcW w:w="4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320" w:type="dxa"/>
            <w:vAlign w:val="bottom"/>
          </w:tcPr>
          <w:p>
            <w:pPr>
              <w:jc w:val="right"/>
              <w:ind w:right="33"/>
              <w:spacing w:after="0"/>
              <w:rPr>
                <w:sz w:val="20"/>
                <w:szCs w:val="20"/>
                <w:color w:val="auto"/>
              </w:rPr>
            </w:pPr>
            <w:r>
              <w:rPr>
                <w:rFonts w:ascii="Calibri" w:cs="Calibri" w:eastAsia="Calibri" w:hAnsi="Calibri"/>
                <w:sz w:val="17"/>
                <w:szCs w:val="17"/>
                <w:color w:val="auto"/>
              </w:rPr>
              <w:t>— </w:t>
            </w:r>
          </w:p>
        </w:tc>
        <w:tc>
          <w:tcPr>
            <w:tcW w:w="360" w:type="dxa"/>
            <w:vAlign w:val="bottom"/>
            <w:tcBorders>
              <w:right w:val="single" w:sz="8" w:color="auto"/>
            </w:tcBorders>
          </w:tcPr>
          <w:p>
            <w:pPr>
              <w:spacing w:after="0"/>
              <w:rPr>
                <w:sz w:val="20"/>
                <w:szCs w:val="20"/>
                <w:color w:val="auto"/>
              </w:rPr>
            </w:pPr>
            <w:r>
              <w:rPr>
                <w:rFonts w:ascii="Calibri" w:cs="Calibri" w:eastAsia="Calibri" w:hAnsi="Calibri"/>
                <w:sz w:val="17"/>
                <w:szCs w:val="17"/>
                <w:color w:val="auto"/>
              </w:rPr>
              <w:t>    </w:t>
            </w:r>
          </w:p>
        </w:tc>
        <w:tc>
          <w:tcPr>
            <w:tcW w:w="1540" w:type="dxa"/>
            <w:vAlign w:val="bottom"/>
          </w:tcPr>
          <w:p>
            <w:pPr>
              <w:jc w:val="right"/>
              <w:ind w:right="53"/>
              <w:spacing w:after="0"/>
              <w:rPr>
                <w:sz w:val="20"/>
                <w:szCs w:val="20"/>
                <w:color w:val="auto"/>
              </w:rPr>
            </w:pPr>
            <w:r>
              <w:rPr>
                <w:rFonts w:ascii="Calibri" w:cs="Calibri" w:eastAsia="Calibri" w:hAnsi="Calibri"/>
                <w:sz w:val="17"/>
                <w:szCs w:val="17"/>
                <w:color w:val="auto"/>
              </w:rPr>
              <w:t>358,808    </w:t>
            </w:r>
          </w:p>
        </w:tc>
      </w:tr>
      <w:tr>
        <w:trPr>
          <w:trHeight w:val="127"/>
        </w:trPr>
        <w:tc>
          <w:tcPr>
            <w:tcW w:w="394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269"/>
        </w:trPr>
        <w:tc>
          <w:tcPr>
            <w:tcW w:w="39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 Anne Minto</w:t>
            </w:r>
            <w:r>
              <w:rPr>
                <w:rFonts w:ascii="Calibri" w:cs="Calibri" w:eastAsia="Calibri" w:hAnsi="Calibri"/>
                <w:sz w:val="13"/>
                <w:szCs w:val="13"/>
                <w:b w:val="1"/>
                <w:bCs w:val="1"/>
                <w:color w:val="auto"/>
              </w:rPr>
              <w:t>(6)</w:t>
            </w:r>
          </w:p>
        </w:tc>
        <w:tc>
          <w:tcPr>
            <w:tcW w:w="1260" w:type="dxa"/>
            <w:vAlign w:val="bottom"/>
          </w:tcPr>
          <w:p>
            <w:pPr>
              <w:ind w:left="660"/>
              <w:spacing w:after="0"/>
              <w:rPr>
                <w:sz w:val="20"/>
                <w:szCs w:val="20"/>
                <w:color w:val="auto"/>
              </w:rPr>
            </w:pPr>
            <w:r>
              <w:rPr>
                <w:rFonts w:ascii="Calibri" w:cs="Calibri" w:eastAsia="Calibri" w:hAnsi="Calibri"/>
                <w:sz w:val="17"/>
                <w:szCs w:val="17"/>
                <w:color w:val="auto"/>
                <w:w w:val="90"/>
              </w:rPr>
              <w:t>42,500 </w:t>
            </w:r>
          </w:p>
        </w:tc>
        <w:tc>
          <w:tcPr>
            <w:tcW w:w="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420" w:type="dxa"/>
            <w:vAlign w:val="bottom"/>
          </w:tcPr>
          <w:p>
            <w:pPr>
              <w:jc w:val="right"/>
              <w:spacing w:after="0"/>
              <w:rPr>
                <w:sz w:val="20"/>
                <w:szCs w:val="20"/>
                <w:color w:val="auto"/>
              </w:rPr>
            </w:pPr>
            <w:r>
              <w:rPr>
                <w:rFonts w:ascii="Calibri" w:cs="Calibri" w:eastAsia="Calibri" w:hAnsi="Calibri"/>
                <w:sz w:val="17"/>
                <w:szCs w:val="17"/>
                <w:color w:val="auto"/>
              </w:rPr>
              <w:t>— </w:t>
            </w:r>
          </w:p>
        </w:tc>
        <w:tc>
          <w:tcPr>
            <w:tcW w:w="4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320" w:type="dxa"/>
            <w:vAlign w:val="bottom"/>
          </w:tcPr>
          <w:p>
            <w:pPr>
              <w:jc w:val="right"/>
              <w:ind w:right="33"/>
              <w:spacing w:after="0"/>
              <w:rPr>
                <w:sz w:val="20"/>
                <w:szCs w:val="20"/>
                <w:color w:val="auto"/>
              </w:rPr>
            </w:pPr>
            <w:r>
              <w:rPr>
                <w:rFonts w:ascii="Calibri" w:cs="Calibri" w:eastAsia="Calibri" w:hAnsi="Calibri"/>
                <w:sz w:val="17"/>
                <w:szCs w:val="17"/>
                <w:color w:val="auto"/>
              </w:rPr>
              <w:t>19,591 </w:t>
            </w:r>
          </w:p>
        </w:tc>
        <w:tc>
          <w:tcPr>
            <w:tcW w:w="360" w:type="dxa"/>
            <w:vAlign w:val="bottom"/>
            <w:tcBorders>
              <w:right w:val="single" w:sz="8" w:color="auto"/>
            </w:tcBorders>
          </w:tcPr>
          <w:p>
            <w:pPr>
              <w:spacing w:after="0"/>
              <w:rPr>
                <w:sz w:val="20"/>
                <w:szCs w:val="20"/>
                <w:color w:val="auto"/>
              </w:rPr>
            </w:pPr>
            <w:r>
              <w:rPr>
                <w:rFonts w:ascii="Calibri" w:cs="Calibri" w:eastAsia="Calibri" w:hAnsi="Calibri"/>
                <w:sz w:val="17"/>
                <w:szCs w:val="17"/>
                <w:color w:val="auto"/>
              </w:rPr>
              <w:t>    </w:t>
            </w:r>
          </w:p>
        </w:tc>
        <w:tc>
          <w:tcPr>
            <w:tcW w:w="1540" w:type="dxa"/>
            <w:vAlign w:val="bottom"/>
          </w:tcPr>
          <w:p>
            <w:pPr>
              <w:jc w:val="right"/>
              <w:ind w:right="53"/>
              <w:spacing w:after="0"/>
              <w:rPr>
                <w:sz w:val="20"/>
                <w:szCs w:val="20"/>
                <w:color w:val="auto"/>
              </w:rPr>
            </w:pPr>
            <w:r>
              <w:rPr>
                <w:rFonts w:ascii="Calibri" w:cs="Calibri" w:eastAsia="Calibri" w:hAnsi="Calibri"/>
                <w:sz w:val="17"/>
                <w:szCs w:val="17"/>
                <w:color w:val="auto"/>
              </w:rPr>
              <w:t>62,091    </w:t>
            </w:r>
          </w:p>
        </w:tc>
      </w:tr>
      <w:tr>
        <w:trPr>
          <w:trHeight w:val="127"/>
        </w:trPr>
        <w:tc>
          <w:tcPr>
            <w:tcW w:w="394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269"/>
        </w:trPr>
        <w:tc>
          <w:tcPr>
            <w:tcW w:w="39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 Som Mital</w:t>
            </w:r>
          </w:p>
        </w:tc>
        <w:tc>
          <w:tcPr>
            <w:tcW w:w="1260" w:type="dxa"/>
            <w:vAlign w:val="bottom"/>
          </w:tcPr>
          <w:p>
            <w:pPr>
              <w:ind w:left="660"/>
              <w:spacing w:after="0"/>
              <w:rPr>
                <w:sz w:val="20"/>
                <w:szCs w:val="20"/>
                <w:color w:val="auto"/>
              </w:rPr>
            </w:pPr>
            <w:r>
              <w:rPr>
                <w:rFonts w:ascii="Calibri" w:cs="Calibri" w:eastAsia="Calibri" w:hAnsi="Calibri"/>
                <w:sz w:val="17"/>
                <w:szCs w:val="17"/>
                <w:color w:val="auto"/>
                <w:w w:val="90"/>
              </w:rPr>
              <w:t>85,000 </w:t>
            </w:r>
          </w:p>
        </w:tc>
        <w:tc>
          <w:tcPr>
            <w:tcW w:w="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420" w:type="dxa"/>
            <w:vAlign w:val="bottom"/>
          </w:tcPr>
          <w:p>
            <w:pPr>
              <w:jc w:val="right"/>
              <w:spacing w:after="0"/>
              <w:rPr>
                <w:sz w:val="20"/>
                <w:szCs w:val="20"/>
                <w:color w:val="auto"/>
              </w:rPr>
            </w:pPr>
            <w:r>
              <w:rPr>
                <w:rFonts w:ascii="Calibri" w:cs="Calibri" w:eastAsia="Calibri" w:hAnsi="Calibri"/>
                <w:sz w:val="17"/>
                <w:szCs w:val="17"/>
                <w:color w:val="auto"/>
              </w:rPr>
              <w:t>190,000 </w:t>
            </w:r>
          </w:p>
        </w:tc>
        <w:tc>
          <w:tcPr>
            <w:tcW w:w="4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320" w:type="dxa"/>
            <w:vAlign w:val="bottom"/>
          </w:tcPr>
          <w:p>
            <w:pPr>
              <w:jc w:val="right"/>
              <w:ind w:right="33"/>
              <w:spacing w:after="0"/>
              <w:rPr>
                <w:sz w:val="20"/>
                <w:szCs w:val="20"/>
                <w:color w:val="auto"/>
              </w:rPr>
            </w:pPr>
            <w:r>
              <w:rPr>
                <w:rFonts w:ascii="Calibri" w:cs="Calibri" w:eastAsia="Calibri" w:hAnsi="Calibri"/>
                <w:sz w:val="17"/>
                <w:szCs w:val="17"/>
                <w:color w:val="auto"/>
              </w:rPr>
              <w:t>321 </w:t>
            </w:r>
          </w:p>
        </w:tc>
        <w:tc>
          <w:tcPr>
            <w:tcW w:w="360" w:type="dxa"/>
            <w:vAlign w:val="bottom"/>
            <w:tcBorders>
              <w:right w:val="single" w:sz="8" w:color="auto"/>
            </w:tcBorders>
          </w:tcPr>
          <w:p>
            <w:pPr>
              <w:spacing w:after="0"/>
              <w:rPr>
                <w:sz w:val="20"/>
                <w:szCs w:val="20"/>
                <w:color w:val="auto"/>
              </w:rPr>
            </w:pPr>
            <w:r>
              <w:rPr>
                <w:rFonts w:ascii="Calibri" w:cs="Calibri" w:eastAsia="Calibri" w:hAnsi="Calibri"/>
                <w:sz w:val="17"/>
                <w:szCs w:val="17"/>
                <w:color w:val="auto"/>
              </w:rPr>
              <w:t>    </w:t>
            </w:r>
          </w:p>
        </w:tc>
        <w:tc>
          <w:tcPr>
            <w:tcW w:w="1540" w:type="dxa"/>
            <w:vAlign w:val="bottom"/>
          </w:tcPr>
          <w:p>
            <w:pPr>
              <w:jc w:val="right"/>
              <w:ind w:right="53"/>
              <w:spacing w:after="0"/>
              <w:rPr>
                <w:sz w:val="20"/>
                <w:szCs w:val="20"/>
                <w:color w:val="auto"/>
              </w:rPr>
            </w:pPr>
            <w:r>
              <w:rPr>
                <w:rFonts w:ascii="Calibri" w:cs="Calibri" w:eastAsia="Calibri" w:hAnsi="Calibri"/>
                <w:sz w:val="17"/>
                <w:szCs w:val="17"/>
                <w:color w:val="auto"/>
              </w:rPr>
              <w:t>275,321    </w:t>
            </w:r>
          </w:p>
        </w:tc>
      </w:tr>
      <w:tr>
        <w:trPr>
          <w:trHeight w:val="127"/>
        </w:trPr>
        <w:tc>
          <w:tcPr>
            <w:tcW w:w="394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269"/>
        </w:trPr>
        <w:tc>
          <w:tcPr>
            <w:tcW w:w="39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 Clyde Ostler</w:t>
            </w:r>
            <w:r>
              <w:rPr>
                <w:rFonts w:ascii="Calibri" w:cs="Calibri" w:eastAsia="Calibri" w:hAnsi="Calibri"/>
                <w:sz w:val="13"/>
                <w:szCs w:val="13"/>
                <w:b w:val="1"/>
                <w:bCs w:val="1"/>
                <w:color w:val="auto"/>
              </w:rPr>
              <w:t>(6)</w:t>
            </w:r>
          </w:p>
        </w:tc>
        <w:tc>
          <w:tcPr>
            <w:tcW w:w="1260" w:type="dxa"/>
            <w:vAlign w:val="bottom"/>
          </w:tcPr>
          <w:p>
            <w:pPr>
              <w:ind w:left="660"/>
              <w:spacing w:after="0"/>
              <w:rPr>
                <w:sz w:val="20"/>
                <w:szCs w:val="20"/>
                <w:color w:val="auto"/>
              </w:rPr>
            </w:pPr>
            <w:r>
              <w:rPr>
                <w:rFonts w:ascii="Calibri" w:cs="Calibri" w:eastAsia="Calibri" w:hAnsi="Calibri"/>
                <w:sz w:val="17"/>
                <w:szCs w:val="17"/>
                <w:color w:val="auto"/>
                <w:w w:val="90"/>
              </w:rPr>
              <w:t>42,500 </w:t>
            </w:r>
          </w:p>
        </w:tc>
        <w:tc>
          <w:tcPr>
            <w:tcW w:w="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420" w:type="dxa"/>
            <w:vAlign w:val="bottom"/>
          </w:tcPr>
          <w:p>
            <w:pPr>
              <w:jc w:val="right"/>
              <w:spacing w:after="0"/>
              <w:rPr>
                <w:sz w:val="20"/>
                <w:szCs w:val="20"/>
                <w:color w:val="auto"/>
              </w:rPr>
            </w:pPr>
            <w:r>
              <w:rPr>
                <w:rFonts w:ascii="Calibri" w:cs="Calibri" w:eastAsia="Calibri" w:hAnsi="Calibri"/>
                <w:sz w:val="17"/>
                <w:szCs w:val="17"/>
                <w:color w:val="auto"/>
              </w:rPr>
              <w:t>— </w:t>
            </w:r>
          </w:p>
        </w:tc>
        <w:tc>
          <w:tcPr>
            <w:tcW w:w="4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320" w:type="dxa"/>
            <w:vAlign w:val="bottom"/>
          </w:tcPr>
          <w:p>
            <w:pPr>
              <w:jc w:val="right"/>
              <w:ind w:right="33"/>
              <w:spacing w:after="0"/>
              <w:rPr>
                <w:sz w:val="20"/>
                <w:szCs w:val="20"/>
                <w:color w:val="auto"/>
              </w:rPr>
            </w:pPr>
            <w:r>
              <w:rPr>
                <w:rFonts w:ascii="Calibri" w:cs="Calibri" w:eastAsia="Calibri" w:hAnsi="Calibri"/>
                <w:sz w:val="17"/>
                <w:szCs w:val="17"/>
                <w:color w:val="auto"/>
              </w:rPr>
              <w:t>— </w:t>
            </w:r>
          </w:p>
        </w:tc>
        <w:tc>
          <w:tcPr>
            <w:tcW w:w="360" w:type="dxa"/>
            <w:vAlign w:val="bottom"/>
            <w:tcBorders>
              <w:right w:val="single" w:sz="8" w:color="auto"/>
            </w:tcBorders>
          </w:tcPr>
          <w:p>
            <w:pPr>
              <w:spacing w:after="0"/>
              <w:rPr>
                <w:sz w:val="20"/>
                <w:szCs w:val="20"/>
                <w:color w:val="auto"/>
              </w:rPr>
            </w:pPr>
            <w:r>
              <w:rPr>
                <w:rFonts w:ascii="Calibri" w:cs="Calibri" w:eastAsia="Calibri" w:hAnsi="Calibri"/>
                <w:sz w:val="17"/>
                <w:szCs w:val="17"/>
                <w:color w:val="auto"/>
              </w:rPr>
              <w:t>    </w:t>
            </w:r>
          </w:p>
        </w:tc>
        <w:tc>
          <w:tcPr>
            <w:tcW w:w="1540" w:type="dxa"/>
            <w:vAlign w:val="bottom"/>
          </w:tcPr>
          <w:p>
            <w:pPr>
              <w:jc w:val="right"/>
              <w:ind w:right="53"/>
              <w:spacing w:after="0"/>
              <w:rPr>
                <w:sz w:val="20"/>
                <w:szCs w:val="20"/>
                <w:color w:val="auto"/>
              </w:rPr>
            </w:pPr>
            <w:r>
              <w:rPr>
                <w:rFonts w:ascii="Calibri" w:cs="Calibri" w:eastAsia="Calibri" w:hAnsi="Calibri"/>
                <w:sz w:val="17"/>
                <w:szCs w:val="17"/>
                <w:color w:val="auto"/>
              </w:rPr>
              <w:t>42,500    </w:t>
            </w:r>
          </w:p>
        </w:tc>
      </w:tr>
      <w:tr>
        <w:trPr>
          <w:trHeight w:val="127"/>
        </w:trPr>
        <w:tc>
          <w:tcPr>
            <w:tcW w:w="394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269"/>
        </w:trPr>
        <w:tc>
          <w:tcPr>
            <w:tcW w:w="39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 Vikram Pandit</w:t>
            </w:r>
          </w:p>
        </w:tc>
        <w:tc>
          <w:tcPr>
            <w:tcW w:w="1260" w:type="dxa"/>
            <w:vAlign w:val="bottom"/>
          </w:tcPr>
          <w:p>
            <w:pPr>
              <w:ind w:left="660"/>
              <w:spacing w:after="0"/>
              <w:rPr>
                <w:sz w:val="20"/>
                <w:szCs w:val="20"/>
                <w:color w:val="auto"/>
              </w:rPr>
            </w:pPr>
            <w:r>
              <w:rPr>
                <w:rFonts w:ascii="Calibri" w:cs="Calibri" w:eastAsia="Calibri" w:hAnsi="Calibri"/>
                <w:sz w:val="17"/>
                <w:szCs w:val="17"/>
                <w:color w:val="auto"/>
                <w:w w:val="90"/>
              </w:rPr>
              <w:t>85,000 </w:t>
            </w:r>
          </w:p>
        </w:tc>
        <w:tc>
          <w:tcPr>
            <w:tcW w:w="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420" w:type="dxa"/>
            <w:vAlign w:val="bottom"/>
          </w:tcPr>
          <w:p>
            <w:pPr>
              <w:jc w:val="right"/>
              <w:spacing w:after="0"/>
              <w:rPr>
                <w:sz w:val="20"/>
                <w:szCs w:val="20"/>
                <w:color w:val="auto"/>
              </w:rPr>
            </w:pPr>
            <w:r>
              <w:rPr>
                <w:rFonts w:ascii="Calibri" w:cs="Calibri" w:eastAsia="Calibri" w:hAnsi="Calibri"/>
                <w:sz w:val="17"/>
                <w:szCs w:val="17"/>
                <w:color w:val="auto"/>
              </w:rPr>
              <w:t>290,000 </w:t>
            </w:r>
          </w:p>
        </w:tc>
        <w:tc>
          <w:tcPr>
            <w:tcW w:w="4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320" w:type="dxa"/>
            <w:vAlign w:val="bottom"/>
          </w:tcPr>
          <w:p>
            <w:pPr>
              <w:jc w:val="right"/>
              <w:ind w:right="33"/>
              <w:spacing w:after="0"/>
              <w:rPr>
                <w:sz w:val="20"/>
                <w:szCs w:val="20"/>
                <w:color w:val="auto"/>
              </w:rPr>
            </w:pPr>
            <w:r>
              <w:rPr>
                <w:rFonts w:ascii="Calibri" w:cs="Calibri" w:eastAsia="Calibri" w:hAnsi="Calibri"/>
                <w:sz w:val="17"/>
                <w:szCs w:val="17"/>
                <w:color w:val="auto"/>
              </w:rPr>
              <w:t>— </w:t>
            </w:r>
          </w:p>
        </w:tc>
        <w:tc>
          <w:tcPr>
            <w:tcW w:w="360" w:type="dxa"/>
            <w:vAlign w:val="bottom"/>
            <w:tcBorders>
              <w:right w:val="single" w:sz="8" w:color="auto"/>
            </w:tcBorders>
          </w:tcPr>
          <w:p>
            <w:pPr>
              <w:spacing w:after="0"/>
              <w:rPr>
                <w:sz w:val="20"/>
                <w:szCs w:val="20"/>
                <w:color w:val="auto"/>
              </w:rPr>
            </w:pPr>
            <w:r>
              <w:rPr>
                <w:rFonts w:ascii="Calibri" w:cs="Calibri" w:eastAsia="Calibri" w:hAnsi="Calibri"/>
                <w:sz w:val="17"/>
                <w:szCs w:val="17"/>
                <w:color w:val="auto"/>
              </w:rPr>
              <w:t>    </w:t>
            </w:r>
          </w:p>
        </w:tc>
        <w:tc>
          <w:tcPr>
            <w:tcW w:w="1540" w:type="dxa"/>
            <w:vAlign w:val="bottom"/>
          </w:tcPr>
          <w:p>
            <w:pPr>
              <w:jc w:val="right"/>
              <w:ind w:right="53"/>
              <w:spacing w:after="0"/>
              <w:rPr>
                <w:sz w:val="20"/>
                <w:szCs w:val="20"/>
                <w:color w:val="auto"/>
              </w:rPr>
            </w:pPr>
            <w:r>
              <w:rPr>
                <w:rFonts w:ascii="Calibri" w:cs="Calibri" w:eastAsia="Calibri" w:hAnsi="Calibri"/>
                <w:sz w:val="17"/>
                <w:szCs w:val="17"/>
                <w:color w:val="auto"/>
              </w:rPr>
              <w:t>375,000    </w:t>
            </w:r>
          </w:p>
        </w:tc>
      </w:tr>
      <w:tr>
        <w:trPr>
          <w:trHeight w:val="127"/>
        </w:trPr>
        <w:tc>
          <w:tcPr>
            <w:tcW w:w="394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269"/>
        </w:trPr>
        <w:tc>
          <w:tcPr>
            <w:tcW w:w="39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 Kristy Pipes</w:t>
            </w:r>
          </w:p>
        </w:tc>
        <w:tc>
          <w:tcPr>
            <w:tcW w:w="1260" w:type="dxa"/>
            <w:vAlign w:val="bottom"/>
          </w:tcPr>
          <w:p>
            <w:pPr>
              <w:ind w:left="660"/>
              <w:spacing w:after="0"/>
              <w:rPr>
                <w:sz w:val="20"/>
                <w:szCs w:val="20"/>
                <w:color w:val="auto"/>
              </w:rPr>
            </w:pPr>
            <w:r>
              <w:rPr>
                <w:rFonts w:ascii="Calibri" w:cs="Calibri" w:eastAsia="Calibri" w:hAnsi="Calibri"/>
                <w:sz w:val="17"/>
                <w:szCs w:val="17"/>
                <w:color w:val="auto"/>
                <w:w w:val="90"/>
              </w:rPr>
              <w:t>97,500 </w:t>
            </w:r>
          </w:p>
        </w:tc>
        <w:tc>
          <w:tcPr>
            <w:tcW w:w="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420" w:type="dxa"/>
            <w:vAlign w:val="bottom"/>
          </w:tcPr>
          <w:p>
            <w:pPr>
              <w:jc w:val="right"/>
              <w:spacing w:after="0"/>
              <w:rPr>
                <w:sz w:val="20"/>
                <w:szCs w:val="20"/>
                <w:color w:val="auto"/>
              </w:rPr>
            </w:pPr>
            <w:r>
              <w:rPr>
                <w:rFonts w:ascii="Calibri" w:cs="Calibri" w:eastAsia="Calibri" w:hAnsi="Calibri"/>
                <w:sz w:val="17"/>
                <w:szCs w:val="17"/>
                <w:color w:val="auto"/>
              </w:rPr>
              <w:t>190,000 </w:t>
            </w:r>
          </w:p>
        </w:tc>
        <w:tc>
          <w:tcPr>
            <w:tcW w:w="4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320" w:type="dxa"/>
            <w:vAlign w:val="bottom"/>
          </w:tcPr>
          <w:p>
            <w:pPr>
              <w:jc w:val="right"/>
              <w:ind w:right="33"/>
              <w:spacing w:after="0"/>
              <w:rPr>
                <w:sz w:val="20"/>
                <w:szCs w:val="20"/>
                <w:color w:val="auto"/>
              </w:rPr>
            </w:pPr>
            <w:r>
              <w:rPr>
                <w:rFonts w:ascii="Calibri" w:cs="Calibri" w:eastAsia="Calibri" w:hAnsi="Calibri"/>
                <w:sz w:val="17"/>
                <w:szCs w:val="17"/>
                <w:color w:val="auto"/>
              </w:rPr>
              <w:t>— </w:t>
            </w:r>
          </w:p>
        </w:tc>
        <w:tc>
          <w:tcPr>
            <w:tcW w:w="360" w:type="dxa"/>
            <w:vAlign w:val="bottom"/>
            <w:tcBorders>
              <w:right w:val="single" w:sz="8" w:color="auto"/>
            </w:tcBorders>
          </w:tcPr>
          <w:p>
            <w:pPr>
              <w:spacing w:after="0"/>
              <w:rPr>
                <w:sz w:val="20"/>
                <w:szCs w:val="20"/>
                <w:color w:val="auto"/>
              </w:rPr>
            </w:pPr>
            <w:r>
              <w:rPr>
                <w:rFonts w:ascii="Calibri" w:cs="Calibri" w:eastAsia="Calibri" w:hAnsi="Calibri"/>
                <w:sz w:val="17"/>
                <w:szCs w:val="17"/>
                <w:color w:val="auto"/>
              </w:rPr>
              <w:t>    </w:t>
            </w:r>
          </w:p>
        </w:tc>
        <w:tc>
          <w:tcPr>
            <w:tcW w:w="1540" w:type="dxa"/>
            <w:vAlign w:val="bottom"/>
          </w:tcPr>
          <w:p>
            <w:pPr>
              <w:jc w:val="right"/>
              <w:ind w:right="53"/>
              <w:spacing w:after="0"/>
              <w:rPr>
                <w:sz w:val="20"/>
                <w:szCs w:val="20"/>
                <w:color w:val="auto"/>
              </w:rPr>
            </w:pPr>
            <w:r>
              <w:rPr>
                <w:rFonts w:ascii="Calibri" w:cs="Calibri" w:eastAsia="Calibri" w:hAnsi="Calibri"/>
                <w:sz w:val="17"/>
                <w:szCs w:val="17"/>
                <w:color w:val="auto"/>
              </w:rPr>
              <w:t>287,500    </w:t>
            </w:r>
          </w:p>
        </w:tc>
      </w:tr>
      <w:tr>
        <w:trPr>
          <w:trHeight w:val="127"/>
        </w:trPr>
        <w:tc>
          <w:tcPr>
            <w:tcW w:w="394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269"/>
        </w:trPr>
        <w:tc>
          <w:tcPr>
            <w:tcW w:w="39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 Nitn Sahney</w:t>
            </w:r>
          </w:p>
        </w:tc>
        <w:tc>
          <w:tcPr>
            <w:tcW w:w="1260" w:type="dxa"/>
            <w:vAlign w:val="bottom"/>
          </w:tcPr>
          <w:p>
            <w:pPr>
              <w:ind w:left="660"/>
              <w:spacing w:after="0"/>
              <w:rPr>
                <w:sz w:val="20"/>
                <w:szCs w:val="20"/>
                <w:color w:val="auto"/>
              </w:rPr>
            </w:pPr>
            <w:r>
              <w:rPr>
                <w:rFonts w:ascii="Calibri" w:cs="Calibri" w:eastAsia="Calibri" w:hAnsi="Calibri"/>
                <w:sz w:val="17"/>
                <w:szCs w:val="17"/>
                <w:color w:val="auto"/>
                <w:w w:val="90"/>
              </w:rPr>
              <w:t>95,000 </w:t>
            </w:r>
          </w:p>
        </w:tc>
        <w:tc>
          <w:tcPr>
            <w:tcW w:w="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420" w:type="dxa"/>
            <w:vAlign w:val="bottom"/>
          </w:tcPr>
          <w:p>
            <w:pPr>
              <w:jc w:val="right"/>
              <w:spacing w:after="0"/>
              <w:rPr>
                <w:sz w:val="20"/>
                <w:szCs w:val="20"/>
                <w:color w:val="auto"/>
              </w:rPr>
            </w:pPr>
            <w:r>
              <w:rPr>
                <w:rFonts w:ascii="Calibri" w:cs="Calibri" w:eastAsia="Calibri" w:hAnsi="Calibri"/>
                <w:sz w:val="17"/>
                <w:szCs w:val="17"/>
                <w:color w:val="auto"/>
              </w:rPr>
              <w:t>190,000 </w:t>
            </w:r>
          </w:p>
        </w:tc>
        <w:tc>
          <w:tcPr>
            <w:tcW w:w="4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320" w:type="dxa"/>
            <w:vAlign w:val="bottom"/>
          </w:tcPr>
          <w:p>
            <w:pPr>
              <w:jc w:val="right"/>
              <w:ind w:right="33"/>
              <w:spacing w:after="0"/>
              <w:rPr>
                <w:sz w:val="20"/>
                <w:szCs w:val="20"/>
                <w:color w:val="auto"/>
              </w:rPr>
            </w:pPr>
            <w:r>
              <w:rPr>
                <w:rFonts w:ascii="Calibri" w:cs="Calibri" w:eastAsia="Calibri" w:hAnsi="Calibri"/>
                <w:sz w:val="17"/>
                <w:szCs w:val="17"/>
                <w:color w:val="auto"/>
              </w:rPr>
              <w:t>— </w:t>
            </w:r>
          </w:p>
        </w:tc>
        <w:tc>
          <w:tcPr>
            <w:tcW w:w="360" w:type="dxa"/>
            <w:vAlign w:val="bottom"/>
            <w:tcBorders>
              <w:right w:val="single" w:sz="8" w:color="auto"/>
            </w:tcBorders>
          </w:tcPr>
          <w:p>
            <w:pPr>
              <w:spacing w:after="0"/>
              <w:rPr>
                <w:sz w:val="20"/>
                <w:szCs w:val="20"/>
                <w:color w:val="auto"/>
              </w:rPr>
            </w:pPr>
            <w:r>
              <w:rPr>
                <w:rFonts w:ascii="Calibri" w:cs="Calibri" w:eastAsia="Calibri" w:hAnsi="Calibri"/>
                <w:sz w:val="17"/>
                <w:szCs w:val="17"/>
                <w:color w:val="auto"/>
              </w:rPr>
              <w:t>    </w:t>
            </w:r>
          </w:p>
        </w:tc>
        <w:tc>
          <w:tcPr>
            <w:tcW w:w="1540" w:type="dxa"/>
            <w:vAlign w:val="bottom"/>
          </w:tcPr>
          <w:p>
            <w:pPr>
              <w:jc w:val="right"/>
              <w:ind w:right="53"/>
              <w:spacing w:after="0"/>
              <w:rPr>
                <w:sz w:val="20"/>
                <w:szCs w:val="20"/>
                <w:color w:val="auto"/>
              </w:rPr>
            </w:pPr>
            <w:r>
              <w:rPr>
                <w:rFonts w:ascii="Calibri" w:cs="Calibri" w:eastAsia="Calibri" w:hAnsi="Calibri"/>
                <w:sz w:val="17"/>
                <w:szCs w:val="17"/>
                <w:color w:val="auto"/>
              </w:rPr>
              <w:t>285,000    </w:t>
            </w:r>
          </w:p>
        </w:tc>
      </w:tr>
      <w:tr>
        <w:trPr>
          <w:trHeight w:val="127"/>
        </w:trPr>
        <w:tc>
          <w:tcPr>
            <w:tcW w:w="394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269"/>
        </w:trPr>
        <w:tc>
          <w:tcPr>
            <w:tcW w:w="39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 Jaynie Studenmund</w:t>
            </w:r>
          </w:p>
        </w:tc>
        <w:tc>
          <w:tcPr>
            <w:tcW w:w="1260" w:type="dxa"/>
            <w:vAlign w:val="bottom"/>
          </w:tcPr>
          <w:p>
            <w:pPr>
              <w:ind w:left="660"/>
              <w:spacing w:after="0"/>
              <w:rPr>
                <w:sz w:val="20"/>
                <w:szCs w:val="20"/>
                <w:color w:val="auto"/>
              </w:rPr>
            </w:pPr>
            <w:r>
              <w:rPr>
                <w:rFonts w:ascii="Calibri" w:cs="Calibri" w:eastAsia="Calibri" w:hAnsi="Calibri"/>
                <w:sz w:val="17"/>
                <w:szCs w:val="17"/>
                <w:color w:val="auto"/>
                <w:w w:val="90"/>
              </w:rPr>
              <w:t>95,000 </w:t>
            </w:r>
          </w:p>
        </w:tc>
        <w:tc>
          <w:tcPr>
            <w:tcW w:w="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420" w:type="dxa"/>
            <w:vAlign w:val="bottom"/>
          </w:tcPr>
          <w:p>
            <w:pPr>
              <w:jc w:val="right"/>
              <w:spacing w:after="0"/>
              <w:rPr>
                <w:sz w:val="20"/>
                <w:szCs w:val="20"/>
                <w:color w:val="auto"/>
              </w:rPr>
            </w:pPr>
            <w:r>
              <w:rPr>
                <w:rFonts w:ascii="Calibri" w:cs="Calibri" w:eastAsia="Calibri" w:hAnsi="Calibri"/>
                <w:sz w:val="17"/>
                <w:szCs w:val="17"/>
                <w:color w:val="auto"/>
              </w:rPr>
              <w:t>190,000 </w:t>
            </w:r>
          </w:p>
        </w:tc>
        <w:tc>
          <w:tcPr>
            <w:tcW w:w="4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320" w:type="dxa"/>
            <w:vAlign w:val="bottom"/>
          </w:tcPr>
          <w:p>
            <w:pPr>
              <w:jc w:val="right"/>
              <w:ind w:right="33"/>
              <w:spacing w:after="0"/>
              <w:rPr>
                <w:sz w:val="20"/>
                <w:szCs w:val="20"/>
                <w:color w:val="auto"/>
              </w:rPr>
            </w:pPr>
            <w:r>
              <w:rPr>
                <w:rFonts w:ascii="Calibri" w:cs="Calibri" w:eastAsia="Calibri" w:hAnsi="Calibri"/>
                <w:sz w:val="17"/>
                <w:szCs w:val="17"/>
                <w:color w:val="auto"/>
              </w:rPr>
              <w:t>— </w:t>
            </w:r>
          </w:p>
        </w:tc>
        <w:tc>
          <w:tcPr>
            <w:tcW w:w="360" w:type="dxa"/>
            <w:vAlign w:val="bottom"/>
            <w:tcBorders>
              <w:right w:val="single" w:sz="8" w:color="auto"/>
            </w:tcBorders>
          </w:tcPr>
          <w:p>
            <w:pPr>
              <w:spacing w:after="0"/>
              <w:rPr>
                <w:sz w:val="20"/>
                <w:szCs w:val="20"/>
                <w:color w:val="auto"/>
              </w:rPr>
            </w:pPr>
            <w:r>
              <w:rPr>
                <w:rFonts w:ascii="Calibri" w:cs="Calibri" w:eastAsia="Calibri" w:hAnsi="Calibri"/>
                <w:sz w:val="17"/>
                <w:szCs w:val="17"/>
                <w:color w:val="auto"/>
              </w:rPr>
              <w:t>    </w:t>
            </w:r>
          </w:p>
        </w:tc>
        <w:tc>
          <w:tcPr>
            <w:tcW w:w="1540" w:type="dxa"/>
            <w:vAlign w:val="bottom"/>
          </w:tcPr>
          <w:p>
            <w:pPr>
              <w:jc w:val="right"/>
              <w:ind w:right="53"/>
              <w:spacing w:after="0"/>
              <w:rPr>
                <w:sz w:val="20"/>
                <w:szCs w:val="20"/>
                <w:color w:val="auto"/>
              </w:rPr>
            </w:pPr>
            <w:r>
              <w:rPr>
                <w:rFonts w:ascii="Calibri" w:cs="Calibri" w:eastAsia="Calibri" w:hAnsi="Calibri"/>
                <w:sz w:val="17"/>
                <w:szCs w:val="17"/>
                <w:color w:val="auto"/>
              </w:rPr>
              <w:t>285,000    </w:t>
            </w:r>
          </w:p>
        </w:tc>
      </w:tr>
      <w:tr>
        <w:trPr>
          <w:trHeight w:val="127"/>
        </w:trPr>
        <w:tc>
          <w:tcPr>
            <w:tcW w:w="394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269"/>
        </w:trPr>
        <w:tc>
          <w:tcPr>
            <w:tcW w:w="39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 Sarah K. Williamson</w:t>
            </w:r>
            <w:r>
              <w:rPr>
                <w:rFonts w:ascii="Calibri" w:cs="Calibri" w:eastAsia="Calibri" w:hAnsi="Calibri"/>
                <w:sz w:val="13"/>
                <w:szCs w:val="13"/>
                <w:b w:val="1"/>
                <w:bCs w:val="1"/>
                <w:color w:val="auto"/>
              </w:rPr>
              <w:t>(7)</w:t>
            </w:r>
          </w:p>
        </w:tc>
        <w:tc>
          <w:tcPr>
            <w:tcW w:w="1260" w:type="dxa"/>
            <w:vAlign w:val="bottom"/>
          </w:tcPr>
          <w:p>
            <w:pPr>
              <w:ind w:left="660"/>
              <w:spacing w:after="0"/>
              <w:rPr>
                <w:sz w:val="20"/>
                <w:szCs w:val="20"/>
                <w:color w:val="auto"/>
              </w:rPr>
            </w:pPr>
            <w:r>
              <w:rPr>
                <w:rFonts w:ascii="Calibri" w:cs="Calibri" w:eastAsia="Calibri" w:hAnsi="Calibri"/>
                <w:sz w:val="17"/>
                <w:szCs w:val="17"/>
                <w:color w:val="auto"/>
                <w:w w:val="90"/>
              </w:rPr>
              <w:t>63,750 </w:t>
            </w:r>
          </w:p>
        </w:tc>
        <w:tc>
          <w:tcPr>
            <w:tcW w:w="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420" w:type="dxa"/>
            <w:vAlign w:val="bottom"/>
          </w:tcPr>
          <w:p>
            <w:pPr>
              <w:jc w:val="right"/>
              <w:spacing w:after="0"/>
              <w:rPr>
                <w:sz w:val="20"/>
                <w:szCs w:val="20"/>
                <w:color w:val="auto"/>
              </w:rPr>
            </w:pPr>
            <w:r>
              <w:rPr>
                <w:rFonts w:ascii="Calibri" w:cs="Calibri" w:eastAsia="Calibri" w:hAnsi="Calibri"/>
                <w:sz w:val="17"/>
                <w:szCs w:val="17"/>
                <w:color w:val="auto"/>
              </w:rPr>
              <w:t>190,000 </w:t>
            </w:r>
          </w:p>
        </w:tc>
        <w:tc>
          <w:tcPr>
            <w:tcW w:w="4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    </w:t>
            </w:r>
          </w:p>
        </w:tc>
        <w:tc>
          <w:tcPr>
            <w:tcW w:w="1320" w:type="dxa"/>
            <w:vAlign w:val="bottom"/>
          </w:tcPr>
          <w:p>
            <w:pPr>
              <w:jc w:val="right"/>
              <w:ind w:right="33"/>
              <w:spacing w:after="0"/>
              <w:rPr>
                <w:sz w:val="20"/>
                <w:szCs w:val="20"/>
                <w:color w:val="auto"/>
              </w:rPr>
            </w:pPr>
            <w:r>
              <w:rPr>
                <w:rFonts w:ascii="Calibri" w:cs="Calibri" w:eastAsia="Calibri" w:hAnsi="Calibri"/>
                <w:sz w:val="17"/>
                <w:szCs w:val="17"/>
                <w:color w:val="auto"/>
              </w:rPr>
              <w:t>— </w:t>
            </w:r>
          </w:p>
        </w:tc>
        <w:tc>
          <w:tcPr>
            <w:tcW w:w="360" w:type="dxa"/>
            <w:vAlign w:val="bottom"/>
            <w:tcBorders>
              <w:right w:val="single" w:sz="8" w:color="auto"/>
            </w:tcBorders>
          </w:tcPr>
          <w:p>
            <w:pPr>
              <w:spacing w:after="0"/>
              <w:rPr>
                <w:sz w:val="20"/>
                <w:szCs w:val="20"/>
                <w:color w:val="auto"/>
              </w:rPr>
            </w:pPr>
            <w:r>
              <w:rPr>
                <w:rFonts w:ascii="Calibri" w:cs="Calibri" w:eastAsia="Calibri" w:hAnsi="Calibri"/>
                <w:sz w:val="17"/>
                <w:szCs w:val="17"/>
                <w:color w:val="auto"/>
              </w:rPr>
              <w:t>    </w:t>
            </w:r>
          </w:p>
        </w:tc>
        <w:tc>
          <w:tcPr>
            <w:tcW w:w="1540" w:type="dxa"/>
            <w:vAlign w:val="bottom"/>
          </w:tcPr>
          <w:p>
            <w:pPr>
              <w:jc w:val="right"/>
              <w:ind w:right="53"/>
              <w:spacing w:after="0"/>
              <w:rPr>
                <w:sz w:val="20"/>
                <w:szCs w:val="20"/>
                <w:color w:val="auto"/>
              </w:rPr>
            </w:pPr>
            <w:r>
              <w:rPr>
                <w:rFonts w:ascii="Calibri" w:cs="Calibri" w:eastAsia="Calibri" w:hAnsi="Calibri"/>
                <w:sz w:val="17"/>
                <w:szCs w:val="17"/>
                <w:color w:val="auto"/>
              </w:rPr>
              <w:t>253,750    </w:t>
            </w:r>
          </w:p>
        </w:tc>
      </w:tr>
      <w:tr>
        <w:trPr>
          <w:trHeight w:val="133"/>
        </w:trPr>
        <w:tc>
          <w:tcPr>
            <w:tcW w:w="3940" w:type="dxa"/>
            <w:vAlign w:val="bottom"/>
            <w:tcBorders>
              <w:bottom w:val="single" w:sz="8" w:color="FB4E0B"/>
              <w:right w:val="single" w:sz="8" w:color="auto"/>
            </w:tcBorders>
          </w:tcPr>
          <w:p>
            <w:pPr>
              <w:spacing w:after="0"/>
              <w:rPr>
                <w:sz w:val="11"/>
                <w:szCs w:val="11"/>
                <w:color w:val="auto"/>
              </w:rPr>
            </w:pPr>
          </w:p>
        </w:tc>
        <w:tc>
          <w:tcPr>
            <w:tcW w:w="1260" w:type="dxa"/>
            <w:vAlign w:val="bottom"/>
            <w:tcBorders>
              <w:bottom w:val="single" w:sz="8" w:color="FB4E0B"/>
            </w:tcBorders>
          </w:tcPr>
          <w:p>
            <w:pPr>
              <w:spacing w:after="0"/>
              <w:rPr>
                <w:sz w:val="11"/>
                <w:szCs w:val="11"/>
                <w:color w:val="auto"/>
              </w:rPr>
            </w:pPr>
          </w:p>
        </w:tc>
        <w:tc>
          <w:tcPr>
            <w:tcW w:w="380" w:type="dxa"/>
            <w:vAlign w:val="bottom"/>
            <w:tcBorders>
              <w:bottom w:val="single" w:sz="8" w:color="FB4E0B"/>
              <w:right w:val="single" w:sz="8" w:color="auto"/>
            </w:tcBorders>
          </w:tcPr>
          <w:p>
            <w:pPr>
              <w:spacing w:after="0"/>
              <w:rPr>
                <w:sz w:val="11"/>
                <w:szCs w:val="11"/>
                <w:color w:val="auto"/>
              </w:rPr>
            </w:pPr>
          </w:p>
        </w:tc>
        <w:tc>
          <w:tcPr>
            <w:tcW w:w="1420" w:type="dxa"/>
            <w:vAlign w:val="bottom"/>
            <w:tcBorders>
              <w:bottom w:val="single" w:sz="8" w:color="FB4E0B"/>
            </w:tcBorders>
          </w:tcPr>
          <w:p>
            <w:pPr>
              <w:spacing w:after="0"/>
              <w:rPr>
                <w:sz w:val="11"/>
                <w:szCs w:val="11"/>
                <w:color w:val="auto"/>
              </w:rPr>
            </w:pPr>
          </w:p>
        </w:tc>
        <w:tc>
          <w:tcPr>
            <w:tcW w:w="400" w:type="dxa"/>
            <w:vAlign w:val="bottom"/>
            <w:tcBorders>
              <w:bottom w:val="single" w:sz="8" w:color="FB4E0B"/>
              <w:right w:val="single" w:sz="8" w:color="auto"/>
            </w:tcBorders>
          </w:tcPr>
          <w:p>
            <w:pPr>
              <w:spacing w:after="0"/>
              <w:rPr>
                <w:sz w:val="11"/>
                <w:szCs w:val="11"/>
                <w:color w:val="auto"/>
              </w:rPr>
            </w:pPr>
          </w:p>
        </w:tc>
        <w:tc>
          <w:tcPr>
            <w:tcW w:w="1320" w:type="dxa"/>
            <w:vAlign w:val="bottom"/>
            <w:tcBorders>
              <w:bottom w:val="single" w:sz="8" w:color="FB4E0B"/>
            </w:tcBorders>
          </w:tcPr>
          <w:p>
            <w:pPr>
              <w:spacing w:after="0"/>
              <w:rPr>
                <w:sz w:val="11"/>
                <w:szCs w:val="11"/>
                <w:color w:val="auto"/>
              </w:rPr>
            </w:pPr>
          </w:p>
        </w:tc>
        <w:tc>
          <w:tcPr>
            <w:tcW w:w="360" w:type="dxa"/>
            <w:vAlign w:val="bottom"/>
            <w:tcBorders>
              <w:bottom w:val="single" w:sz="8" w:color="FB4E0B"/>
              <w:right w:val="single" w:sz="8" w:color="auto"/>
            </w:tcBorders>
          </w:tcPr>
          <w:p>
            <w:pPr>
              <w:spacing w:after="0"/>
              <w:rPr>
                <w:sz w:val="11"/>
                <w:szCs w:val="11"/>
                <w:color w:val="auto"/>
              </w:rPr>
            </w:pPr>
          </w:p>
        </w:tc>
        <w:tc>
          <w:tcPr>
            <w:tcW w:w="1540" w:type="dxa"/>
            <w:vAlign w:val="bottom"/>
            <w:tcBorders>
              <w:bottom w:val="single" w:sz="8" w:color="FB4E0B"/>
            </w:tcBorders>
          </w:tcPr>
          <w:p>
            <w:pPr>
              <w:spacing w:after="0"/>
              <w:rPr>
                <w:sz w:val="11"/>
                <w:szCs w:val="11"/>
                <w:color w:val="auto"/>
              </w:rPr>
            </w:pPr>
          </w:p>
        </w:tc>
      </w:tr>
    </w:tbl>
    <w:p>
      <w:pPr>
        <w:spacing w:after="0" w:line="20" w:lineRule="exact"/>
        <w:rPr>
          <w:sz w:val="20"/>
          <w:szCs w:val="20"/>
          <w:color w:val="auto"/>
        </w:rPr>
      </w:pPr>
    </w:p>
    <w:p>
      <w:pPr>
        <w:ind w:left="320" w:right="640" w:hanging="4"/>
        <w:spacing w:after="0" w:line="251" w:lineRule="auto"/>
        <w:tabs>
          <w:tab w:leader="none" w:pos="494" w:val="left"/>
        </w:tabs>
        <w:numPr>
          <w:ilvl w:val="0"/>
          <w:numId w:val="58"/>
        </w:numPr>
        <w:rPr>
          <w:rFonts w:ascii="Calibri" w:cs="Calibri" w:eastAsia="Calibri" w:hAnsi="Calibri"/>
          <w:sz w:val="13"/>
          <w:szCs w:val="13"/>
          <w:color w:val="auto"/>
        </w:rPr>
      </w:pPr>
      <w:r>
        <w:rPr>
          <w:rFonts w:ascii="Calibri" w:cs="Calibri" w:eastAsia="Calibri" w:hAnsi="Calibri"/>
          <w:sz w:val="13"/>
          <w:szCs w:val="13"/>
          <w:color w:val="auto"/>
        </w:rPr>
        <w:t>Mr. Kapoor’s compensaton during 2023 was based solely on his role as CEO, as disclosed in the “Summary compensaton table for fscal year 2023” beginning on page 84 and discussed in “Compensaton Discussion and Analysis” beginning on page 60. He does not receive any additonal compensaton for his services as a director.</w:t>
      </w:r>
    </w:p>
    <w:p>
      <w:pPr>
        <w:spacing w:after="0" w:line="6" w:lineRule="exact"/>
        <w:rPr>
          <w:rFonts w:ascii="Calibri" w:cs="Calibri" w:eastAsia="Calibri" w:hAnsi="Calibri"/>
          <w:sz w:val="13"/>
          <w:szCs w:val="13"/>
          <w:color w:val="auto"/>
        </w:rPr>
      </w:pPr>
    </w:p>
    <w:p>
      <w:pPr>
        <w:ind w:left="320" w:right="100" w:hanging="4"/>
        <w:spacing w:after="0" w:line="253" w:lineRule="auto"/>
        <w:tabs>
          <w:tab w:leader="none" w:pos="494" w:val="left"/>
        </w:tabs>
        <w:numPr>
          <w:ilvl w:val="0"/>
          <w:numId w:val="58"/>
        </w:numPr>
        <w:rPr>
          <w:rFonts w:ascii="Calibri" w:cs="Calibri" w:eastAsia="Calibri" w:hAnsi="Calibri"/>
          <w:sz w:val="13"/>
          <w:szCs w:val="13"/>
          <w:color w:val="auto"/>
        </w:rPr>
      </w:pPr>
      <w:r>
        <w:rPr>
          <w:rFonts w:ascii="Calibri" w:cs="Calibri" w:eastAsia="Calibri" w:hAnsi="Calibri"/>
          <w:sz w:val="13"/>
          <w:szCs w:val="13"/>
          <w:color w:val="auto"/>
        </w:rPr>
        <w:t>Amounts refect the aggregate grant date fair value of stock awards recognized for fnancial statement reportng purposes for the fscal year ended December 31, 2023, in accordance with FASB ASC Topic 718 (disregarding any forfeiture assumptons). Assumptons used in the calculaton of these amounts are included in footnotes 2 and 23 to our audited fnancial statements for the fscal year ended December 31, 2023 included in the 2023 Form 10-K.</w:t>
      </w:r>
    </w:p>
    <w:p>
      <w:pPr>
        <w:spacing w:after="0" w:line="5" w:lineRule="exact"/>
        <w:rPr>
          <w:rFonts w:ascii="Calibri" w:cs="Calibri" w:eastAsia="Calibri" w:hAnsi="Calibri"/>
          <w:sz w:val="13"/>
          <w:szCs w:val="13"/>
          <w:color w:val="auto"/>
        </w:rPr>
      </w:pPr>
    </w:p>
    <w:p>
      <w:pPr>
        <w:ind w:left="320" w:right="220" w:hanging="4"/>
        <w:spacing w:after="0" w:line="251" w:lineRule="auto"/>
        <w:tabs>
          <w:tab w:leader="none" w:pos="494" w:val="left"/>
        </w:tabs>
        <w:numPr>
          <w:ilvl w:val="0"/>
          <w:numId w:val="58"/>
        </w:numPr>
        <w:rPr>
          <w:rFonts w:ascii="Calibri" w:cs="Calibri" w:eastAsia="Calibri" w:hAnsi="Calibri"/>
          <w:sz w:val="13"/>
          <w:szCs w:val="13"/>
          <w:color w:val="auto"/>
        </w:rPr>
      </w:pPr>
      <w:r>
        <w:rPr>
          <w:rFonts w:ascii="Calibri" w:cs="Calibri" w:eastAsia="Calibri" w:hAnsi="Calibri"/>
          <w:sz w:val="13"/>
          <w:szCs w:val="13"/>
          <w:color w:val="auto"/>
        </w:rPr>
        <w:t>The outstanding equity awards, comprised entrely of unvested restricted stock units, held by each of our non-employee directors on December 31, 2023 are as follows: for each of Ms. Minto and Mr. Ostler: 0; Mr. Fibig: 8,515; for each of Mr. Mital, Ms. Pipes, Mr. Sahney, Ms. Studenmund, and Ms. Williamson: 6,050; and Mr. Pandit: 9,235.</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58"/>
        </w:numPr>
        <w:rPr>
          <w:rFonts w:ascii="Calibri" w:cs="Calibri" w:eastAsia="Calibri" w:hAnsi="Calibri"/>
          <w:sz w:val="13"/>
          <w:szCs w:val="13"/>
          <w:color w:val="auto"/>
        </w:rPr>
      </w:pPr>
      <w:r>
        <w:rPr>
          <w:rFonts w:ascii="Calibri" w:cs="Calibri" w:eastAsia="Calibri" w:hAnsi="Calibri"/>
          <w:sz w:val="13"/>
          <w:szCs w:val="13"/>
          <w:color w:val="auto"/>
        </w:rPr>
        <w:t>For Ms. Minto and Mr. Mital, amount refects our reimbursement to the director for fees associated with tax preparer services.</w:t>
      </w:r>
    </w:p>
    <w:p>
      <w:pPr>
        <w:spacing w:after="0" w:line="13" w:lineRule="exact"/>
        <w:rPr>
          <w:rFonts w:ascii="Calibri" w:cs="Calibri" w:eastAsia="Calibri" w:hAnsi="Calibri"/>
          <w:sz w:val="13"/>
          <w:szCs w:val="13"/>
          <w:color w:val="auto"/>
        </w:rPr>
      </w:pPr>
    </w:p>
    <w:p>
      <w:pPr>
        <w:ind w:left="320" w:right="120" w:hanging="4"/>
        <w:spacing w:after="0" w:line="251" w:lineRule="auto"/>
        <w:tabs>
          <w:tab w:leader="none" w:pos="494" w:val="left"/>
        </w:tabs>
        <w:numPr>
          <w:ilvl w:val="0"/>
          <w:numId w:val="58"/>
        </w:numPr>
        <w:rPr>
          <w:rFonts w:ascii="Calibri" w:cs="Calibri" w:eastAsia="Calibri" w:hAnsi="Calibri"/>
          <w:sz w:val="13"/>
          <w:szCs w:val="13"/>
          <w:color w:val="auto"/>
        </w:rPr>
      </w:pPr>
      <w:r>
        <w:rPr>
          <w:rFonts w:ascii="Calibri" w:cs="Calibri" w:eastAsia="Calibri" w:hAnsi="Calibri"/>
          <w:sz w:val="13"/>
          <w:szCs w:val="13"/>
          <w:color w:val="auto"/>
        </w:rPr>
        <w:t>Mr. Fibig joined the board efectve January 10, 2023. The value of his stock award represents a pro-rated porton of the annual equity award in respect of his service from January 10, 2023 through the Company’s 2023 annual meetng of stockholders, and the annual equity award he received in June 2023.</w:t>
      </w:r>
    </w:p>
    <w:p>
      <w:pPr>
        <w:spacing w:after="0" w:line="6" w:lineRule="exact"/>
        <w:rPr>
          <w:rFonts w:ascii="Calibri" w:cs="Calibri" w:eastAsia="Calibri" w:hAnsi="Calibri"/>
          <w:sz w:val="13"/>
          <w:szCs w:val="13"/>
          <w:color w:val="auto"/>
        </w:rPr>
      </w:pPr>
    </w:p>
    <w:p>
      <w:pPr>
        <w:ind w:left="320" w:right="100" w:hanging="4"/>
        <w:spacing w:after="0" w:line="251" w:lineRule="auto"/>
        <w:tabs>
          <w:tab w:leader="none" w:pos="494" w:val="left"/>
        </w:tabs>
        <w:numPr>
          <w:ilvl w:val="0"/>
          <w:numId w:val="58"/>
        </w:numPr>
        <w:rPr>
          <w:rFonts w:ascii="Calibri" w:cs="Calibri" w:eastAsia="Calibri" w:hAnsi="Calibri"/>
          <w:sz w:val="13"/>
          <w:szCs w:val="13"/>
          <w:color w:val="auto"/>
        </w:rPr>
      </w:pPr>
      <w:r>
        <w:rPr>
          <w:rFonts w:ascii="Calibri" w:cs="Calibri" w:eastAsia="Calibri" w:hAnsi="Calibri"/>
          <w:sz w:val="13"/>
          <w:szCs w:val="13"/>
          <w:color w:val="auto"/>
        </w:rPr>
        <w:t>Ms. Minto and Mr. Ostler retred as directors in June 2023. The amounts included in this table in respect of each such directors’ cash fees refects a pro-rated amount for the period during 2023 that each served as a director. Ms. Minto and Mr. Ostler did not receive any stock awards in respect of their 2023 service.</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58"/>
        </w:numPr>
        <w:rPr>
          <w:rFonts w:ascii="Calibri" w:cs="Calibri" w:eastAsia="Calibri" w:hAnsi="Calibri"/>
          <w:sz w:val="13"/>
          <w:szCs w:val="13"/>
          <w:color w:val="auto"/>
        </w:rPr>
      </w:pPr>
      <w:r>
        <w:rPr>
          <w:rFonts w:ascii="Calibri" w:cs="Calibri" w:eastAsia="Calibri" w:hAnsi="Calibri"/>
          <w:sz w:val="13"/>
          <w:szCs w:val="13"/>
          <w:color w:val="auto"/>
        </w:rPr>
        <w:t>Ms. Williamson joined the board in June 2023. The amount included in this table in respect of her cash fees refects a pro-rated amount for the period during 2023 that she served as director.</w:t>
      </w:r>
    </w:p>
    <w:p>
      <w:pPr>
        <w:spacing w:after="0" w:line="337"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For 2023, non-executve directors were eligible to receive an annual retainer fee in the amount of $85,000 in cash and $190,000 in equity, granted in the form of tme-based restricted stock units, valued at the tme of grant. As the non-executve Board Chair during 2023, Mr. Pandit, was eligible to receive an additonal $100,000 in restricted stock units valued at the tme of grant. New non-employee directors who join our board of directors during a calendar quarter are eligible to receive the full cash fee for such calendar quarter and a pro-rated equity grant. The chair of our Audit Commitee was eligible to receive an additonal annual fee of $12,500 in cash, and the chairs of our Compensaton and Talent Management Commitee and Nominatng and Governance Commitee were each eligible to receive an additonal annual fee of $10,000 in cash.</w:t>
      </w:r>
    </w:p>
    <w:p>
      <w:pPr>
        <w:spacing w:after="0" w:line="212"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There are no additonal fees payable for atendance at our board or commitee meetngs (whether in person, telephonic or otherwise). We make quarterly cash payments in respect of the director fees to our directors.</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2024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103</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48"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Directors who hold restricted stock units do not receive the underlying shares of common stock untl the units have vested and are setled. The restricted stock units granted to directors generally vest upon the earliest of (i) the frst anniversary of the date of grant, (ii) the date on which the director’s term on the board expires if the director is not subsequently elected to a new term and (iii) a change in control. The restricted stock units issued to each of our non-employee directors will generally setle on the earliest of (i) the director’s death, (ii) a change in control, or (iii) 180 days following the end of the director’s term on our board of directors. However, in lieu of setlement 180 days following the director’s term, a director may elect in advance that the units be setled on an alternate delivery date following the director’s service on the board, or if the director has satsfed our stock ownership guidelines, upon the vestng date of the award.</w:t>
      </w:r>
    </w:p>
    <w:p>
      <w:pPr>
        <w:spacing w:after="0" w:line="2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maintain a non-employee director stock ownership policy that requires directors to maintain stock ownership of at least fve tmes their respectve annual cash retainers (countng common stock, vested restricted stock units and unvested tme-based restricted stock units). New directors have fve years from their appointment date to atain the required stock ownership levels, whereas existng directors generally have three years to meet any increased ownership requirements as a result of annual cash retainer increases.</w:t>
      </w:r>
    </w:p>
    <w:p>
      <w:pPr>
        <w:spacing w:after="0" w:line="211"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Common stock is counted toward the ownership requirement if it is owned by or for the beneft of the director, the director’s spouse or the director’s children sharing the same household. During the applicable phase-in period, directors generally must retain at least 50% of shares delivered following the vestng of an equity award untl the ownership requirement is met. If the ownership requirement is not met at the end of the phase-in period, directors generally may not sell any shares untl the ownership requirement is met. Notwithstanding these share retenton requirements, directors may sell shares to satsfy tax obligatons arising with respect to equity awards.</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As of December 15, 2023, all applicable directors were in compliance with this policy.</w:t>
      </w:r>
    </w:p>
    <w:p>
      <w:pPr>
        <w:spacing w:after="0" w:line="210"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We updated our non-employee director compensaton program for 2024 to provide for an increase in the annual equity grant to $215,000, while maintaining a cash retainer of $85,000. The Lead Director or Independent Chair, as applicable, is also eligible to receive annually an additonal $100,000 in restricted stock units valued at the tme of grant. Additonally, the annual fees for the chairs of the Audit Commitee and Compensaton and Talent Management Commitee increased to $17,500 each and the fee for the chair of Nominatng and Governance Commitee increased to $15,000.</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104 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2024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Stock ownership of directors, executve ofcers and certain benefcial owners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Stock ownership of directors, executve ofcers and certain benefcial owners</w:t>
      </w:r>
    </w:p>
    <w:p>
      <w:pPr>
        <w:spacing w:after="0" w:line="22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Unless otherwise indicated, the table below sets forth informaton with respect to the benefcial ownership of our common stock by:</w:t>
      </w:r>
    </w:p>
    <w:p>
      <w:pPr>
        <w:spacing w:after="0" w:line="118" w:lineRule="exact"/>
        <w:rPr>
          <w:sz w:val="20"/>
          <w:szCs w:val="20"/>
          <w:color w:val="auto"/>
        </w:rPr>
      </w:pPr>
    </w:p>
    <w:p>
      <w:pPr>
        <w:ind w:left="1140" w:hanging="407"/>
        <w:spacing w:after="0"/>
        <w:tabs>
          <w:tab w:leader="none" w:pos="1140" w:val="left"/>
        </w:tabs>
        <w:numPr>
          <w:ilvl w:val="0"/>
          <w:numId w:val="59"/>
        </w:numPr>
        <w:rPr>
          <w:rFonts w:ascii="Calibri" w:cs="Calibri" w:eastAsia="Calibri" w:hAnsi="Calibri"/>
          <w:sz w:val="17"/>
          <w:szCs w:val="17"/>
          <w:color w:val="auto"/>
        </w:rPr>
      </w:pPr>
      <w:r>
        <w:rPr>
          <w:rFonts w:ascii="Calibri" w:cs="Calibri" w:eastAsia="Calibri" w:hAnsi="Calibri"/>
          <w:sz w:val="17"/>
          <w:szCs w:val="17"/>
          <w:color w:val="auto"/>
        </w:rPr>
        <w:t>each of our directors and each of our named executve ofcers individually;</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59"/>
        </w:numPr>
        <w:rPr>
          <w:rFonts w:ascii="Calibri" w:cs="Calibri" w:eastAsia="Calibri" w:hAnsi="Calibri"/>
          <w:sz w:val="17"/>
          <w:szCs w:val="17"/>
          <w:color w:val="auto"/>
        </w:rPr>
      </w:pPr>
      <w:r>
        <w:rPr>
          <w:rFonts w:ascii="Calibri" w:cs="Calibri" w:eastAsia="Calibri" w:hAnsi="Calibri"/>
          <w:sz w:val="17"/>
          <w:szCs w:val="17"/>
          <w:color w:val="auto"/>
        </w:rPr>
        <w:t>each person who is known to be the benefcial owner of more than 5% of our common stock;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59"/>
        </w:numPr>
        <w:rPr>
          <w:rFonts w:ascii="Calibri" w:cs="Calibri" w:eastAsia="Calibri" w:hAnsi="Calibri"/>
          <w:sz w:val="17"/>
          <w:szCs w:val="17"/>
          <w:color w:val="auto"/>
        </w:rPr>
      </w:pPr>
      <w:r>
        <w:rPr>
          <w:rFonts w:ascii="Calibri" w:cs="Calibri" w:eastAsia="Calibri" w:hAnsi="Calibri"/>
          <w:sz w:val="17"/>
          <w:szCs w:val="17"/>
          <w:color w:val="auto"/>
        </w:rPr>
        <w:t>all of our current directors and current executve ofcers (i.e., not just named executve ofcers) as a group.</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amounts and percentages of common stock benefcially owned below are as of March 31, 2024 (the “Determinaton Date”) and are reported on the basis of the regulatons of the SEC governing the determinaton of benefcial ownership of securites. Under these rules, a person is deemed to be a benefcial owner of a security if that person has or shares votng power, which includes the power to vote or to direct the votng of such security, or investment power, which includes the power to dispose of or to direct the dispositon of such security. A person is also deemed to be a benefcial owner of any securites of which that person has a right to acquire benefcial ownership within 60 days of the Determinaton Date. Under these rules, more than one person may be deemed to be a benefcial owner of the same securites. Except as otherwise indicated below, each of the persons named in the table has sole votng and investment power with respect to the securites benefcially owned by such person as set forth opposite such person’s name.</w:t>
      </w:r>
    </w:p>
    <w:p>
      <w:pPr>
        <w:spacing w:after="0" w:line="237" w:lineRule="exact"/>
        <w:rPr>
          <w:sz w:val="20"/>
          <w:szCs w:val="20"/>
          <w:color w:val="auto"/>
        </w:rPr>
      </w:pPr>
    </w:p>
    <w:tbl>
      <w:tblPr>
        <w:tblLayout w:type="fixed"/>
        <w:tblInd w:w="540" w:type="dxa"/>
        <w:tblCellMar>
          <w:top w:w="0" w:type="dxa"/>
          <w:left w:w="0" w:type="dxa"/>
          <w:bottom w:w="0" w:type="dxa"/>
          <w:right w:w="0" w:type="dxa"/>
        </w:tblCellMar>
      </w:tblPr>
      <w:tr>
        <w:trPr>
          <w:trHeight w:val="208"/>
        </w:trPr>
        <w:tc>
          <w:tcPr>
            <w:tcW w:w="5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20" w:type="dxa"/>
            <w:vAlign w:val="bottom"/>
          </w:tcPr>
          <w:p>
            <w:pPr>
              <w:jc w:val="right"/>
              <w:ind w:right="341"/>
              <w:spacing w:after="0"/>
              <w:rPr>
                <w:sz w:val="20"/>
                <w:szCs w:val="20"/>
                <w:color w:val="auto"/>
              </w:rPr>
            </w:pPr>
            <w:r>
              <w:rPr>
                <w:rFonts w:ascii="Calibri" w:cs="Calibri" w:eastAsia="Calibri" w:hAnsi="Calibri"/>
                <w:sz w:val="17"/>
                <w:szCs w:val="17"/>
                <w:b w:val="1"/>
                <w:bCs w:val="1"/>
                <w:color w:val="auto"/>
              </w:rPr>
              <w:t>Vested but</w:t>
            </w:r>
          </w:p>
        </w:tc>
        <w:tc>
          <w:tcPr>
            <w:tcW w:w="1000" w:type="dxa"/>
            <w:vAlign w:val="bottom"/>
          </w:tcPr>
          <w:p>
            <w:pPr>
              <w:spacing w:after="0"/>
              <w:rPr>
                <w:sz w:val="18"/>
                <w:szCs w:val="18"/>
                <w:color w:val="auto"/>
              </w:rPr>
            </w:pPr>
          </w:p>
        </w:tc>
      </w:tr>
      <w:tr>
        <w:trPr>
          <w:trHeight w:val="341"/>
        </w:trPr>
        <w:tc>
          <w:tcPr>
            <w:tcW w:w="5240" w:type="dxa"/>
            <w:vAlign w:val="bottom"/>
            <w:tcBorders>
              <w:bottom w:val="single" w:sz="8" w:color="FB4E0B"/>
            </w:tcBorders>
          </w:tcPr>
          <w:p>
            <w:pPr>
              <w:ind w:left="340"/>
              <w:spacing w:after="0"/>
              <w:rPr>
                <w:sz w:val="20"/>
                <w:szCs w:val="20"/>
                <w:color w:val="auto"/>
              </w:rPr>
            </w:pPr>
            <w:r>
              <w:rPr>
                <w:rFonts w:ascii="Calibri" w:cs="Calibri" w:eastAsia="Calibri" w:hAnsi="Calibri"/>
                <w:sz w:val="17"/>
                <w:szCs w:val="17"/>
                <w:b w:val="1"/>
                <w:bCs w:val="1"/>
                <w:color w:val="auto"/>
              </w:rPr>
              <w:t>Name and address</w:t>
            </w:r>
            <w:r>
              <w:rPr>
                <w:rFonts w:ascii="Calibri" w:cs="Calibri" w:eastAsia="Calibri" w:hAnsi="Calibri"/>
                <w:sz w:val="13"/>
                <w:szCs w:val="13"/>
                <w:b w:val="1"/>
                <w:bCs w:val="1"/>
                <w:color w:val="auto"/>
              </w:rPr>
              <w:t>(1)</w:t>
            </w:r>
          </w:p>
        </w:tc>
        <w:tc>
          <w:tcPr>
            <w:tcW w:w="1540" w:type="dxa"/>
            <w:vAlign w:val="bottom"/>
            <w:tcBorders>
              <w:bottom w:val="single" w:sz="8" w:color="FB4E0B"/>
            </w:tcBorders>
          </w:tcPr>
          <w:p>
            <w:pPr>
              <w:jc w:val="right"/>
              <w:ind w:right="361"/>
              <w:spacing w:after="0"/>
              <w:rPr>
                <w:sz w:val="20"/>
                <w:szCs w:val="20"/>
                <w:color w:val="auto"/>
              </w:rPr>
            </w:pPr>
            <w:r>
              <w:rPr>
                <w:rFonts w:ascii="Calibri" w:cs="Calibri" w:eastAsia="Calibri" w:hAnsi="Calibri"/>
                <w:sz w:val="17"/>
                <w:szCs w:val="17"/>
                <w:b w:val="1"/>
                <w:bCs w:val="1"/>
                <w:color w:val="auto"/>
              </w:rPr>
              <w:t>Shares</w:t>
            </w:r>
          </w:p>
        </w:tc>
        <w:tc>
          <w:tcPr>
            <w:tcW w:w="780" w:type="dxa"/>
            <w:vAlign w:val="bottom"/>
            <w:tcBorders>
              <w:bottom w:val="single" w:sz="8" w:color="FB4E0B"/>
            </w:tcBorders>
          </w:tcPr>
          <w:p>
            <w:pPr>
              <w:jc w:val="right"/>
              <w:ind w:right="223"/>
              <w:spacing w:after="0" w:line="334" w:lineRule="exact"/>
              <w:rPr>
                <w:sz w:val="20"/>
                <w:szCs w:val="20"/>
                <w:color w:val="auto"/>
              </w:rPr>
            </w:pPr>
            <w:r>
              <w:rPr>
                <w:rFonts w:ascii="Calibri" w:cs="Calibri" w:eastAsia="Calibri" w:hAnsi="Calibri"/>
                <w:sz w:val="34"/>
                <w:szCs w:val="34"/>
                <w:b w:val="1"/>
                <w:bCs w:val="1"/>
                <w:color w:val="auto"/>
                <w:vertAlign w:val="subscript"/>
              </w:rPr>
              <w:t>%</w:t>
            </w:r>
            <w:r>
              <w:rPr>
                <w:rFonts w:ascii="Calibri" w:cs="Calibri" w:eastAsia="Calibri" w:hAnsi="Calibri"/>
                <w:sz w:val="13"/>
                <w:szCs w:val="13"/>
                <w:b w:val="1"/>
                <w:bCs w:val="1"/>
                <w:color w:val="auto"/>
              </w:rPr>
              <w:t>(2)</w:t>
            </w:r>
          </w:p>
        </w:tc>
        <w:tc>
          <w:tcPr>
            <w:tcW w:w="1620" w:type="dxa"/>
            <w:vAlign w:val="bottom"/>
            <w:tcBorders>
              <w:bottom w:val="single" w:sz="8" w:color="FB4E0B"/>
            </w:tcBorders>
          </w:tcPr>
          <w:p>
            <w:pPr>
              <w:jc w:val="right"/>
              <w:ind w:right="121"/>
              <w:spacing w:after="0"/>
              <w:rPr>
                <w:sz w:val="20"/>
                <w:szCs w:val="20"/>
                <w:color w:val="auto"/>
              </w:rPr>
            </w:pPr>
            <w:r>
              <w:rPr>
                <w:rFonts w:ascii="Calibri" w:cs="Calibri" w:eastAsia="Calibri" w:hAnsi="Calibri"/>
                <w:sz w:val="17"/>
                <w:szCs w:val="17"/>
                <w:b w:val="1"/>
                <w:bCs w:val="1"/>
                <w:color w:val="auto"/>
              </w:rPr>
              <w:t>unsetled RSUs</w:t>
            </w:r>
            <w:r>
              <w:rPr>
                <w:rFonts w:ascii="Calibri" w:cs="Calibri" w:eastAsia="Calibri" w:hAnsi="Calibri"/>
                <w:sz w:val="13"/>
                <w:szCs w:val="13"/>
                <w:b w:val="1"/>
                <w:bCs w:val="1"/>
                <w:color w:val="auto"/>
              </w:rPr>
              <w:t>(3)</w:t>
            </w:r>
          </w:p>
        </w:tc>
        <w:tc>
          <w:tcPr>
            <w:tcW w:w="1000" w:type="dxa"/>
            <w:vAlign w:val="bottom"/>
            <w:tcBorders>
              <w:bottom w:val="single" w:sz="8" w:color="FB4E0B"/>
            </w:tcBorders>
          </w:tcPr>
          <w:p>
            <w:pPr>
              <w:jc w:val="right"/>
              <w:ind w:right="281"/>
              <w:spacing w:after="0"/>
              <w:rPr>
                <w:sz w:val="20"/>
                <w:szCs w:val="20"/>
                <w:color w:val="auto"/>
              </w:rPr>
            </w:pPr>
            <w:r>
              <w:rPr>
                <w:rFonts w:ascii="Calibri" w:cs="Calibri" w:eastAsia="Calibri" w:hAnsi="Calibri"/>
                <w:sz w:val="17"/>
                <w:szCs w:val="17"/>
                <w:b w:val="1"/>
                <w:bCs w:val="1"/>
                <w:color w:val="auto"/>
              </w:rPr>
              <w:t>Total</w:t>
            </w:r>
          </w:p>
        </w:tc>
      </w:tr>
      <w:tr>
        <w:trPr>
          <w:trHeight w:val="259"/>
        </w:trPr>
        <w:tc>
          <w:tcPr>
            <w:tcW w:w="5240" w:type="dxa"/>
            <w:vAlign w:val="bottom"/>
          </w:tcPr>
          <w:p>
            <w:pPr>
              <w:ind w:left="340"/>
              <w:spacing w:after="0"/>
              <w:rPr>
                <w:sz w:val="20"/>
                <w:szCs w:val="20"/>
                <w:color w:val="auto"/>
              </w:rPr>
            </w:pPr>
            <w:r>
              <w:rPr>
                <w:rFonts w:ascii="Calibri" w:cs="Calibri" w:eastAsia="Calibri" w:hAnsi="Calibri"/>
                <w:sz w:val="16"/>
                <w:szCs w:val="16"/>
                <w:b w:val="1"/>
                <w:bCs w:val="1"/>
                <w:color w:val="FB4E0B"/>
              </w:rPr>
              <w:t>Named Executve Ofcers</w:t>
            </w:r>
          </w:p>
        </w:tc>
        <w:tc>
          <w:tcPr>
            <w:tcW w:w="1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105"/>
        </w:trPr>
        <w:tc>
          <w:tcPr>
            <w:tcW w:w="52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348"/>
        </w:trPr>
        <w:tc>
          <w:tcPr>
            <w:tcW w:w="5240" w:type="dxa"/>
            <w:vAlign w:val="bottom"/>
          </w:tcPr>
          <w:p>
            <w:pPr>
              <w:ind w:left="340"/>
              <w:spacing w:after="0"/>
              <w:rPr>
                <w:sz w:val="20"/>
                <w:szCs w:val="20"/>
                <w:color w:val="auto"/>
              </w:rPr>
            </w:pPr>
            <w:r>
              <w:rPr>
                <w:rFonts w:ascii="Calibri" w:cs="Calibri" w:eastAsia="Calibri" w:hAnsi="Calibri"/>
                <w:sz w:val="16"/>
                <w:szCs w:val="16"/>
                <w:color w:val="auto"/>
              </w:rPr>
              <w:t>Rohit Kapoor</w:t>
            </w:r>
          </w:p>
        </w:tc>
        <w:tc>
          <w:tcPr>
            <w:tcW w:w="1540" w:type="dxa"/>
            <w:vAlign w:val="bottom"/>
          </w:tcPr>
          <w:p>
            <w:pPr>
              <w:jc w:val="right"/>
              <w:ind w:right="121"/>
              <w:spacing w:after="0"/>
              <w:rPr>
                <w:sz w:val="20"/>
                <w:szCs w:val="20"/>
                <w:color w:val="auto"/>
              </w:rPr>
            </w:pPr>
            <w:r>
              <w:rPr>
                <w:rFonts w:ascii="Calibri" w:cs="Calibri" w:eastAsia="Calibri" w:hAnsi="Calibri"/>
                <w:sz w:val="16"/>
                <w:szCs w:val="16"/>
                <w:color w:val="auto"/>
              </w:rPr>
              <w:t>4,225,755</w:t>
            </w:r>
            <w:r>
              <w:rPr>
                <w:rFonts w:ascii="Calibri" w:cs="Calibri" w:eastAsia="Calibri" w:hAnsi="Calibri"/>
                <w:sz w:val="23"/>
                <w:szCs w:val="23"/>
                <w:color w:val="auto"/>
                <w:vertAlign w:val="superscript"/>
              </w:rPr>
              <w:t>(4)</w:t>
            </w:r>
          </w:p>
        </w:tc>
        <w:tc>
          <w:tcPr>
            <w:tcW w:w="780" w:type="dxa"/>
            <w:vAlign w:val="bottom"/>
          </w:tcPr>
          <w:p>
            <w:pPr>
              <w:jc w:val="right"/>
              <w:ind w:right="123"/>
              <w:spacing w:after="0"/>
              <w:rPr>
                <w:sz w:val="20"/>
                <w:szCs w:val="20"/>
                <w:color w:val="auto"/>
              </w:rPr>
            </w:pPr>
            <w:r>
              <w:rPr>
                <w:rFonts w:ascii="Calibri" w:cs="Calibri" w:eastAsia="Calibri" w:hAnsi="Calibri"/>
                <w:sz w:val="16"/>
                <w:szCs w:val="16"/>
                <w:color w:val="auto"/>
              </w:rPr>
              <w:t>2.60%</w:t>
            </w:r>
          </w:p>
        </w:tc>
        <w:tc>
          <w:tcPr>
            <w:tcW w:w="1620" w:type="dxa"/>
            <w:vAlign w:val="bottom"/>
          </w:tcPr>
          <w:p>
            <w:pPr>
              <w:jc w:val="right"/>
              <w:ind w:right="121"/>
              <w:spacing w:after="0"/>
              <w:rPr>
                <w:sz w:val="20"/>
                <w:szCs w:val="20"/>
                <w:color w:val="auto"/>
              </w:rPr>
            </w:pPr>
            <w:r>
              <w:rPr>
                <w:rFonts w:ascii="Calibri" w:cs="Calibri" w:eastAsia="Calibri" w:hAnsi="Calibri"/>
                <w:sz w:val="16"/>
                <w:szCs w:val="16"/>
                <w:color w:val="auto"/>
              </w:rPr>
              <w:t>—</w:t>
            </w:r>
          </w:p>
        </w:tc>
        <w:tc>
          <w:tcPr>
            <w:tcW w:w="1000" w:type="dxa"/>
            <w:vAlign w:val="bottom"/>
          </w:tcPr>
          <w:p>
            <w:pPr>
              <w:jc w:val="right"/>
              <w:ind w:right="101"/>
              <w:spacing w:after="0"/>
              <w:rPr>
                <w:sz w:val="20"/>
                <w:szCs w:val="20"/>
                <w:color w:val="auto"/>
              </w:rPr>
            </w:pPr>
            <w:r>
              <w:rPr>
                <w:rFonts w:ascii="Calibri" w:cs="Calibri" w:eastAsia="Calibri" w:hAnsi="Calibri"/>
                <w:sz w:val="16"/>
                <w:szCs w:val="16"/>
                <w:color w:val="auto"/>
              </w:rPr>
              <w:t>4,225,755</w:t>
            </w:r>
          </w:p>
        </w:tc>
      </w:tr>
      <w:tr>
        <w:trPr>
          <w:trHeight w:val="256"/>
        </w:trPr>
        <w:tc>
          <w:tcPr>
            <w:tcW w:w="5240" w:type="dxa"/>
            <w:vAlign w:val="bottom"/>
          </w:tcPr>
          <w:p>
            <w:pPr>
              <w:ind w:left="340"/>
              <w:spacing w:after="0"/>
              <w:rPr>
                <w:sz w:val="20"/>
                <w:szCs w:val="20"/>
                <w:color w:val="auto"/>
              </w:rPr>
            </w:pPr>
            <w:r>
              <w:rPr>
                <w:rFonts w:ascii="Calibri" w:cs="Calibri" w:eastAsia="Calibri" w:hAnsi="Calibri"/>
                <w:sz w:val="16"/>
                <w:szCs w:val="16"/>
                <w:color w:val="auto"/>
              </w:rPr>
              <w:t>Maurizio Nicolelli</w:t>
            </w:r>
          </w:p>
        </w:tc>
        <w:tc>
          <w:tcPr>
            <w:tcW w:w="1540" w:type="dxa"/>
            <w:vAlign w:val="bottom"/>
          </w:tcPr>
          <w:p>
            <w:pPr>
              <w:jc w:val="right"/>
              <w:ind w:right="241"/>
              <w:spacing w:after="0"/>
              <w:rPr>
                <w:sz w:val="20"/>
                <w:szCs w:val="20"/>
                <w:color w:val="auto"/>
              </w:rPr>
            </w:pPr>
            <w:r>
              <w:rPr>
                <w:rFonts w:ascii="Calibri" w:cs="Calibri" w:eastAsia="Calibri" w:hAnsi="Calibri"/>
                <w:sz w:val="16"/>
                <w:szCs w:val="16"/>
                <w:color w:val="auto"/>
              </w:rPr>
              <w:t>150,985</w:t>
            </w:r>
          </w:p>
        </w:tc>
        <w:tc>
          <w:tcPr>
            <w:tcW w:w="78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20" w:type="dxa"/>
            <w:vAlign w:val="bottom"/>
          </w:tcPr>
          <w:p>
            <w:pPr>
              <w:jc w:val="right"/>
              <w:ind w:right="121"/>
              <w:spacing w:after="0"/>
              <w:rPr>
                <w:sz w:val="20"/>
                <w:szCs w:val="20"/>
                <w:color w:val="auto"/>
              </w:rPr>
            </w:pPr>
            <w:r>
              <w:rPr>
                <w:rFonts w:ascii="Calibri" w:cs="Calibri" w:eastAsia="Calibri" w:hAnsi="Calibri"/>
                <w:sz w:val="16"/>
                <w:szCs w:val="16"/>
                <w:color w:val="auto"/>
              </w:rPr>
              <w:t>—</w:t>
            </w:r>
          </w:p>
        </w:tc>
        <w:tc>
          <w:tcPr>
            <w:tcW w:w="1000" w:type="dxa"/>
            <w:vAlign w:val="bottom"/>
          </w:tcPr>
          <w:p>
            <w:pPr>
              <w:jc w:val="right"/>
              <w:ind w:right="101"/>
              <w:spacing w:after="0"/>
              <w:rPr>
                <w:sz w:val="20"/>
                <w:szCs w:val="20"/>
                <w:color w:val="auto"/>
              </w:rPr>
            </w:pPr>
            <w:r>
              <w:rPr>
                <w:rFonts w:ascii="Calibri" w:cs="Calibri" w:eastAsia="Calibri" w:hAnsi="Calibri"/>
                <w:sz w:val="16"/>
                <w:szCs w:val="16"/>
                <w:color w:val="auto"/>
              </w:rPr>
              <w:t>150,985</w:t>
            </w:r>
          </w:p>
        </w:tc>
      </w:tr>
      <w:tr>
        <w:trPr>
          <w:trHeight w:val="351"/>
        </w:trPr>
        <w:tc>
          <w:tcPr>
            <w:tcW w:w="5240" w:type="dxa"/>
            <w:vAlign w:val="bottom"/>
          </w:tcPr>
          <w:p>
            <w:pPr>
              <w:ind w:left="340"/>
              <w:spacing w:after="0"/>
              <w:rPr>
                <w:sz w:val="20"/>
                <w:szCs w:val="20"/>
                <w:color w:val="auto"/>
              </w:rPr>
            </w:pPr>
            <w:r>
              <w:rPr>
                <w:rFonts w:ascii="Calibri" w:cs="Calibri" w:eastAsia="Calibri" w:hAnsi="Calibri"/>
                <w:sz w:val="16"/>
                <w:szCs w:val="16"/>
                <w:color w:val="auto"/>
              </w:rPr>
              <w:t>Vikas Bhalla</w:t>
            </w:r>
          </w:p>
        </w:tc>
        <w:tc>
          <w:tcPr>
            <w:tcW w:w="1540" w:type="dxa"/>
            <w:vAlign w:val="bottom"/>
          </w:tcPr>
          <w:p>
            <w:pPr>
              <w:jc w:val="right"/>
              <w:ind w:right="241"/>
              <w:spacing w:after="0"/>
              <w:rPr>
                <w:sz w:val="20"/>
                <w:szCs w:val="20"/>
                <w:color w:val="auto"/>
              </w:rPr>
            </w:pPr>
            <w:r>
              <w:rPr>
                <w:rFonts w:ascii="Calibri" w:cs="Calibri" w:eastAsia="Calibri" w:hAnsi="Calibri"/>
                <w:sz w:val="16"/>
                <w:szCs w:val="16"/>
                <w:color w:val="auto"/>
              </w:rPr>
              <w:t>127,046</w:t>
            </w:r>
          </w:p>
        </w:tc>
        <w:tc>
          <w:tcPr>
            <w:tcW w:w="78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20" w:type="dxa"/>
            <w:vAlign w:val="bottom"/>
          </w:tcPr>
          <w:p>
            <w:pPr>
              <w:jc w:val="right"/>
              <w:ind w:right="121"/>
              <w:spacing w:after="0"/>
              <w:rPr>
                <w:sz w:val="20"/>
                <w:szCs w:val="20"/>
                <w:color w:val="auto"/>
              </w:rPr>
            </w:pPr>
            <w:r>
              <w:rPr>
                <w:rFonts w:ascii="Calibri" w:cs="Calibri" w:eastAsia="Calibri" w:hAnsi="Calibri"/>
                <w:sz w:val="16"/>
                <w:szCs w:val="16"/>
                <w:color w:val="auto"/>
              </w:rPr>
              <w:t>—</w:t>
            </w:r>
          </w:p>
        </w:tc>
        <w:tc>
          <w:tcPr>
            <w:tcW w:w="1000" w:type="dxa"/>
            <w:vAlign w:val="bottom"/>
          </w:tcPr>
          <w:p>
            <w:pPr>
              <w:jc w:val="right"/>
              <w:ind w:right="101"/>
              <w:spacing w:after="0"/>
              <w:rPr>
                <w:sz w:val="20"/>
                <w:szCs w:val="20"/>
                <w:color w:val="auto"/>
              </w:rPr>
            </w:pPr>
            <w:r>
              <w:rPr>
                <w:rFonts w:ascii="Calibri" w:cs="Calibri" w:eastAsia="Calibri" w:hAnsi="Calibri"/>
                <w:sz w:val="16"/>
                <w:szCs w:val="16"/>
                <w:color w:val="auto"/>
              </w:rPr>
              <w:t>127,046</w:t>
            </w:r>
          </w:p>
        </w:tc>
      </w:tr>
      <w:tr>
        <w:trPr>
          <w:trHeight w:val="351"/>
        </w:trPr>
        <w:tc>
          <w:tcPr>
            <w:tcW w:w="5240" w:type="dxa"/>
            <w:vAlign w:val="bottom"/>
          </w:tcPr>
          <w:p>
            <w:pPr>
              <w:ind w:left="340"/>
              <w:spacing w:after="0"/>
              <w:rPr>
                <w:sz w:val="20"/>
                <w:szCs w:val="20"/>
                <w:color w:val="auto"/>
              </w:rPr>
            </w:pPr>
            <w:r>
              <w:rPr>
                <w:rFonts w:ascii="Calibri" w:cs="Calibri" w:eastAsia="Calibri" w:hAnsi="Calibri"/>
                <w:sz w:val="16"/>
                <w:szCs w:val="16"/>
                <w:color w:val="auto"/>
              </w:rPr>
              <w:t>Vivek Jetley</w:t>
            </w:r>
          </w:p>
        </w:tc>
        <w:tc>
          <w:tcPr>
            <w:tcW w:w="1540" w:type="dxa"/>
            <w:vAlign w:val="bottom"/>
          </w:tcPr>
          <w:p>
            <w:pPr>
              <w:jc w:val="right"/>
              <w:ind w:right="241"/>
              <w:spacing w:after="0"/>
              <w:rPr>
                <w:sz w:val="20"/>
                <w:szCs w:val="20"/>
                <w:color w:val="auto"/>
              </w:rPr>
            </w:pPr>
            <w:r>
              <w:rPr>
                <w:rFonts w:ascii="Calibri" w:cs="Calibri" w:eastAsia="Calibri" w:hAnsi="Calibri"/>
                <w:sz w:val="16"/>
                <w:szCs w:val="16"/>
                <w:color w:val="auto"/>
              </w:rPr>
              <w:t>337,847</w:t>
            </w:r>
          </w:p>
        </w:tc>
        <w:tc>
          <w:tcPr>
            <w:tcW w:w="78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20" w:type="dxa"/>
            <w:vAlign w:val="bottom"/>
          </w:tcPr>
          <w:p>
            <w:pPr>
              <w:jc w:val="right"/>
              <w:ind w:right="121"/>
              <w:spacing w:after="0"/>
              <w:rPr>
                <w:sz w:val="20"/>
                <w:szCs w:val="20"/>
                <w:color w:val="auto"/>
              </w:rPr>
            </w:pPr>
            <w:r>
              <w:rPr>
                <w:rFonts w:ascii="Calibri" w:cs="Calibri" w:eastAsia="Calibri" w:hAnsi="Calibri"/>
                <w:sz w:val="16"/>
                <w:szCs w:val="16"/>
                <w:color w:val="auto"/>
              </w:rPr>
              <w:t>—</w:t>
            </w:r>
          </w:p>
        </w:tc>
        <w:tc>
          <w:tcPr>
            <w:tcW w:w="1000" w:type="dxa"/>
            <w:vAlign w:val="bottom"/>
          </w:tcPr>
          <w:p>
            <w:pPr>
              <w:jc w:val="right"/>
              <w:ind w:right="101"/>
              <w:spacing w:after="0"/>
              <w:rPr>
                <w:sz w:val="20"/>
                <w:szCs w:val="20"/>
                <w:color w:val="auto"/>
              </w:rPr>
            </w:pPr>
            <w:r>
              <w:rPr>
                <w:rFonts w:ascii="Calibri" w:cs="Calibri" w:eastAsia="Calibri" w:hAnsi="Calibri"/>
                <w:sz w:val="16"/>
                <w:szCs w:val="16"/>
                <w:color w:val="auto"/>
              </w:rPr>
              <w:t>337,847</w:t>
            </w:r>
          </w:p>
        </w:tc>
      </w:tr>
      <w:tr>
        <w:trPr>
          <w:trHeight w:val="351"/>
        </w:trPr>
        <w:tc>
          <w:tcPr>
            <w:tcW w:w="5240" w:type="dxa"/>
            <w:vAlign w:val="bottom"/>
          </w:tcPr>
          <w:p>
            <w:pPr>
              <w:ind w:left="340"/>
              <w:spacing w:after="0"/>
              <w:rPr>
                <w:sz w:val="20"/>
                <w:szCs w:val="20"/>
                <w:color w:val="auto"/>
              </w:rPr>
            </w:pPr>
            <w:r>
              <w:rPr>
                <w:rFonts w:ascii="Calibri" w:cs="Calibri" w:eastAsia="Calibri" w:hAnsi="Calibri"/>
                <w:sz w:val="16"/>
                <w:szCs w:val="16"/>
                <w:color w:val="auto"/>
              </w:rPr>
              <w:t>Anita M. Mahon</w:t>
            </w:r>
          </w:p>
        </w:tc>
        <w:tc>
          <w:tcPr>
            <w:tcW w:w="1540" w:type="dxa"/>
            <w:vAlign w:val="bottom"/>
          </w:tcPr>
          <w:p>
            <w:pPr>
              <w:jc w:val="right"/>
              <w:ind w:right="241"/>
              <w:spacing w:after="0"/>
              <w:rPr>
                <w:sz w:val="20"/>
                <w:szCs w:val="20"/>
                <w:color w:val="auto"/>
              </w:rPr>
            </w:pPr>
            <w:r>
              <w:rPr>
                <w:rFonts w:ascii="Calibri" w:cs="Calibri" w:eastAsia="Calibri" w:hAnsi="Calibri"/>
                <w:sz w:val="16"/>
                <w:szCs w:val="16"/>
                <w:color w:val="auto"/>
              </w:rPr>
              <w:t>94,527</w:t>
            </w:r>
          </w:p>
        </w:tc>
        <w:tc>
          <w:tcPr>
            <w:tcW w:w="78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20" w:type="dxa"/>
            <w:vAlign w:val="bottom"/>
          </w:tcPr>
          <w:p>
            <w:pPr>
              <w:jc w:val="right"/>
              <w:ind w:right="121"/>
              <w:spacing w:after="0"/>
              <w:rPr>
                <w:sz w:val="20"/>
                <w:szCs w:val="20"/>
                <w:color w:val="auto"/>
              </w:rPr>
            </w:pPr>
            <w:r>
              <w:rPr>
                <w:rFonts w:ascii="Calibri" w:cs="Calibri" w:eastAsia="Calibri" w:hAnsi="Calibri"/>
                <w:sz w:val="16"/>
                <w:szCs w:val="16"/>
                <w:color w:val="auto"/>
              </w:rPr>
              <w:t>—</w:t>
            </w:r>
          </w:p>
        </w:tc>
        <w:tc>
          <w:tcPr>
            <w:tcW w:w="1000" w:type="dxa"/>
            <w:vAlign w:val="bottom"/>
          </w:tcPr>
          <w:p>
            <w:pPr>
              <w:jc w:val="right"/>
              <w:ind w:right="101"/>
              <w:spacing w:after="0"/>
              <w:rPr>
                <w:sz w:val="20"/>
                <w:szCs w:val="20"/>
                <w:color w:val="auto"/>
              </w:rPr>
            </w:pPr>
            <w:r>
              <w:rPr>
                <w:rFonts w:ascii="Calibri" w:cs="Calibri" w:eastAsia="Calibri" w:hAnsi="Calibri"/>
                <w:sz w:val="16"/>
                <w:szCs w:val="16"/>
                <w:color w:val="auto"/>
              </w:rPr>
              <w:t>94,527</w:t>
            </w:r>
          </w:p>
        </w:tc>
      </w:tr>
      <w:tr>
        <w:trPr>
          <w:trHeight w:val="377"/>
        </w:trPr>
        <w:tc>
          <w:tcPr>
            <w:tcW w:w="5240" w:type="dxa"/>
            <w:vAlign w:val="bottom"/>
          </w:tcPr>
          <w:p>
            <w:pPr>
              <w:ind w:left="340"/>
              <w:spacing w:after="0"/>
              <w:rPr>
                <w:sz w:val="20"/>
                <w:szCs w:val="20"/>
                <w:color w:val="auto"/>
              </w:rPr>
            </w:pPr>
            <w:r>
              <w:rPr>
                <w:rFonts w:ascii="Calibri" w:cs="Calibri" w:eastAsia="Calibri" w:hAnsi="Calibri"/>
                <w:sz w:val="16"/>
                <w:szCs w:val="16"/>
                <w:b w:val="1"/>
                <w:bCs w:val="1"/>
                <w:color w:val="FB4E0B"/>
              </w:rPr>
              <w:t>Directors</w:t>
            </w: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5"/>
        </w:trPr>
        <w:tc>
          <w:tcPr>
            <w:tcW w:w="52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252"/>
        </w:trPr>
        <w:tc>
          <w:tcPr>
            <w:tcW w:w="5240" w:type="dxa"/>
            <w:vAlign w:val="bottom"/>
          </w:tcPr>
          <w:p>
            <w:pPr>
              <w:ind w:left="340"/>
              <w:spacing w:after="0"/>
              <w:rPr>
                <w:sz w:val="20"/>
                <w:szCs w:val="20"/>
                <w:color w:val="auto"/>
              </w:rPr>
            </w:pPr>
            <w:r>
              <w:rPr>
                <w:rFonts w:ascii="Calibri" w:cs="Calibri" w:eastAsia="Calibri" w:hAnsi="Calibri"/>
                <w:sz w:val="16"/>
                <w:szCs w:val="16"/>
                <w:color w:val="auto"/>
              </w:rPr>
              <w:t>Thomas Bartlet</w:t>
            </w:r>
          </w:p>
        </w:tc>
        <w:tc>
          <w:tcPr>
            <w:tcW w:w="1540" w:type="dxa"/>
            <w:vAlign w:val="bottom"/>
          </w:tcPr>
          <w:p>
            <w:pPr>
              <w:jc w:val="right"/>
              <w:ind w:right="241"/>
              <w:spacing w:after="0"/>
              <w:rPr>
                <w:sz w:val="20"/>
                <w:szCs w:val="20"/>
                <w:color w:val="auto"/>
              </w:rPr>
            </w:pPr>
            <w:r>
              <w:rPr>
                <w:rFonts w:ascii="Calibri" w:cs="Calibri" w:eastAsia="Calibri" w:hAnsi="Calibri"/>
                <w:sz w:val="16"/>
                <w:szCs w:val="16"/>
                <w:color w:val="auto"/>
              </w:rPr>
              <w:t>—</w:t>
            </w:r>
          </w:p>
        </w:tc>
        <w:tc>
          <w:tcPr>
            <w:tcW w:w="780" w:type="dxa"/>
            <w:vAlign w:val="bottom"/>
          </w:tcPr>
          <w:p>
            <w:pPr>
              <w:jc w:val="center"/>
              <w:spacing w:after="0"/>
              <w:rPr>
                <w:sz w:val="20"/>
                <w:szCs w:val="20"/>
                <w:color w:val="auto"/>
              </w:rPr>
            </w:pPr>
            <w:r>
              <w:rPr>
                <w:rFonts w:ascii="Calibri" w:cs="Calibri" w:eastAsia="Calibri" w:hAnsi="Calibri"/>
                <w:sz w:val="16"/>
                <w:szCs w:val="16"/>
                <w:color w:val="auto"/>
                <w:w w:val="96"/>
              </w:rPr>
              <w:t>—</w:t>
            </w:r>
          </w:p>
        </w:tc>
        <w:tc>
          <w:tcPr>
            <w:tcW w:w="1620" w:type="dxa"/>
            <w:vAlign w:val="bottom"/>
          </w:tcPr>
          <w:p>
            <w:pPr>
              <w:jc w:val="right"/>
              <w:ind w:right="121"/>
              <w:spacing w:after="0"/>
              <w:rPr>
                <w:sz w:val="20"/>
                <w:szCs w:val="20"/>
                <w:color w:val="auto"/>
              </w:rPr>
            </w:pPr>
            <w:r>
              <w:rPr>
                <w:rFonts w:ascii="Calibri" w:cs="Calibri" w:eastAsia="Calibri" w:hAnsi="Calibri"/>
                <w:sz w:val="16"/>
                <w:szCs w:val="16"/>
                <w:color w:val="auto"/>
              </w:rPr>
              <w:t>—</w:t>
            </w:r>
          </w:p>
        </w:tc>
        <w:tc>
          <w:tcPr>
            <w:tcW w:w="1000" w:type="dxa"/>
            <w:vAlign w:val="bottom"/>
          </w:tcPr>
          <w:p>
            <w:pPr>
              <w:jc w:val="right"/>
              <w:ind w:right="101"/>
              <w:spacing w:after="0"/>
              <w:rPr>
                <w:sz w:val="20"/>
                <w:szCs w:val="20"/>
                <w:color w:val="auto"/>
              </w:rPr>
            </w:pPr>
            <w:r>
              <w:rPr>
                <w:rFonts w:ascii="Calibri" w:cs="Calibri" w:eastAsia="Calibri" w:hAnsi="Calibri"/>
                <w:sz w:val="16"/>
                <w:szCs w:val="16"/>
                <w:color w:val="auto"/>
              </w:rPr>
              <w:t>—</w:t>
            </w:r>
          </w:p>
        </w:tc>
      </w:tr>
      <w:tr>
        <w:trPr>
          <w:trHeight w:val="351"/>
        </w:trPr>
        <w:tc>
          <w:tcPr>
            <w:tcW w:w="5240" w:type="dxa"/>
            <w:vAlign w:val="bottom"/>
          </w:tcPr>
          <w:p>
            <w:pPr>
              <w:ind w:left="340"/>
              <w:spacing w:after="0"/>
              <w:rPr>
                <w:sz w:val="20"/>
                <w:szCs w:val="20"/>
                <w:color w:val="auto"/>
              </w:rPr>
            </w:pPr>
            <w:r>
              <w:rPr>
                <w:rFonts w:ascii="Calibri" w:cs="Calibri" w:eastAsia="Calibri" w:hAnsi="Calibri"/>
                <w:sz w:val="16"/>
                <w:szCs w:val="16"/>
                <w:color w:val="auto"/>
              </w:rPr>
              <w:t>Andreas Fibig</w:t>
            </w:r>
          </w:p>
        </w:tc>
        <w:tc>
          <w:tcPr>
            <w:tcW w:w="1540" w:type="dxa"/>
            <w:vAlign w:val="bottom"/>
          </w:tcPr>
          <w:p>
            <w:pPr>
              <w:jc w:val="right"/>
              <w:ind w:right="241"/>
              <w:spacing w:after="0"/>
              <w:rPr>
                <w:sz w:val="20"/>
                <w:szCs w:val="20"/>
                <w:color w:val="auto"/>
              </w:rPr>
            </w:pPr>
            <w:r>
              <w:rPr>
                <w:rFonts w:ascii="Calibri" w:cs="Calibri" w:eastAsia="Calibri" w:hAnsi="Calibri"/>
                <w:sz w:val="16"/>
                <w:szCs w:val="16"/>
                <w:color w:val="auto"/>
              </w:rPr>
              <w:t>3,000</w:t>
            </w:r>
          </w:p>
        </w:tc>
        <w:tc>
          <w:tcPr>
            <w:tcW w:w="78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20" w:type="dxa"/>
            <w:vAlign w:val="bottom"/>
          </w:tcPr>
          <w:p>
            <w:pPr>
              <w:jc w:val="right"/>
              <w:ind w:right="121"/>
              <w:spacing w:after="0"/>
              <w:rPr>
                <w:sz w:val="20"/>
                <w:szCs w:val="20"/>
                <w:color w:val="auto"/>
              </w:rPr>
            </w:pPr>
            <w:r>
              <w:rPr>
                <w:rFonts w:ascii="Calibri" w:cs="Calibri" w:eastAsia="Calibri" w:hAnsi="Calibri"/>
                <w:sz w:val="16"/>
                <w:szCs w:val="16"/>
                <w:color w:val="auto"/>
              </w:rPr>
              <w:t>2,465</w:t>
            </w:r>
          </w:p>
        </w:tc>
        <w:tc>
          <w:tcPr>
            <w:tcW w:w="1000" w:type="dxa"/>
            <w:vAlign w:val="bottom"/>
          </w:tcPr>
          <w:p>
            <w:pPr>
              <w:jc w:val="right"/>
              <w:ind w:right="101"/>
              <w:spacing w:after="0"/>
              <w:rPr>
                <w:sz w:val="20"/>
                <w:szCs w:val="20"/>
                <w:color w:val="auto"/>
              </w:rPr>
            </w:pPr>
            <w:r>
              <w:rPr>
                <w:rFonts w:ascii="Calibri" w:cs="Calibri" w:eastAsia="Calibri" w:hAnsi="Calibri"/>
                <w:sz w:val="16"/>
                <w:szCs w:val="16"/>
                <w:color w:val="auto"/>
              </w:rPr>
              <w:t>5,465</w:t>
            </w:r>
          </w:p>
        </w:tc>
      </w:tr>
      <w:tr>
        <w:trPr>
          <w:trHeight w:val="351"/>
        </w:trPr>
        <w:tc>
          <w:tcPr>
            <w:tcW w:w="5240" w:type="dxa"/>
            <w:vAlign w:val="bottom"/>
          </w:tcPr>
          <w:p>
            <w:pPr>
              <w:ind w:left="340"/>
              <w:spacing w:after="0"/>
              <w:rPr>
                <w:sz w:val="20"/>
                <w:szCs w:val="20"/>
                <w:color w:val="auto"/>
              </w:rPr>
            </w:pPr>
            <w:r>
              <w:rPr>
                <w:rFonts w:ascii="Calibri" w:cs="Calibri" w:eastAsia="Calibri" w:hAnsi="Calibri"/>
                <w:sz w:val="16"/>
                <w:szCs w:val="16"/>
                <w:color w:val="auto"/>
              </w:rPr>
              <w:t>Som Mital</w:t>
            </w:r>
          </w:p>
        </w:tc>
        <w:tc>
          <w:tcPr>
            <w:tcW w:w="1540" w:type="dxa"/>
            <w:vAlign w:val="bottom"/>
          </w:tcPr>
          <w:p>
            <w:pPr>
              <w:jc w:val="right"/>
              <w:ind w:right="241"/>
              <w:spacing w:after="0"/>
              <w:rPr>
                <w:sz w:val="20"/>
                <w:szCs w:val="20"/>
                <w:color w:val="auto"/>
              </w:rPr>
            </w:pPr>
            <w:r>
              <w:rPr>
                <w:rFonts w:ascii="Calibri" w:cs="Calibri" w:eastAsia="Calibri" w:hAnsi="Calibri"/>
                <w:sz w:val="16"/>
                <w:szCs w:val="16"/>
                <w:color w:val="auto"/>
              </w:rPr>
              <w:t>—</w:t>
            </w:r>
          </w:p>
        </w:tc>
        <w:tc>
          <w:tcPr>
            <w:tcW w:w="78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20" w:type="dxa"/>
            <w:vAlign w:val="bottom"/>
          </w:tcPr>
          <w:p>
            <w:pPr>
              <w:jc w:val="right"/>
              <w:ind w:right="121"/>
              <w:spacing w:after="0"/>
              <w:rPr>
                <w:sz w:val="20"/>
                <w:szCs w:val="20"/>
                <w:color w:val="auto"/>
              </w:rPr>
            </w:pPr>
            <w:r>
              <w:rPr>
                <w:rFonts w:ascii="Calibri" w:cs="Calibri" w:eastAsia="Calibri" w:hAnsi="Calibri"/>
                <w:sz w:val="16"/>
                <w:szCs w:val="16"/>
                <w:color w:val="auto"/>
              </w:rPr>
              <w:t>79,320</w:t>
            </w:r>
          </w:p>
        </w:tc>
        <w:tc>
          <w:tcPr>
            <w:tcW w:w="1000" w:type="dxa"/>
            <w:vAlign w:val="bottom"/>
          </w:tcPr>
          <w:p>
            <w:pPr>
              <w:jc w:val="right"/>
              <w:ind w:right="101"/>
              <w:spacing w:after="0"/>
              <w:rPr>
                <w:sz w:val="20"/>
                <w:szCs w:val="20"/>
                <w:color w:val="auto"/>
              </w:rPr>
            </w:pPr>
            <w:r>
              <w:rPr>
                <w:rFonts w:ascii="Calibri" w:cs="Calibri" w:eastAsia="Calibri" w:hAnsi="Calibri"/>
                <w:sz w:val="16"/>
                <w:szCs w:val="16"/>
                <w:color w:val="auto"/>
              </w:rPr>
              <w:t>79,320</w:t>
            </w:r>
          </w:p>
        </w:tc>
      </w:tr>
      <w:tr>
        <w:trPr>
          <w:trHeight w:val="447"/>
        </w:trPr>
        <w:tc>
          <w:tcPr>
            <w:tcW w:w="5240" w:type="dxa"/>
            <w:vAlign w:val="bottom"/>
          </w:tcPr>
          <w:p>
            <w:pPr>
              <w:ind w:left="340"/>
              <w:spacing w:after="0"/>
              <w:rPr>
                <w:sz w:val="20"/>
                <w:szCs w:val="20"/>
                <w:color w:val="auto"/>
              </w:rPr>
            </w:pPr>
            <w:r>
              <w:rPr>
                <w:rFonts w:ascii="Calibri" w:cs="Calibri" w:eastAsia="Calibri" w:hAnsi="Calibri"/>
                <w:sz w:val="16"/>
                <w:szCs w:val="16"/>
                <w:color w:val="auto"/>
              </w:rPr>
              <w:t>Vikram S. Pandit</w:t>
            </w:r>
          </w:p>
        </w:tc>
        <w:tc>
          <w:tcPr>
            <w:tcW w:w="1540" w:type="dxa"/>
            <w:vAlign w:val="bottom"/>
          </w:tcPr>
          <w:p>
            <w:pPr>
              <w:jc w:val="right"/>
              <w:ind w:right="121"/>
              <w:spacing w:after="0"/>
              <w:rPr>
                <w:sz w:val="20"/>
                <w:szCs w:val="20"/>
                <w:color w:val="auto"/>
              </w:rPr>
            </w:pPr>
            <w:r>
              <w:rPr>
                <w:rFonts w:ascii="Calibri" w:cs="Calibri" w:eastAsia="Calibri" w:hAnsi="Calibri"/>
                <w:sz w:val="16"/>
                <w:szCs w:val="16"/>
                <w:color w:val="auto"/>
              </w:rPr>
              <w:t>1,551,970</w:t>
            </w:r>
            <w:r>
              <w:rPr>
                <w:rFonts w:ascii="Calibri" w:cs="Calibri" w:eastAsia="Calibri" w:hAnsi="Calibri"/>
                <w:sz w:val="23"/>
                <w:szCs w:val="23"/>
                <w:color w:val="auto"/>
                <w:vertAlign w:val="superscript"/>
              </w:rPr>
              <w:t>(5)</w:t>
            </w:r>
          </w:p>
        </w:tc>
        <w:tc>
          <w:tcPr>
            <w:tcW w:w="78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20" w:type="dxa"/>
            <w:vAlign w:val="bottom"/>
          </w:tcPr>
          <w:p>
            <w:pPr>
              <w:jc w:val="right"/>
              <w:ind w:right="121"/>
              <w:spacing w:after="0"/>
              <w:rPr>
                <w:sz w:val="20"/>
                <w:szCs w:val="20"/>
                <w:color w:val="auto"/>
              </w:rPr>
            </w:pPr>
            <w:r>
              <w:rPr>
                <w:rFonts w:ascii="Calibri" w:cs="Calibri" w:eastAsia="Calibri" w:hAnsi="Calibri"/>
                <w:sz w:val="16"/>
                <w:szCs w:val="16"/>
                <w:color w:val="auto"/>
              </w:rPr>
              <w:t>46,360</w:t>
            </w:r>
          </w:p>
        </w:tc>
        <w:tc>
          <w:tcPr>
            <w:tcW w:w="1000" w:type="dxa"/>
            <w:vAlign w:val="bottom"/>
          </w:tcPr>
          <w:p>
            <w:pPr>
              <w:jc w:val="right"/>
              <w:ind w:right="101"/>
              <w:spacing w:after="0"/>
              <w:rPr>
                <w:sz w:val="20"/>
                <w:szCs w:val="20"/>
                <w:color w:val="auto"/>
              </w:rPr>
            </w:pPr>
            <w:r>
              <w:rPr>
                <w:rFonts w:ascii="Calibri" w:cs="Calibri" w:eastAsia="Calibri" w:hAnsi="Calibri"/>
                <w:sz w:val="16"/>
                <w:szCs w:val="16"/>
                <w:color w:val="auto"/>
              </w:rPr>
              <w:t>1,598,330</w:t>
            </w:r>
          </w:p>
        </w:tc>
      </w:tr>
      <w:tr>
        <w:trPr>
          <w:trHeight w:val="256"/>
        </w:trPr>
        <w:tc>
          <w:tcPr>
            <w:tcW w:w="5240" w:type="dxa"/>
            <w:vAlign w:val="bottom"/>
          </w:tcPr>
          <w:p>
            <w:pPr>
              <w:ind w:left="340"/>
              <w:spacing w:after="0"/>
              <w:rPr>
                <w:sz w:val="20"/>
                <w:szCs w:val="20"/>
                <w:color w:val="auto"/>
              </w:rPr>
            </w:pPr>
            <w:r>
              <w:rPr>
                <w:rFonts w:ascii="Calibri" w:cs="Calibri" w:eastAsia="Calibri" w:hAnsi="Calibri"/>
                <w:sz w:val="16"/>
                <w:szCs w:val="16"/>
                <w:color w:val="auto"/>
              </w:rPr>
              <w:t>Kristy Pipes</w:t>
            </w:r>
          </w:p>
        </w:tc>
        <w:tc>
          <w:tcPr>
            <w:tcW w:w="1540" w:type="dxa"/>
            <w:vAlign w:val="bottom"/>
          </w:tcPr>
          <w:p>
            <w:pPr>
              <w:jc w:val="right"/>
              <w:ind w:right="241"/>
              <w:spacing w:after="0"/>
              <w:rPr>
                <w:sz w:val="20"/>
                <w:szCs w:val="20"/>
                <w:color w:val="auto"/>
              </w:rPr>
            </w:pPr>
            <w:r>
              <w:rPr>
                <w:rFonts w:ascii="Calibri" w:cs="Calibri" w:eastAsia="Calibri" w:hAnsi="Calibri"/>
                <w:sz w:val="16"/>
                <w:szCs w:val="16"/>
                <w:color w:val="auto"/>
              </w:rPr>
              <w:t>—</w:t>
            </w:r>
          </w:p>
        </w:tc>
        <w:tc>
          <w:tcPr>
            <w:tcW w:w="78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20" w:type="dxa"/>
            <w:vAlign w:val="bottom"/>
          </w:tcPr>
          <w:p>
            <w:pPr>
              <w:jc w:val="right"/>
              <w:ind w:right="121"/>
              <w:spacing w:after="0"/>
              <w:rPr>
                <w:sz w:val="20"/>
                <w:szCs w:val="20"/>
                <w:color w:val="auto"/>
              </w:rPr>
            </w:pPr>
            <w:r>
              <w:rPr>
                <w:rFonts w:ascii="Calibri" w:cs="Calibri" w:eastAsia="Calibri" w:hAnsi="Calibri"/>
                <w:sz w:val="16"/>
                <w:szCs w:val="16"/>
                <w:color w:val="auto"/>
              </w:rPr>
              <w:t>17,400</w:t>
            </w:r>
          </w:p>
        </w:tc>
        <w:tc>
          <w:tcPr>
            <w:tcW w:w="1000" w:type="dxa"/>
            <w:vAlign w:val="bottom"/>
          </w:tcPr>
          <w:p>
            <w:pPr>
              <w:jc w:val="right"/>
              <w:ind w:right="101"/>
              <w:spacing w:after="0"/>
              <w:rPr>
                <w:sz w:val="20"/>
                <w:szCs w:val="20"/>
                <w:color w:val="auto"/>
              </w:rPr>
            </w:pPr>
            <w:r>
              <w:rPr>
                <w:rFonts w:ascii="Calibri" w:cs="Calibri" w:eastAsia="Calibri" w:hAnsi="Calibri"/>
                <w:sz w:val="16"/>
                <w:szCs w:val="16"/>
                <w:color w:val="auto"/>
              </w:rPr>
              <w:t>17,400</w:t>
            </w:r>
          </w:p>
        </w:tc>
      </w:tr>
      <w:tr>
        <w:trPr>
          <w:trHeight w:val="351"/>
        </w:trPr>
        <w:tc>
          <w:tcPr>
            <w:tcW w:w="5240" w:type="dxa"/>
            <w:vAlign w:val="bottom"/>
          </w:tcPr>
          <w:p>
            <w:pPr>
              <w:ind w:left="340"/>
              <w:spacing w:after="0"/>
              <w:rPr>
                <w:sz w:val="20"/>
                <w:szCs w:val="20"/>
                <w:color w:val="auto"/>
              </w:rPr>
            </w:pPr>
            <w:r>
              <w:rPr>
                <w:rFonts w:ascii="Calibri" w:cs="Calibri" w:eastAsia="Calibri" w:hAnsi="Calibri"/>
                <w:sz w:val="16"/>
                <w:szCs w:val="16"/>
                <w:color w:val="auto"/>
              </w:rPr>
              <w:t>Nitn Sahney</w:t>
            </w:r>
          </w:p>
        </w:tc>
        <w:tc>
          <w:tcPr>
            <w:tcW w:w="1540" w:type="dxa"/>
            <w:vAlign w:val="bottom"/>
          </w:tcPr>
          <w:p>
            <w:pPr>
              <w:jc w:val="right"/>
              <w:ind w:right="241"/>
              <w:spacing w:after="0"/>
              <w:rPr>
                <w:sz w:val="20"/>
                <w:szCs w:val="20"/>
                <w:color w:val="auto"/>
              </w:rPr>
            </w:pPr>
            <w:r>
              <w:rPr>
                <w:rFonts w:ascii="Calibri" w:cs="Calibri" w:eastAsia="Calibri" w:hAnsi="Calibri"/>
                <w:sz w:val="16"/>
                <w:szCs w:val="16"/>
                <w:color w:val="auto"/>
              </w:rPr>
              <w:t>—</w:t>
            </w:r>
          </w:p>
        </w:tc>
        <w:tc>
          <w:tcPr>
            <w:tcW w:w="78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20" w:type="dxa"/>
            <w:vAlign w:val="bottom"/>
          </w:tcPr>
          <w:p>
            <w:pPr>
              <w:jc w:val="right"/>
              <w:ind w:right="121"/>
              <w:spacing w:after="0"/>
              <w:rPr>
                <w:sz w:val="20"/>
                <w:szCs w:val="20"/>
                <w:color w:val="auto"/>
              </w:rPr>
            </w:pPr>
            <w:r>
              <w:rPr>
                <w:rFonts w:ascii="Calibri" w:cs="Calibri" w:eastAsia="Calibri" w:hAnsi="Calibri"/>
                <w:sz w:val="16"/>
                <w:szCs w:val="16"/>
                <w:color w:val="auto"/>
              </w:rPr>
              <w:t>68,465</w:t>
            </w:r>
          </w:p>
        </w:tc>
        <w:tc>
          <w:tcPr>
            <w:tcW w:w="1000" w:type="dxa"/>
            <w:vAlign w:val="bottom"/>
          </w:tcPr>
          <w:p>
            <w:pPr>
              <w:jc w:val="right"/>
              <w:ind w:right="101"/>
              <w:spacing w:after="0"/>
              <w:rPr>
                <w:sz w:val="20"/>
                <w:szCs w:val="20"/>
                <w:color w:val="auto"/>
              </w:rPr>
            </w:pPr>
            <w:r>
              <w:rPr>
                <w:rFonts w:ascii="Calibri" w:cs="Calibri" w:eastAsia="Calibri" w:hAnsi="Calibri"/>
                <w:sz w:val="16"/>
                <w:szCs w:val="16"/>
                <w:color w:val="auto"/>
              </w:rPr>
              <w:t>68,465</w:t>
            </w:r>
          </w:p>
        </w:tc>
      </w:tr>
      <w:tr>
        <w:trPr>
          <w:trHeight w:val="351"/>
        </w:trPr>
        <w:tc>
          <w:tcPr>
            <w:tcW w:w="5240" w:type="dxa"/>
            <w:vAlign w:val="bottom"/>
          </w:tcPr>
          <w:p>
            <w:pPr>
              <w:ind w:left="340"/>
              <w:spacing w:after="0"/>
              <w:rPr>
                <w:sz w:val="20"/>
                <w:szCs w:val="20"/>
                <w:color w:val="auto"/>
              </w:rPr>
            </w:pPr>
            <w:r>
              <w:rPr>
                <w:rFonts w:ascii="Calibri" w:cs="Calibri" w:eastAsia="Calibri" w:hAnsi="Calibri"/>
                <w:sz w:val="16"/>
                <w:szCs w:val="16"/>
                <w:color w:val="auto"/>
              </w:rPr>
              <w:t>Jaynie Studenmund</w:t>
            </w:r>
          </w:p>
        </w:tc>
        <w:tc>
          <w:tcPr>
            <w:tcW w:w="1540" w:type="dxa"/>
            <w:vAlign w:val="bottom"/>
          </w:tcPr>
          <w:p>
            <w:pPr>
              <w:jc w:val="right"/>
              <w:ind w:right="241"/>
              <w:spacing w:after="0"/>
              <w:rPr>
                <w:sz w:val="20"/>
                <w:szCs w:val="20"/>
                <w:color w:val="auto"/>
              </w:rPr>
            </w:pPr>
            <w:r>
              <w:rPr>
                <w:rFonts w:ascii="Calibri" w:cs="Calibri" w:eastAsia="Calibri" w:hAnsi="Calibri"/>
                <w:sz w:val="16"/>
                <w:szCs w:val="16"/>
                <w:color w:val="auto"/>
              </w:rPr>
              <w:t>18,225</w:t>
            </w:r>
          </w:p>
        </w:tc>
        <w:tc>
          <w:tcPr>
            <w:tcW w:w="78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20" w:type="dxa"/>
            <w:vAlign w:val="bottom"/>
          </w:tcPr>
          <w:p>
            <w:pPr>
              <w:jc w:val="right"/>
              <w:ind w:right="121"/>
              <w:spacing w:after="0"/>
              <w:rPr>
                <w:sz w:val="20"/>
                <w:szCs w:val="20"/>
                <w:color w:val="auto"/>
              </w:rPr>
            </w:pPr>
            <w:r>
              <w:rPr>
                <w:rFonts w:ascii="Calibri" w:cs="Calibri" w:eastAsia="Calibri" w:hAnsi="Calibri"/>
                <w:sz w:val="16"/>
                <w:szCs w:val="16"/>
                <w:color w:val="auto"/>
              </w:rPr>
              <w:t>41,150</w:t>
            </w:r>
          </w:p>
        </w:tc>
        <w:tc>
          <w:tcPr>
            <w:tcW w:w="1000" w:type="dxa"/>
            <w:vAlign w:val="bottom"/>
          </w:tcPr>
          <w:p>
            <w:pPr>
              <w:jc w:val="right"/>
              <w:ind w:right="101"/>
              <w:spacing w:after="0"/>
              <w:rPr>
                <w:sz w:val="20"/>
                <w:szCs w:val="20"/>
                <w:color w:val="auto"/>
              </w:rPr>
            </w:pPr>
            <w:r>
              <w:rPr>
                <w:rFonts w:ascii="Calibri" w:cs="Calibri" w:eastAsia="Calibri" w:hAnsi="Calibri"/>
                <w:sz w:val="16"/>
                <w:szCs w:val="16"/>
                <w:color w:val="auto"/>
              </w:rPr>
              <w:t>59,375</w:t>
            </w:r>
          </w:p>
        </w:tc>
      </w:tr>
      <w:tr>
        <w:trPr>
          <w:trHeight w:val="351"/>
        </w:trPr>
        <w:tc>
          <w:tcPr>
            <w:tcW w:w="5240" w:type="dxa"/>
            <w:vAlign w:val="bottom"/>
          </w:tcPr>
          <w:p>
            <w:pPr>
              <w:ind w:left="340"/>
              <w:spacing w:after="0"/>
              <w:rPr>
                <w:sz w:val="20"/>
                <w:szCs w:val="20"/>
                <w:color w:val="auto"/>
              </w:rPr>
            </w:pPr>
            <w:r>
              <w:rPr>
                <w:rFonts w:ascii="Calibri" w:cs="Calibri" w:eastAsia="Calibri" w:hAnsi="Calibri"/>
                <w:sz w:val="16"/>
                <w:szCs w:val="16"/>
                <w:color w:val="auto"/>
              </w:rPr>
              <w:t>Sarah K. Williamson</w:t>
            </w:r>
          </w:p>
        </w:tc>
        <w:tc>
          <w:tcPr>
            <w:tcW w:w="1540" w:type="dxa"/>
            <w:vAlign w:val="bottom"/>
          </w:tcPr>
          <w:p>
            <w:pPr>
              <w:jc w:val="right"/>
              <w:ind w:right="241"/>
              <w:spacing w:after="0"/>
              <w:rPr>
                <w:sz w:val="20"/>
                <w:szCs w:val="20"/>
                <w:color w:val="auto"/>
              </w:rPr>
            </w:pPr>
            <w:r>
              <w:rPr>
                <w:rFonts w:ascii="Calibri" w:cs="Calibri" w:eastAsia="Calibri" w:hAnsi="Calibri"/>
                <w:sz w:val="16"/>
                <w:szCs w:val="16"/>
                <w:color w:val="auto"/>
              </w:rPr>
              <w:t>—</w:t>
            </w:r>
          </w:p>
        </w:tc>
        <w:tc>
          <w:tcPr>
            <w:tcW w:w="78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20" w:type="dxa"/>
            <w:vAlign w:val="bottom"/>
          </w:tcPr>
          <w:p>
            <w:pPr>
              <w:jc w:val="right"/>
              <w:ind w:right="121"/>
              <w:spacing w:after="0"/>
              <w:rPr>
                <w:sz w:val="20"/>
                <w:szCs w:val="20"/>
                <w:color w:val="auto"/>
              </w:rPr>
            </w:pPr>
            <w:r>
              <w:rPr>
                <w:rFonts w:ascii="Calibri" w:cs="Calibri" w:eastAsia="Calibri" w:hAnsi="Calibri"/>
                <w:sz w:val="16"/>
                <w:szCs w:val="16"/>
                <w:color w:val="auto"/>
              </w:rPr>
              <w:t>—</w:t>
            </w:r>
          </w:p>
        </w:tc>
        <w:tc>
          <w:tcPr>
            <w:tcW w:w="1000" w:type="dxa"/>
            <w:vAlign w:val="bottom"/>
          </w:tcPr>
          <w:p>
            <w:pPr>
              <w:jc w:val="right"/>
              <w:ind w:right="101"/>
              <w:spacing w:after="0"/>
              <w:rPr>
                <w:sz w:val="20"/>
                <w:szCs w:val="20"/>
                <w:color w:val="auto"/>
              </w:rPr>
            </w:pPr>
            <w:r>
              <w:rPr>
                <w:rFonts w:ascii="Calibri" w:cs="Calibri" w:eastAsia="Calibri" w:hAnsi="Calibri"/>
                <w:sz w:val="16"/>
                <w:szCs w:val="16"/>
                <w:color w:val="auto"/>
              </w:rPr>
              <w:t>—</w:t>
            </w:r>
          </w:p>
        </w:tc>
      </w:tr>
      <w:tr>
        <w:trPr>
          <w:trHeight w:val="105"/>
        </w:trPr>
        <w:tc>
          <w:tcPr>
            <w:tcW w:w="52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337"/>
        </w:trPr>
        <w:tc>
          <w:tcPr>
            <w:tcW w:w="5240" w:type="dxa"/>
            <w:vAlign w:val="bottom"/>
            <w:tcBorders>
              <w:bottom w:val="single" w:sz="8" w:color="FB4E0B"/>
            </w:tcBorders>
          </w:tcPr>
          <w:p>
            <w:pPr>
              <w:ind w:left="340"/>
              <w:spacing w:after="0"/>
              <w:rPr>
                <w:sz w:val="20"/>
                <w:szCs w:val="20"/>
                <w:color w:val="auto"/>
              </w:rPr>
            </w:pPr>
            <w:r>
              <w:rPr>
                <w:rFonts w:ascii="Calibri" w:cs="Calibri" w:eastAsia="Calibri" w:hAnsi="Calibri"/>
                <w:sz w:val="16"/>
                <w:szCs w:val="16"/>
                <w:b w:val="1"/>
                <w:bCs w:val="1"/>
                <w:color w:val="auto"/>
              </w:rPr>
              <w:t>All current directors and executve ofcers as a group (17 people)</w:t>
            </w:r>
            <w:r>
              <w:rPr>
                <w:rFonts w:ascii="Calibri" w:cs="Calibri" w:eastAsia="Calibri" w:hAnsi="Calibri"/>
                <w:sz w:val="23"/>
                <w:szCs w:val="23"/>
                <w:b w:val="1"/>
                <w:bCs w:val="1"/>
                <w:color w:val="auto"/>
                <w:vertAlign w:val="superscript"/>
              </w:rPr>
              <w:t>(6)</w:t>
            </w:r>
          </w:p>
        </w:tc>
        <w:tc>
          <w:tcPr>
            <w:tcW w:w="1540" w:type="dxa"/>
            <w:vAlign w:val="bottom"/>
            <w:tcBorders>
              <w:bottom w:val="single" w:sz="8" w:color="FB4E0B"/>
            </w:tcBorders>
          </w:tcPr>
          <w:p>
            <w:pPr>
              <w:jc w:val="right"/>
              <w:ind w:right="241"/>
              <w:spacing w:after="0"/>
              <w:rPr>
                <w:sz w:val="20"/>
                <w:szCs w:val="20"/>
                <w:color w:val="auto"/>
              </w:rPr>
            </w:pPr>
            <w:r>
              <w:rPr>
                <w:rFonts w:ascii="Calibri" w:cs="Calibri" w:eastAsia="Calibri" w:hAnsi="Calibri"/>
                <w:sz w:val="16"/>
                <w:szCs w:val="16"/>
                <w:b w:val="1"/>
                <w:bCs w:val="1"/>
                <w:color w:val="auto"/>
              </w:rPr>
              <w:t>6,751,711</w:t>
            </w:r>
          </w:p>
        </w:tc>
        <w:tc>
          <w:tcPr>
            <w:tcW w:w="780" w:type="dxa"/>
            <w:vAlign w:val="bottom"/>
            <w:tcBorders>
              <w:bottom w:val="single" w:sz="8" w:color="FB4E0B"/>
            </w:tcBorders>
          </w:tcPr>
          <w:p>
            <w:pPr>
              <w:jc w:val="center"/>
              <w:spacing w:after="0"/>
              <w:rPr>
                <w:sz w:val="20"/>
                <w:szCs w:val="20"/>
                <w:color w:val="auto"/>
              </w:rPr>
            </w:pPr>
            <w:r>
              <w:rPr>
                <w:rFonts w:ascii="Calibri" w:cs="Calibri" w:eastAsia="Calibri" w:hAnsi="Calibri"/>
                <w:sz w:val="16"/>
                <w:szCs w:val="16"/>
                <w:b w:val="1"/>
                <w:bCs w:val="1"/>
                <w:color w:val="auto"/>
                <w:w w:val="94"/>
              </w:rPr>
              <w:t>4.16%</w:t>
            </w:r>
          </w:p>
        </w:tc>
        <w:tc>
          <w:tcPr>
            <w:tcW w:w="1620" w:type="dxa"/>
            <w:vAlign w:val="bottom"/>
            <w:tcBorders>
              <w:bottom w:val="single" w:sz="8" w:color="FB4E0B"/>
            </w:tcBorders>
          </w:tcPr>
          <w:p>
            <w:pPr>
              <w:spacing w:after="0"/>
              <w:rPr>
                <w:sz w:val="24"/>
                <w:szCs w:val="24"/>
                <w:color w:val="auto"/>
              </w:rPr>
            </w:pPr>
          </w:p>
        </w:tc>
        <w:tc>
          <w:tcPr>
            <w:tcW w:w="1000" w:type="dxa"/>
            <w:vAlign w:val="bottom"/>
            <w:tcBorders>
              <w:bottom w:val="single" w:sz="8" w:color="FB4E0B"/>
            </w:tcBorders>
          </w:tcPr>
          <w:p>
            <w:pPr>
              <w:spacing w:after="0"/>
              <w:rPr>
                <w:sz w:val="24"/>
                <w:szCs w:val="24"/>
                <w:color w:val="auto"/>
              </w:rPr>
            </w:pPr>
          </w:p>
        </w:tc>
      </w:tr>
    </w:tbl>
    <w:p>
      <w:pPr>
        <w:spacing w:after="0" w:line="27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2024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105</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Stock ownership of directors, executve ofcers and certain benefcial owners</w:t>
      </w:r>
    </w:p>
    <w:p>
      <w:pPr>
        <w:spacing w:after="0" w:line="347"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060" w:type="dxa"/>
            <w:vAlign w:val="bottom"/>
          </w:tcPr>
          <w:p>
            <w:pPr>
              <w:spacing w:after="0"/>
              <w:rPr>
                <w:sz w:val="18"/>
                <w:szCs w:val="18"/>
                <w:color w:val="auto"/>
              </w:rPr>
            </w:pPr>
          </w:p>
        </w:tc>
        <w:tc>
          <w:tcPr>
            <w:tcW w:w="5720" w:type="dxa"/>
            <w:vAlign w:val="bottom"/>
          </w:tcPr>
          <w:p>
            <w:pPr>
              <w:jc w:val="right"/>
              <w:ind w:right="2918"/>
              <w:spacing w:after="0"/>
              <w:rPr>
                <w:sz w:val="20"/>
                <w:szCs w:val="20"/>
                <w:color w:val="auto"/>
              </w:rPr>
            </w:pPr>
            <w:r>
              <w:rPr>
                <w:rFonts w:ascii="Calibri" w:cs="Calibri" w:eastAsia="Calibri" w:hAnsi="Calibri"/>
                <w:sz w:val="17"/>
                <w:szCs w:val="17"/>
                <w:b w:val="1"/>
                <w:bCs w:val="1"/>
                <w:color w:val="auto"/>
              </w:rPr>
              <w:t>Benefcial ownership</w:t>
            </w:r>
          </w:p>
        </w:tc>
        <w:tc>
          <w:tcPr>
            <w:tcW w:w="720" w:type="dxa"/>
            <w:vAlign w:val="bottom"/>
          </w:tcPr>
          <w:p>
            <w:pPr>
              <w:spacing w:after="0"/>
              <w:rPr>
                <w:sz w:val="18"/>
                <w:szCs w:val="18"/>
                <w:color w:val="auto"/>
              </w:rPr>
            </w:pPr>
          </w:p>
        </w:tc>
      </w:tr>
      <w:tr>
        <w:trPr>
          <w:trHeight w:val="442"/>
        </w:trPr>
        <w:tc>
          <w:tcPr>
            <w:tcW w:w="3060" w:type="dxa"/>
            <w:vAlign w:val="bottom"/>
          </w:tcPr>
          <w:p>
            <w:pPr>
              <w:ind w:left="80"/>
              <w:spacing w:after="0"/>
              <w:rPr>
                <w:sz w:val="20"/>
                <w:szCs w:val="20"/>
                <w:color w:val="auto"/>
              </w:rPr>
            </w:pPr>
            <w:r>
              <w:rPr>
                <w:rFonts w:ascii="Calibri" w:cs="Calibri" w:eastAsia="Calibri" w:hAnsi="Calibri"/>
                <w:sz w:val="17"/>
                <w:szCs w:val="17"/>
                <w:b w:val="1"/>
                <w:bCs w:val="1"/>
                <w:color w:val="auto"/>
              </w:rPr>
              <w:t>Name and address</w:t>
            </w:r>
            <w:r>
              <w:rPr>
                <w:rFonts w:ascii="Calibri" w:cs="Calibri" w:eastAsia="Calibri" w:hAnsi="Calibri"/>
                <w:sz w:val="13"/>
                <w:szCs w:val="13"/>
                <w:b w:val="1"/>
                <w:bCs w:val="1"/>
                <w:color w:val="auto"/>
              </w:rPr>
              <w:t>(1)</w:t>
            </w:r>
          </w:p>
        </w:tc>
        <w:tc>
          <w:tcPr>
            <w:tcW w:w="5720" w:type="dxa"/>
            <w:vAlign w:val="bottom"/>
          </w:tcPr>
          <w:p>
            <w:pPr>
              <w:jc w:val="right"/>
              <w:ind w:right="278"/>
              <w:spacing w:after="0"/>
              <w:rPr>
                <w:sz w:val="20"/>
                <w:szCs w:val="20"/>
                <w:color w:val="auto"/>
              </w:rPr>
            </w:pPr>
            <w:r>
              <w:rPr>
                <w:rFonts w:ascii="Calibri" w:cs="Calibri" w:eastAsia="Calibri" w:hAnsi="Calibri"/>
                <w:sz w:val="17"/>
                <w:szCs w:val="17"/>
                <w:b w:val="1"/>
                <w:bCs w:val="1"/>
                <w:color w:val="auto"/>
              </w:rPr>
              <w:t>Shares</w:t>
            </w:r>
          </w:p>
        </w:tc>
        <w:tc>
          <w:tcPr>
            <w:tcW w:w="720" w:type="dxa"/>
            <w:vAlign w:val="bottom"/>
          </w:tcPr>
          <w:p>
            <w:pPr>
              <w:jc w:val="right"/>
              <w:ind w:right="105"/>
              <w:spacing w:after="0"/>
              <w:rPr>
                <w:sz w:val="20"/>
                <w:szCs w:val="20"/>
                <w:color w:val="auto"/>
              </w:rPr>
            </w:pPr>
            <w:r>
              <w:rPr>
                <w:rFonts w:ascii="Calibri" w:cs="Calibri" w:eastAsia="Calibri" w:hAnsi="Calibri"/>
                <w:sz w:val="34"/>
                <w:szCs w:val="34"/>
                <w:b w:val="1"/>
                <w:bCs w:val="1"/>
                <w:color w:val="auto"/>
                <w:vertAlign w:val="subscript"/>
              </w:rPr>
              <w:t>%</w:t>
            </w:r>
            <w:r>
              <w:rPr>
                <w:rFonts w:ascii="Calibri" w:cs="Calibri" w:eastAsia="Calibri" w:hAnsi="Calibri"/>
                <w:sz w:val="13"/>
                <w:szCs w:val="13"/>
                <w:b w:val="1"/>
                <w:bCs w:val="1"/>
                <w:color w:val="auto"/>
              </w:rPr>
              <w:t>(2)</w:t>
            </w:r>
          </w:p>
        </w:tc>
      </w:tr>
      <w:tr>
        <w:trPr>
          <w:trHeight w:val="133"/>
        </w:trPr>
        <w:tc>
          <w:tcPr>
            <w:tcW w:w="3060" w:type="dxa"/>
            <w:vAlign w:val="bottom"/>
            <w:tcBorders>
              <w:bottom w:val="single" w:sz="8" w:color="FB4E0B"/>
            </w:tcBorders>
          </w:tcPr>
          <w:p>
            <w:pPr>
              <w:spacing w:after="0"/>
              <w:rPr>
                <w:sz w:val="11"/>
                <w:szCs w:val="11"/>
                <w:color w:val="auto"/>
              </w:rPr>
            </w:pPr>
          </w:p>
        </w:tc>
        <w:tc>
          <w:tcPr>
            <w:tcW w:w="5720" w:type="dxa"/>
            <w:vAlign w:val="bottom"/>
            <w:tcBorders>
              <w:bottom w:val="single" w:sz="8" w:color="FB4E0B"/>
            </w:tcBorders>
          </w:tcPr>
          <w:p>
            <w:pPr>
              <w:spacing w:after="0"/>
              <w:rPr>
                <w:sz w:val="11"/>
                <w:szCs w:val="11"/>
                <w:color w:val="auto"/>
              </w:rPr>
            </w:pPr>
          </w:p>
        </w:tc>
        <w:tc>
          <w:tcPr>
            <w:tcW w:w="720" w:type="dxa"/>
            <w:vAlign w:val="bottom"/>
            <w:tcBorders>
              <w:bottom w:val="single" w:sz="8" w:color="FB4E0B"/>
            </w:tcBorders>
          </w:tcPr>
          <w:p>
            <w:pPr>
              <w:spacing w:after="0"/>
              <w:rPr>
                <w:sz w:val="11"/>
                <w:szCs w:val="11"/>
                <w:color w:val="auto"/>
              </w:rPr>
            </w:pPr>
          </w:p>
        </w:tc>
      </w:tr>
      <w:tr>
        <w:trPr>
          <w:trHeight w:val="259"/>
        </w:trPr>
        <w:tc>
          <w:tcPr>
            <w:tcW w:w="3060" w:type="dxa"/>
            <w:vAlign w:val="bottom"/>
          </w:tcPr>
          <w:p>
            <w:pPr>
              <w:ind w:left="80"/>
              <w:spacing w:after="0"/>
              <w:rPr>
                <w:sz w:val="20"/>
                <w:szCs w:val="20"/>
                <w:color w:val="auto"/>
              </w:rPr>
            </w:pPr>
            <w:r>
              <w:rPr>
                <w:rFonts w:ascii="Calibri" w:cs="Calibri" w:eastAsia="Calibri" w:hAnsi="Calibri"/>
                <w:sz w:val="16"/>
                <w:szCs w:val="16"/>
                <w:b w:val="1"/>
                <w:bCs w:val="1"/>
                <w:color w:val="FB4E0B"/>
              </w:rPr>
              <w:t>5% Benefcial owners</w:t>
            </w:r>
          </w:p>
        </w:tc>
        <w:tc>
          <w:tcPr>
            <w:tcW w:w="57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05"/>
        </w:trPr>
        <w:tc>
          <w:tcPr>
            <w:tcW w:w="3060" w:type="dxa"/>
            <w:vAlign w:val="bottom"/>
            <w:tcBorders>
              <w:bottom w:val="single" w:sz="8" w:color="auto"/>
            </w:tcBorders>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348"/>
        </w:trPr>
        <w:tc>
          <w:tcPr>
            <w:tcW w:w="3060" w:type="dxa"/>
            <w:vAlign w:val="bottom"/>
          </w:tcPr>
          <w:p>
            <w:pPr>
              <w:ind w:left="80"/>
              <w:spacing w:after="0"/>
              <w:rPr>
                <w:sz w:val="20"/>
                <w:szCs w:val="20"/>
                <w:color w:val="auto"/>
              </w:rPr>
            </w:pPr>
            <w:r>
              <w:rPr>
                <w:rFonts w:ascii="Calibri" w:cs="Calibri" w:eastAsia="Calibri" w:hAnsi="Calibri"/>
                <w:sz w:val="16"/>
                <w:szCs w:val="16"/>
                <w:color w:val="auto"/>
              </w:rPr>
              <w:t>Blackrock Inc.</w:t>
            </w:r>
            <w:r>
              <w:rPr>
                <w:rFonts w:ascii="Calibri" w:cs="Calibri" w:eastAsia="Calibri" w:hAnsi="Calibri"/>
                <w:sz w:val="23"/>
                <w:szCs w:val="23"/>
                <w:color w:val="auto"/>
                <w:vertAlign w:val="superscript"/>
              </w:rPr>
              <w:t>(7)</w:t>
            </w:r>
          </w:p>
        </w:tc>
        <w:tc>
          <w:tcPr>
            <w:tcW w:w="5720" w:type="dxa"/>
            <w:vAlign w:val="bottom"/>
          </w:tcPr>
          <w:p>
            <w:pPr>
              <w:jc w:val="right"/>
              <w:ind w:right="118"/>
              <w:spacing w:after="0"/>
              <w:rPr>
                <w:sz w:val="20"/>
                <w:szCs w:val="20"/>
                <w:color w:val="auto"/>
              </w:rPr>
            </w:pPr>
            <w:r>
              <w:rPr>
                <w:rFonts w:ascii="Calibri" w:cs="Calibri" w:eastAsia="Calibri" w:hAnsi="Calibri"/>
                <w:sz w:val="16"/>
                <w:szCs w:val="16"/>
                <w:color w:val="auto"/>
              </w:rPr>
              <w:t>21,267,361</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13.09%</w:t>
            </w:r>
          </w:p>
        </w:tc>
      </w:tr>
      <w:tr>
        <w:trPr>
          <w:trHeight w:val="351"/>
        </w:trPr>
        <w:tc>
          <w:tcPr>
            <w:tcW w:w="3060" w:type="dxa"/>
            <w:vAlign w:val="bottom"/>
          </w:tcPr>
          <w:p>
            <w:pPr>
              <w:ind w:left="80"/>
              <w:spacing w:after="0"/>
              <w:rPr>
                <w:sz w:val="20"/>
                <w:szCs w:val="20"/>
                <w:color w:val="auto"/>
              </w:rPr>
            </w:pPr>
            <w:r>
              <w:rPr>
                <w:rFonts w:ascii="Calibri" w:cs="Calibri" w:eastAsia="Calibri" w:hAnsi="Calibri"/>
                <w:sz w:val="16"/>
                <w:szCs w:val="16"/>
                <w:color w:val="auto"/>
              </w:rPr>
              <w:t>The Vanguard Group, Inc.</w:t>
            </w:r>
            <w:r>
              <w:rPr>
                <w:rFonts w:ascii="Calibri" w:cs="Calibri" w:eastAsia="Calibri" w:hAnsi="Calibri"/>
                <w:sz w:val="23"/>
                <w:szCs w:val="23"/>
                <w:color w:val="auto"/>
                <w:vertAlign w:val="superscript"/>
              </w:rPr>
              <w:t>(8)</w:t>
            </w:r>
          </w:p>
        </w:tc>
        <w:tc>
          <w:tcPr>
            <w:tcW w:w="5720" w:type="dxa"/>
            <w:vAlign w:val="bottom"/>
          </w:tcPr>
          <w:p>
            <w:pPr>
              <w:jc w:val="right"/>
              <w:ind w:right="118"/>
              <w:spacing w:after="0"/>
              <w:rPr>
                <w:sz w:val="20"/>
                <w:szCs w:val="20"/>
                <w:color w:val="auto"/>
              </w:rPr>
            </w:pPr>
            <w:r>
              <w:rPr>
                <w:rFonts w:ascii="Calibri" w:cs="Calibri" w:eastAsia="Calibri" w:hAnsi="Calibri"/>
                <w:sz w:val="16"/>
                <w:szCs w:val="16"/>
                <w:color w:val="auto"/>
              </w:rPr>
              <w:t>17,015,630</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10.48%</w:t>
            </w:r>
          </w:p>
        </w:tc>
      </w:tr>
      <w:tr>
        <w:trPr>
          <w:trHeight w:val="351"/>
        </w:trPr>
        <w:tc>
          <w:tcPr>
            <w:tcW w:w="3060" w:type="dxa"/>
            <w:vAlign w:val="bottom"/>
          </w:tcPr>
          <w:p>
            <w:pPr>
              <w:ind w:left="80"/>
              <w:spacing w:after="0"/>
              <w:rPr>
                <w:sz w:val="20"/>
                <w:szCs w:val="20"/>
                <w:color w:val="auto"/>
              </w:rPr>
            </w:pPr>
            <w:r>
              <w:rPr>
                <w:rFonts w:ascii="Calibri" w:cs="Calibri" w:eastAsia="Calibri" w:hAnsi="Calibri"/>
                <w:sz w:val="16"/>
                <w:szCs w:val="16"/>
                <w:color w:val="auto"/>
              </w:rPr>
              <w:t>FMR LLC</w:t>
            </w:r>
            <w:r>
              <w:rPr>
                <w:rFonts w:ascii="Calibri" w:cs="Calibri" w:eastAsia="Calibri" w:hAnsi="Calibri"/>
                <w:sz w:val="23"/>
                <w:szCs w:val="23"/>
                <w:color w:val="auto"/>
                <w:vertAlign w:val="superscript"/>
              </w:rPr>
              <w:t>(9)</w:t>
            </w:r>
          </w:p>
        </w:tc>
        <w:tc>
          <w:tcPr>
            <w:tcW w:w="5720" w:type="dxa"/>
            <w:vAlign w:val="bottom"/>
          </w:tcPr>
          <w:p>
            <w:pPr>
              <w:jc w:val="right"/>
              <w:ind w:right="118"/>
              <w:spacing w:after="0"/>
              <w:rPr>
                <w:sz w:val="20"/>
                <w:szCs w:val="20"/>
                <w:color w:val="auto"/>
              </w:rPr>
            </w:pPr>
            <w:r>
              <w:rPr>
                <w:rFonts w:ascii="Calibri" w:cs="Calibri" w:eastAsia="Calibri" w:hAnsi="Calibri"/>
                <w:sz w:val="16"/>
                <w:szCs w:val="16"/>
                <w:color w:val="auto"/>
              </w:rPr>
              <w:t>8,769,272</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-1905</wp:posOffset>
            </wp:positionV>
            <wp:extent cx="6030595" cy="165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030595" cy="16510"/>
                    </a:xfrm>
                    <a:prstGeom prst="rect">
                      <a:avLst/>
                    </a:prstGeom>
                    <a:noFill/>
                  </pic:spPr>
                </pic:pic>
              </a:graphicData>
            </a:graphic>
          </wp:anchor>
        </w:drawing>
      </w:r>
    </w:p>
    <w:p>
      <w:pPr>
        <w:spacing w:after="0" w:line="32"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*Less than 1%.</w:t>
      </w:r>
    </w:p>
    <w:p>
      <w:pPr>
        <w:spacing w:after="0" w:line="154" w:lineRule="exact"/>
        <w:rPr>
          <w:sz w:val="20"/>
          <w:szCs w:val="20"/>
          <w:color w:val="auto"/>
        </w:rPr>
      </w:pPr>
    </w:p>
    <w:p>
      <w:pPr>
        <w:ind w:left="500" w:hanging="184"/>
        <w:spacing w:after="0"/>
        <w:tabs>
          <w:tab w:leader="none" w:pos="500" w:val="left"/>
        </w:tabs>
        <w:numPr>
          <w:ilvl w:val="0"/>
          <w:numId w:val="60"/>
        </w:numPr>
        <w:rPr>
          <w:rFonts w:ascii="Calibri" w:cs="Calibri" w:eastAsia="Calibri" w:hAnsi="Calibri"/>
          <w:sz w:val="13"/>
          <w:szCs w:val="13"/>
          <w:color w:val="auto"/>
        </w:rPr>
      </w:pPr>
      <w:r>
        <w:rPr>
          <w:rFonts w:ascii="Calibri" w:cs="Calibri" w:eastAsia="Calibri" w:hAnsi="Calibri"/>
          <w:sz w:val="13"/>
          <w:szCs w:val="13"/>
          <w:color w:val="auto"/>
        </w:rPr>
        <w:t>Unless otherwise noted, the business address of each benefcial owner is c/o ExlService Holdings, Inc., 320 Park Avenue, 29th Floor, New York, New York 10022.</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60"/>
        </w:numPr>
        <w:rPr>
          <w:rFonts w:ascii="Calibri" w:cs="Calibri" w:eastAsia="Calibri" w:hAnsi="Calibri"/>
          <w:sz w:val="13"/>
          <w:szCs w:val="13"/>
          <w:color w:val="auto"/>
        </w:rPr>
      </w:pPr>
      <w:r>
        <w:rPr>
          <w:rFonts w:ascii="Calibri" w:cs="Calibri" w:eastAsia="Calibri" w:hAnsi="Calibri"/>
          <w:sz w:val="13"/>
          <w:szCs w:val="13"/>
          <w:color w:val="auto"/>
        </w:rPr>
        <w:t>Based on 162,425,610 shares outstanding as of the Determinaton Date.</w:t>
      </w:r>
    </w:p>
    <w:p>
      <w:pPr>
        <w:spacing w:after="0" w:line="13" w:lineRule="exact"/>
        <w:rPr>
          <w:rFonts w:ascii="Calibri" w:cs="Calibri" w:eastAsia="Calibri" w:hAnsi="Calibri"/>
          <w:sz w:val="13"/>
          <w:szCs w:val="13"/>
          <w:color w:val="auto"/>
        </w:rPr>
      </w:pPr>
    </w:p>
    <w:p>
      <w:pPr>
        <w:ind w:left="320" w:right="60" w:hanging="4"/>
        <w:spacing w:after="0" w:line="254" w:lineRule="auto"/>
        <w:tabs>
          <w:tab w:leader="none" w:pos="494" w:val="left"/>
        </w:tabs>
        <w:numPr>
          <w:ilvl w:val="0"/>
          <w:numId w:val="60"/>
        </w:numPr>
        <w:rPr>
          <w:rFonts w:ascii="Calibri" w:cs="Calibri" w:eastAsia="Calibri" w:hAnsi="Calibri"/>
          <w:sz w:val="13"/>
          <w:szCs w:val="13"/>
          <w:color w:val="auto"/>
        </w:rPr>
      </w:pPr>
      <w:r>
        <w:rPr>
          <w:rFonts w:ascii="Calibri" w:cs="Calibri" w:eastAsia="Calibri" w:hAnsi="Calibri"/>
          <w:sz w:val="13"/>
          <w:szCs w:val="13"/>
          <w:color w:val="auto"/>
        </w:rPr>
        <w:t>For non-management directors, this column includes restricted stock units (previously granted for service on the board) that have vested but are unsetled. Because vested restricted stock units generally setle 180 days following the director’s term of service (see “Director compensaton for fscal year 2023” for additonal details on setlement), the units are not treated as benefcially owned under SEC rules because the holder does not have the right to acquire the underlying stock within 60 days of the Determinaton Date. However, restricted stock units that are vested but unsetled provide a meaningful alignment with the Company’s stockholders, and they count towards our stock ownership policy for non-employee directors, which requires directors to maintain stock ownership of at least fve tmes their respectve annual retainers.</w:t>
      </w:r>
    </w:p>
    <w:p>
      <w:pPr>
        <w:spacing w:after="0" w:line="2" w:lineRule="exact"/>
        <w:rPr>
          <w:rFonts w:ascii="Calibri" w:cs="Calibri" w:eastAsia="Calibri" w:hAnsi="Calibri"/>
          <w:sz w:val="13"/>
          <w:szCs w:val="13"/>
          <w:color w:val="auto"/>
        </w:rPr>
      </w:pPr>
    </w:p>
    <w:p>
      <w:pPr>
        <w:ind w:left="500" w:hanging="184"/>
        <w:spacing w:after="0"/>
        <w:tabs>
          <w:tab w:leader="none" w:pos="500" w:val="left"/>
        </w:tabs>
        <w:numPr>
          <w:ilvl w:val="0"/>
          <w:numId w:val="60"/>
        </w:numPr>
        <w:rPr>
          <w:rFonts w:ascii="Calibri" w:cs="Calibri" w:eastAsia="Calibri" w:hAnsi="Calibri"/>
          <w:sz w:val="13"/>
          <w:szCs w:val="13"/>
          <w:color w:val="auto"/>
        </w:rPr>
      </w:pPr>
      <w:r>
        <w:rPr>
          <w:rFonts w:ascii="Calibri" w:cs="Calibri" w:eastAsia="Calibri" w:hAnsi="Calibri"/>
          <w:sz w:val="13"/>
          <w:szCs w:val="13"/>
          <w:color w:val="auto"/>
        </w:rPr>
        <w:t>The amount includes: (a) 885,670 shares of our common stock owned indirectly by Mr. Kapoor through a family trust created in 2016 under a 2005 grantor-retained annuity trust, for which</w:t>
      </w:r>
    </w:p>
    <w:p>
      <w:pPr>
        <w:spacing w:after="0" w:line="14" w:lineRule="exact"/>
        <w:rPr>
          <w:sz w:val="20"/>
          <w:szCs w:val="20"/>
          <w:color w:val="auto"/>
        </w:rPr>
      </w:pPr>
    </w:p>
    <w:p>
      <w:pPr>
        <w:jc w:val="both"/>
        <w:ind w:left="320" w:right="260"/>
        <w:spacing w:after="0" w:line="253" w:lineRule="auto"/>
        <w:rPr>
          <w:sz w:val="20"/>
          <w:szCs w:val="20"/>
          <w:color w:val="auto"/>
        </w:rPr>
      </w:pPr>
      <w:r>
        <w:rPr>
          <w:rFonts w:ascii="Calibri" w:cs="Calibri" w:eastAsia="Calibri" w:hAnsi="Calibri"/>
          <w:sz w:val="13"/>
          <w:szCs w:val="13"/>
          <w:color w:val="auto"/>
        </w:rPr>
        <w:t>Mr. Kapoor’s spouse and Mr. Kapoor’s brother are the co-trustees and share dispositve and votng control over the shares in the trust, (b) 201,095 shares of our common stock owned indirectly by Mr. Kapoor through a family trust created in 2016 under a 2013 grantor retained annuity trust, for which Mr. Kapoor’s spouse and Mr. Kapoor’s brother are the co-trustees and share dispositve and votng control over the shares in the trust, (c) 420,000 shares of our common stock owned indirectly by Mr. Kapoor through a spousal lifetme access trust, for which Mr. Kapoor’s spouse and</w:t>
      </w:r>
    </w:p>
    <w:p>
      <w:pPr>
        <w:spacing w:after="0" w:line="5" w:lineRule="exact"/>
        <w:rPr>
          <w:sz w:val="20"/>
          <w:szCs w:val="20"/>
          <w:color w:val="auto"/>
        </w:rPr>
      </w:pPr>
    </w:p>
    <w:p>
      <w:pPr>
        <w:ind w:left="320" w:right="60"/>
        <w:spacing w:after="0" w:line="251" w:lineRule="auto"/>
        <w:rPr>
          <w:sz w:val="20"/>
          <w:szCs w:val="20"/>
          <w:color w:val="auto"/>
        </w:rPr>
      </w:pPr>
      <w:r>
        <w:rPr>
          <w:rFonts w:ascii="Calibri" w:cs="Calibri" w:eastAsia="Calibri" w:hAnsi="Calibri"/>
          <w:sz w:val="13"/>
          <w:szCs w:val="13"/>
          <w:color w:val="auto"/>
        </w:rPr>
        <w:t>Mr. Kapoor’s brother are the co-trustees and share dispositve and votng control over the shares in the trust, (d) 420,000 shares of our common stock owned indirectly by Mr. Kapoor through a spousal lifetme access trust for Mr. Kapoor’s spouse, for which Mr. Kapoor and Mr. Kapoor’s brother are the co-trustees and share dispositve and votng control over the shares in the trust, and</w:t>
      </w:r>
    </w:p>
    <w:p>
      <w:pPr>
        <w:spacing w:after="0" w:line="6" w:lineRule="exact"/>
        <w:rPr>
          <w:sz w:val="20"/>
          <w:szCs w:val="20"/>
          <w:color w:val="auto"/>
        </w:rPr>
      </w:pPr>
    </w:p>
    <w:p>
      <w:pPr>
        <w:ind w:left="320" w:right="220" w:hanging="4"/>
        <w:spacing w:after="0" w:line="251" w:lineRule="auto"/>
        <w:tabs>
          <w:tab w:leader="none" w:pos="493" w:val="left"/>
        </w:tabs>
        <w:numPr>
          <w:ilvl w:val="0"/>
          <w:numId w:val="61"/>
        </w:numPr>
        <w:rPr>
          <w:rFonts w:ascii="Calibri" w:cs="Calibri" w:eastAsia="Calibri" w:hAnsi="Calibri"/>
          <w:sz w:val="13"/>
          <w:szCs w:val="13"/>
          <w:color w:val="auto"/>
        </w:rPr>
      </w:pPr>
      <w:r>
        <w:rPr>
          <w:rFonts w:ascii="Calibri" w:cs="Calibri" w:eastAsia="Calibri" w:hAnsi="Calibri"/>
          <w:sz w:val="13"/>
          <w:szCs w:val="13"/>
          <w:color w:val="auto"/>
        </w:rPr>
        <w:t>665,925 shares of our common stock owned indirectly by Mr. Kapoor through a family trust created in 2016 for which Mr. Kapoor is the investment advisor to Commonwealth Trust Company, the trustee.</w:t>
      </w:r>
    </w:p>
    <w:p>
      <w:pPr>
        <w:spacing w:after="0" w:line="3" w:lineRule="exact"/>
        <w:rPr>
          <w:rFonts w:ascii="Calibri" w:cs="Calibri" w:eastAsia="Calibri" w:hAnsi="Calibri"/>
          <w:sz w:val="13"/>
          <w:szCs w:val="13"/>
          <w:color w:val="auto"/>
        </w:rPr>
      </w:pPr>
    </w:p>
    <w:p>
      <w:pPr>
        <w:ind w:left="320"/>
        <w:spacing w:after="0"/>
        <w:rPr>
          <w:rFonts w:ascii="Calibri" w:cs="Calibri" w:eastAsia="Calibri" w:hAnsi="Calibri"/>
          <w:sz w:val="13"/>
          <w:szCs w:val="13"/>
          <w:color w:val="auto"/>
        </w:rPr>
      </w:pPr>
      <w:r>
        <w:rPr>
          <w:rFonts w:ascii="Calibri" w:cs="Calibri" w:eastAsia="Calibri" w:hAnsi="Calibri"/>
          <w:sz w:val="13"/>
          <w:szCs w:val="13"/>
          <w:color w:val="auto"/>
        </w:rPr>
        <w:t>(5) Mr. Pandit has shared dispositve and votng control over the reported securites, which are held by Orogen Echo LLC (“OE”). The Orogen Group LLC (“Orogen”) is the sole member of OE and</w:t>
      </w:r>
    </w:p>
    <w:p>
      <w:pPr>
        <w:spacing w:after="0" w:line="13" w:lineRule="exact"/>
        <w:rPr>
          <w:rFonts w:ascii="Calibri" w:cs="Calibri" w:eastAsia="Calibri" w:hAnsi="Calibri"/>
          <w:sz w:val="13"/>
          <w:szCs w:val="13"/>
          <w:color w:val="auto"/>
        </w:rPr>
      </w:pPr>
    </w:p>
    <w:p>
      <w:pPr>
        <w:ind w:left="320" w:right="16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Mr. Pandit is the Chairman and Chief Executve Ofcer of Orogen. Orogen Holdings LLC and Atairos-Orogen Holdings, LLC are the sole members with joint investment control of Orogen. Mr. Pandit has majority votng control of Orogen Holdings LLC.</w:t>
      </w:r>
    </w:p>
    <w:p>
      <w:pPr>
        <w:spacing w:after="0" w:line="3" w:lineRule="exact"/>
        <w:rPr>
          <w:rFonts w:ascii="Calibri" w:cs="Calibri" w:eastAsia="Calibri" w:hAnsi="Calibri"/>
          <w:sz w:val="13"/>
          <w:szCs w:val="13"/>
          <w:color w:val="auto"/>
        </w:rPr>
      </w:pPr>
    </w:p>
    <w:p>
      <w:pPr>
        <w:ind w:left="320"/>
        <w:spacing w:after="0"/>
        <w:rPr>
          <w:rFonts w:ascii="Calibri" w:cs="Calibri" w:eastAsia="Calibri" w:hAnsi="Calibri"/>
          <w:sz w:val="13"/>
          <w:szCs w:val="13"/>
          <w:color w:val="auto"/>
        </w:rPr>
      </w:pPr>
      <w:r>
        <w:rPr>
          <w:rFonts w:ascii="Calibri" w:cs="Calibri" w:eastAsia="Calibri" w:hAnsi="Calibri"/>
          <w:sz w:val="13"/>
          <w:szCs w:val="13"/>
          <w:color w:val="auto"/>
        </w:rPr>
        <w:t>(6) Includes eight current non-employee directors and our nine current executve ofcers as of the Determinaton Date.</w:t>
      </w:r>
    </w:p>
    <w:p>
      <w:pPr>
        <w:spacing w:after="0" w:line="13" w:lineRule="exact"/>
        <w:rPr>
          <w:rFonts w:ascii="Calibri" w:cs="Calibri" w:eastAsia="Calibri" w:hAnsi="Calibri"/>
          <w:sz w:val="13"/>
          <w:szCs w:val="13"/>
          <w:color w:val="auto"/>
        </w:rPr>
      </w:pPr>
    </w:p>
    <w:p>
      <w:pPr>
        <w:ind w:left="320" w:right="18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(7) Based on the Schedule 13G/A fled on January 23, 2024, Blackrock, Inc. had sole votng power with respect to 20,690,552 shares and sole dispositve power with respect to 21,267,361 shares. The business address of Blackrock, Inc. is 55 East 52nd Street, New York, New York 10022.</w:t>
      </w:r>
    </w:p>
    <w:p>
      <w:pPr>
        <w:spacing w:after="0" w:line="6" w:lineRule="exact"/>
        <w:rPr>
          <w:rFonts w:ascii="Calibri" w:cs="Calibri" w:eastAsia="Calibri" w:hAnsi="Calibri"/>
          <w:sz w:val="13"/>
          <w:szCs w:val="13"/>
          <w:color w:val="auto"/>
        </w:rPr>
      </w:pPr>
    </w:p>
    <w:p>
      <w:pPr>
        <w:ind w:left="32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(8) Based on the Schedule 13G/A fled on February 13, 2024, The Vanguard Group, Inc. had shared votng power with respect to 299,801 shares, sole dispositve power with respect to 16,539,920 shares and shared dispositve power with respect to 475,710 shares. The business address of The Vanguard Group, Inc. is 100 Vanguard Boulevard, Malvern, PA 19355.</w:t>
      </w:r>
    </w:p>
    <w:p>
      <w:pPr>
        <w:spacing w:after="0" w:line="6" w:lineRule="exact"/>
        <w:rPr>
          <w:rFonts w:ascii="Calibri" w:cs="Calibri" w:eastAsia="Calibri" w:hAnsi="Calibri"/>
          <w:sz w:val="13"/>
          <w:szCs w:val="13"/>
          <w:color w:val="auto"/>
        </w:rPr>
      </w:pPr>
    </w:p>
    <w:p>
      <w:pPr>
        <w:ind w:left="320" w:right="14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(9) Based on the Schedule 13G/A fled on February 9, 2024, FMR LLC had sole votng power with respect to 8,760,776 shares and sole dispositve power with respect to 8,769,272 shares. The business address of FMR LLC is 245 Summer Street, Boston, Massachusets 02210.</w:t>
      </w:r>
    </w:p>
    <w:p>
      <w:pPr>
        <w:spacing w:after="0" w:line="116"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106 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2024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1" w:right="6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Certain relatonships and related person transactons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Certain relatonships and related person transactons</w:t>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Review and approval of related party transactons</w:t>
      </w:r>
    </w:p>
    <w:p>
      <w:pPr>
        <w:spacing w:after="0" w:line="12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review all relatonships and transactons in which we, our directors and executve ofcers or their immediate family members and our 5% stockholders are partcipants to determine whether such persons have a direct or indirect material interest in such transactons. Our Code of Conduct and Ethics instructs our directors, ofcers and employees to report the facts and circumstances of any such transacton or potental transacton to our General Counsel or our Audit Commitee. Our board of directors has adopted a policy regarding the review of potental related party transactons. Under this policy, our General Counsel will review the facts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ind w:left="-3" w:right="1060" w:firstLine="3"/>
        <w:spacing w:after="0" w:line="230" w:lineRule="auto"/>
        <w:tabs>
          <w:tab w:leader="none" w:pos="93" w:val="left"/>
        </w:tabs>
        <w:numPr>
          <w:ilvl w:val="0"/>
          <w:numId w:val="62"/>
        </w:numPr>
        <w:rPr>
          <w:rFonts w:ascii="Calibri" w:cs="Calibri" w:eastAsia="Calibri" w:hAnsi="Calibri"/>
          <w:sz w:val="18"/>
          <w:szCs w:val="18"/>
          <w:b w:val="1"/>
          <w:bCs w:val="1"/>
          <w:color w:val="FB4E0B"/>
        </w:rPr>
      </w:pPr>
      <w:r>
        <w:rPr>
          <w:rFonts w:ascii="Calibri" w:cs="Calibri" w:eastAsia="Calibri" w:hAnsi="Calibri"/>
          <w:sz w:val="18"/>
          <w:szCs w:val="18"/>
          <w:b w:val="1"/>
          <w:bCs w:val="1"/>
          <w:color w:val="FB4E0B"/>
        </w:rPr>
        <w:t> Factors used in assessing related party     transactons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-283845</wp:posOffset>
            </wp:positionV>
            <wp:extent cx="2891155" cy="14789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891155" cy="1478915"/>
                    </a:xfrm>
                    <a:prstGeom prst="rect">
                      <a:avLst/>
                    </a:prstGeom>
                    <a:noFill/>
                  </pic:spPr>
                </pic:pic>
              </a:graphicData>
            </a:graphic>
          </wp:anchor>
        </w:drawing>
      </w:r>
    </w:p>
    <w:p>
      <w:pPr>
        <w:spacing w:after="0" w:line="77" w:lineRule="exact"/>
        <w:rPr>
          <w:sz w:val="20"/>
          <w:szCs w:val="20"/>
          <w:color w:val="auto"/>
        </w:rPr>
      </w:pPr>
    </w:p>
    <w:p>
      <w:pPr>
        <w:ind w:left="317"/>
        <w:spacing w:after="0"/>
        <w:tabs>
          <w:tab w:leader="none" w:pos="517"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The nature of the related party transacton</w:t>
      </w:r>
    </w:p>
    <w:p>
      <w:pPr>
        <w:spacing w:after="0" w:line="39" w:lineRule="exact"/>
        <w:rPr>
          <w:sz w:val="20"/>
          <w:szCs w:val="20"/>
          <w:color w:val="auto"/>
        </w:rPr>
      </w:pPr>
    </w:p>
    <w:p>
      <w:pPr>
        <w:ind w:left="317"/>
        <w:spacing w:after="0"/>
        <w:tabs>
          <w:tab w:leader="none" w:pos="517"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The related party’s interest in the transacton</w:t>
      </w:r>
    </w:p>
    <w:p>
      <w:pPr>
        <w:spacing w:after="0" w:line="39" w:lineRule="exact"/>
        <w:rPr>
          <w:sz w:val="20"/>
          <w:szCs w:val="20"/>
          <w:color w:val="auto"/>
        </w:rPr>
      </w:pPr>
    </w:p>
    <w:p>
      <w:pPr>
        <w:ind w:left="317"/>
        <w:spacing w:after="0"/>
        <w:tabs>
          <w:tab w:leader="none" w:pos="517"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The material terms of the transacton, including the</w:t>
      </w:r>
    </w:p>
    <w:p>
      <w:pPr>
        <w:ind w:left="617"/>
        <w:spacing w:after="0" w:line="191" w:lineRule="auto"/>
        <w:rPr>
          <w:sz w:val="20"/>
          <w:szCs w:val="20"/>
          <w:color w:val="auto"/>
        </w:rPr>
      </w:pPr>
      <w:r>
        <w:rPr>
          <w:rFonts w:ascii="Calibri" w:cs="Calibri" w:eastAsia="Calibri" w:hAnsi="Calibri"/>
          <w:sz w:val="16"/>
          <w:szCs w:val="16"/>
          <w:color w:val="auto"/>
        </w:rPr>
        <w:t>amount involved and type of transacton</w:t>
      </w:r>
    </w:p>
    <w:p>
      <w:pPr>
        <w:spacing w:after="0" w:line="40" w:lineRule="exact"/>
        <w:rPr>
          <w:sz w:val="20"/>
          <w:szCs w:val="20"/>
          <w:color w:val="auto"/>
        </w:rPr>
      </w:pPr>
    </w:p>
    <w:p>
      <w:pPr>
        <w:ind w:left="317"/>
        <w:spacing w:after="0"/>
        <w:tabs>
          <w:tab w:leader="none" w:pos="517"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The importance of the transacton to us and to the related</w:t>
      </w:r>
    </w:p>
    <w:p>
      <w:pPr>
        <w:ind w:left="617"/>
        <w:spacing w:after="0" w:line="191" w:lineRule="auto"/>
        <w:rPr>
          <w:sz w:val="20"/>
          <w:szCs w:val="20"/>
          <w:color w:val="auto"/>
        </w:rPr>
      </w:pPr>
      <w:r>
        <w:rPr>
          <w:rFonts w:ascii="Calibri" w:cs="Calibri" w:eastAsia="Calibri" w:hAnsi="Calibri"/>
          <w:sz w:val="16"/>
          <w:szCs w:val="16"/>
          <w:color w:val="auto"/>
        </w:rPr>
        <w:t>party</w:t>
      </w:r>
    </w:p>
    <w:p>
      <w:pPr>
        <w:spacing w:after="0" w:line="40" w:lineRule="exact"/>
        <w:rPr>
          <w:sz w:val="20"/>
          <w:szCs w:val="20"/>
          <w:color w:val="auto"/>
        </w:rPr>
      </w:pPr>
    </w:p>
    <w:p>
      <w:pPr>
        <w:ind w:left="317"/>
        <w:spacing w:after="0"/>
        <w:tabs>
          <w:tab w:leader="none" w:pos="517"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Whether the transacton would impair the judgment of a</w:t>
      </w:r>
    </w:p>
    <w:p>
      <w:pPr>
        <w:ind w:left="617"/>
        <w:spacing w:after="0" w:line="191" w:lineRule="auto"/>
        <w:rPr>
          <w:sz w:val="20"/>
          <w:szCs w:val="20"/>
          <w:color w:val="auto"/>
        </w:rPr>
      </w:pPr>
      <w:r>
        <w:rPr>
          <w:rFonts w:ascii="Calibri" w:cs="Calibri" w:eastAsia="Calibri" w:hAnsi="Calibri"/>
          <w:sz w:val="16"/>
          <w:szCs w:val="16"/>
          <w:color w:val="auto"/>
        </w:rPr>
        <w:t>director or executve ofcer to act in our best interest</w:t>
      </w:r>
    </w:p>
    <w:p>
      <w:pPr>
        <w:spacing w:after="0" w:line="163" w:lineRule="exact"/>
        <w:rPr>
          <w:sz w:val="20"/>
          <w:szCs w:val="20"/>
          <w:color w:val="auto"/>
        </w:rPr>
      </w:pPr>
    </w:p>
    <w:p>
      <w:pPr>
        <w:sectPr>
          <w:pgSz w:w="11900" w:h="16838" w:orient="portrait"/>
          <w:cols w:equalWidth="0" w:num="2">
            <w:col w:w="6140" w:space="343"/>
            <w:col w:w="4457"/>
          </w:cols>
          <w:pgMar w:left="320" w:top="471" w:right="639" w:bottom="1440" w:gutter="0" w:footer="0" w:header="0"/>
          <w:type w:val="continuous"/>
        </w:sectPr>
      </w:pPr>
    </w:p>
    <w:p>
      <w:pPr>
        <w:ind w:left="320" w:right="60"/>
        <w:spacing w:after="0"/>
        <w:rPr>
          <w:sz w:val="20"/>
          <w:szCs w:val="20"/>
          <w:color w:val="auto"/>
        </w:rPr>
      </w:pPr>
      <w:r>
        <w:rPr>
          <w:rFonts w:ascii="Calibri" w:cs="Calibri" w:eastAsia="Calibri" w:hAnsi="Calibri"/>
          <w:sz w:val="17"/>
          <w:szCs w:val="17"/>
          <w:color w:val="auto"/>
        </w:rPr>
        <w:t>circumstances of any covered transacton. If our General Counsel determines that the transacton involves a related party transacton and the amount involved does not equal or exceed $120,000, our General Counsel will approve or disapprove the transacton. If our General Counsel determines that the transacton involves a related party transacton and the amount involved equals or exceeds $120,000, our General Counsel will refer the transacton to our Audit Commitee for consideraton. In the course of reviewing, approving or ratfying a disclosable related party transacton, our General Counsel and Audit Commitee considers all factors it considers appropriate, including but not limited to the factors in the box to the right.</w:t>
      </w:r>
    </w:p>
    <w:p>
      <w:pPr>
        <w:spacing w:after="0" w:line="35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Related party transactons</w:t>
      </w:r>
    </w:p>
    <w:p>
      <w:pPr>
        <w:spacing w:after="0" w:line="114" w:lineRule="exact"/>
        <w:rPr>
          <w:sz w:val="20"/>
          <w:szCs w:val="20"/>
          <w:color w:val="auto"/>
        </w:rPr>
      </w:pPr>
    </w:p>
    <w:p>
      <w:pPr>
        <w:ind w:left="320" w:right="340"/>
        <w:spacing w:after="0" w:line="268" w:lineRule="auto"/>
        <w:rPr>
          <w:sz w:val="20"/>
          <w:szCs w:val="20"/>
          <w:color w:val="auto"/>
        </w:rPr>
      </w:pPr>
      <w:r>
        <w:rPr>
          <w:rFonts w:ascii="Calibri" w:cs="Calibri" w:eastAsia="Calibri" w:hAnsi="Calibri"/>
          <w:sz w:val="16"/>
          <w:szCs w:val="16"/>
          <w:color w:val="auto"/>
        </w:rPr>
        <w:t>As required under SEC rules, transactons that are determined to be directly or indirectly material to us or a related person and which involve amounts exceeding $120,000 in the previous fscal year are disclosed in our Proxy Statement. There were no related person transactons in fscal year 2023.</w:t>
      </w:r>
    </w:p>
    <w:p>
      <w:pPr>
        <w:spacing w:after="0" w:line="274"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2024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107</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Audit Commitee Report</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Audit Commitee Report</w:t>
      </w:r>
    </w:p>
    <w:p>
      <w:pPr>
        <w:spacing w:after="0" w:line="330" w:lineRule="exact"/>
        <w:rPr>
          <w:sz w:val="20"/>
          <w:szCs w:val="20"/>
          <w:color w:val="auto"/>
        </w:rPr>
      </w:pPr>
    </w:p>
    <w:p>
      <w:pPr>
        <w:ind w:left="320" w:right="400"/>
        <w:spacing w:after="0" w:line="239" w:lineRule="auto"/>
        <w:rPr>
          <w:sz w:val="20"/>
          <w:szCs w:val="20"/>
          <w:color w:val="auto"/>
        </w:rPr>
      </w:pPr>
      <w:r>
        <w:rPr>
          <w:rFonts w:ascii="Calibri" w:cs="Calibri" w:eastAsia="Calibri" w:hAnsi="Calibri"/>
          <w:sz w:val="17"/>
          <w:szCs w:val="17"/>
          <w:color w:val="auto"/>
        </w:rPr>
        <w:t>The Audit Commitee of the board of directors of ExlService Holdings, Inc. assists our board of directors in fulflling its oversight responsibilites with respect to the following:</w:t>
      </w:r>
    </w:p>
    <w:p>
      <w:pPr>
        <w:spacing w:after="0" w:line="237" w:lineRule="exact"/>
        <w:rPr>
          <w:sz w:val="20"/>
          <w:szCs w:val="20"/>
          <w:color w:val="auto"/>
        </w:rPr>
      </w:pPr>
    </w:p>
    <w:p>
      <w:pPr>
        <w:ind w:left="1140" w:right="60" w:hanging="407"/>
        <w:spacing w:after="0" w:line="239" w:lineRule="auto"/>
        <w:tabs>
          <w:tab w:leader="none" w:pos="1140" w:val="left"/>
        </w:tabs>
        <w:numPr>
          <w:ilvl w:val="0"/>
          <w:numId w:val="63"/>
        </w:numPr>
        <w:rPr>
          <w:rFonts w:ascii="Calibri" w:cs="Calibri" w:eastAsia="Calibri" w:hAnsi="Calibri"/>
          <w:sz w:val="17"/>
          <w:szCs w:val="17"/>
          <w:color w:val="auto"/>
        </w:rPr>
      </w:pPr>
      <w:r>
        <w:rPr>
          <w:rFonts w:ascii="Calibri" w:cs="Calibri" w:eastAsia="Calibri" w:hAnsi="Calibri"/>
          <w:sz w:val="17"/>
          <w:szCs w:val="17"/>
          <w:color w:val="auto"/>
        </w:rPr>
        <w:t>our accountng and fnancial reportng processes, including the integrity of the fnancial statements and other fnancial informaton provided by us to our stockholders, the public, stock exchanges and others;</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63"/>
        </w:numPr>
        <w:rPr>
          <w:rFonts w:ascii="Calibri" w:cs="Calibri" w:eastAsia="Calibri" w:hAnsi="Calibri"/>
          <w:sz w:val="17"/>
          <w:szCs w:val="17"/>
          <w:color w:val="auto"/>
        </w:rPr>
      </w:pPr>
      <w:r>
        <w:rPr>
          <w:rFonts w:ascii="Calibri" w:cs="Calibri" w:eastAsia="Calibri" w:hAnsi="Calibri"/>
          <w:sz w:val="17"/>
          <w:szCs w:val="17"/>
          <w:color w:val="auto"/>
        </w:rPr>
        <w:t>our compliance with legal and regulatory requirements;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63"/>
        </w:numPr>
        <w:rPr>
          <w:rFonts w:ascii="Calibri" w:cs="Calibri" w:eastAsia="Calibri" w:hAnsi="Calibri"/>
          <w:sz w:val="17"/>
          <w:szCs w:val="17"/>
          <w:color w:val="auto"/>
        </w:rPr>
      </w:pPr>
      <w:r>
        <w:rPr>
          <w:rFonts w:ascii="Calibri" w:cs="Calibri" w:eastAsia="Calibri" w:hAnsi="Calibri"/>
          <w:sz w:val="17"/>
          <w:szCs w:val="17"/>
          <w:color w:val="auto"/>
        </w:rPr>
        <w:t>our registered independent public accountng frm’s qualifcatons and independence;</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63"/>
        </w:numPr>
        <w:rPr>
          <w:rFonts w:ascii="Calibri" w:cs="Calibri" w:eastAsia="Calibri" w:hAnsi="Calibri"/>
          <w:sz w:val="17"/>
          <w:szCs w:val="17"/>
          <w:color w:val="auto"/>
        </w:rPr>
      </w:pPr>
      <w:r>
        <w:rPr>
          <w:rFonts w:ascii="Calibri" w:cs="Calibri" w:eastAsia="Calibri" w:hAnsi="Calibri"/>
          <w:sz w:val="17"/>
          <w:szCs w:val="17"/>
          <w:color w:val="auto"/>
        </w:rPr>
        <w:t>the audit of our fnancial statements;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63"/>
        </w:numPr>
        <w:rPr>
          <w:rFonts w:ascii="Calibri" w:cs="Calibri" w:eastAsia="Calibri" w:hAnsi="Calibri"/>
          <w:sz w:val="17"/>
          <w:szCs w:val="17"/>
          <w:color w:val="auto"/>
        </w:rPr>
      </w:pPr>
      <w:r>
        <w:rPr>
          <w:rFonts w:ascii="Calibri" w:cs="Calibri" w:eastAsia="Calibri" w:hAnsi="Calibri"/>
          <w:sz w:val="17"/>
          <w:szCs w:val="17"/>
          <w:color w:val="auto"/>
        </w:rPr>
        <w:t>the performance of our internal audit functon and independent registered public accountng frm.</w:t>
      </w:r>
    </w:p>
    <w:p>
      <w:pPr>
        <w:spacing w:after="0" w:line="210" w:lineRule="exact"/>
        <w:rPr>
          <w:sz w:val="20"/>
          <w:szCs w:val="20"/>
          <w:color w:val="auto"/>
        </w:rPr>
      </w:pPr>
    </w:p>
    <w:p>
      <w:pPr>
        <w:jc w:val="both"/>
        <w:ind w:left="320" w:right="20"/>
        <w:spacing w:after="0"/>
        <w:rPr>
          <w:sz w:val="20"/>
          <w:szCs w:val="20"/>
          <w:color w:val="auto"/>
        </w:rPr>
      </w:pPr>
      <w:r>
        <w:rPr>
          <w:rFonts w:ascii="Calibri" w:cs="Calibri" w:eastAsia="Calibri" w:hAnsi="Calibri"/>
          <w:sz w:val="17"/>
          <w:szCs w:val="17"/>
          <w:color w:val="auto"/>
        </w:rPr>
        <w:t>In connecton with these responsibilites, the Audit Commitee met with management and Deloite &amp; Touche LLP to review and discuss the December 31, 2023 audited consolidated fnancial statements. The Audit Commitee also discussed with Deloite &amp; Touche LLP the maters required to be discussed by the applicable requirements of the Public Company Accountng Oversight Board and the SEC. The Audit Commitee also received writen disclosures and the leter from Deloite &amp; Touche LLP required by Rule 3526 of the Public Company Accountng Oversight Board (Communicatons with Audit Commitees Concerning Independence), and the Audit Commitee discussed with Deloite &amp; Touche LLP the frm’s independence.</w:t>
      </w:r>
    </w:p>
    <w:p>
      <w:pPr>
        <w:spacing w:after="0" w:line="211"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Based on the review and discussions referred to above, the Audit Commitee approved the inclusion of the audited fnancial statements in the Company’s Annual Report on Form 10-K for the fscal year ended December 31, 2023.</w:t>
      </w:r>
    </w:p>
    <w:p>
      <w:pPr>
        <w:spacing w:after="0" w:line="392"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Audit Commitee</w:t>
      </w:r>
    </w:p>
    <w:p>
      <w:pPr>
        <w:spacing w:after="0" w:line="105"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Kristy Pipes (Chair)</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Thomas Bartlet</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Andreas Fibig</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Nitn Sahney</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Jaynie Studenmund</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Sarah K. Williamson</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108 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2024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71" w:right="7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Proposal 1 — Electon of directors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Proposal 1 — Electon of directors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The nominees</w:t>
      </w:r>
    </w:p>
    <w:p>
      <w:pPr>
        <w:spacing w:after="0" w:line="114"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Our Nominatng and Governance Commitee has nominated, and our board of directors has designated, Mses. Pipes, Studenmund and Williamson and Messrs. Kapoor, Pandit, Bartlet, Fibig, and Sahney to stand for electon as directors at the Annual Meetng. Mr. Mital will not be standing for re-electon at the Annual Meetng. Mr. Bartlet was identfed and recommended to the Nominatng and Governance Commitee by a third-party search frm.</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Term of ofce</w:t>
      </w:r>
    </w:p>
    <w:p>
      <w:pPr>
        <w:spacing w:after="0" w:line="114" w:lineRule="exact"/>
        <w:rPr>
          <w:sz w:val="20"/>
          <w:szCs w:val="20"/>
          <w:color w:val="auto"/>
        </w:rPr>
      </w:pPr>
    </w:p>
    <w:p>
      <w:pPr>
        <w:ind w:left="320" w:right="280"/>
        <w:spacing w:after="0" w:line="239" w:lineRule="auto"/>
        <w:rPr>
          <w:sz w:val="20"/>
          <w:szCs w:val="20"/>
          <w:color w:val="auto"/>
        </w:rPr>
      </w:pPr>
      <w:r>
        <w:rPr>
          <w:rFonts w:ascii="Calibri" w:cs="Calibri" w:eastAsia="Calibri" w:hAnsi="Calibri"/>
          <w:sz w:val="17"/>
          <w:szCs w:val="17"/>
          <w:color w:val="auto"/>
        </w:rPr>
        <w:t>If elected, each of the director nominees will serve a term of one year on our board of directors, untl our 2025 Annual Meetng of Stockholders or untl their respectve successors are duly elected and qualifed in accordance with our By-laws.</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Votng instructons and substtutes</w:t>
      </w:r>
    </w:p>
    <w:p>
      <w:pPr>
        <w:spacing w:after="0" w:line="114"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The proxies given to the proxy holders will be voted or not voted as directed and, if no directon is given, will be voted FOR these eight nominees. Our board of directors knows of no reason why any of these nominees should be unable or unwilling to serve. However, if for any reason any nominee should be unable or unwilling to stand for electon, the shares represented by proxies will be voted for the electon of any substtute nominee designated by our board of directors to fll the vacancy.</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General informaton about nominees</w:t>
      </w:r>
    </w:p>
    <w:p>
      <w:pPr>
        <w:spacing w:after="0" w:line="114"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The age as of the date of this Proxy Statement, tenure on our board of directors and commitee membership, if any, of each nominee appears below. Informaton regarding the business experience during at least the last fve years and directorships of other publicly owned corporatons of each nominee can be found above under “Our board of directors.” Other informaton required with respect to any solicitaton of proxies in connecton with the electon of directors is found elsewhere in this Proxy Statement.</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2024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109</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1 —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234315</wp:posOffset>
            </wp:positionV>
            <wp:extent cx="4997450" cy="42462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997450" cy="424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Required vote</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afrmatve vote of a majority of votes cast (meaning the number of shares voted “for” a nominee must exceed the number of shares voted “against” such nominee) at the Annual Meetng will elect the eight nominees as directors for a term of one year. If any nominee for director receives a greater number of votes “against” his or her electon than votes “for” such electon, our By-laws provide that such person will tender to the board of directors his or her resignaton as a director. Unless marked to the contrary, proxies received will be voted “FOR”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163830</wp:posOffset>
            </wp:positionV>
            <wp:extent cx="4055745" cy="7188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055745" cy="718820"/>
                    </a:xfrm>
                    <a:prstGeom prst="rect">
                      <a:avLst/>
                    </a:prstGeom>
                    <a:noFill/>
                  </pic:spPr>
                </pic:pic>
              </a:graphicData>
            </a:graphic>
          </wp:anchor>
        </w:drawing>
      </w:r>
    </w:p>
    <w:p>
      <w:pPr>
        <w:spacing w:after="0" w:line="359" w:lineRule="exact"/>
        <w:rPr>
          <w:sz w:val="20"/>
          <w:szCs w:val="20"/>
          <w:color w:val="auto"/>
        </w:rPr>
      </w:pPr>
    </w:p>
    <w:p>
      <w:pPr>
        <w:ind w:left="2600"/>
        <w:spacing w:after="0"/>
        <w:rPr>
          <w:sz w:val="20"/>
          <w:szCs w:val="20"/>
          <w:color w:val="auto"/>
        </w:rPr>
      </w:pPr>
      <w:r>
        <w:rPr>
          <w:rFonts w:ascii="Calibri" w:cs="Calibri" w:eastAsia="Calibri" w:hAnsi="Calibri"/>
          <w:sz w:val="21"/>
          <w:szCs w:val="21"/>
          <w:b w:val="1"/>
          <w:bCs w:val="1"/>
          <w:color w:val="FFFFFF"/>
        </w:rPr>
        <w:t>  Our board recommends that you vote</w:t>
      </w:r>
    </w:p>
    <w:p>
      <w:pPr>
        <w:spacing w:after="0" w:line="172" w:lineRule="exact"/>
        <w:rPr>
          <w:sz w:val="20"/>
          <w:szCs w:val="20"/>
          <w:color w:val="auto"/>
        </w:rPr>
      </w:pPr>
    </w:p>
    <w:p>
      <w:pPr>
        <w:jc w:val="right"/>
        <w:ind w:left="2700" w:right="2340"/>
        <w:spacing w:after="0" w:line="225" w:lineRule="auto"/>
        <w:rPr>
          <w:sz w:val="20"/>
          <w:szCs w:val="20"/>
          <w:color w:val="auto"/>
        </w:rPr>
      </w:pPr>
      <w:r>
        <w:rPr>
          <w:rFonts w:ascii="Calibri" w:cs="Calibri" w:eastAsia="Calibri" w:hAnsi="Calibri"/>
          <w:sz w:val="27"/>
          <w:szCs w:val="27"/>
          <w:b w:val="1"/>
          <w:bCs w:val="1"/>
          <w:color w:val="FFFFFF"/>
        </w:rPr>
        <w:t xml:space="preserve">FOR   </w:t>
      </w:r>
      <w:r>
        <w:rPr>
          <w:rFonts w:ascii="Calibri" w:cs="Calibri" w:eastAsia="Calibri" w:hAnsi="Calibri"/>
          <w:sz w:val="15"/>
          <w:szCs w:val="15"/>
          <w:b w:val="1"/>
          <w:bCs w:val="1"/>
          <w:color w:val="000000"/>
        </w:rPr>
        <w:t>the electon of Mses. Pipes, Studenmund and Williamson and Messrs.</w:t>
      </w:r>
      <w:r>
        <w:rPr>
          <w:rFonts w:ascii="Calibri" w:cs="Calibri" w:eastAsia="Calibri" w:hAnsi="Calibri"/>
          <w:sz w:val="27"/>
          <w:szCs w:val="27"/>
          <w:b w:val="1"/>
          <w:bCs w:val="1"/>
          <w:color w:val="FFFFFF"/>
        </w:rPr>
        <w:t xml:space="preserve"> </w:t>
      </w:r>
      <w:r>
        <w:rPr>
          <w:rFonts w:ascii="Calibri" w:cs="Calibri" w:eastAsia="Calibri" w:hAnsi="Calibri"/>
          <w:sz w:val="15"/>
          <w:szCs w:val="15"/>
          <w:b w:val="1"/>
          <w:bCs w:val="1"/>
          <w:color w:val="000000"/>
        </w:rPr>
        <w:t>Kapoor, Pandit, Bartlet, Fibig, and Sahney as directors of the Company</w:t>
      </w:r>
    </w:p>
    <w:p>
      <w:pPr>
        <w:spacing w:after="0" w:line="205"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110 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2024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71" w:right="7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Proposal 2 — Ratfcaton of the appointment of independent registered public accountng frm</w:t>
      </w:r>
    </w:p>
    <w:p>
      <w:pPr>
        <w:spacing w:after="0" w:line="333" w:lineRule="exact"/>
        <w:rPr>
          <w:sz w:val="20"/>
          <w:szCs w:val="20"/>
          <w:color w:val="auto"/>
        </w:rPr>
      </w:pPr>
    </w:p>
    <w:p>
      <w:pPr>
        <w:ind w:left="320" w:right="680"/>
        <w:spacing w:after="0" w:line="238" w:lineRule="auto"/>
        <w:rPr>
          <w:sz w:val="20"/>
          <w:szCs w:val="20"/>
          <w:color w:val="auto"/>
        </w:rPr>
      </w:pPr>
      <w:r>
        <w:rPr>
          <w:rFonts w:ascii="Calibri" w:cs="Calibri" w:eastAsia="Calibri" w:hAnsi="Calibri"/>
          <w:sz w:val="31"/>
          <w:szCs w:val="31"/>
          <w:color w:val="FB4E0B"/>
        </w:rPr>
        <w:t>Proposal 2 — Ratfcaton of the appointment of independent registered public accountng frm</w:t>
      </w:r>
    </w:p>
    <w:p>
      <w:pPr>
        <w:spacing w:after="0" w:line="33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Our Audit Commitee has appointed Deloite &amp; Touche LLP (“Deloite”) as the independent registered public accountng frm to audit the Company’s and its subsidiaries’ books, records and accounts for the fscal year 2024. Our board of directors has endorsed this appointment. Ratfcaton of the appointment of Deloite by our stockholders is not required by law. However, as a mater of good corporate practce, such appointment is being submited to our stockholders for ratfcaton at the Annual Meetng. If our stockholders do not ratfy the appointment, our board of directors and our Audit Commitee will reconsider whether or not to retain Deloite, but may nonetheless retain Deloite. Even if the appointment is ratfed, the Audit Commitee in its discreton may change such appointment at any tme during the year if it determines that such change would be in the best interests of the Company and our stockholders.</w:t>
      </w:r>
    </w:p>
    <w:p>
      <w:pPr>
        <w:spacing w:after="0" w:line="317"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In retaining Deloite as the Company’s independent registered public accountng frm, the Audit Commitee considered whether the provision of non-audit services by Deloite was compatble with maintaining Deloite’s independence and concluded that it was. Representatves of Deloite are expected to be present at the Annual Meetng. They will have an opportunity to make a statement, if they desire to do so, and will be available to respond to appropriate questons. Deloite has served as our independent registered public accountng frm since February 28, 2018.</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Audit and non-audit fees</w:t>
      </w:r>
    </w:p>
    <w:p>
      <w:pPr>
        <w:spacing w:after="0" w:line="114" w:lineRule="exact"/>
        <w:rPr>
          <w:sz w:val="20"/>
          <w:szCs w:val="20"/>
          <w:color w:val="auto"/>
        </w:rPr>
      </w:pPr>
    </w:p>
    <w:p>
      <w:pPr>
        <w:ind w:left="320" w:right="820"/>
        <w:spacing w:after="0" w:line="239" w:lineRule="auto"/>
        <w:rPr>
          <w:sz w:val="20"/>
          <w:szCs w:val="20"/>
          <w:color w:val="auto"/>
        </w:rPr>
      </w:pPr>
      <w:r>
        <w:rPr>
          <w:rFonts w:ascii="Calibri" w:cs="Calibri" w:eastAsia="Calibri" w:hAnsi="Calibri"/>
          <w:sz w:val="17"/>
          <w:szCs w:val="17"/>
          <w:color w:val="auto"/>
        </w:rPr>
        <w:t>The following is a summary of the fees billed or expected to be billed to us by the Company’s independent registered public accountng frm for professional services rendered in each of the last two fscal years:</w:t>
      </w:r>
    </w:p>
    <w:p>
      <w:pPr>
        <w:spacing w:after="0" w:line="238" w:lineRule="exact"/>
        <w:rPr>
          <w:sz w:val="20"/>
          <w:szCs w:val="20"/>
          <w:color w:val="auto"/>
        </w:rPr>
      </w:pPr>
    </w:p>
    <w:tbl>
      <w:tblPr>
        <w:tblLayout w:type="fixed"/>
        <w:tblInd w:w="244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1780" w:type="dxa"/>
            <w:vAlign w:val="bottom"/>
          </w:tcPr>
          <w:p>
            <w:pPr>
              <w:jc w:val="right"/>
              <w:ind w:right="178"/>
              <w:spacing w:after="0"/>
              <w:rPr>
                <w:sz w:val="20"/>
                <w:szCs w:val="20"/>
                <w:color w:val="auto"/>
              </w:rPr>
            </w:pPr>
            <w:r>
              <w:rPr>
                <w:rFonts w:ascii="Calibri" w:cs="Calibri" w:eastAsia="Calibri" w:hAnsi="Calibri"/>
                <w:sz w:val="14"/>
                <w:szCs w:val="14"/>
                <w:b w:val="1"/>
                <w:bCs w:val="1"/>
                <w:color w:val="FB4E0B"/>
              </w:rPr>
              <w:t>Fiscal</w:t>
            </w:r>
          </w:p>
        </w:tc>
        <w:tc>
          <w:tcPr>
            <w:tcW w:w="2040" w:type="dxa"/>
            <w:vAlign w:val="bottom"/>
          </w:tcPr>
          <w:p>
            <w:pPr>
              <w:jc w:val="right"/>
              <w:ind w:right="180"/>
              <w:spacing w:after="0"/>
              <w:rPr>
                <w:sz w:val="20"/>
                <w:szCs w:val="20"/>
                <w:color w:val="auto"/>
              </w:rPr>
            </w:pPr>
            <w:r>
              <w:rPr>
                <w:rFonts w:ascii="Calibri" w:cs="Calibri" w:eastAsia="Calibri" w:hAnsi="Calibri"/>
                <w:sz w:val="14"/>
                <w:szCs w:val="14"/>
                <w:b w:val="1"/>
                <w:bCs w:val="1"/>
                <w:color w:val="FB4E0B"/>
              </w:rPr>
              <w:t xml:space="preserve">Fiscal   </w:t>
            </w:r>
          </w:p>
        </w:tc>
      </w:tr>
      <w:tr>
        <w:trPr>
          <w:trHeight w:val="182"/>
        </w:trPr>
        <w:tc>
          <w:tcPr>
            <w:tcW w:w="2560" w:type="dxa"/>
            <w:vAlign w:val="bottom"/>
          </w:tcPr>
          <w:p>
            <w:pPr>
              <w:ind w:left="220"/>
              <w:spacing w:after="0"/>
              <w:rPr>
                <w:sz w:val="20"/>
                <w:szCs w:val="20"/>
                <w:color w:val="auto"/>
              </w:rPr>
            </w:pPr>
            <w:r>
              <w:rPr>
                <w:rFonts w:ascii="Calibri" w:cs="Calibri" w:eastAsia="Calibri" w:hAnsi="Calibri"/>
                <w:sz w:val="14"/>
                <w:szCs w:val="14"/>
                <w:b w:val="1"/>
                <w:bCs w:val="1"/>
                <w:color w:val="FB4E0B"/>
              </w:rPr>
              <w:t>Fee category</w:t>
            </w:r>
          </w:p>
        </w:tc>
        <w:tc>
          <w:tcPr>
            <w:tcW w:w="1780" w:type="dxa"/>
            <w:vAlign w:val="bottom"/>
          </w:tcPr>
          <w:p>
            <w:pPr>
              <w:jc w:val="right"/>
              <w:ind w:right="198"/>
              <w:spacing w:after="0" w:line="169" w:lineRule="exact"/>
              <w:rPr>
                <w:sz w:val="20"/>
                <w:szCs w:val="20"/>
                <w:color w:val="auto"/>
              </w:rPr>
            </w:pPr>
            <w:r>
              <w:rPr>
                <w:rFonts w:ascii="Calibri" w:cs="Calibri" w:eastAsia="Calibri" w:hAnsi="Calibri"/>
                <w:sz w:val="14"/>
                <w:szCs w:val="14"/>
                <w:b w:val="1"/>
                <w:bCs w:val="1"/>
                <w:color w:val="FB4E0B"/>
              </w:rPr>
              <w:t>2023</w:t>
            </w:r>
          </w:p>
        </w:tc>
        <w:tc>
          <w:tcPr>
            <w:tcW w:w="2040" w:type="dxa"/>
            <w:vAlign w:val="bottom"/>
          </w:tcPr>
          <w:p>
            <w:pPr>
              <w:jc w:val="right"/>
              <w:ind w:right="180"/>
              <w:spacing w:after="0" w:line="169" w:lineRule="exact"/>
              <w:rPr>
                <w:sz w:val="20"/>
                <w:szCs w:val="20"/>
                <w:color w:val="auto"/>
              </w:rPr>
            </w:pPr>
            <w:r>
              <w:rPr>
                <w:rFonts w:ascii="Calibri" w:cs="Calibri" w:eastAsia="Calibri" w:hAnsi="Calibri"/>
                <w:sz w:val="14"/>
                <w:szCs w:val="14"/>
                <w:b w:val="1"/>
                <w:bCs w:val="1"/>
                <w:color w:val="FB4E0B"/>
              </w:rPr>
              <w:t xml:space="preserve">2022   </w:t>
            </w:r>
          </w:p>
        </w:tc>
      </w:tr>
      <w:tr>
        <w:trPr>
          <w:trHeight w:val="299"/>
        </w:trPr>
        <w:tc>
          <w:tcPr>
            <w:tcW w:w="2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40" w:type="dxa"/>
            <w:vAlign w:val="bottom"/>
          </w:tcPr>
          <w:p>
            <w:pPr>
              <w:jc w:val="right"/>
              <w:ind w:right="960"/>
              <w:spacing w:after="0"/>
              <w:rPr>
                <w:sz w:val="20"/>
                <w:szCs w:val="20"/>
                <w:color w:val="auto"/>
              </w:rPr>
            </w:pPr>
            <w:r>
              <w:rPr>
                <w:rFonts w:ascii="Calibri" w:cs="Calibri" w:eastAsia="Calibri" w:hAnsi="Calibri"/>
                <w:sz w:val="14"/>
                <w:szCs w:val="14"/>
                <w:b w:val="1"/>
                <w:bCs w:val="1"/>
                <w:color w:val="FB4E0B"/>
              </w:rPr>
              <w:t>(in thousands)</w:t>
            </w:r>
          </w:p>
        </w:tc>
      </w:tr>
      <w:tr>
        <w:trPr>
          <w:trHeight w:val="102"/>
        </w:trPr>
        <w:tc>
          <w:tcPr>
            <w:tcW w:w="2560" w:type="dxa"/>
            <w:vAlign w:val="bottom"/>
            <w:tcBorders>
              <w:bottom w:val="single" w:sz="8" w:color="FB4E0B"/>
            </w:tcBorders>
          </w:tcPr>
          <w:p>
            <w:pPr>
              <w:spacing w:after="0"/>
              <w:rPr>
                <w:sz w:val="8"/>
                <w:szCs w:val="8"/>
                <w:color w:val="auto"/>
              </w:rPr>
            </w:pPr>
          </w:p>
        </w:tc>
        <w:tc>
          <w:tcPr>
            <w:tcW w:w="1780" w:type="dxa"/>
            <w:vAlign w:val="bottom"/>
            <w:tcBorders>
              <w:bottom w:val="single" w:sz="8" w:color="FB4E0B"/>
            </w:tcBorders>
          </w:tcPr>
          <w:p>
            <w:pPr>
              <w:spacing w:after="0"/>
              <w:rPr>
                <w:sz w:val="8"/>
                <w:szCs w:val="8"/>
                <w:color w:val="auto"/>
              </w:rPr>
            </w:pPr>
          </w:p>
        </w:tc>
        <w:tc>
          <w:tcPr>
            <w:tcW w:w="2040" w:type="dxa"/>
            <w:vAlign w:val="bottom"/>
            <w:tcBorders>
              <w:bottom w:val="single" w:sz="8" w:color="FB4E0B"/>
            </w:tcBorders>
          </w:tcPr>
          <w:p>
            <w:pPr>
              <w:spacing w:after="0"/>
              <w:rPr>
                <w:sz w:val="8"/>
                <w:szCs w:val="8"/>
                <w:color w:val="auto"/>
              </w:rPr>
            </w:pPr>
          </w:p>
        </w:tc>
      </w:tr>
      <w:tr>
        <w:trPr>
          <w:trHeight w:val="302"/>
        </w:trPr>
        <w:tc>
          <w:tcPr>
            <w:tcW w:w="2560" w:type="dxa"/>
            <w:vAlign w:val="bottom"/>
          </w:tcPr>
          <w:p>
            <w:pPr>
              <w:ind w:left="220"/>
              <w:spacing w:after="0"/>
              <w:rPr>
                <w:sz w:val="20"/>
                <w:szCs w:val="20"/>
                <w:color w:val="auto"/>
              </w:rPr>
            </w:pPr>
            <w:r>
              <w:rPr>
                <w:rFonts w:ascii="Calibri" w:cs="Calibri" w:eastAsia="Calibri" w:hAnsi="Calibri"/>
                <w:sz w:val="17"/>
                <w:szCs w:val="17"/>
                <w:color w:val="auto"/>
              </w:rPr>
              <w:t>Audit fees</w:t>
            </w:r>
          </w:p>
        </w:tc>
        <w:tc>
          <w:tcPr>
            <w:tcW w:w="1780" w:type="dxa"/>
            <w:vAlign w:val="bottom"/>
          </w:tcPr>
          <w:p>
            <w:pPr>
              <w:jc w:val="right"/>
              <w:ind w:right="98"/>
              <w:spacing w:after="0"/>
              <w:rPr>
                <w:sz w:val="20"/>
                <w:szCs w:val="20"/>
                <w:color w:val="auto"/>
              </w:rPr>
            </w:pPr>
            <w:r>
              <w:rPr>
                <w:rFonts w:ascii="Calibri" w:cs="Calibri" w:eastAsia="Calibri" w:hAnsi="Calibri"/>
                <w:sz w:val="17"/>
                <w:szCs w:val="17"/>
                <w:color w:val="auto"/>
              </w:rPr>
              <w:t>$1,550</w:t>
            </w:r>
          </w:p>
        </w:tc>
        <w:tc>
          <w:tcPr>
            <w:tcW w:w="2040" w:type="dxa"/>
            <w:vAlign w:val="bottom"/>
          </w:tcPr>
          <w:p>
            <w:pPr>
              <w:jc w:val="right"/>
              <w:ind w:right="80"/>
              <w:spacing w:after="0"/>
              <w:rPr>
                <w:sz w:val="20"/>
                <w:szCs w:val="20"/>
                <w:color w:val="auto"/>
              </w:rPr>
            </w:pPr>
            <w:r>
              <w:rPr>
                <w:rFonts w:ascii="Calibri" w:cs="Calibri" w:eastAsia="Calibri" w:hAnsi="Calibri"/>
                <w:sz w:val="17"/>
                <w:szCs w:val="17"/>
                <w:color w:val="auto"/>
              </w:rPr>
              <w:t>$1,529   </w:t>
            </w:r>
          </w:p>
        </w:tc>
      </w:tr>
      <w:tr>
        <w:trPr>
          <w:trHeight w:val="442"/>
        </w:trPr>
        <w:tc>
          <w:tcPr>
            <w:tcW w:w="2560" w:type="dxa"/>
            <w:vAlign w:val="bottom"/>
          </w:tcPr>
          <w:p>
            <w:pPr>
              <w:ind w:left="220"/>
              <w:spacing w:after="0"/>
              <w:rPr>
                <w:sz w:val="20"/>
                <w:szCs w:val="20"/>
                <w:color w:val="auto"/>
              </w:rPr>
            </w:pPr>
            <w:r>
              <w:rPr>
                <w:rFonts w:ascii="Calibri" w:cs="Calibri" w:eastAsia="Calibri" w:hAnsi="Calibri"/>
                <w:sz w:val="17"/>
                <w:szCs w:val="17"/>
                <w:color w:val="auto"/>
              </w:rPr>
              <w:t>Audit-related fees</w:t>
            </w:r>
          </w:p>
        </w:tc>
        <w:tc>
          <w:tcPr>
            <w:tcW w:w="1780" w:type="dxa"/>
            <w:vAlign w:val="bottom"/>
          </w:tcPr>
          <w:p>
            <w:pPr>
              <w:jc w:val="right"/>
              <w:ind w:right="78"/>
              <w:spacing w:after="0"/>
              <w:rPr>
                <w:sz w:val="20"/>
                <w:szCs w:val="20"/>
                <w:color w:val="auto"/>
              </w:rPr>
            </w:pPr>
            <w:r>
              <w:rPr>
                <w:rFonts w:ascii="Calibri" w:cs="Calibri" w:eastAsia="Calibri" w:hAnsi="Calibri"/>
                <w:sz w:val="17"/>
                <w:szCs w:val="17"/>
                <w:color w:val="auto"/>
              </w:rPr>
              <w:t>—</w:t>
            </w:r>
          </w:p>
        </w:tc>
        <w:tc>
          <w:tcPr>
            <w:tcW w:w="2040" w:type="dxa"/>
            <w:vAlign w:val="bottom"/>
          </w:tcPr>
          <w:p>
            <w:pPr>
              <w:jc w:val="right"/>
              <w:ind w:right="80"/>
              <w:spacing w:after="0"/>
              <w:rPr>
                <w:sz w:val="20"/>
                <w:szCs w:val="20"/>
                <w:color w:val="auto"/>
              </w:rPr>
            </w:pPr>
            <w:r>
              <w:rPr>
                <w:rFonts w:ascii="Calibri" w:cs="Calibri" w:eastAsia="Calibri" w:hAnsi="Calibri"/>
                <w:sz w:val="17"/>
                <w:szCs w:val="17"/>
                <w:color w:val="auto"/>
              </w:rPr>
              <w:t>—   </w:t>
            </w:r>
          </w:p>
        </w:tc>
      </w:tr>
      <w:tr>
        <w:trPr>
          <w:trHeight w:val="442"/>
        </w:trPr>
        <w:tc>
          <w:tcPr>
            <w:tcW w:w="2560" w:type="dxa"/>
            <w:vAlign w:val="bottom"/>
          </w:tcPr>
          <w:p>
            <w:pPr>
              <w:ind w:left="220"/>
              <w:spacing w:after="0"/>
              <w:rPr>
                <w:sz w:val="20"/>
                <w:szCs w:val="20"/>
                <w:color w:val="auto"/>
              </w:rPr>
            </w:pPr>
            <w:r>
              <w:rPr>
                <w:rFonts w:ascii="Calibri" w:cs="Calibri" w:eastAsia="Calibri" w:hAnsi="Calibri"/>
                <w:sz w:val="17"/>
                <w:szCs w:val="17"/>
                <w:color w:val="auto"/>
              </w:rPr>
              <w:t>Tax fees</w:t>
            </w:r>
          </w:p>
        </w:tc>
        <w:tc>
          <w:tcPr>
            <w:tcW w:w="1780" w:type="dxa"/>
            <w:vAlign w:val="bottom"/>
          </w:tcPr>
          <w:p>
            <w:pPr>
              <w:jc w:val="right"/>
              <w:ind w:right="98"/>
              <w:spacing w:after="0"/>
              <w:rPr>
                <w:sz w:val="20"/>
                <w:szCs w:val="20"/>
                <w:color w:val="auto"/>
              </w:rPr>
            </w:pPr>
            <w:r>
              <w:rPr>
                <w:rFonts w:ascii="Calibri" w:cs="Calibri" w:eastAsia="Calibri" w:hAnsi="Calibri"/>
                <w:sz w:val="17"/>
                <w:szCs w:val="17"/>
                <w:color w:val="auto"/>
              </w:rPr>
              <w:t>37</w:t>
            </w:r>
          </w:p>
        </w:tc>
        <w:tc>
          <w:tcPr>
            <w:tcW w:w="2040" w:type="dxa"/>
            <w:vAlign w:val="bottom"/>
          </w:tcPr>
          <w:p>
            <w:pPr>
              <w:jc w:val="right"/>
              <w:ind w:right="80"/>
              <w:spacing w:after="0"/>
              <w:rPr>
                <w:sz w:val="20"/>
                <w:szCs w:val="20"/>
                <w:color w:val="auto"/>
              </w:rPr>
            </w:pPr>
            <w:r>
              <w:rPr>
                <w:rFonts w:ascii="Calibri" w:cs="Calibri" w:eastAsia="Calibri" w:hAnsi="Calibri"/>
                <w:sz w:val="17"/>
                <w:szCs w:val="17"/>
                <w:color w:val="auto"/>
              </w:rPr>
              <w:t>45   </w:t>
            </w:r>
          </w:p>
        </w:tc>
      </w:tr>
      <w:tr>
        <w:trPr>
          <w:trHeight w:val="442"/>
        </w:trPr>
        <w:tc>
          <w:tcPr>
            <w:tcW w:w="2560" w:type="dxa"/>
            <w:vAlign w:val="bottom"/>
          </w:tcPr>
          <w:p>
            <w:pPr>
              <w:ind w:left="220"/>
              <w:spacing w:after="0"/>
              <w:rPr>
                <w:sz w:val="20"/>
                <w:szCs w:val="20"/>
                <w:color w:val="auto"/>
              </w:rPr>
            </w:pPr>
            <w:r>
              <w:rPr>
                <w:rFonts w:ascii="Calibri" w:cs="Calibri" w:eastAsia="Calibri" w:hAnsi="Calibri"/>
                <w:sz w:val="17"/>
                <w:szCs w:val="17"/>
                <w:color w:val="auto"/>
              </w:rPr>
              <w:t>All other fees</w:t>
            </w:r>
          </w:p>
        </w:tc>
        <w:tc>
          <w:tcPr>
            <w:tcW w:w="1780" w:type="dxa"/>
            <w:vAlign w:val="bottom"/>
          </w:tcPr>
          <w:p>
            <w:pPr>
              <w:jc w:val="right"/>
              <w:ind w:right="98"/>
              <w:spacing w:after="0"/>
              <w:rPr>
                <w:sz w:val="20"/>
                <w:szCs w:val="20"/>
                <w:color w:val="auto"/>
              </w:rPr>
            </w:pPr>
            <w:r>
              <w:rPr>
                <w:rFonts w:ascii="Calibri" w:cs="Calibri" w:eastAsia="Calibri" w:hAnsi="Calibri"/>
                <w:sz w:val="17"/>
                <w:szCs w:val="17"/>
                <w:color w:val="auto"/>
              </w:rPr>
              <w:t>30</w:t>
            </w:r>
          </w:p>
        </w:tc>
        <w:tc>
          <w:tcPr>
            <w:tcW w:w="2040" w:type="dxa"/>
            <w:vAlign w:val="bottom"/>
          </w:tcPr>
          <w:p>
            <w:pPr>
              <w:jc w:val="right"/>
              <w:ind w:right="80"/>
              <w:spacing w:after="0"/>
              <w:rPr>
                <w:sz w:val="20"/>
                <w:szCs w:val="20"/>
                <w:color w:val="auto"/>
              </w:rPr>
            </w:pPr>
            <w:r>
              <w:rPr>
                <w:rFonts w:ascii="Calibri" w:cs="Calibri" w:eastAsia="Calibri" w:hAnsi="Calibri"/>
                <w:sz w:val="17"/>
                <w:szCs w:val="17"/>
                <w:color w:val="auto"/>
              </w:rPr>
              <w:t>33   </w:t>
            </w:r>
          </w:p>
        </w:tc>
      </w:tr>
      <w:tr>
        <w:trPr>
          <w:trHeight w:val="159"/>
        </w:trPr>
        <w:tc>
          <w:tcPr>
            <w:tcW w:w="2560" w:type="dxa"/>
            <w:vAlign w:val="bottom"/>
            <w:tcBorders>
              <w:bottom w:val="single" w:sz="8" w:color="FB4E0B"/>
            </w:tcBorders>
          </w:tcPr>
          <w:p>
            <w:pPr>
              <w:spacing w:after="0"/>
              <w:rPr>
                <w:sz w:val="13"/>
                <w:szCs w:val="13"/>
                <w:color w:val="auto"/>
              </w:rPr>
            </w:pPr>
          </w:p>
        </w:tc>
        <w:tc>
          <w:tcPr>
            <w:tcW w:w="1780" w:type="dxa"/>
            <w:vAlign w:val="bottom"/>
            <w:tcBorders>
              <w:bottom w:val="single" w:sz="8" w:color="FB4E0B"/>
            </w:tcBorders>
          </w:tcPr>
          <w:p>
            <w:pPr>
              <w:spacing w:after="0"/>
              <w:rPr>
                <w:sz w:val="13"/>
                <w:szCs w:val="13"/>
                <w:color w:val="auto"/>
              </w:rPr>
            </w:pPr>
          </w:p>
        </w:tc>
        <w:tc>
          <w:tcPr>
            <w:tcW w:w="2040" w:type="dxa"/>
            <w:vAlign w:val="bottom"/>
            <w:tcBorders>
              <w:bottom w:val="single" w:sz="8" w:color="FB4E0B"/>
            </w:tcBorders>
          </w:tcPr>
          <w:p>
            <w:pPr>
              <w:spacing w:after="0"/>
              <w:rPr>
                <w:sz w:val="13"/>
                <w:szCs w:val="13"/>
                <w:color w:val="auto"/>
              </w:rPr>
            </w:pPr>
          </w:p>
        </w:tc>
      </w:tr>
      <w:tr>
        <w:trPr>
          <w:trHeight w:val="302"/>
        </w:trPr>
        <w:tc>
          <w:tcPr>
            <w:tcW w:w="2560" w:type="dxa"/>
            <w:vAlign w:val="bottom"/>
          </w:tcPr>
          <w:p>
            <w:pPr>
              <w:ind w:left="220"/>
              <w:spacing w:after="0"/>
              <w:rPr>
                <w:sz w:val="20"/>
                <w:szCs w:val="20"/>
                <w:color w:val="auto"/>
              </w:rPr>
            </w:pPr>
            <w:r>
              <w:rPr>
                <w:rFonts w:ascii="Calibri" w:cs="Calibri" w:eastAsia="Calibri" w:hAnsi="Calibri"/>
                <w:sz w:val="17"/>
                <w:szCs w:val="17"/>
                <w:b w:val="1"/>
                <w:bCs w:val="1"/>
                <w:color w:val="auto"/>
              </w:rPr>
              <w:t>Total fees</w:t>
            </w:r>
          </w:p>
        </w:tc>
        <w:tc>
          <w:tcPr>
            <w:tcW w:w="1780" w:type="dxa"/>
            <w:vAlign w:val="bottom"/>
          </w:tcPr>
          <w:p>
            <w:pPr>
              <w:jc w:val="right"/>
              <w:ind w:right="98"/>
              <w:spacing w:after="0"/>
              <w:rPr>
                <w:sz w:val="20"/>
                <w:szCs w:val="20"/>
                <w:color w:val="auto"/>
              </w:rPr>
            </w:pPr>
            <w:r>
              <w:rPr>
                <w:rFonts w:ascii="Calibri" w:cs="Calibri" w:eastAsia="Calibri" w:hAnsi="Calibri"/>
                <w:sz w:val="17"/>
                <w:szCs w:val="17"/>
                <w:b w:val="1"/>
                <w:bCs w:val="1"/>
                <w:color w:val="auto"/>
              </w:rPr>
              <w:t>$1,617</w:t>
            </w:r>
          </w:p>
        </w:tc>
        <w:tc>
          <w:tcPr>
            <w:tcW w:w="2040" w:type="dxa"/>
            <w:vAlign w:val="bottom"/>
          </w:tcPr>
          <w:p>
            <w:pPr>
              <w:jc w:val="right"/>
              <w:ind w:right="80"/>
              <w:spacing w:after="0"/>
              <w:rPr>
                <w:sz w:val="20"/>
                <w:szCs w:val="20"/>
                <w:color w:val="auto"/>
              </w:rPr>
            </w:pPr>
            <w:r>
              <w:rPr>
                <w:rFonts w:ascii="Calibri" w:cs="Calibri" w:eastAsia="Calibri" w:hAnsi="Calibri"/>
                <w:sz w:val="17"/>
                <w:szCs w:val="17"/>
                <w:b w:val="1"/>
                <w:bCs w:val="1"/>
                <w:color w:val="auto"/>
              </w:rPr>
              <w:t>$1,607   </w:t>
            </w:r>
          </w:p>
        </w:tc>
      </w:tr>
    </w:tbl>
    <w:p>
      <w:pPr>
        <w:spacing w:after="0" w:line="400"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2024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111</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2 — Ratfcaton of the appointment of independent registered public accountng frm</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Audit fees:</w:t>
      </w:r>
    </w:p>
    <w:p>
      <w:pPr>
        <w:spacing w:after="0" w:line="115"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Consist of fees billed or expected to be billed for professional services rendered for the audit of our consolidated fnancial statements, including (i) the audit of efectveness of internal control over fnancial reportng, (ii) review of our consolidated fnancial statements included in our quarterly reports, and</w:t>
      </w:r>
    </w:p>
    <w:p>
      <w:pPr>
        <w:spacing w:after="0" w:line="3" w:lineRule="exact"/>
        <w:rPr>
          <w:sz w:val="20"/>
          <w:szCs w:val="20"/>
          <w:color w:val="auto"/>
        </w:rPr>
      </w:pPr>
    </w:p>
    <w:p>
      <w:pPr>
        <w:ind w:left="320" w:right="280" w:hanging="4"/>
        <w:spacing w:after="0" w:line="239" w:lineRule="auto"/>
        <w:tabs>
          <w:tab w:leader="none" w:pos="577" w:val="left"/>
        </w:tabs>
        <w:numPr>
          <w:ilvl w:val="0"/>
          <w:numId w:val="64"/>
        </w:numPr>
        <w:rPr>
          <w:rFonts w:ascii="Calibri" w:cs="Calibri" w:eastAsia="Calibri" w:hAnsi="Calibri"/>
          <w:sz w:val="17"/>
          <w:szCs w:val="17"/>
          <w:color w:val="auto"/>
        </w:rPr>
      </w:pPr>
      <w:r>
        <w:rPr>
          <w:rFonts w:ascii="Calibri" w:cs="Calibri" w:eastAsia="Calibri" w:hAnsi="Calibri"/>
          <w:sz w:val="17"/>
          <w:szCs w:val="17"/>
          <w:color w:val="auto"/>
        </w:rPr>
        <w:t>services that are normally provided by our independent registered public accountants including services in connecton with statutory or regulatory flings or engagements for those fscal years.</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Audit-related fees:</w:t>
      </w:r>
    </w:p>
    <w:p>
      <w:pPr>
        <w:spacing w:after="0" w:line="115"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Consist of fees billed for assurance and related services that are reasonably related to the performance of the audit or review of our consolidated fnancial statements and are not reported under “Audit Fees.”</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Tax fees: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Consist primarily of fees billed or expected to be billed for other tax fling and advisory projects.</w:t>
      </w:r>
    </w:p>
    <w:p>
      <w:pPr>
        <w:spacing w:after="0" w:line="30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All other fees:</w:t>
      </w:r>
    </w:p>
    <w:p>
      <w:pPr>
        <w:spacing w:after="0" w:line="115"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color w:val="auto"/>
        </w:rPr>
        <w:t>Consist of fees billed or expected to be billed for other permissible work performed by our independent registered public accountng frm that does not meet the above category descriptons.</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Audit Commitee pre-approves and is responsible for the engagement of all auditng services provided by our independent registered public accountants and all non-auditng services to be provided by such accountants to the extent permited under Secton 10A of the Exchange Act, including all fees and other terms of engagement. Our Audit Commitee may delegate the authority to pre-approve audit and permited non-audit services between meetngs of our Audit Commitee to a designated member of our Audit Commitee, provided that the decisions made by such member are presented to our full Audit Commitee for ratfcaton at its next scheduled meetng.</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All of the fees paid to Deloite in fscal year 2023 were pre-approved by the Audit Commitee.</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Required vote</w:t>
      </w:r>
    </w:p>
    <w:p>
      <w:pPr>
        <w:spacing w:after="0" w:line="114"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The ratfcaton of the appointment of Deloite as our independent registered public accountng frm requires the afrmatve vote of a majority of shares present in person or represented by proxy and enttled to vote at the Annual Meetng. Unless marked to the contrary, proxies received will be voted “FOR” ratfcaton of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239395</wp:posOffset>
            </wp:positionV>
            <wp:extent cx="4055745" cy="81788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055745" cy="8178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600"/>
        <w:spacing w:after="0"/>
        <w:rPr>
          <w:sz w:val="20"/>
          <w:szCs w:val="20"/>
          <w:color w:val="auto"/>
        </w:rPr>
      </w:pPr>
      <w:r>
        <w:rPr>
          <w:rFonts w:ascii="Calibri" w:cs="Calibri" w:eastAsia="Calibri" w:hAnsi="Calibri"/>
          <w:sz w:val="21"/>
          <w:szCs w:val="21"/>
          <w:b w:val="1"/>
          <w:bCs w:val="1"/>
          <w:color w:val="FFFFFF"/>
        </w:rPr>
        <w:t>  Our board recommends that you vote:</w:t>
      </w:r>
    </w:p>
    <w:p>
      <w:pPr>
        <w:spacing w:after="0" w:line="142" w:lineRule="exact"/>
        <w:rPr>
          <w:sz w:val="20"/>
          <w:szCs w:val="20"/>
          <w:color w:val="auto"/>
        </w:rPr>
      </w:pPr>
    </w:p>
    <w:p>
      <w:pPr>
        <w:ind w:left="2760"/>
        <w:spacing w:after="0"/>
        <w:rPr>
          <w:sz w:val="20"/>
          <w:szCs w:val="20"/>
          <w:color w:val="auto"/>
        </w:rPr>
      </w:pPr>
      <w:r>
        <w:rPr>
          <w:rFonts w:ascii="Calibri" w:cs="Calibri" w:eastAsia="Calibri" w:hAnsi="Calibri"/>
          <w:sz w:val="31"/>
          <w:szCs w:val="31"/>
          <w:b w:val="1"/>
          <w:bCs w:val="1"/>
          <w:color w:val="FFFFFF"/>
        </w:rPr>
        <w:t xml:space="preserve">FOR  </w:t>
      </w:r>
      <w:r>
        <w:rPr>
          <w:rFonts w:ascii="Calibri" w:cs="Calibri" w:eastAsia="Calibri" w:hAnsi="Calibri"/>
          <w:sz w:val="17"/>
          <w:szCs w:val="17"/>
          <w:b w:val="1"/>
          <w:bCs w:val="1"/>
          <w:color w:val="000000"/>
        </w:rPr>
        <w:t>the ratfcaton of the appointment of Deloite as our independent</w:t>
      </w:r>
    </w:p>
    <w:p>
      <w:pPr>
        <w:ind w:left="3520"/>
        <w:spacing w:after="0" w:line="198" w:lineRule="auto"/>
        <w:rPr>
          <w:sz w:val="20"/>
          <w:szCs w:val="20"/>
          <w:color w:val="auto"/>
        </w:rPr>
      </w:pPr>
      <w:r>
        <w:rPr>
          <w:rFonts w:ascii="Calibri" w:cs="Calibri" w:eastAsia="Calibri" w:hAnsi="Calibri"/>
          <w:sz w:val="17"/>
          <w:szCs w:val="17"/>
          <w:b w:val="1"/>
          <w:bCs w:val="1"/>
          <w:color w:val="auto"/>
        </w:rPr>
        <w:t>registered public accountng frm</w:t>
      </w:r>
    </w:p>
    <w:p>
      <w:pPr>
        <w:spacing w:after="0" w:line="32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112 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2024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60"/>
        <w:spacing w:after="0"/>
        <w:rPr>
          <w:sz w:val="20"/>
          <w:szCs w:val="20"/>
          <w:color w:val="auto"/>
        </w:rPr>
      </w:pPr>
      <w:r>
        <w:rPr>
          <w:rFonts w:ascii="Calibri" w:cs="Calibri" w:eastAsia="Calibri" w:hAnsi="Calibri"/>
          <w:sz w:val="14"/>
          <w:szCs w:val="14"/>
          <w:b w:val="1"/>
          <w:bCs w:val="1"/>
          <w:color w:val="005071"/>
        </w:rPr>
        <w:t>Proposal 3 — Advisory (non-binding) vote to approve executve compensaton</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Proposal 3 — Advisory (non-binding) vote to approve executve compensaton</w:t>
      </w:r>
    </w:p>
    <w:p>
      <w:pPr>
        <w:spacing w:after="0" w:line="330"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Proposal 3 is a vote, on a non-binding advisory basis, to approve the compensaton of our executve ofcers as described in this Proxy Statement. Although the vote is advisory and is not binding on the board of directors, our Compensaton and Talent Management Commitee will take into account the outcome of the vote when considering future executve compensaton decisions. We refer to this vote as the “say-on-pay” vote.</w:t>
      </w:r>
    </w:p>
    <w:p>
      <w:pPr>
        <w:spacing w:after="0" w:line="213"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At the 2023 Annual Meetng of Stockholders, our stockholders voted on a proposal relatng to the frequency of the “say-on-pay” vote. We recommended, and our stockholders approved on a non-binding advisory basis, an annual say-on-pay vote. Accordingly, we include the say-on-pay vote each year as a regular part of each Annual Meetng of Stockholders. The next vote on the frequency of the “say-on-pay” vote will be held at the 2029 Annual Meetng of Stockholders.</w:t>
      </w:r>
    </w:p>
    <w:p>
      <w:pPr>
        <w:spacing w:after="0" w:line="237" w:lineRule="exact"/>
        <w:rPr>
          <w:sz w:val="20"/>
          <w:szCs w:val="20"/>
          <w:color w:val="auto"/>
        </w:rPr>
      </w:pPr>
    </w:p>
    <w:p>
      <w:pPr>
        <w:ind w:left="1140" w:right="60" w:hanging="407"/>
        <w:spacing w:after="0" w:line="239" w:lineRule="auto"/>
        <w:tabs>
          <w:tab w:leader="none" w:pos="1140" w:val="left"/>
        </w:tabs>
        <w:numPr>
          <w:ilvl w:val="0"/>
          <w:numId w:val="65"/>
        </w:numPr>
        <w:rPr>
          <w:rFonts w:ascii="Calibri" w:cs="Calibri" w:eastAsia="Calibri" w:hAnsi="Calibri"/>
          <w:sz w:val="17"/>
          <w:szCs w:val="17"/>
          <w:color w:val="auto"/>
        </w:rPr>
      </w:pPr>
      <w:r>
        <w:rPr>
          <w:rFonts w:ascii="Calibri" w:cs="Calibri" w:eastAsia="Calibri" w:hAnsi="Calibri"/>
          <w:sz w:val="17"/>
          <w:szCs w:val="17"/>
          <w:color w:val="auto"/>
        </w:rPr>
        <w:t>Our board of directors is commited to corporate governance best practces and recognizes the signifcant interest of stockholders in executve compensaton maters.</w:t>
      </w:r>
    </w:p>
    <w:p>
      <w:pPr>
        <w:spacing w:after="0" w:line="120" w:lineRule="exact"/>
        <w:rPr>
          <w:rFonts w:ascii="Calibri" w:cs="Calibri" w:eastAsia="Calibri" w:hAnsi="Calibri"/>
          <w:sz w:val="17"/>
          <w:szCs w:val="17"/>
          <w:color w:val="auto"/>
        </w:rPr>
      </w:pPr>
    </w:p>
    <w:p>
      <w:pPr>
        <w:ind w:left="1140" w:hanging="407"/>
        <w:spacing w:after="0"/>
        <w:tabs>
          <w:tab w:leader="none" w:pos="1140" w:val="left"/>
        </w:tabs>
        <w:numPr>
          <w:ilvl w:val="0"/>
          <w:numId w:val="65"/>
        </w:numPr>
        <w:rPr>
          <w:rFonts w:ascii="Calibri" w:cs="Calibri" w:eastAsia="Calibri" w:hAnsi="Calibri"/>
          <w:sz w:val="17"/>
          <w:szCs w:val="17"/>
          <w:color w:val="auto"/>
        </w:rPr>
      </w:pPr>
      <w:r>
        <w:rPr>
          <w:rFonts w:ascii="Calibri" w:cs="Calibri" w:eastAsia="Calibri" w:hAnsi="Calibri"/>
          <w:sz w:val="17"/>
          <w:szCs w:val="17"/>
          <w:color w:val="auto"/>
        </w:rPr>
        <w:t>Our board of directors believes that our current executve compensaton program directly links executve compensaton to our performance and aligns the interests of our executve ofcers with those of our stockholders. For example, the bulk of our annual incentve awards is earned based on achievement of two core fnancial metrics: revenues and AOPM. As we discuss in greater detail in our Compensaton Discussion and Analysis, these fnancial metrics focus our named executve ofcers on top-line revenues and botom-line earnings that are likely to make meaningful contributons to our future fnancial performance. We believe rewarding our executves with incentve pay based on achievement of these fnancial metrics closely aligns management with the interests of our stockholders.</w:t>
      </w:r>
    </w:p>
    <w:p>
      <w:pPr>
        <w:spacing w:after="0" w:line="108"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In additon, our philosophy places more emphasis on variable elements of compensaton (such as annual incentves and equity-based compensaton) than fxed remuneraton.</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stockholders have the opportunity to vote for, against or abstain from votng on the following resoluton:</w:t>
      </w:r>
    </w:p>
    <w:p>
      <w:pPr>
        <w:spacing w:after="0" w:line="314" w:lineRule="exact"/>
        <w:rPr>
          <w:sz w:val="20"/>
          <w:szCs w:val="20"/>
          <w:color w:val="auto"/>
        </w:rPr>
      </w:pPr>
    </w:p>
    <w:p>
      <w:pPr>
        <w:ind w:left="740" w:right="40"/>
        <w:spacing w:after="0" w:line="239" w:lineRule="auto"/>
        <w:rPr>
          <w:sz w:val="20"/>
          <w:szCs w:val="20"/>
          <w:color w:val="auto"/>
        </w:rPr>
      </w:pPr>
      <w:r>
        <w:rPr>
          <w:rFonts w:ascii="Calibri" w:cs="Calibri" w:eastAsia="Calibri" w:hAnsi="Calibri"/>
          <w:sz w:val="17"/>
          <w:szCs w:val="17"/>
          <w:b w:val="1"/>
          <w:bCs w:val="1"/>
          <w:color w:val="auto"/>
        </w:rPr>
        <w:t>“Resolved, that the stockholders approve on an advisory basis the compensaton of our named executve ofcers, as disclosed pursuant to the compensaton disclosure rules of the SEC (which disclosure shall include the Compensaton Discussion and Analysis, the compensaton tables and any related material disclosed in this Proxy Statement).”</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above-referenced disclosures related to the compensaton of our named executve ofcers appear beginning at page 61 of this Proxy Statement.</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2024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113</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3 — Advisory (non-binding) vote to approve 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Required vote</w:t>
      </w:r>
    </w:p>
    <w:p>
      <w:pPr>
        <w:spacing w:after="0" w:line="114" w:lineRule="exact"/>
        <w:rPr>
          <w:sz w:val="20"/>
          <w:szCs w:val="20"/>
          <w:color w:val="auto"/>
        </w:rPr>
      </w:pPr>
    </w:p>
    <w:p>
      <w:pPr>
        <w:jc w:val="both"/>
        <w:ind w:left="320"/>
        <w:spacing w:after="0" w:line="239" w:lineRule="auto"/>
        <w:rPr>
          <w:sz w:val="20"/>
          <w:szCs w:val="20"/>
          <w:color w:val="auto"/>
        </w:rPr>
      </w:pPr>
      <w:r>
        <w:rPr>
          <w:rFonts w:ascii="Calibri" w:cs="Calibri" w:eastAsia="Calibri" w:hAnsi="Calibri"/>
          <w:sz w:val="17"/>
          <w:szCs w:val="17"/>
          <w:color w:val="auto"/>
        </w:rPr>
        <w:t>The approval, on an advisory (non-binding) basis, of the compensaton of our named executve ofcers requires the afrmatve vote of a majority of shares present in person or represented by proxy and enttled to vote at the Annual Meetng. Unless marked to the contrary, proxies received will be voted “FOR” the approval of the compensaton of our named executve ofcers.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165100</wp:posOffset>
            </wp:positionV>
            <wp:extent cx="4055745" cy="10737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055745" cy="1073785"/>
                    </a:xfrm>
                    <a:prstGeom prst="rect">
                      <a:avLst/>
                    </a:prstGeom>
                    <a:noFill/>
                  </pic:spPr>
                </pic:pic>
              </a:graphicData>
            </a:graphic>
          </wp:anchor>
        </w:drawing>
      </w:r>
    </w:p>
    <w:p>
      <w:pPr>
        <w:spacing w:after="0" w:line="360" w:lineRule="exact"/>
        <w:rPr>
          <w:sz w:val="20"/>
          <w:szCs w:val="20"/>
          <w:color w:val="auto"/>
        </w:rPr>
      </w:pPr>
    </w:p>
    <w:p>
      <w:pPr>
        <w:ind w:left="2600"/>
        <w:spacing w:after="0"/>
        <w:rPr>
          <w:sz w:val="20"/>
          <w:szCs w:val="20"/>
          <w:color w:val="auto"/>
        </w:rPr>
      </w:pPr>
      <w:r>
        <w:rPr>
          <w:rFonts w:ascii="Calibri" w:cs="Calibri" w:eastAsia="Calibri" w:hAnsi="Calibri"/>
          <w:sz w:val="21"/>
          <w:szCs w:val="21"/>
          <w:b w:val="1"/>
          <w:bCs w:val="1"/>
          <w:color w:val="FFFFFF"/>
        </w:rPr>
        <w:t>  Our board recommends that you vote:</w:t>
      </w:r>
    </w:p>
    <w:p>
      <w:pPr>
        <w:spacing w:after="0" w:line="173" w:lineRule="exact"/>
        <w:rPr>
          <w:sz w:val="20"/>
          <w:szCs w:val="20"/>
          <w:color w:val="auto"/>
        </w:rPr>
      </w:pPr>
    </w:p>
    <w:p>
      <w:pPr>
        <w:ind w:left="3520"/>
        <w:spacing w:after="0"/>
        <w:rPr>
          <w:sz w:val="20"/>
          <w:szCs w:val="20"/>
          <w:color w:val="auto"/>
        </w:rPr>
      </w:pPr>
      <w:r>
        <w:rPr>
          <w:rFonts w:ascii="Calibri" w:cs="Calibri" w:eastAsia="Calibri" w:hAnsi="Calibri"/>
          <w:sz w:val="17"/>
          <w:szCs w:val="17"/>
          <w:b w:val="1"/>
          <w:bCs w:val="1"/>
          <w:color w:val="auto"/>
        </w:rPr>
        <w:t>the approval, on an advisory (non-binding) basis, of the compensaton of</w:t>
      </w:r>
    </w:p>
    <w:p>
      <w:pPr>
        <w:ind w:left="3520"/>
        <w:spacing w:after="0" w:line="222" w:lineRule="auto"/>
        <w:rPr>
          <w:sz w:val="20"/>
          <w:szCs w:val="20"/>
          <w:color w:val="auto"/>
        </w:rPr>
      </w:pPr>
      <w:r>
        <w:rPr>
          <w:rFonts w:ascii="Calibri" w:cs="Calibri" w:eastAsia="Calibri" w:hAnsi="Calibri"/>
          <w:sz w:val="17"/>
          <w:szCs w:val="17"/>
          <w:b w:val="1"/>
          <w:bCs w:val="1"/>
          <w:color w:val="auto"/>
        </w:rPr>
        <w:t>our named executve ofcers as disclosed pursuant to the compensaton</w:t>
      </w:r>
    </w:p>
    <w:p>
      <w:pPr>
        <w:jc w:val="both"/>
        <w:ind w:left="3520" w:right="2380" w:hanging="815"/>
        <w:spacing w:after="0" w:line="220" w:lineRule="auto"/>
        <w:rPr>
          <w:sz w:val="20"/>
          <w:szCs w:val="20"/>
          <w:color w:val="auto"/>
        </w:rPr>
      </w:pPr>
      <w:r>
        <w:rPr>
          <w:rFonts w:ascii="Calibri" w:cs="Calibri" w:eastAsia="Calibri" w:hAnsi="Calibri"/>
          <w:sz w:val="27"/>
          <w:szCs w:val="27"/>
          <w:b w:val="1"/>
          <w:bCs w:val="1"/>
          <w:color w:val="FFFFFF"/>
        </w:rPr>
        <w:t xml:space="preserve">FOR   </w:t>
      </w:r>
      <w:r>
        <w:rPr>
          <w:rFonts w:ascii="Calibri" w:cs="Calibri" w:eastAsia="Calibri" w:hAnsi="Calibri"/>
          <w:sz w:val="15"/>
          <w:szCs w:val="15"/>
          <w:b w:val="1"/>
          <w:bCs w:val="1"/>
          <w:color w:val="000000"/>
        </w:rPr>
        <w:t>disclosure rules of the SEC (including the Compensaton Discussion and</w:t>
      </w:r>
      <w:r>
        <w:rPr>
          <w:rFonts w:ascii="Calibri" w:cs="Calibri" w:eastAsia="Calibri" w:hAnsi="Calibri"/>
          <w:sz w:val="27"/>
          <w:szCs w:val="27"/>
          <w:b w:val="1"/>
          <w:bCs w:val="1"/>
          <w:color w:val="FFFFFF"/>
        </w:rPr>
        <w:t xml:space="preserve"> </w:t>
      </w:r>
      <w:r>
        <w:rPr>
          <w:rFonts w:ascii="Calibri" w:cs="Calibri" w:eastAsia="Calibri" w:hAnsi="Calibri"/>
          <w:sz w:val="15"/>
          <w:szCs w:val="15"/>
          <w:b w:val="1"/>
          <w:bCs w:val="1"/>
          <w:color w:val="000000"/>
        </w:rPr>
        <w:t>Analysis, the compensaton tables and any related material disclosed in this Proxy Statement)</w:t>
      </w:r>
    </w:p>
    <w:p>
      <w:pPr>
        <w:spacing w:after="0" w:line="20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114 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2024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1" w:right="6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Proposal 4 — Fourth Amended and Restated Certfcate of Incorporaton</w:t>
      </w:r>
    </w:p>
    <w:p>
      <w:pPr>
        <w:spacing w:after="0" w:line="333" w:lineRule="exact"/>
        <w:rPr>
          <w:sz w:val="20"/>
          <w:szCs w:val="20"/>
          <w:color w:val="auto"/>
        </w:rPr>
      </w:pPr>
    </w:p>
    <w:p>
      <w:pPr>
        <w:ind w:left="320" w:right="120"/>
        <w:spacing w:after="0" w:line="238" w:lineRule="auto"/>
        <w:rPr>
          <w:sz w:val="20"/>
          <w:szCs w:val="20"/>
          <w:color w:val="auto"/>
        </w:rPr>
      </w:pPr>
      <w:r>
        <w:rPr>
          <w:rFonts w:ascii="Calibri" w:cs="Calibri" w:eastAsia="Calibri" w:hAnsi="Calibri"/>
          <w:sz w:val="31"/>
          <w:szCs w:val="31"/>
          <w:color w:val="FB4E0B"/>
        </w:rPr>
        <w:t>Proposal 4 — Fourth Amended and Restated Certfcate of Incorporaton to provide for, among other things, ofcer exculpaton</w:t>
      </w:r>
    </w:p>
    <w:p>
      <w:pPr>
        <w:spacing w:after="0" w:line="227"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The board of directors has unanimously approved and declared advisable, and recommends that our stockholders adopt, a proposal to amend and restate our Restated Certfcate of Incorporaton to refect new Delaware law provisions regarding ofcer exculpaton (the “Ofcer Exculpaton Provisions”) and to efect certain other changes as described below. Set forth in Annex A to this Proxy Statement is a form of the proposed Fourth Amended and Restated Certfcate of Incorporaton that would be adopted should this proposal 4 be approved by stockholders at the Annual Meetng.</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Ofcer Exculpaton</w:t>
      </w:r>
    </w:p>
    <w:p>
      <w:pPr>
        <w:spacing w:after="0" w:line="114" w:lineRule="exact"/>
        <w:rPr>
          <w:sz w:val="20"/>
          <w:szCs w:val="20"/>
          <w:color w:val="auto"/>
        </w:rPr>
      </w:pPr>
    </w:p>
    <w:p>
      <w:pPr>
        <w:ind w:left="320" w:right="400"/>
        <w:spacing w:after="0" w:line="239" w:lineRule="auto"/>
        <w:rPr>
          <w:sz w:val="20"/>
          <w:szCs w:val="20"/>
          <w:color w:val="auto"/>
        </w:rPr>
      </w:pPr>
      <w:r>
        <w:rPr>
          <w:rFonts w:ascii="Calibri" w:cs="Calibri" w:eastAsia="Calibri" w:hAnsi="Calibri"/>
          <w:sz w:val="17"/>
          <w:szCs w:val="17"/>
          <w:color w:val="auto"/>
        </w:rPr>
        <w:t>Secton 7 of our Restated Certfcate of Incorporaton currently includes a provision, authorized under the General Corporaton Law of the State of Delaware (the “DGCL”), that eliminates the personal liability of directors for monetary damages for breach of fduciary duty as a director to the fullest extent permited by the DGCL.</w:t>
      </w:r>
    </w:p>
    <w:p>
      <w:pPr>
        <w:spacing w:after="0" w:line="213"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Prior to 2022, the DGCL did not allow for similar eliminaton or limitaton of ofcers’ personal liability. As a result, stockholder plaintfs employed tactcs of bringing certain claims against individual ofcers when such claims would otherwise be exculpated and dismissed if brought against directors. However, the State of Delaware, which is the Company’s state of incorporaton, recently amended Secton 102(b)(7) of the DGCL to enable Delaware corporatons to limit the personal liability of certain of their ofcers in limited circumstances (the “Secton 102(b)(7) Amendment”). The Secton 102(b)(7) Amendment was adopted to address inconsistent treatment between ofcers and directors and address rising litgaton and insurance costs for stockholders.</w:t>
      </w:r>
    </w:p>
    <w:p>
      <w:pPr>
        <w:spacing w:after="0" w:line="21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The board of directors believes that there is a need for directors and ofcers to remain free of the risk of fnancial ruin as a result of an unintentonal misstep. The nature of the role of directors and ofcers ofen requires them to make decisions on crucial maters. Frequently, directors and ofcers must make decisions in response to tme-sensitve opportunites and challenges in an evolving macroeconomic and regulatory environment, without the beneft of hindsight. The board of directors believes that exculpaton provisions empower both directors and ofcers to exercise their best judgment in furtherance of stockholder interests. In additon, adoptng an exculpaton provision that aligns with Delaware law could prevent costly and protracted litgaton that distracts our ofcers from important operatonal and strategic maters.</w:t>
      </w:r>
    </w:p>
    <w:p>
      <w:pPr>
        <w:spacing w:after="0" w:line="212"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The board of directors also expects that exculpaton clauses applicable to ofcers could become widely used by public corporatons, including our peers, and that failing to adopt the Ofcer Exculpaton Provisions could negatvely impact our ability to recruit and retain exceptonal ofcer candidates who value the protecton from potental exposure to liabilites, costs of defense, and other risks of proceedings that would be aforded by protecton similar to that aforded by the Ofcer Exculpaton Provisions. Additonally, the Ofcer Exculpaton Provisions will align the protectons for our ofcers with those protectons already aforded to our directors.</w:t>
      </w:r>
    </w:p>
    <w:p>
      <w:pPr>
        <w:spacing w:after="0" w:line="211"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In light of the Secton 102(b)(7) Amendment, we propose to amend and restate our Restated Certfcate of Incorporaton to add a provision exculpatng certain of the Company’s ofcers from liability, as permited by Delaware law, similar to the protectons currently available for directors of the Company in our current Restated Certfcate of Incorporaton. If this proposal is approved and our current Restated Certfcate of Incorporaton is amended and restated, the Company’s ofcers, in additon to the</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2024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115</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4 — Fourth Amended and Restated Certfcate of Incorporaton</w:t>
      </w:r>
    </w:p>
    <w:p>
      <w:pPr>
        <w:spacing w:after="0" w:line="348"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Company’s directors, would be exculpated from monetary liability for fduciary duty breaches, solely to the extent permited under Secton 102(b)(7) of the DGCL. With these changes, we aim to strike a balance between stockholders’ interest in accountability and their interest in the Company being able to atract and retain quality ofcers to work on its behalf. For these reasons, our board of directors has determined that it is in the best interests of the Company and its stockholders to seek to update the exculpaton provision.</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Other Modifcatons</w:t>
      </w:r>
    </w:p>
    <w:p>
      <w:pPr>
        <w:spacing w:after="0" w:line="114" w:lineRule="exact"/>
        <w:rPr>
          <w:sz w:val="20"/>
          <w:szCs w:val="20"/>
          <w:color w:val="auto"/>
        </w:rPr>
      </w:pPr>
    </w:p>
    <w:p>
      <w:pPr>
        <w:ind w:left="320" w:right="540"/>
        <w:spacing w:after="0" w:line="239" w:lineRule="auto"/>
        <w:rPr>
          <w:sz w:val="20"/>
          <w:szCs w:val="20"/>
          <w:color w:val="auto"/>
        </w:rPr>
      </w:pPr>
      <w:r>
        <w:rPr>
          <w:rFonts w:ascii="Calibri" w:cs="Calibri" w:eastAsia="Calibri" w:hAnsi="Calibri"/>
          <w:sz w:val="17"/>
          <w:szCs w:val="17"/>
          <w:color w:val="auto"/>
        </w:rPr>
        <w:t>Our board of directors is also recommending the following changes to our Restated Certfcate of Incorporaton to remove inapplicable or outdated provisions, which changes are included in the draf Fourth Amended and Restated Certfcate of Incorporaton set forth in Annex A:</w:t>
      </w:r>
    </w:p>
    <w:p>
      <w:pPr>
        <w:spacing w:after="0" w:line="237" w:lineRule="exact"/>
        <w:rPr>
          <w:sz w:val="20"/>
          <w:szCs w:val="20"/>
          <w:color w:val="auto"/>
        </w:rPr>
      </w:pPr>
    </w:p>
    <w:p>
      <w:pPr>
        <w:jc w:val="both"/>
        <w:ind w:left="1140" w:right="40" w:hanging="407"/>
        <w:spacing w:after="0" w:line="239" w:lineRule="auto"/>
        <w:tabs>
          <w:tab w:leader="none" w:pos="1140" w:val="left"/>
        </w:tabs>
        <w:numPr>
          <w:ilvl w:val="0"/>
          <w:numId w:val="66"/>
        </w:numPr>
        <w:rPr>
          <w:rFonts w:ascii="Calibri" w:cs="Calibri" w:eastAsia="Calibri" w:hAnsi="Calibri"/>
          <w:sz w:val="17"/>
          <w:szCs w:val="17"/>
          <w:color w:val="auto"/>
        </w:rPr>
      </w:pPr>
      <w:r>
        <w:rPr>
          <w:rFonts w:ascii="Calibri" w:cs="Calibri" w:eastAsia="Calibri" w:hAnsi="Calibri"/>
          <w:sz w:val="17"/>
          <w:szCs w:val="17"/>
          <w:color w:val="auto"/>
        </w:rPr>
        <w:t>Removing all references to a series of our capital stock designated as Series A Preferred Stock, which were repurchased in 2006 in connecton with our inital public ofering (the “IPO”). These references appear in Sectons 4, 5.3 and Annex B of our Restated Certfcate of Incorporaton.</w:t>
      </w:r>
    </w:p>
    <w:p>
      <w:pPr>
        <w:spacing w:after="0" w:line="120" w:lineRule="exact"/>
        <w:rPr>
          <w:rFonts w:ascii="Calibri" w:cs="Calibri" w:eastAsia="Calibri" w:hAnsi="Calibri"/>
          <w:sz w:val="17"/>
          <w:szCs w:val="17"/>
          <w:color w:val="auto"/>
        </w:rPr>
      </w:pPr>
    </w:p>
    <w:p>
      <w:pPr>
        <w:jc w:val="both"/>
        <w:ind w:left="1140" w:right="260" w:hanging="407"/>
        <w:spacing w:after="0" w:line="239" w:lineRule="auto"/>
        <w:tabs>
          <w:tab w:leader="none" w:pos="1140" w:val="left"/>
        </w:tabs>
        <w:numPr>
          <w:ilvl w:val="0"/>
          <w:numId w:val="66"/>
        </w:numPr>
        <w:rPr>
          <w:rFonts w:ascii="Calibri" w:cs="Calibri" w:eastAsia="Calibri" w:hAnsi="Calibri"/>
          <w:sz w:val="17"/>
          <w:szCs w:val="17"/>
          <w:color w:val="auto"/>
        </w:rPr>
      </w:pPr>
      <w:r>
        <w:rPr>
          <w:rFonts w:ascii="Calibri" w:cs="Calibri" w:eastAsia="Calibri" w:hAnsi="Calibri"/>
          <w:sz w:val="17"/>
          <w:szCs w:val="17"/>
          <w:color w:val="auto"/>
        </w:rPr>
        <w:t>Removing all references to a series of our capital stock designated as Series B Common Stock, which were automatcally converted into our shares of Common Stock in connecton with our IPO. These references appear in Sectons 5.1(b) and Annex A of our Restated Certfcate of Incorporaton.</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Proposed Changes</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If approved, Secton 7 of our current Restated Certfcate of Incorporaton would be amended to read as follows:</w:t>
      </w:r>
    </w:p>
    <w:p>
      <w:pPr>
        <w:spacing w:after="0" w:line="210" w:lineRule="exact"/>
        <w:rPr>
          <w:sz w:val="20"/>
          <w:szCs w:val="20"/>
          <w:color w:val="auto"/>
        </w:rPr>
      </w:pPr>
    </w:p>
    <w:p>
      <w:pPr>
        <w:ind w:left="740" w:right="20" w:firstLine="1"/>
        <w:spacing w:after="0"/>
        <w:tabs>
          <w:tab w:leader="none" w:pos="906" w:val="left"/>
        </w:tabs>
        <w:numPr>
          <w:ilvl w:val="0"/>
          <w:numId w:val="67"/>
        </w:numPr>
        <w:rPr>
          <w:rFonts w:ascii="Calibri" w:cs="Calibri" w:eastAsia="Calibri" w:hAnsi="Calibri"/>
          <w:sz w:val="17"/>
          <w:szCs w:val="17"/>
          <w:color w:val="auto"/>
        </w:rPr>
      </w:pPr>
      <w:r>
        <w:rPr>
          <w:rFonts w:ascii="Calibri" w:cs="Calibri" w:eastAsia="Calibri" w:hAnsi="Calibri"/>
          <w:sz w:val="17"/>
          <w:szCs w:val="17"/>
          <w:u w:val="single" w:color="auto"/>
          <w:color w:val="auto"/>
        </w:rPr>
        <w:t>Limitaton of Liability</w:t>
      </w:r>
      <w:r>
        <w:rPr>
          <w:rFonts w:ascii="Calibri" w:cs="Calibri" w:eastAsia="Calibri" w:hAnsi="Calibri"/>
          <w:sz w:val="17"/>
          <w:szCs w:val="17"/>
          <w:color w:val="auto"/>
        </w:rPr>
        <w:t>. To the fullest extent permited by the General Corporaton Law, as the same exists or may hereafer be amended, a Director or ofcer of the Corporaton shall not be personally liable to the Corporaton or its stockholders for monetary damages for breach of fduciary duty as a Director or ofcer. Any amendment, repeal or modifcaton of the foregoing provision shall not adversely afect any right or protecton of a Director or ofcer of the Corporaton hereunder in respect of any act or omission occurring prior to the tme of such amendment, repeal or modifcaton.</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In additon, the Fourth Amended and Restated Certfcate of Incorporaton would efect the following edits to our Restated Certfcate of Incorporaton:</w:t>
      </w:r>
    </w:p>
    <w:p>
      <w:pPr>
        <w:spacing w:after="0" w:line="236" w:lineRule="exact"/>
        <w:rPr>
          <w:sz w:val="20"/>
          <w:szCs w:val="20"/>
          <w:color w:val="auto"/>
        </w:rPr>
      </w:pPr>
    </w:p>
    <w:p>
      <w:pPr>
        <w:ind w:left="1140" w:right="220" w:hanging="407"/>
        <w:spacing w:after="0" w:line="239" w:lineRule="auto"/>
        <w:tabs>
          <w:tab w:leader="none" w:pos="1140" w:val="left"/>
        </w:tabs>
        <w:numPr>
          <w:ilvl w:val="0"/>
          <w:numId w:val="68"/>
        </w:numPr>
        <w:rPr>
          <w:rFonts w:ascii="Calibri" w:cs="Calibri" w:eastAsia="Calibri" w:hAnsi="Calibri"/>
          <w:sz w:val="17"/>
          <w:szCs w:val="17"/>
          <w:color w:val="auto"/>
        </w:rPr>
      </w:pPr>
      <w:r>
        <w:rPr>
          <w:rFonts w:ascii="Calibri" w:cs="Calibri" w:eastAsia="Calibri" w:hAnsi="Calibri"/>
          <w:sz w:val="17"/>
          <w:szCs w:val="17"/>
          <w:color w:val="auto"/>
        </w:rPr>
        <w:t>The second sentence of Secton 4 would be amended to remove the words “, of which 45,833.36 are designated as Series A Preferred Stock (“Series A Preferred Stock”).”</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68"/>
        </w:numPr>
        <w:rPr>
          <w:rFonts w:ascii="Calibri" w:cs="Calibri" w:eastAsia="Calibri" w:hAnsi="Calibri"/>
          <w:sz w:val="17"/>
          <w:szCs w:val="17"/>
          <w:color w:val="auto"/>
        </w:rPr>
      </w:pPr>
      <w:r>
        <w:rPr>
          <w:rFonts w:ascii="Calibri" w:cs="Calibri" w:eastAsia="Calibri" w:hAnsi="Calibri"/>
          <w:sz w:val="17"/>
          <w:szCs w:val="17"/>
          <w:color w:val="auto"/>
        </w:rPr>
        <w:t>Sectons 5.1(b) and 5.3 and Annexes A and B would be deleted in their entretes.</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If stockholders approve this proposal 4, the changes described in this proposal 4 will become legally efectve upon the fling of the Fourth Amended and Restated Certfcate of Incorporaton with the Secretary of State of the State of Delaware, which is expected to occur shortly following the Annual Meetng. However, even if stockholders approve this proposal 4, our board of directors may, in its sole discreton, abandon this acton without further shareholder acton prior to the efectveness of the fling of the Fourth</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116 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2024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1" w:right="6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Proposal 4 — Fourth Amended and Restated Certfcate of Incorporaton</w:t>
      </w:r>
    </w:p>
    <w:p>
      <w:pPr>
        <w:spacing w:after="0" w:line="348" w:lineRule="exact"/>
        <w:rPr>
          <w:sz w:val="20"/>
          <w:szCs w:val="20"/>
          <w:color w:val="auto"/>
        </w:rPr>
      </w:pPr>
    </w:p>
    <w:p>
      <w:pPr>
        <w:jc w:val="both"/>
        <w:ind w:left="320" w:right="460"/>
        <w:spacing w:after="0" w:line="239" w:lineRule="auto"/>
        <w:rPr>
          <w:sz w:val="20"/>
          <w:szCs w:val="20"/>
          <w:color w:val="auto"/>
        </w:rPr>
      </w:pPr>
      <w:r>
        <w:rPr>
          <w:rFonts w:ascii="Calibri" w:cs="Calibri" w:eastAsia="Calibri" w:hAnsi="Calibri"/>
          <w:sz w:val="17"/>
          <w:szCs w:val="17"/>
          <w:color w:val="auto"/>
        </w:rPr>
        <w:t>Amended and Restated Certfcate of Incorporaton and, if abandoned, the changes refected therein, including regarding ofcer exculpaton, will not become efectve. If stockholders do not approve this proposal 4, our Restated Certfcate of Incorporaton will not be amended and restated and the modifcatons, including the Ofcer Exculpaton Provisions, described in this proposal 4 will not take efect.</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Required vote</w:t>
      </w:r>
    </w:p>
    <w:p>
      <w:pPr>
        <w:spacing w:after="0" w:line="114"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The approval of the Fourth Amended and Restated Certfcate of Incorporaton to provide for, among other things, ofcer exculpaton requires the afrmatve vote of the holders of a majority of our outstanding shares of common stock, votng together as a single class. Unless marked to the contrary, proxies received will be voted “FOR” approval of the Fourth Amended and Restated Certfcate of Incorporaton.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239395</wp:posOffset>
            </wp:positionV>
            <wp:extent cx="4055745" cy="677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055745" cy="677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600"/>
        <w:spacing w:after="0"/>
        <w:rPr>
          <w:sz w:val="20"/>
          <w:szCs w:val="20"/>
          <w:color w:val="auto"/>
        </w:rPr>
      </w:pPr>
      <w:r>
        <w:rPr>
          <w:rFonts w:ascii="Calibri" w:cs="Calibri" w:eastAsia="Calibri" w:hAnsi="Calibri"/>
          <w:sz w:val="21"/>
          <w:szCs w:val="21"/>
          <w:b w:val="1"/>
          <w:bCs w:val="1"/>
          <w:color w:val="FFFFFF"/>
        </w:rPr>
        <w:t>  Our board recommends that you vote:</w:t>
      </w:r>
    </w:p>
    <w:p>
      <w:pPr>
        <w:spacing w:after="0" w:line="174" w:lineRule="exact"/>
        <w:rPr>
          <w:sz w:val="20"/>
          <w:szCs w:val="20"/>
          <w:color w:val="auto"/>
        </w:rPr>
      </w:pPr>
    </w:p>
    <w:p>
      <w:pPr>
        <w:ind w:left="2700" w:right="2640" w:firstLine="816"/>
        <w:spacing w:after="0" w:line="180" w:lineRule="auto"/>
        <w:rPr>
          <w:sz w:val="20"/>
          <w:szCs w:val="20"/>
          <w:color w:val="auto"/>
        </w:rPr>
      </w:pPr>
      <w:r>
        <w:rPr>
          <w:rFonts w:ascii="Calibri" w:cs="Calibri" w:eastAsia="Calibri" w:hAnsi="Calibri"/>
          <w:sz w:val="16"/>
          <w:szCs w:val="16"/>
          <w:b w:val="1"/>
          <w:bCs w:val="1"/>
          <w:color w:val="auto"/>
        </w:rPr>
        <w:t xml:space="preserve">the approval of the Fourth Amended and Restated Certfcate of </w:t>
      </w:r>
      <w:r>
        <w:rPr>
          <w:rFonts w:ascii="Calibri" w:cs="Calibri" w:eastAsia="Calibri" w:hAnsi="Calibri"/>
          <w:sz w:val="53"/>
          <w:szCs w:val="53"/>
          <w:b w:val="1"/>
          <w:bCs w:val="1"/>
          <w:color w:val="FFFFFF"/>
          <w:vertAlign w:val="superscript"/>
        </w:rPr>
        <w:t>FOR  </w:t>
      </w:r>
      <w:r>
        <w:rPr>
          <w:rFonts w:ascii="Calibri" w:cs="Calibri" w:eastAsia="Calibri" w:hAnsi="Calibri"/>
          <w:sz w:val="16"/>
          <w:szCs w:val="16"/>
          <w:b w:val="1"/>
          <w:bCs w:val="1"/>
          <w:color w:val="auto"/>
        </w:rPr>
        <w:t xml:space="preserve"> Incorporaton to provide for, among other things, ofcer exculpaton</w:t>
      </w:r>
    </w:p>
    <w:p>
      <w:pPr>
        <w:spacing w:after="0" w:line="130"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2024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117</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Miscellaneous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Miscellaneous</w:t>
      </w:r>
    </w:p>
    <w:p>
      <w:pPr>
        <w:spacing w:after="0" w:line="32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Stockholder proposals and director nominatons for the 2025 Annual Meetng</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Stockholder proposals intended to be included in our proxy materials for the 2025 Annual Meetng of Stockholders (“2025 Annual Meetng”) must be received by the deadline calculated in accordance with SEC Rule 14a-8, which is 120 days before the anniversary of the date of this year’s Proxy Statement. This year’s deadline is December 30, 2024. Such proposals must include the informaton required by SEC rules, and should be sent in writng by courier or certfed mail to the Corporate Secretary of the Company at 320 Park Avenue, 29th Floor, New York, New York 10022. Stockholder proposals that are sent to any other person or locaton or by any other means may not be received in a tmely manner and thus may be ineligible for inclusion.</w:t>
      </w:r>
    </w:p>
    <w:p>
      <w:pPr>
        <w:spacing w:after="0" w:line="211" w:lineRule="exact"/>
        <w:rPr>
          <w:sz w:val="20"/>
          <w:szCs w:val="20"/>
          <w:color w:val="auto"/>
        </w:rPr>
      </w:pPr>
    </w:p>
    <w:p>
      <w:pPr>
        <w:ind w:left="320" w:right="220"/>
        <w:spacing w:after="0"/>
        <w:rPr>
          <w:sz w:val="20"/>
          <w:szCs w:val="20"/>
          <w:color w:val="auto"/>
        </w:rPr>
      </w:pPr>
      <w:r>
        <w:rPr>
          <w:rFonts w:ascii="Calibri" w:cs="Calibri" w:eastAsia="Calibri" w:hAnsi="Calibri"/>
          <w:sz w:val="17"/>
          <w:szCs w:val="17"/>
          <w:color w:val="auto"/>
        </w:rPr>
        <w:t>Stockholders who intend to submit proposals at the 2025 Annual Meetng but whose proposals are not included in the proxy materials for the meetng, and stockholders who intend to submit nominatons for directors at the 2025 Annual Meetng, are required to notfy the Corporate Secretary of the Company (at the address above) of their proposal or nominatons not less than 90 days, nor more than 120 days, before the anniversary of this year’s Annual Meetng of Stockholders, in accordance with our By-laws. Such notces of proposals for the 2025 Annual Meetng must be delivered between February 19, 2025 and March 21, 2025. Special notce provisions apply under the By-laws if the date of the 2025 Annual Meetng is more than 30 days before or 70 days afer the anniversary date of this year’s Annual Meetng of Stockholders.</w:t>
      </w:r>
    </w:p>
    <w:p>
      <w:pPr>
        <w:spacing w:after="0" w:line="212"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Any notce of proposed business or nominaton, whether or not included in our Proxy Statement, must include the informaton required under our By-laws, including Secton 2.11.4, in order for the mater to be eligible for consideraton at the 2025 Annual Meetng. In additon, to comply with the universal proxy rules, stockholders who intend to solicit proxies in support of director nominees other than the Company’s nominees must provide notce that sets forth the informaton required by Rule 14a-19 under the Exchange Act no later than April 20, 2025.</w:t>
      </w:r>
    </w:p>
    <w:p>
      <w:pPr>
        <w:spacing w:after="0" w:line="211" w:lineRule="exact"/>
        <w:rPr>
          <w:sz w:val="20"/>
          <w:szCs w:val="20"/>
          <w:color w:val="auto"/>
        </w:rPr>
      </w:pPr>
    </w:p>
    <w:p>
      <w:pPr>
        <w:jc w:val="both"/>
        <w:ind w:left="320" w:right="220"/>
        <w:spacing w:after="0" w:line="239" w:lineRule="auto"/>
        <w:rPr>
          <w:sz w:val="20"/>
          <w:szCs w:val="20"/>
          <w:color w:val="auto"/>
        </w:rPr>
      </w:pPr>
      <w:r>
        <w:rPr>
          <w:rFonts w:ascii="Calibri" w:cs="Calibri" w:eastAsia="Calibri" w:hAnsi="Calibri"/>
          <w:sz w:val="17"/>
          <w:szCs w:val="17"/>
          <w:color w:val="auto"/>
        </w:rPr>
        <w:t>The presiding ofcer of the 2025 Annual Meetng may refuse to acknowledge any mater or nominaton not made in compliance with the procedures in our By-laws. Our By-laws can be found on our website and the current SEC rules for submitng stockholder proposals can be obtained from the SEC at: Division of Corporaton Finance, 100 F. Street, N.E., Washington, DC 20549, or through the SEC’s Internet website at www.sec.gov.</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Delivery of documents to stockholders sharing an address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If you are the benefcial owner, but not the record holder, of shares of our common stock, your broker, bank, trust or other nominee may only deliver one copy of this Proxy Statement and the 2023 Form 10-K, which serves as our Annual Report to Stockholders under Regulaton 14A (the “2023 Annual Report”), to multple stockholders who share an address unless that nominee has received contrary instructons from one or more of the stockholders. We will deliver promptly, upon writen or oral request, a separate copy of this Proxy Statement and the 2023 Annual Report to a stockholder at a shared address to which a single copy of the documents was delivered. A stockholder who wishes to receive a separate copy of the Proxy Statement and annual report, now or in the future, should submit this request to our investor relatons department through the Investor Relatons page of our website at htps://ir.exlservice.com/. Benefcial owners sharing an address who are receiving multple copies of proxy</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118 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2024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1" w:right="6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Miscellaneous</w:t>
      </w:r>
    </w:p>
    <w:p>
      <w:pPr>
        <w:spacing w:after="0" w:line="348" w:lineRule="exact"/>
        <w:rPr>
          <w:sz w:val="20"/>
          <w:szCs w:val="20"/>
          <w:color w:val="auto"/>
        </w:rPr>
      </w:pPr>
    </w:p>
    <w:p>
      <w:pPr>
        <w:ind w:left="320" w:right="260"/>
        <w:spacing w:after="0" w:line="239" w:lineRule="auto"/>
        <w:rPr>
          <w:sz w:val="20"/>
          <w:szCs w:val="20"/>
          <w:color w:val="auto"/>
        </w:rPr>
      </w:pPr>
      <w:r>
        <w:rPr>
          <w:rFonts w:ascii="Calibri" w:cs="Calibri" w:eastAsia="Calibri" w:hAnsi="Calibri"/>
          <w:sz w:val="17"/>
          <w:szCs w:val="17"/>
          <w:color w:val="auto"/>
        </w:rPr>
        <w:t>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Electronic access to Proxy Statement and Annual Report</w:t>
      </w:r>
    </w:p>
    <w:p>
      <w:pPr>
        <w:spacing w:after="0" w:line="114" w:lineRule="exact"/>
        <w:rPr>
          <w:sz w:val="20"/>
          <w:szCs w:val="20"/>
          <w:color w:val="auto"/>
        </w:rPr>
      </w:pPr>
    </w:p>
    <w:p>
      <w:pPr>
        <w:ind w:left="320" w:right="240"/>
        <w:spacing w:after="0"/>
        <w:rPr>
          <w:sz w:val="20"/>
          <w:szCs w:val="20"/>
          <w:color w:val="auto"/>
        </w:rPr>
      </w:pPr>
      <w:r>
        <w:rPr>
          <w:rFonts w:ascii="Calibri" w:cs="Calibri" w:eastAsia="Calibri" w:hAnsi="Calibri"/>
          <w:sz w:val="17"/>
          <w:szCs w:val="17"/>
          <w:color w:val="auto"/>
        </w:rPr>
        <w:t>This proxy statement and our 2023 Annual Report may be viewed on our website at www.exlservice.com and at www.proxyvote.com by following the instructons provided in the Internet Notce. If you are a stockholder of record, you can elect to access future annual reports and proxy statements electronically by marking the appropriate box on your proxy form. If you choose this opton, you will receive a proxy form in mid-May listng the website locatons and your choice will remain in efect untl you notfy us by mail that you wish to resume mail delivery of these documents. If you hold your common stock through a bank, broker or another holder of record, refer to the informaton provided by that entty for instructons on how to elect this opton.</w:t>
      </w:r>
    </w:p>
    <w:p>
      <w:pPr>
        <w:spacing w:after="0" w:line="312"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Delinquent Secton 16(a) reports</w:t>
      </w:r>
    </w:p>
    <w:p>
      <w:pPr>
        <w:spacing w:after="0" w:line="114"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Secton 16(a) of the Exchange Act requires our directors, executve ofcers and holders of more than 10% of the Company’s common stock to fle reports with the SEC regarding their ownership and changes in ownership of our securites. Based upon our examinaton of the copies of Forms 3, 4, and 5, and amendments thereto fled electronically with the SEC and the writen representatons of our reportng persons, we believe that all reports were fled on a tmely basis during fscal 2023.</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Forward-looking statements</w:t>
      </w:r>
    </w:p>
    <w:p>
      <w:pPr>
        <w:spacing w:after="0" w:line="114"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This Proxy Statement contains forward-looking statements within the meaning of the United States Private Securites Litgaton Reform Act of 1995. You should not place undue reliance on these statements because they are subject to numerous uncertaintes and factors relatng to our operatons and business environment, all of which are difcult to predict and many of which are beyond our control. These statements ofen include words such as “may,” “will,” “should,” “believe,” “expect,” “antcipate,” “intend,” “plan,” “estmate” or similar expressions. These statements are based on assumptons that we have made in light of our experience in the industry as well as our perceptons of historical trends, current conditons, expected future developments and other factors we believe are appropriate under the circumstances. As you read and consider this Proxy Statement, you should understand that these statements are not guarantees of performance or results. They involve known and unknown risks, uncertaintes and assumptons. Although we believe that these forward-looking statements are based on reasonable assumptons, you should be aware that many factors could afect our actual fnancial results or results of operatons and could cause actual results to difer materially from those in the forward-looking statements. For a more detailed discussion of these factors, see the informaton under “Risk Factors” and “Management’s Discussion and Analysis of Financial Conditon and Results of Operatons” in the 2023 Form 10-K.</w:t>
      </w:r>
    </w:p>
    <w:p>
      <w:pPr>
        <w:spacing w:after="0" w:line="300"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2024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119</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Non-GAAP Reconciliaton</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Non-GAAP Reconciliaton</w:t>
      </w:r>
    </w:p>
    <w:p>
      <w:pPr>
        <w:spacing w:after="0" w:line="122"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The Company reports its fnancial results in accordance with U.S. generally accepted accountng principles (“GAAP”). However, certain non-GAAP measures have been provided in this Proxy Statement.</w:t>
      </w:r>
    </w:p>
    <w:p>
      <w:pPr>
        <w:spacing w:after="0" w:line="211" w:lineRule="exact"/>
        <w:rPr>
          <w:sz w:val="20"/>
          <w:szCs w:val="20"/>
          <w:color w:val="auto"/>
        </w:rPr>
      </w:pPr>
    </w:p>
    <w:p>
      <w:pPr>
        <w:jc w:val="both"/>
        <w:ind w:left="320" w:right="80"/>
        <w:spacing w:after="0" w:line="239" w:lineRule="auto"/>
        <w:rPr>
          <w:sz w:val="20"/>
          <w:szCs w:val="20"/>
          <w:color w:val="auto"/>
        </w:rPr>
      </w:pPr>
      <w:r>
        <w:rPr>
          <w:rFonts w:ascii="Calibri" w:cs="Calibri" w:eastAsia="Calibri" w:hAnsi="Calibri"/>
          <w:sz w:val="17"/>
          <w:szCs w:val="17"/>
          <w:color w:val="auto"/>
        </w:rPr>
        <w:t>These non-GAAP fnancial measures are not based on any comprehensive set of accountng rules or principles, should not be considered a substtute for, or superior to, fnancial measures calculated in accordance with GAAP, and may be diferent from non-GAAP fnancial measures used by other companies. Accordingly, the fnancial results calculated in accordance with GAAP and reconciliatons from those fnancial statements should be carefully evaluated.</w:t>
      </w:r>
    </w:p>
    <w:p>
      <w:pPr>
        <w:spacing w:after="0" w:line="213"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color w:val="auto"/>
        </w:rPr>
        <w:t>The Company believes that non-GAAP fnancial measures – present additonal useful comparisons between current results and results in prior operatng periods, providing investors with a supplemental view of the underlying trends of the Company’s business. The Company also uses</w:t>
      </w:r>
    </w:p>
    <w:p>
      <w:pPr>
        <w:spacing w:after="0" w:line="2"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these non-GAAP fnancial measures in making fnancial, operatng, planning and compensaton decisions and in evaluatng the Company’s performance.</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Non-GAAP measures/ inputs for Proxy statement 2024</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Descripton of Adjusted Financial Measures to GAAP Measures</w:t>
      </w:r>
    </w:p>
    <w:p>
      <w:pPr>
        <w:spacing w:after="0" w:line="115"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 xml:space="preserve">Our </w:t>
      </w:r>
      <w:r>
        <w:rPr>
          <w:rFonts w:ascii="Calibri" w:cs="Calibri" w:eastAsia="Calibri" w:hAnsi="Calibri"/>
          <w:sz w:val="17"/>
          <w:szCs w:val="17"/>
          <w:b w:val="1"/>
          <w:bCs w:val="1"/>
          <w:color w:val="auto"/>
        </w:rPr>
        <w:t>adjusted net income and adjusted diluted EPS</w:t>
      </w:r>
      <w:r>
        <w:rPr>
          <w:rFonts w:ascii="Calibri" w:cs="Calibri" w:eastAsia="Calibri" w:hAnsi="Calibri"/>
          <w:sz w:val="17"/>
          <w:szCs w:val="17"/>
          <w:color w:val="auto"/>
        </w:rPr>
        <w:t xml:space="preserve"> refers to net income as per GAAP, adjusted for non-cash expenses like stock-based compensaton expense and amortzaton of acquisiton-related intangible assets and certain non-recurring expenses/(benefts) that the management believe can provide useful supplemental informaton for investors analyzing period-to-period comparisons of the Company’s results and comparisons of the Company’s results with the results of other companies. Our adjusted net income and adjusted diluted EPS also excludes the efects of income tax on such adjustments, as applicable.</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120 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2024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1" w:right="6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Non-GAAP Reconciliaton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shows the reconciliaton of non-GAAP fnancial measures for the year ended December 31, 2023 and 2022:</w:t>
      </w:r>
    </w:p>
    <w:p>
      <w:pPr>
        <w:spacing w:after="0" w:line="206" w:lineRule="exact"/>
        <w:rPr>
          <w:sz w:val="20"/>
          <w:szCs w:val="20"/>
          <w:color w:val="auto"/>
        </w:rPr>
      </w:pPr>
    </w:p>
    <w:p>
      <w:pPr>
        <w:ind w:left="320" w:right="4240"/>
        <w:spacing w:after="0" w:line="327" w:lineRule="auto"/>
        <w:rPr>
          <w:sz w:val="20"/>
          <w:szCs w:val="20"/>
          <w:color w:val="auto"/>
        </w:rPr>
      </w:pPr>
      <w:r>
        <w:rPr>
          <w:rFonts w:ascii="Calibri" w:cs="Calibri" w:eastAsia="Calibri" w:hAnsi="Calibri"/>
          <w:sz w:val="19"/>
          <w:szCs w:val="19"/>
          <w:b w:val="1"/>
          <w:bCs w:val="1"/>
          <w:color w:val="FB4E0B"/>
        </w:rPr>
        <w:t xml:space="preserve">Reconciliaton of Adjusted Net Income and Adjusted Diluted Earnings Per Share </w:t>
      </w:r>
      <w:r>
        <w:rPr>
          <w:rFonts w:ascii="Calibri" w:cs="Calibri" w:eastAsia="Calibri" w:hAnsi="Calibri"/>
          <w:sz w:val="17"/>
          <w:szCs w:val="17"/>
          <w:color w:val="000000"/>
        </w:rPr>
        <w:t>(Amounts in thousands, except per share data)</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31"/>
              <w:spacing w:after="0"/>
              <w:rPr>
                <w:sz w:val="20"/>
                <w:szCs w:val="20"/>
                <w:color w:val="auto"/>
              </w:rPr>
            </w:pPr>
            <w:r>
              <w:rPr>
                <w:rFonts w:ascii="Calibri" w:cs="Calibri" w:eastAsia="Calibri" w:hAnsi="Calibri"/>
                <w:sz w:val="14"/>
                <w:szCs w:val="14"/>
                <w:b w:val="1"/>
                <w:bCs w:val="1"/>
                <w:color w:val="auto"/>
              </w:rPr>
              <w:t>Year ended</w:t>
            </w:r>
          </w:p>
        </w:tc>
        <w:tc>
          <w:tcPr>
            <w:tcW w:w="960" w:type="dxa"/>
            <w:vAlign w:val="bottom"/>
          </w:tcPr>
          <w:p>
            <w:pPr>
              <w:spacing w:after="0"/>
              <w:rPr>
                <w:sz w:val="14"/>
                <w:szCs w:val="14"/>
                <w:color w:val="auto"/>
              </w:rPr>
            </w:pPr>
          </w:p>
        </w:tc>
      </w:tr>
      <w:tr>
        <w:trPr>
          <w:trHeight w:val="169"/>
        </w:trPr>
        <w:tc>
          <w:tcPr>
            <w:tcW w:w="7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spacing w:after="0" w:line="169" w:lineRule="exact"/>
              <w:rPr>
                <w:sz w:val="20"/>
                <w:szCs w:val="20"/>
                <w:color w:val="auto"/>
              </w:rPr>
            </w:pPr>
            <w:r>
              <w:rPr>
                <w:rFonts w:ascii="Calibri" w:cs="Calibri" w:eastAsia="Calibri" w:hAnsi="Calibri"/>
                <w:sz w:val="14"/>
                <w:szCs w:val="14"/>
                <w:b w:val="1"/>
                <w:bCs w:val="1"/>
                <w:color w:val="auto"/>
              </w:rPr>
              <w:t>December 31,</w:t>
            </w:r>
          </w:p>
        </w:tc>
        <w:tc>
          <w:tcPr>
            <w:tcW w:w="960" w:type="dxa"/>
            <w:vAlign w:val="bottom"/>
          </w:tcPr>
          <w:p>
            <w:pPr>
              <w:spacing w:after="0"/>
              <w:rPr>
                <w:sz w:val="14"/>
                <w:szCs w:val="14"/>
                <w:color w:val="auto"/>
              </w:rPr>
            </w:pPr>
          </w:p>
        </w:tc>
      </w:tr>
      <w:tr>
        <w:trPr>
          <w:trHeight w:val="37"/>
        </w:trPr>
        <w:tc>
          <w:tcPr>
            <w:tcW w:w="7860" w:type="dxa"/>
            <w:vAlign w:val="bottom"/>
          </w:tcPr>
          <w:p>
            <w:pPr>
              <w:spacing w:after="0"/>
              <w:rPr>
                <w:sz w:val="3"/>
                <w:szCs w:val="3"/>
                <w:color w:val="auto"/>
              </w:rPr>
            </w:pPr>
          </w:p>
        </w:tc>
        <w:tc>
          <w:tcPr>
            <w:tcW w:w="140" w:type="dxa"/>
            <w:vAlign w:val="bottom"/>
            <w:tcBorders>
              <w:bottom w:val="single" w:sz="8" w:color="FB4E0B"/>
            </w:tcBorders>
          </w:tcPr>
          <w:p>
            <w:pPr>
              <w:spacing w:after="0"/>
              <w:rPr>
                <w:sz w:val="3"/>
                <w:szCs w:val="3"/>
                <w:color w:val="auto"/>
              </w:rPr>
            </w:pPr>
          </w:p>
        </w:tc>
        <w:tc>
          <w:tcPr>
            <w:tcW w:w="320" w:type="dxa"/>
            <w:vAlign w:val="bottom"/>
            <w:tcBorders>
              <w:bottom w:val="single" w:sz="8" w:color="FB4E0B"/>
            </w:tcBorders>
          </w:tcPr>
          <w:p>
            <w:pPr>
              <w:spacing w:after="0"/>
              <w:rPr>
                <w:sz w:val="3"/>
                <w:szCs w:val="3"/>
                <w:color w:val="auto"/>
              </w:rPr>
            </w:pPr>
          </w:p>
        </w:tc>
        <w:tc>
          <w:tcPr>
            <w:tcW w:w="860" w:type="dxa"/>
            <w:vAlign w:val="bottom"/>
            <w:tcBorders>
              <w:bottom w:val="single" w:sz="8" w:color="FB4E0B"/>
            </w:tcBorders>
          </w:tcPr>
          <w:p>
            <w:pPr>
              <w:spacing w:after="0"/>
              <w:rPr>
                <w:sz w:val="3"/>
                <w:szCs w:val="3"/>
                <w:color w:val="auto"/>
              </w:rPr>
            </w:pPr>
          </w:p>
        </w:tc>
        <w:tc>
          <w:tcPr>
            <w:tcW w:w="480" w:type="dxa"/>
            <w:vAlign w:val="bottom"/>
            <w:tcBorders>
              <w:bottom w:val="single" w:sz="8" w:color="FB4E0B"/>
            </w:tcBorders>
          </w:tcPr>
          <w:p>
            <w:pPr>
              <w:spacing w:after="0"/>
              <w:rPr>
                <w:sz w:val="3"/>
                <w:szCs w:val="3"/>
                <w:color w:val="auto"/>
              </w:rPr>
            </w:pPr>
          </w:p>
        </w:tc>
        <w:tc>
          <w:tcPr>
            <w:tcW w:w="960" w:type="dxa"/>
            <w:vAlign w:val="bottom"/>
            <w:tcBorders>
              <w:bottom w:val="single" w:sz="8" w:color="FB4E0B"/>
            </w:tcBorders>
          </w:tcPr>
          <w:p>
            <w:pPr>
              <w:spacing w:after="0"/>
              <w:rPr>
                <w:sz w:val="3"/>
                <w:szCs w:val="3"/>
                <w:color w:val="auto"/>
              </w:rPr>
            </w:pPr>
          </w:p>
        </w:tc>
      </w:tr>
      <w:tr>
        <w:trPr>
          <w:trHeight w:val="175"/>
        </w:trPr>
        <w:tc>
          <w:tcPr>
            <w:tcW w:w="7860" w:type="dxa"/>
            <w:vAlign w:val="bottom"/>
            <w:tcBorders>
              <w:bottom w:val="single" w:sz="8" w:color="FB4E0B"/>
            </w:tcBorders>
          </w:tcPr>
          <w:p>
            <w:pPr>
              <w:spacing w:after="0"/>
              <w:rPr>
                <w:sz w:val="15"/>
                <w:szCs w:val="15"/>
                <w:color w:val="auto"/>
              </w:rPr>
            </w:pPr>
          </w:p>
        </w:tc>
        <w:tc>
          <w:tcPr>
            <w:tcW w:w="140" w:type="dxa"/>
            <w:vAlign w:val="bottom"/>
            <w:tcBorders>
              <w:bottom w:val="single" w:sz="8" w:color="FB4E0B"/>
            </w:tcBorders>
          </w:tcPr>
          <w:p>
            <w:pPr>
              <w:ind w:left="80"/>
              <w:spacing w:after="0"/>
              <w:rPr>
                <w:sz w:val="20"/>
                <w:szCs w:val="20"/>
                <w:color w:val="auto"/>
              </w:rPr>
            </w:pPr>
            <w:r>
              <w:rPr>
                <w:rFonts w:ascii="Calibri" w:cs="Calibri" w:eastAsia="Calibri" w:hAnsi="Calibri"/>
                <w:sz w:val="5"/>
                <w:szCs w:val="5"/>
                <w:b w:val="1"/>
                <w:bCs w:val="1"/>
                <w:color w:val="auto"/>
                <w:w w:val="79"/>
              </w:rPr>
              <w:t> </w:t>
            </w:r>
          </w:p>
        </w:tc>
        <w:tc>
          <w:tcPr>
            <w:tcW w:w="320" w:type="dxa"/>
            <w:vAlign w:val="bottom"/>
            <w:tcBorders>
              <w:bottom w:val="single" w:sz="8" w:color="FB4E0B"/>
            </w:tcBorders>
          </w:tcPr>
          <w:p>
            <w:pPr>
              <w:jc w:val="right"/>
              <w:spacing w:after="0" w:line="166" w:lineRule="exact"/>
              <w:rPr>
                <w:sz w:val="20"/>
                <w:szCs w:val="20"/>
                <w:color w:val="auto"/>
              </w:rPr>
            </w:pPr>
            <w:r>
              <w:rPr>
                <w:rFonts w:ascii="Calibri" w:cs="Calibri" w:eastAsia="Calibri" w:hAnsi="Calibri"/>
                <w:sz w:val="14"/>
                <w:szCs w:val="14"/>
                <w:b w:val="1"/>
                <w:bCs w:val="1"/>
                <w:color w:val="auto"/>
              </w:rPr>
              <w:t xml:space="preserve">    </w:t>
            </w:r>
          </w:p>
        </w:tc>
        <w:tc>
          <w:tcPr>
            <w:tcW w:w="860" w:type="dxa"/>
            <w:vAlign w:val="bottom"/>
            <w:tcBorders>
              <w:bottom w:val="single" w:sz="8" w:color="FB4E0B"/>
            </w:tcBorders>
          </w:tcPr>
          <w:p>
            <w:pPr>
              <w:jc w:val="right"/>
              <w:ind w:right="151"/>
              <w:spacing w:after="0" w:line="166" w:lineRule="exact"/>
              <w:rPr>
                <w:sz w:val="20"/>
                <w:szCs w:val="20"/>
                <w:color w:val="auto"/>
              </w:rPr>
            </w:pPr>
            <w:r>
              <w:rPr>
                <w:rFonts w:ascii="Calibri" w:cs="Calibri" w:eastAsia="Calibri" w:hAnsi="Calibri"/>
                <w:sz w:val="14"/>
                <w:szCs w:val="14"/>
                <w:b w:val="1"/>
                <w:bCs w:val="1"/>
                <w:color w:val="auto"/>
              </w:rPr>
              <w:t xml:space="preserve">2023       </w:t>
            </w:r>
          </w:p>
        </w:tc>
        <w:tc>
          <w:tcPr>
            <w:tcW w:w="480" w:type="dxa"/>
            <w:vAlign w:val="bottom"/>
            <w:tcBorders>
              <w:bottom w:val="single" w:sz="8" w:color="FB4E0B"/>
            </w:tcBorders>
          </w:tcPr>
          <w:p>
            <w:pPr>
              <w:jc w:val="right"/>
              <w:ind w:right="11"/>
              <w:spacing w:after="0" w:line="166" w:lineRule="exact"/>
              <w:rPr>
                <w:sz w:val="20"/>
                <w:szCs w:val="20"/>
                <w:color w:val="auto"/>
              </w:rPr>
            </w:pPr>
            <w:r>
              <w:rPr>
                <w:rFonts w:ascii="Calibri" w:cs="Calibri" w:eastAsia="Calibri" w:hAnsi="Calibri"/>
                <w:sz w:val="14"/>
                <w:szCs w:val="14"/>
                <w:b w:val="1"/>
                <w:bCs w:val="1"/>
                <w:color w:val="auto"/>
              </w:rPr>
              <w:t xml:space="preserve">       </w:t>
            </w:r>
          </w:p>
        </w:tc>
        <w:tc>
          <w:tcPr>
            <w:tcW w:w="960" w:type="dxa"/>
            <w:vAlign w:val="bottom"/>
            <w:tcBorders>
              <w:bottom w:val="single" w:sz="8" w:color="FB4E0B"/>
            </w:tcBorders>
          </w:tcPr>
          <w:p>
            <w:pPr>
              <w:jc w:val="right"/>
              <w:ind w:right="151"/>
              <w:spacing w:after="0" w:line="166" w:lineRule="exact"/>
              <w:rPr>
                <w:sz w:val="20"/>
                <w:szCs w:val="20"/>
                <w:color w:val="auto"/>
              </w:rPr>
            </w:pPr>
            <w:r>
              <w:rPr>
                <w:rFonts w:ascii="Calibri" w:cs="Calibri" w:eastAsia="Calibri" w:hAnsi="Calibri"/>
                <w:sz w:val="14"/>
                <w:szCs w:val="14"/>
                <w:b w:val="1"/>
                <w:bCs w:val="1"/>
                <w:color w:val="auto"/>
              </w:rPr>
              <w:t xml:space="preserve">2022          </w:t>
            </w:r>
          </w:p>
        </w:tc>
      </w:tr>
      <w:tr>
        <w:trPr>
          <w:trHeight w:val="242"/>
        </w:trPr>
        <w:tc>
          <w:tcPr>
            <w:tcW w:w="7860" w:type="dxa"/>
            <w:vAlign w:val="bottom"/>
            <w:tcBorders>
              <w:right w:val="single" w:sz="8" w:color="auto"/>
            </w:tcBorders>
          </w:tcPr>
          <w:p>
            <w:pPr>
              <w:spacing w:after="0"/>
              <w:rPr>
                <w:sz w:val="20"/>
                <w:szCs w:val="20"/>
                <w:color w:val="auto"/>
              </w:rPr>
            </w:pPr>
            <w:r>
              <w:rPr>
                <w:rFonts w:ascii="Calibri" w:cs="Calibri" w:eastAsia="Calibri" w:hAnsi="Calibri"/>
                <w:sz w:val="14"/>
                <w:szCs w:val="14"/>
                <w:b w:val="1"/>
                <w:bCs w:val="1"/>
                <w:color w:val="auto"/>
              </w:rPr>
              <w:t>Net income (GAAP)</w:t>
            </w:r>
          </w:p>
        </w:tc>
        <w:tc>
          <w:tcPr>
            <w:tcW w:w="140" w:type="dxa"/>
            <w:vAlign w:val="bottom"/>
          </w:tcPr>
          <w:p>
            <w:pPr>
              <w:spacing w:after="0"/>
              <w:rPr>
                <w:sz w:val="21"/>
                <w:szCs w:val="21"/>
                <w:color w:val="auto"/>
              </w:rPr>
            </w:pPr>
          </w:p>
        </w:tc>
        <w:tc>
          <w:tcPr>
            <w:tcW w:w="320" w:type="dxa"/>
            <w:vAlign w:val="bottom"/>
          </w:tcPr>
          <w:p>
            <w:pPr>
              <w:jc w:val="right"/>
              <w:ind w:right="151"/>
              <w:spacing w:after="0"/>
              <w:rPr>
                <w:sz w:val="20"/>
                <w:szCs w:val="20"/>
                <w:color w:val="auto"/>
              </w:rPr>
            </w:pPr>
            <w:r>
              <w:rPr>
                <w:rFonts w:ascii="Calibri" w:cs="Calibri" w:eastAsia="Calibri" w:hAnsi="Calibri"/>
                <w:sz w:val="14"/>
                <w:szCs w:val="14"/>
                <w:b w:val="1"/>
                <w:bCs w:val="1"/>
                <w:color w:val="auto"/>
              </w:rPr>
              <w:t>$</w:t>
            </w:r>
          </w:p>
        </w:tc>
        <w:tc>
          <w:tcPr>
            <w:tcW w:w="8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b w:val="1"/>
                <w:bCs w:val="1"/>
                <w:color w:val="auto"/>
              </w:rPr>
              <w:t>184,558</w:t>
            </w:r>
          </w:p>
        </w:tc>
        <w:tc>
          <w:tcPr>
            <w:tcW w:w="480" w:type="dxa"/>
            <w:vAlign w:val="bottom"/>
          </w:tcPr>
          <w:p>
            <w:pPr>
              <w:jc w:val="right"/>
              <w:ind w:right="191"/>
              <w:spacing w:after="0"/>
              <w:rPr>
                <w:sz w:val="20"/>
                <w:szCs w:val="20"/>
                <w:color w:val="auto"/>
              </w:rPr>
            </w:pPr>
            <w:r>
              <w:rPr>
                <w:rFonts w:ascii="Calibri" w:cs="Calibri" w:eastAsia="Calibri" w:hAnsi="Calibri"/>
                <w:sz w:val="14"/>
                <w:szCs w:val="14"/>
                <w:b w:val="1"/>
                <w:bCs w:val="1"/>
                <w:color w:val="auto"/>
              </w:rPr>
              <w:t>$</w:t>
            </w:r>
          </w:p>
        </w:tc>
        <w:tc>
          <w:tcPr>
            <w:tcW w:w="960" w:type="dxa"/>
            <w:vAlign w:val="bottom"/>
          </w:tcPr>
          <w:p>
            <w:pPr>
              <w:jc w:val="right"/>
              <w:ind w:right="111"/>
              <w:spacing w:after="0"/>
              <w:rPr>
                <w:sz w:val="20"/>
                <w:szCs w:val="20"/>
                <w:color w:val="auto"/>
              </w:rPr>
            </w:pPr>
            <w:r>
              <w:rPr>
                <w:rFonts w:ascii="Calibri" w:cs="Calibri" w:eastAsia="Calibri" w:hAnsi="Calibri"/>
                <w:sz w:val="14"/>
                <w:szCs w:val="14"/>
                <w:b w:val="1"/>
                <w:bCs w:val="1"/>
                <w:color w:val="auto"/>
              </w:rPr>
              <w:t>142,968</w:t>
            </w:r>
          </w:p>
        </w:tc>
      </w:tr>
      <w:tr>
        <w:trPr>
          <w:trHeight w:val="83"/>
        </w:trPr>
        <w:tc>
          <w:tcPr>
            <w:tcW w:w="786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r>
        <w:trPr>
          <w:trHeight w:val="235"/>
        </w:trPr>
        <w:tc>
          <w:tcPr>
            <w:tcW w:w="78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 Stock-based compensaton expense</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58,437</w:t>
            </w:r>
          </w:p>
        </w:tc>
        <w:tc>
          <w:tcPr>
            <w:tcW w:w="48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4"/>
                <w:szCs w:val="14"/>
                <w:color w:val="auto"/>
              </w:rPr>
              <w:t>49,366</w:t>
            </w:r>
          </w:p>
        </w:tc>
      </w:tr>
      <w:tr>
        <w:trPr>
          <w:trHeight w:val="83"/>
        </w:trPr>
        <w:tc>
          <w:tcPr>
            <w:tcW w:w="786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r>
        <w:trPr>
          <w:trHeight w:val="235"/>
        </w:trPr>
        <w:tc>
          <w:tcPr>
            <w:tcW w:w="78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 Amortzaton of acquisiton-related intangibles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14,678</w:t>
            </w:r>
          </w:p>
        </w:tc>
        <w:tc>
          <w:tcPr>
            <w:tcW w:w="48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4"/>
                <w:szCs w:val="14"/>
                <w:color w:val="auto"/>
              </w:rPr>
              <w:t>17,109</w:t>
            </w:r>
          </w:p>
        </w:tc>
      </w:tr>
      <w:tr>
        <w:trPr>
          <w:trHeight w:val="83"/>
        </w:trPr>
        <w:tc>
          <w:tcPr>
            <w:tcW w:w="786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r>
        <w:trPr>
          <w:trHeight w:val="318"/>
        </w:trPr>
        <w:tc>
          <w:tcPr>
            <w:tcW w:w="7860" w:type="dxa"/>
            <w:vAlign w:val="bottom"/>
            <w:tcBorders>
              <w:bottom w:val="single" w:sz="8" w:color="auto"/>
              <w:right w:val="single" w:sz="8" w:color="auto"/>
            </w:tcBorders>
          </w:tcPr>
          <w:p>
            <w:pPr>
              <w:spacing w:after="0"/>
              <w:rPr>
                <w:sz w:val="20"/>
                <w:szCs w:val="20"/>
                <w:color w:val="auto"/>
              </w:rPr>
            </w:pPr>
            <w:r>
              <w:rPr>
                <w:rFonts w:ascii="Calibri" w:cs="Calibri" w:eastAsia="Calibri" w:hAnsi="Calibri"/>
                <w:sz w:val="14"/>
                <w:szCs w:val="14"/>
                <w:color w:val="auto"/>
              </w:rPr>
              <w:t>add/(subtract): Allowance/(reversal) for expected credit losses</w:t>
            </w:r>
            <w:r>
              <w:rPr>
                <w:rFonts w:ascii="Calibri" w:cs="Calibri" w:eastAsia="Calibri" w:hAnsi="Calibri"/>
                <w:sz w:val="20"/>
                <w:szCs w:val="20"/>
                <w:color w:val="auto"/>
                <w:vertAlign w:val="superscript"/>
              </w:rPr>
              <w:t>(a)</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1,436</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r>
      <w:tr>
        <w:trPr>
          <w:trHeight w:val="235"/>
        </w:trPr>
        <w:tc>
          <w:tcPr>
            <w:tcW w:w="78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add/(subtract): Changes in fair value of contngent consideraton</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1,900</w:t>
            </w:r>
          </w:p>
        </w:tc>
        <w:tc>
          <w:tcPr>
            <w:tcW w:w="48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4"/>
                <w:szCs w:val="14"/>
                <w:color w:val="auto"/>
              </w:rPr>
              <w:t>8,500</w:t>
            </w:r>
          </w:p>
        </w:tc>
      </w:tr>
      <w:tr>
        <w:trPr>
          <w:trHeight w:val="83"/>
        </w:trPr>
        <w:tc>
          <w:tcPr>
            <w:tcW w:w="786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r>
        <w:trPr>
          <w:trHeight w:val="318"/>
        </w:trPr>
        <w:tc>
          <w:tcPr>
            <w:tcW w:w="7860" w:type="dxa"/>
            <w:vAlign w:val="bottom"/>
            <w:tcBorders>
              <w:bottom w:val="single" w:sz="8" w:color="auto"/>
              <w:right w:val="single" w:sz="8" w:color="auto"/>
            </w:tcBorders>
          </w:tcPr>
          <w:p>
            <w:pPr>
              <w:spacing w:after="0"/>
              <w:rPr>
                <w:sz w:val="20"/>
                <w:szCs w:val="20"/>
                <w:color w:val="auto"/>
              </w:rPr>
            </w:pPr>
            <w:r>
              <w:rPr>
                <w:rFonts w:ascii="Calibri" w:cs="Calibri" w:eastAsia="Calibri" w:hAnsi="Calibri"/>
                <w:sz w:val="14"/>
                <w:szCs w:val="14"/>
                <w:color w:val="auto"/>
              </w:rPr>
              <w:t>add/(subtract): Other expenses/(benefts)</w:t>
            </w:r>
            <w:r>
              <w:rPr>
                <w:rFonts w:ascii="Calibri" w:cs="Calibri" w:eastAsia="Calibri" w:hAnsi="Calibri"/>
                <w:sz w:val="20"/>
                <w:szCs w:val="20"/>
                <w:color w:val="auto"/>
                <w:vertAlign w:val="superscript"/>
              </w:rPr>
              <w:t>(b)</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1,102</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1"/>
              <w:spacing w:after="0"/>
              <w:rPr>
                <w:sz w:val="20"/>
                <w:szCs w:val="20"/>
                <w:color w:val="auto"/>
              </w:rPr>
            </w:pPr>
            <w:r>
              <w:rPr>
                <w:rFonts w:ascii="Calibri" w:cs="Calibri" w:eastAsia="Calibri" w:hAnsi="Calibri"/>
                <w:sz w:val="14"/>
                <w:szCs w:val="14"/>
                <w:color w:val="auto"/>
              </w:rPr>
              <w:t>635</w:t>
            </w:r>
          </w:p>
        </w:tc>
      </w:tr>
      <w:tr>
        <w:trPr>
          <w:trHeight w:val="318"/>
        </w:trPr>
        <w:tc>
          <w:tcPr>
            <w:tcW w:w="7860" w:type="dxa"/>
            <w:vAlign w:val="bottom"/>
            <w:tcBorders>
              <w:bottom w:val="single" w:sz="8" w:color="auto"/>
              <w:right w:val="single" w:sz="8" w:color="auto"/>
            </w:tcBorders>
          </w:tcPr>
          <w:p>
            <w:pPr>
              <w:spacing w:after="0"/>
              <w:rPr>
                <w:sz w:val="20"/>
                <w:szCs w:val="20"/>
                <w:color w:val="auto"/>
              </w:rPr>
            </w:pPr>
            <w:r>
              <w:rPr>
                <w:rFonts w:ascii="Calibri" w:cs="Calibri" w:eastAsia="Calibri" w:hAnsi="Calibri"/>
                <w:sz w:val="14"/>
                <w:szCs w:val="14"/>
                <w:color w:val="auto"/>
              </w:rPr>
              <w:t>subtract: Tax impact on stock-based compensaton expense</w:t>
            </w:r>
            <w:r>
              <w:rPr>
                <w:rFonts w:ascii="Calibri" w:cs="Calibri" w:eastAsia="Calibri" w:hAnsi="Calibri"/>
                <w:sz w:val="20"/>
                <w:szCs w:val="20"/>
                <w:color w:val="auto"/>
                <w:vertAlign w:val="superscript"/>
              </w:rPr>
              <w:t>(c)</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(17,333)</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1"/>
              <w:spacing w:after="0"/>
              <w:rPr>
                <w:sz w:val="20"/>
                <w:szCs w:val="20"/>
                <w:color w:val="auto"/>
              </w:rPr>
            </w:pPr>
            <w:r>
              <w:rPr>
                <w:rFonts w:ascii="Calibri" w:cs="Calibri" w:eastAsia="Calibri" w:hAnsi="Calibri"/>
                <w:sz w:val="14"/>
                <w:szCs w:val="14"/>
                <w:color w:val="auto"/>
              </w:rPr>
              <w:t>(9,785)</w:t>
            </w:r>
          </w:p>
        </w:tc>
      </w:tr>
      <w:tr>
        <w:trPr>
          <w:trHeight w:val="235"/>
        </w:trPr>
        <w:tc>
          <w:tcPr>
            <w:tcW w:w="78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subtract: Tax impact on amortzaton of acquisiton-related intangibles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(3,622)</w:t>
            </w:r>
          </w:p>
        </w:tc>
        <w:tc>
          <w:tcPr>
            <w:tcW w:w="48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(4,151)</w:t>
            </w:r>
          </w:p>
        </w:tc>
      </w:tr>
      <w:tr>
        <w:trPr>
          <w:trHeight w:val="83"/>
        </w:trPr>
        <w:tc>
          <w:tcPr>
            <w:tcW w:w="786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r>
        <w:trPr>
          <w:trHeight w:val="235"/>
        </w:trPr>
        <w:tc>
          <w:tcPr>
            <w:tcW w:w="78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add/(subtract): Tax impact on allowance/(reversal) for expected credit losses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(364)</w:t>
            </w:r>
          </w:p>
        </w:tc>
        <w:tc>
          <w:tcPr>
            <w:tcW w:w="48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4"/>
                <w:szCs w:val="14"/>
                <w:color w:val="auto"/>
              </w:rPr>
              <w:t>—</w:t>
            </w:r>
          </w:p>
        </w:tc>
      </w:tr>
      <w:tr>
        <w:trPr>
          <w:trHeight w:val="83"/>
        </w:trPr>
        <w:tc>
          <w:tcPr>
            <w:tcW w:w="786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r>
        <w:trPr>
          <w:trHeight w:val="235"/>
        </w:trPr>
        <w:tc>
          <w:tcPr>
            <w:tcW w:w="78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 Tax impact on changes in fair value of contngent consideraton</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152</w:t>
            </w:r>
          </w:p>
        </w:tc>
        <w:tc>
          <w:tcPr>
            <w:tcW w:w="48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4"/>
                <w:szCs w:val="14"/>
                <w:color w:val="auto"/>
              </w:rPr>
              <w:t>—</w:t>
            </w:r>
          </w:p>
        </w:tc>
      </w:tr>
      <w:tr>
        <w:trPr>
          <w:trHeight w:val="83"/>
        </w:trPr>
        <w:tc>
          <w:tcPr>
            <w:tcW w:w="786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r>
        <w:trPr>
          <w:trHeight w:val="235"/>
        </w:trPr>
        <w:tc>
          <w:tcPr>
            <w:tcW w:w="78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add/(subtract): Tax impact on other expenses/(benefts)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(280)</w:t>
            </w:r>
          </w:p>
        </w:tc>
        <w:tc>
          <w:tcPr>
            <w:tcW w:w="48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(29)</w:t>
            </w:r>
          </w:p>
        </w:tc>
      </w:tr>
      <w:tr>
        <w:trPr>
          <w:trHeight w:val="83"/>
        </w:trPr>
        <w:tc>
          <w:tcPr>
            <w:tcW w:w="786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r>
        <w:trPr>
          <w:trHeight w:val="318"/>
        </w:trPr>
        <w:tc>
          <w:tcPr>
            <w:tcW w:w="7860" w:type="dxa"/>
            <w:vAlign w:val="bottom"/>
            <w:tcBorders>
              <w:bottom w:val="single" w:sz="8" w:color="auto"/>
              <w:right w:val="single" w:sz="8" w:color="auto"/>
            </w:tcBorders>
          </w:tcPr>
          <w:p>
            <w:pPr>
              <w:spacing w:after="0"/>
              <w:rPr>
                <w:sz w:val="20"/>
                <w:szCs w:val="20"/>
                <w:color w:val="auto"/>
              </w:rPr>
            </w:pPr>
            <w:r>
              <w:rPr>
                <w:rFonts w:ascii="Calibri" w:cs="Calibri" w:eastAsia="Calibri" w:hAnsi="Calibri"/>
                <w:sz w:val="14"/>
                <w:szCs w:val="14"/>
                <w:color w:val="auto"/>
              </w:rPr>
              <w:t>add/(subtract): Other tax expenses/(benefts)</w:t>
            </w:r>
            <w:r>
              <w:rPr>
                <w:rFonts w:ascii="Calibri" w:cs="Calibri" w:eastAsia="Calibri" w:hAnsi="Calibri"/>
                <w:sz w:val="20"/>
                <w:szCs w:val="20"/>
                <w:color w:val="auto"/>
                <w:vertAlign w:val="superscript"/>
              </w:rPr>
              <w:t>(d)</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223</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1"/>
              <w:spacing w:after="0"/>
              <w:rPr>
                <w:sz w:val="20"/>
                <w:szCs w:val="20"/>
                <w:color w:val="auto"/>
              </w:rPr>
            </w:pPr>
            <w:r>
              <w:rPr>
                <w:rFonts w:ascii="Calibri" w:cs="Calibri" w:eastAsia="Calibri" w:hAnsi="Calibri"/>
                <w:sz w:val="14"/>
                <w:szCs w:val="14"/>
                <w:color w:val="auto"/>
              </w:rPr>
              <w:t>(1,079)</w:t>
            </w:r>
          </w:p>
        </w:tc>
      </w:tr>
      <w:tr>
        <w:trPr>
          <w:trHeight w:val="235"/>
        </w:trPr>
        <w:tc>
          <w:tcPr>
            <w:tcW w:w="7860" w:type="dxa"/>
            <w:vAlign w:val="bottom"/>
            <w:tcBorders>
              <w:right w:val="single" w:sz="8" w:color="auto"/>
            </w:tcBorders>
          </w:tcPr>
          <w:p>
            <w:pPr>
              <w:spacing w:after="0"/>
              <w:rPr>
                <w:sz w:val="20"/>
                <w:szCs w:val="20"/>
                <w:color w:val="auto"/>
              </w:rPr>
            </w:pPr>
            <w:r>
              <w:rPr>
                <w:rFonts w:ascii="Calibri" w:cs="Calibri" w:eastAsia="Calibri" w:hAnsi="Calibri"/>
                <w:sz w:val="14"/>
                <w:szCs w:val="14"/>
                <w:b w:val="1"/>
                <w:bCs w:val="1"/>
                <w:color w:val="auto"/>
              </w:rPr>
              <w:t>Adjusted net income (Non-GAAP)</w:t>
            </w:r>
          </w:p>
        </w:tc>
        <w:tc>
          <w:tcPr>
            <w:tcW w:w="140" w:type="dxa"/>
            <w:vAlign w:val="bottom"/>
          </w:tcPr>
          <w:p>
            <w:pPr>
              <w:spacing w:after="0"/>
              <w:rPr>
                <w:sz w:val="20"/>
                <w:szCs w:val="20"/>
                <w:color w:val="auto"/>
              </w:rPr>
            </w:pPr>
          </w:p>
        </w:tc>
        <w:tc>
          <w:tcPr>
            <w:tcW w:w="320" w:type="dxa"/>
            <w:vAlign w:val="bottom"/>
          </w:tcPr>
          <w:p>
            <w:pPr>
              <w:jc w:val="right"/>
              <w:ind w:right="151"/>
              <w:spacing w:after="0"/>
              <w:rPr>
                <w:sz w:val="20"/>
                <w:szCs w:val="20"/>
                <w:color w:val="auto"/>
              </w:rPr>
            </w:pPr>
            <w:r>
              <w:rPr>
                <w:rFonts w:ascii="Calibri" w:cs="Calibri" w:eastAsia="Calibri" w:hAnsi="Calibri"/>
                <w:sz w:val="14"/>
                <w:szCs w:val="14"/>
                <w:b w:val="1"/>
                <w:bCs w:val="1"/>
                <w:color w:val="auto"/>
              </w:rPr>
              <w:t>$</w:t>
            </w:r>
          </w:p>
        </w:tc>
        <w:tc>
          <w:tcPr>
            <w:tcW w:w="8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b w:val="1"/>
                <w:bCs w:val="1"/>
                <w:color w:val="auto"/>
              </w:rPr>
              <w:t>240,887</w:t>
            </w:r>
          </w:p>
        </w:tc>
        <w:tc>
          <w:tcPr>
            <w:tcW w:w="480" w:type="dxa"/>
            <w:vAlign w:val="bottom"/>
          </w:tcPr>
          <w:p>
            <w:pPr>
              <w:jc w:val="right"/>
              <w:ind w:right="191"/>
              <w:spacing w:after="0"/>
              <w:rPr>
                <w:sz w:val="20"/>
                <w:szCs w:val="20"/>
                <w:color w:val="auto"/>
              </w:rPr>
            </w:pPr>
            <w:r>
              <w:rPr>
                <w:rFonts w:ascii="Calibri" w:cs="Calibri" w:eastAsia="Calibri" w:hAnsi="Calibri"/>
                <w:sz w:val="14"/>
                <w:szCs w:val="14"/>
                <w:b w:val="1"/>
                <w:bCs w:val="1"/>
                <w:color w:val="auto"/>
              </w:rPr>
              <w:t>$</w:t>
            </w:r>
          </w:p>
        </w:tc>
        <w:tc>
          <w:tcPr>
            <w:tcW w:w="960" w:type="dxa"/>
            <w:vAlign w:val="bottom"/>
          </w:tcPr>
          <w:p>
            <w:pPr>
              <w:jc w:val="right"/>
              <w:ind w:right="111"/>
              <w:spacing w:after="0"/>
              <w:rPr>
                <w:sz w:val="20"/>
                <w:szCs w:val="20"/>
                <w:color w:val="auto"/>
              </w:rPr>
            </w:pPr>
            <w:r>
              <w:rPr>
                <w:rFonts w:ascii="Calibri" w:cs="Calibri" w:eastAsia="Calibri" w:hAnsi="Calibri"/>
                <w:sz w:val="14"/>
                <w:szCs w:val="14"/>
                <w:b w:val="1"/>
                <w:bCs w:val="1"/>
                <w:color w:val="auto"/>
              </w:rPr>
              <w:t>203,534</w:t>
            </w:r>
          </w:p>
        </w:tc>
      </w:tr>
      <w:tr>
        <w:trPr>
          <w:trHeight w:val="83"/>
        </w:trPr>
        <w:tc>
          <w:tcPr>
            <w:tcW w:w="786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r>
        <w:trPr>
          <w:trHeight w:val="235"/>
        </w:trPr>
        <w:tc>
          <w:tcPr>
            <w:tcW w:w="7860" w:type="dxa"/>
            <w:vAlign w:val="bottom"/>
            <w:tcBorders>
              <w:right w:val="single" w:sz="8" w:color="auto"/>
            </w:tcBorders>
          </w:tcPr>
          <w:p>
            <w:pPr>
              <w:spacing w:after="0"/>
              <w:rPr>
                <w:sz w:val="20"/>
                <w:szCs w:val="20"/>
                <w:color w:val="auto"/>
              </w:rPr>
            </w:pPr>
            <w:r>
              <w:rPr>
                <w:rFonts w:ascii="Calibri" w:cs="Calibri" w:eastAsia="Calibri" w:hAnsi="Calibri"/>
                <w:sz w:val="14"/>
                <w:szCs w:val="14"/>
                <w:b w:val="1"/>
                <w:bCs w:val="1"/>
                <w:color w:val="auto"/>
              </w:rPr>
              <w:t>Adjusted diluted earnings per share (Non-GAAP)</w:t>
            </w:r>
          </w:p>
        </w:tc>
        <w:tc>
          <w:tcPr>
            <w:tcW w:w="140" w:type="dxa"/>
            <w:vAlign w:val="bottom"/>
          </w:tcPr>
          <w:p>
            <w:pPr>
              <w:spacing w:after="0"/>
              <w:rPr>
                <w:sz w:val="20"/>
                <w:szCs w:val="20"/>
                <w:color w:val="auto"/>
              </w:rPr>
            </w:pPr>
          </w:p>
        </w:tc>
        <w:tc>
          <w:tcPr>
            <w:tcW w:w="320" w:type="dxa"/>
            <w:vAlign w:val="bottom"/>
          </w:tcPr>
          <w:p>
            <w:pPr>
              <w:jc w:val="right"/>
              <w:ind w:right="151"/>
              <w:spacing w:after="0"/>
              <w:rPr>
                <w:sz w:val="20"/>
                <w:szCs w:val="20"/>
                <w:color w:val="auto"/>
              </w:rPr>
            </w:pPr>
            <w:r>
              <w:rPr>
                <w:rFonts w:ascii="Calibri" w:cs="Calibri" w:eastAsia="Calibri" w:hAnsi="Calibri"/>
                <w:sz w:val="14"/>
                <w:szCs w:val="14"/>
                <w:b w:val="1"/>
                <w:bCs w:val="1"/>
                <w:color w:val="auto"/>
              </w:rPr>
              <w:t>$</w:t>
            </w:r>
          </w:p>
        </w:tc>
        <w:tc>
          <w:tcPr>
            <w:tcW w:w="8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b w:val="1"/>
                <w:bCs w:val="1"/>
                <w:color w:val="auto"/>
              </w:rPr>
              <w:t>1.43</w:t>
            </w:r>
          </w:p>
        </w:tc>
        <w:tc>
          <w:tcPr>
            <w:tcW w:w="480" w:type="dxa"/>
            <w:vAlign w:val="bottom"/>
          </w:tcPr>
          <w:p>
            <w:pPr>
              <w:jc w:val="right"/>
              <w:ind w:right="191"/>
              <w:spacing w:after="0"/>
              <w:rPr>
                <w:sz w:val="20"/>
                <w:szCs w:val="20"/>
                <w:color w:val="auto"/>
              </w:rPr>
            </w:pPr>
            <w:r>
              <w:rPr>
                <w:rFonts w:ascii="Calibri" w:cs="Calibri" w:eastAsia="Calibri" w:hAnsi="Calibri"/>
                <w:sz w:val="14"/>
                <w:szCs w:val="14"/>
                <w:b w:val="1"/>
                <w:bCs w:val="1"/>
                <w:color w:val="auto"/>
              </w:rPr>
              <w:t>$</w:t>
            </w:r>
          </w:p>
        </w:tc>
        <w:tc>
          <w:tcPr>
            <w:tcW w:w="960" w:type="dxa"/>
            <w:vAlign w:val="bottom"/>
          </w:tcPr>
          <w:p>
            <w:pPr>
              <w:jc w:val="right"/>
              <w:ind w:right="111"/>
              <w:spacing w:after="0"/>
              <w:rPr>
                <w:sz w:val="20"/>
                <w:szCs w:val="20"/>
                <w:color w:val="auto"/>
              </w:rPr>
            </w:pPr>
            <w:r>
              <w:rPr>
                <w:rFonts w:ascii="Calibri" w:cs="Calibri" w:eastAsia="Calibri" w:hAnsi="Calibri"/>
                <w:sz w:val="14"/>
                <w:szCs w:val="14"/>
                <w:b w:val="1"/>
                <w:bCs w:val="1"/>
                <w:color w:val="auto"/>
              </w:rPr>
              <w:t>1.20</w:t>
            </w:r>
          </w:p>
        </w:tc>
      </w:tr>
      <w:tr>
        <w:trPr>
          <w:trHeight w:val="89"/>
        </w:trPr>
        <w:tc>
          <w:tcPr>
            <w:tcW w:w="7860" w:type="dxa"/>
            <w:vAlign w:val="bottom"/>
            <w:tcBorders>
              <w:bottom w:val="single" w:sz="8" w:color="FB4E0B"/>
              <w:right w:val="single" w:sz="8" w:color="auto"/>
            </w:tcBorders>
          </w:tcPr>
          <w:p>
            <w:pPr>
              <w:spacing w:after="0"/>
              <w:rPr>
                <w:sz w:val="7"/>
                <w:szCs w:val="7"/>
                <w:color w:val="auto"/>
              </w:rPr>
            </w:pPr>
          </w:p>
        </w:tc>
        <w:tc>
          <w:tcPr>
            <w:tcW w:w="140" w:type="dxa"/>
            <w:vAlign w:val="bottom"/>
            <w:tcBorders>
              <w:bottom w:val="single" w:sz="8" w:color="FB4E0B"/>
            </w:tcBorders>
          </w:tcPr>
          <w:p>
            <w:pPr>
              <w:spacing w:after="0"/>
              <w:rPr>
                <w:sz w:val="7"/>
                <w:szCs w:val="7"/>
                <w:color w:val="auto"/>
              </w:rPr>
            </w:pPr>
          </w:p>
        </w:tc>
        <w:tc>
          <w:tcPr>
            <w:tcW w:w="320" w:type="dxa"/>
            <w:vAlign w:val="bottom"/>
            <w:tcBorders>
              <w:bottom w:val="single" w:sz="8" w:color="FB4E0B"/>
            </w:tcBorders>
          </w:tcPr>
          <w:p>
            <w:pPr>
              <w:spacing w:after="0"/>
              <w:rPr>
                <w:sz w:val="7"/>
                <w:szCs w:val="7"/>
                <w:color w:val="auto"/>
              </w:rPr>
            </w:pPr>
          </w:p>
        </w:tc>
        <w:tc>
          <w:tcPr>
            <w:tcW w:w="860" w:type="dxa"/>
            <w:vAlign w:val="bottom"/>
            <w:tcBorders>
              <w:bottom w:val="single" w:sz="8" w:color="FB4E0B"/>
              <w:right w:val="single" w:sz="8" w:color="auto"/>
            </w:tcBorders>
          </w:tcPr>
          <w:p>
            <w:pPr>
              <w:spacing w:after="0"/>
              <w:rPr>
                <w:sz w:val="7"/>
                <w:szCs w:val="7"/>
                <w:color w:val="auto"/>
              </w:rPr>
            </w:pPr>
          </w:p>
        </w:tc>
        <w:tc>
          <w:tcPr>
            <w:tcW w:w="480" w:type="dxa"/>
            <w:vAlign w:val="bottom"/>
            <w:tcBorders>
              <w:bottom w:val="single" w:sz="8" w:color="FB4E0B"/>
            </w:tcBorders>
          </w:tcPr>
          <w:p>
            <w:pPr>
              <w:spacing w:after="0"/>
              <w:rPr>
                <w:sz w:val="7"/>
                <w:szCs w:val="7"/>
                <w:color w:val="auto"/>
              </w:rPr>
            </w:pPr>
          </w:p>
        </w:tc>
        <w:tc>
          <w:tcPr>
            <w:tcW w:w="960" w:type="dxa"/>
            <w:vAlign w:val="bottom"/>
            <w:tcBorders>
              <w:bottom w:val="single" w:sz="8" w:color="FB4E0B"/>
            </w:tcBorders>
          </w:tcPr>
          <w:p>
            <w:pPr>
              <w:spacing w:after="0"/>
              <w:rPr>
                <w:sz w:val="7"/>
                <w:szCs w:val="7"/>
                <w:color w:val="auto"/>
              </w:rPr>
            </w:pPr>
          </w:p>
        </w:tc>
      </w:tr>
    </w:tbl>
    <w:p>
      <w:pPr>
        <w:spacing w:after="0" w:line="29" w:lineRule="exact"/>
        <w:rPr>
          <w:sz w:val="20"/>
          <w:szCs w:val="20"/>
          <w:color w:val="auto"/>
        </w:rPr>
      </w:pPr>
    </w:p>
    <w:p>
      <w:pPr>
        <w:ind w:left="480" w:hanging="164"/>
        <w:spacing w:after="0"/>
        <w:tabs>
          <w:tab w:leader="none" w:pos="480" w:val="left"/>
        </w:tabs>
        <w:numPr>
          <w:ilvl w:val="0"/>
          <w:numId w:val="69"/>
        </w:numPr>
        <w:rPr>
          <w:rFonts w:ascii="Calibri" w:cs="Calibri" w:eastAsia="Calibri" w:hAnsi="Calibri"/>
          <w:sz w:val="13"/>
          <w:szCs w:val="13"/>
          <w:color w:val="auto"/>
        </w:rPr>
      </w:pPr>
      <w:r>
        <w:rPr>
          <w:rFonts w:ascii="Calibri" w:cs="Calibri" w:eastAsia="Calibri" w:hAnsi="Calibri"/>
          <w:sz w:val="13"/>
          <w:szCs w:val="13"/>
          <w:color w:val="auto"/>
        </w:rPr>
        <w:t>To exclude the efects of material allowance/(reversal) for expected credit losses on accounts receivables related to a customer bankruptcy event.</w:t>
      </w:r>
    </w:p>
    <w:p>
      <w:pPr>
        <w:spacing w:after="0" w:line="13" w:lineRule="exact"/>
        <w:rPr>
          <w:rFonts w:ascii="Calibri" w:cs="Calibri" w:eastAsia="Calibri" w:hAnsi="Calibri"/>
          <w:sz w:val="13"/>
          <w:szCs w:val="13"/>
          <w:color w:val="auto"/>
        </w:rPr>
      </w:pPr>
    </w:p>
    <w:p>
      <w:pPr>
        <w:ind w:left="320" w:right="20" w:hanging="4"/>
        <w:spacing w:after="0" w:line="251" w:lineRule="auto"/>
        <w:tabs>
          <w:tab w:leader="none" w:pos="497" w:val="left"/>
        </w:tabs>
        <w:numPr>
          <w:ilvl w:val="0"/>
          <w:numId w:val="69"/>
        </w:numPr>
        <w:rPr>
          <w:rFonts w:ascii="Calibri" w:cs="Calibri" w:eastAsia="Calibri" w:hAnsi="Calibri"/>
          <w:sz w:val="13"/>
          <w:szCs w:val="13"/>
          <w:color w:val="auto"/>
        </w:rPr>
      </w:pPr>
      <w:r>
        <w:rPr>
          <w:rFonts w:ascii="Calibri" w:cs="Calibri" w:eastAsia="Calibri" w:hAnsi="Calibri"/>
          <w:sz w:val="13"/>
          <w:szCs w:val="13"/>
          <w:color w:val="auto"/>
        </w:rPr>
        <w:t>To exclude provision for litgaton maters of $613 and $1,061, efects of lease terminaton of $489 and ($560) and other items, individually insignifcant of $nil and $134 for the year ended December 31, 2023 and 2022, respectvely.</w:t>
      </w:r>
    </w:p>
    <w:p>
      <w:pPr>
        <w:spacing w:after="0" w:line="6" w:lineRule="exact"/>
        <w:rPr>
          <w:rFonts w:ascii="Calibri" w:cs="Calibri" w:eastAsia="Calibri" w:hAnsi="Calibri"/>
          <w:sz w:val="13"/>
          <w:szCs w:val="13"/>
          <w:color w:val="auto"/>
        </w:rPr>
      </w:pPr>
    </w:p>
    <w:p>
      <w:pPr>
        <w:ind w:left="320" w:right="80" w:hanging="4"/>
        <w:spacing w:after="0" w:line="251" w:lineRule="auto"/>
        <w:tabs>
          <w:tab w:leader="none" w:pos="483" w:val="left"/>
        </w:tabs>
        <w:numPr>
          <w:ilvl w:val="0"/>
          <w:numId w:val="69"/>
        </w:numPr>
        <w:rPr>
          <w:rFonts w:ascii="Calibri" w:cs="Calibri" w:eastAsia="Calibri" w:hAnsi="Calibri"/>
          <w:sz w:val="13"/>
          <w:szCs w:val="13"/>
          <w:color w:val="auto"/>
        </w:rPr>
      </w:pPr>
      <w:r>
        <w:rPr>
          <w:rFonts w:ascii="Calibri" w:cs="Calibri" w:eastAsia="Calibri" w:hAnsi="Calibri"/>
          <w:sz w:val="13"/>
          <w:szCs w:val="13"/>
          <w:color w:val="auto"/>
        </w:rPr>
        <w:t>Tax impact includes $15,055 and $5,881 for the year ended December 31, 2023 and 2022 respectvely related to discrete beneft recognized in income tax expense in accordance with ASU No. 2016-09, Compensaton - Stock Compensaton.</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69"/>
        </w:numPr>
        <w:rPr>
          <w:rFonts w:ascii="Calibri" w:cs="Calibri" w:eastAsia="Calibri" w:hAnsi="Calibri"/>
          <w:sz w:val="13"/>
          <w:szCs w:val="13"/>
          <w:color w:val="auto"/>
        </w:rPr>
      </w:pPr>
      <w:r>
        <w:rPr>
          <w:rFonts w:ascii="Calibri" w:cs="Calibri" w:eastAsia="Calibri" w:hAnsi="Calibri"/>
          <w:sz w:val="13"/>
          <w:szCs w:val="13"/>
          <w:color w:val="auto"/>
        </w:rPr>
        <w:t>To exclude other tax expenses/(benefts) related to certain deferred tax assets and liabilites.</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2024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121</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Annual Meetng Q&amp;A</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Annual Meetng Q&amp;A</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Who is providing this Proxy Statement?</w:t>
      </w:r>
    </w:p>
    <w:p>
      <w:pPr>
        <w:spacing w:after="0" w:line="192"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This Proxy Statement is being furnished to you in connecton with the solicitaton by the board of directors of ExlService Holdings, Inc., a Delaware corporaton (“us,” “we,” “our” or the “Company”), of proxies to be used at our 2024 Annual Meetng of Stockholders (the “Annual Meetng”) to be held in virtual format only via live audio webcast at the website www.virtualshareholdermeetng.com/EXLS2024 on June 20, 2024 at 9:00 AM, Eastern Time, and any adjournments or postponements thereof.</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How are the proxy materials being made available?</w:t>
      </w:r>
    </w:p>
    <w:p>
      <w:pPr>
        <w:spacing w:after="0" w:line="179" w:lineRule="exact"/>
        <w:rPr>
          <w:sz w:val="20"/>
          <w:szCs w:val="20"/>
          <w:color w:val="auto"/>
        </w:rPr>
      </w:pPr>
    </w:p>
    <w:p>
      <w:pPr>
        <w:jc w:val="both"/>
        <w:ind w:left="320" w:right="180"/>
        <w:spacing w:after="0"/>
        <w:rPr>
          <w:sz w:val="20"/>
          <w:szCs w:val="20"/>
          <w:color w:val="auto"/>
        </w:rPr>
      </w:pPr>
      <w:r>
        <w:rPr>
          <w:rFonts w:ascii="Calibri" w:cs="Calibri" w:eastAsia="Calibri" w:hAnsi="Calibri"/>
          <w:sz w:val="17"/>
          <w:szCs w:val="17"/>
          <w:color w:val="auto"/>
        </w:rPr>
        <w:t>In accordance with rules and regulatons adopted by the Securites and Exchange Commission (the “SEC”), instead of mailing a printed copy of our proxy materials to each stockholder of record, the Company furnishes proxy materials via the Internet. If you received a Notce of Internet Availability of Proxy Materials (the “Internet Notce”) by mail, you will not receive a printed copy of our proxy materials other than as described herein. Instead, the Internet Notce will instruct you as to how you may access and review all of the important informaton contained in the proxy materials. The Internet Notce also instructs you as to how you may submit your proxy over the Internet or by phone. If you received an Internet Notce by mail and would like to receive a printed copy of our proxy materials, you should follow the instructons for requestng proxy materials included in the Internet Notce.</w:t>
      </w:r>
    </w:p>
    <w:p>
      <w:pPr>
        <w:spacing w:after="0" w:line="212"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Our Notce of Annual Meetng, Proxy Statement and form of proxy card are each available at www.proxyvote.com. You may access these materials and provide your proxy by following the instructons provided in the Internet Notce.</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When will the internet notce be sent?</w:t>
      </w:r>
    </w:p>
    <w:p>
      <w:pPr>
        <w:spacing w:after="0" w:line="179" w:lineRule="exact"/>
        <w:rPr>
          <w:sz w:val="20"/>
          <w:szCs w:val="20"/>
          <w:color w:val="auto"/>
        </w:rPr>
      </w:pPr>
    </w:p>
    <w:p>
      <w:pPr>
        <w:ind w:left="320" w:right="480"/>
        <w:spacing w:after="0" w:line="239" w:lineRule="auto"/>
        <w:rPr>
          <w:sz w:val="20"/>
          <w:szCs w:val="20"/>
          <w:color w:val="auto"/>
        </w:rPr>
      </w:pPr>
      <w:r>
        <w:rPr>
          <w:rFonts w:ascii="Calibri" w:cs="Calibri" w:eastAsia="Calibri" w:hAnsi="Calibri"/>
          <w:sz w:val="17"/>
          <w:szCs w:val="17"/>
          <w:color w:val="auto"/>
        </w:rPr>
        <w:t>We antcipate the Internet Notce will be sent to stockholders on or about April 29, 2024. This Proxy Statement and the form of proxy relatng to the Annual Meetng will be made available via the Internet to stockholders on or prior to the date that the Internet Notce is frst sent.</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Who can vote?</w:t>
      </w:r>
    </w:p>
    <w:p>
      <w:pPr>
        <w:spacing w:after="0" w:line="192"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Only stockholders who own shares of our common stock at the close of business on April 23, 2024, the record date for the Annual Meetng, can vote at the Annual Meetng. As of the close of business on April 23, 2024, the record date, we had 162,438,150 shares of common stock outstanding and enttled to vote. Each holder of common stock is enttled to one vote for each share held as of the record date for the Annual Meetng.</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Is cumulatve votng applicable in the electon of directors?</w:t>
      </w:r>
    </w:p>
    <w:p>
      <w:pPr>
        <w:spacing w:after="0" w:line="17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There is no cumulatve votng in the electon of directors.</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122 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2024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1" w:right="6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Annual meetng Q&amp;A</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How do I vote my shares?</w:t>
      </w:r>
    </w:p>
    <w:p>
      <w:pPr>
        <w:spacing w:after="0" w:line="192"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If your shares are registered directly in your name with Computershare Trust Company, N.A., our transfer agent (which means you are a “stockholder of record”), you can vote your proxy by (i) Internet, (ii) by phone or (iii) by requestng that proxy materials be sent to you by mail that will include a proxy card that you can use to vote by completng, signing, datng and returning the proxy card in the prepaid postage envelope provided. Please refer to the specifc instructons set forth in the Internet Notce.</w:t>
      </w:r>
    </w:p>
    <w:p>
      <w:pPr>
        <w:spacing w:after="0" w:line="21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If you are the benefcial owner of shares held in the name of a brokerage, bank, trust or other nominee as a custodian (also referred to as shares held in “street name”), your broker, bank, trustee or nominee will provide you with materials and instructons for votng your shares. In additon to votng by mail, a number of banks and brokerage frms partcipate in a program provided through Broadridge Financial Solutons, Inc. (“Broadridge”) that ofers telephone and Internet votng optons. Votes submited by telephone or by using the Internet through Broadridge’s program must be received by 11:59 p.m. Eastern Time, on June 19, 2024.</w:t>
      </w:r>
    </w:p>
    <w:p>
      <w:pPr>
        <w:spacing w:after="0" w:line="211"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You also have the right to vote electronically at the Annual Meetng if you decide to atend. Our board of directors recommends that you vote by Internet, phone or mail even if you choose to atend the Annual Meetng. If you are a “stockholder of record,” you may vote your shares electronically at the Annual Meetng. If you hold your shares in “street name,” you must obtain a proxy from your broker, bank, trustee or nominee giving you the right to vote the shares electronically at the Annual Meetng or your vote at the Annual Meetng will not be counted.</w:t>
      </w:r>
    </w:p>
    <w:p>
      <w:pPr>
        <w:spacing w:after="0" w:line="211"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You will not be able to vote your shares unless you use one of the methods described above to designate a proxy or you vote electronically at the Annual Meetng.</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Can I revoke my proxy?</w:t>
      </w:r>
    </w:p>
    <w:p>
      <w:pPr>
        <w:spacing w:after="0" w:line="17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You can revoke your proxy at any tme before it is exercised in any of the following ways:</w:t>
      </w:r>
    </w:p>
    <w:p>
      <w:pPr>
        <w:spacing w:after="0" w:line="352" w:lineRule="exact"/>
        <w:rPr>
          <w:sz w:val="20"/>
          <w:szCs w:val="20"/>
          <w:color w:val="auto"/>
        </w:rPr>
      </w:pPr>
    </w:p>
    <w:p>
      <w:pPr>
        <w:ind w:left="1140" w:hanging="407"/>
        <w:spacing w:after="0"/>
        <w:tabs>
          <w:tab w:leader="none" w:pos="1140" w:val="left"/>
        </w:tabs>
        <w:numPr>
          <w:ilvl w:val="0"/>
          <w:numId w:val="70"/>
        </w:numPr>
        <w:rPr>
          <w:rFonts w:ascii="Calibri" w:cs="Calibri" w:eastAsia="Calibri" w:hAnsi="Calibri"/>
          <w:sz w:val="17"/>
          <w:szCs w:val="17"/>
          <w:color w:val="auto"/>
        </w:rPr>
      </w:pPr>
      <w:r>
        <w:rPr>
          <w:rFonts w:ascii="Calibri" w:cs="Calibri" w:eastAsia="Calibri" w:hAnsi="Calibri"/>
          <w:sz w:val="17"/>
          <w:szCs w:val="17"/>
          <w:color w:val="auto"/>
        </w:rPr>
        <w:t>by votng at the Annual Meetng;</w:t>
      </w:r>
    </w:p>
    <w:p>
      <w:pPr>
        <w:ind w:left="1140" w:hanging="407"/>
        <w:spacing w:after="0"/>
        <w:tabs>
          <w:tab w:leader="none" w:pos="1140" w:val="left"/>
        </w:tabs>
        <w:numPr>
          <w:ilvl w:val="0"/>
          <w:numId w:val="70"/>
        </w:numPr>
        <w:rPr>
          <w:rFonts w:ascii="Calibri" w:cs="Calibri" w:eastAsia="Calibri" w:hAnsi="Calibri"/>
          <w:sz w:val="17"/>
          <w:szCs w:val="17"/>
          <w:color w:val="auto"/>
        </w:rPr>
      </w:pPr>
      <w:r>
        <w:rPr>
          <w:rFonts w:ascii="Calibri" w:cs="Calibri" w:eastAsia="Calibri" w:hAnsi="Calibri"/>
          <w:sz w:val="17"/>
          <w:szCs w:val="17"/>
          <w:color w:val="auto"/>
        </w:rPr>
        <w:t>by submitng writen notce of revocaton to the inspector of electons prior to the Annual Meetng; or</w:t>
      </w:r>
    </w:p>
    <w:p>
      <w:pPr>
        <w:ind w:left="1140" w:hanging="407"/>
        <w:spacing w:after="0"/>
        <w:tabs>
          <w:tab w:leader="none" w:pos="1140" w:val="left"/>
        </w:tabs>
        <w:numPr>
          <w:ilvl w:val="0"/>
          <w:numId w:val="70"/>
        </w:numPr>
        <w:rPr>
          <w:rFonts w:ascii="Calibri" w:cs="Calibri" w:eastAsia="Calibri" w:hAnsi="Calibri"/>
          <w:sz w:val="17"/>
          <w:szCs w:val="17"/>
          <w:color w:val="auto"/>
        </w:rPr>
      </w:pPr>
      <w:r>
        <w:rPr>
          <w:rFonts w:ascii="Calibri" w:cs="Calibri" w:eastAsia="Calibri" w:hAnsi="Calibri"/>
          <w:sz w:val="17"/>
          <w:szCs w:val="17"/>
          <w:color w:val="auto"/>
        </w:rPr>
        <w:t>by submitng another properly executed proxy of a later date to the inspector of electons prior to the Annual Meetng.</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How is a quorum established at the Annual Meetng?</w:t>
      </w:r>
    </w:p>
    <w:p>
      <w:pPr>
        <w:spacing w:after="0" w:line="179"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A quorum, which is a majority of the issued and outstanding shares of our common stock as of the record date of April 23, 2024, must be present, in person or by proxy, to conduct business at the Annual Meetng. A quorum is calculated based on the number of shares represented by the stockholders atending the Annual Meetng in person and by their proxy holders. If you indicate an abstenton as your votng preference for all maters to be acted upon at the Annual Meetng, your shares will be counted toward a quorum but they will not be voted on any mater. Virtual atendance at our Annual Meetng consttutes presence in person for purposes of quorum at the Annual Meetng.</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2024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123</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Annual meetng Q&amp;A</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What is a “broker non-vote”?</w:t>
      </w:r>
    </w:p>
    <w:p>
      <w:pPr>
        <w:spacing w:after="0" w:line="192"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If you are the benefcial owner of shares held in “street name” by a broker, then your broker, as the record holder of the shares, must vote those shares in accordance with your instructons. If you fail to provide instructons to your broker, under the New York Stock Exchange rules (which apply to brokers even though our shares are listed on the Nasdaq Stock Market), your broker will not be authorized to vote your shares on “non-routne” proposals as described below. As a result, a “broker non-vote” occurs. However, without your instructons, your broker has discretonary authority to vote your shares with respect to “routne” proposals only.</w:t>
      </w:r>
    </w:p>
    <w:p>
      <w:pPr>
        <w:spacing w:after="0" w:line="200" w:lineRule="exact"/>
        <w:rPr>
          <w:sz w:val="20"/>
          <w:szCs w:val="20"/>
          <w:color w:val="auto"/>
        </w:rPr>
      </w:pPr>
    </w:p>
    <w:p>
      <w:pPr>
        <w:spacing w:after="0" w:line="218" w:lineRule="exact"/>
        <w:rPr>
          <w:sz w:val="20"/>
          <w:szCs w:val="20"/>
          <w:color w:val="auto"/>
        </w:rPr>
      </w:pPr>
    </w:p>
    <w:p>
      <w:pPr>
        <w:ind w:left="320" w:right="720"/>
        <w:spacing w:after="0" w:line="242" w:lineRule="auto"/>
        <w:rPr>
          <w:sz w:val="20"/>
          <w:szCs w:val="20"/>
          <w:color w:val="auto"/>
        </w:rPr>
      </w:pPr>
      <w:r>
        <w:rPr>
          <w:rFonts w:ascii="Calibri" w:cs="Calibri" w:eastAsia="Calibri" w:hAnsi="Calibri"/>
          <w:sz w:val="24"/>
          <w:szCs w:val="24"/>
          <w:color w:val="005071"/>
        </w:rPr>
        <w:t>How many votes are needed to approve each proposal and what is the efect of abstentons and/or broker non-votes?</w:t>
      </w:r>
    </w:p>
    <w:p>
      <w:pPr>
        <w:spacing w:after="0" w:line="178" w:lineRule="exact"/>
        <w:rPr>
          <w:sz w:val="20"/>
          <w:szCs w:val="20"/>
          <w:color w:val="auto"/>
        </w:rPr>
      </w:pPr>
    </w:p>
    <w:p>
      <w:pPr>
        <w:ind w:left="320" w:right="380"/>
        <w:spacing w:after="0"/>
        <w:rPr>
          <w:sz w:val="20"/>
          <w:szCs w:val="20"/>
          <w:color w:val="auto"/>
        </w:rPr>
      </w:pPr>
      <w:r>
        <w:rPr>
          <w:rFonts w:ascii="Calibri" w:cs="Calibri" w:eastAsia="Calibri" w:hAnsi="Calibri"/>
          <w:sz w:val="17"/>
          <w:szCs w:val="17"/>
          <w:color w:val="auto"/>
        </w:rPr>
        <w:t>If you submit your proxy, but do not mark your votng preference, the proxy holders will vote your shares (i) FOR the electon of all eight nominees for director, (ii) FOR the ratfcaton of the appointment of our independent registered public accountng frm, (iii) FOR the approval on an advisory (non-binding) basis of the compensaton of our named executve ofcers, (iv) FOR the approval of the Fourth Amended and Restated Certfcate of Incorporaton; and (vii) as described below, in the judgment of the proxy holder on any other maters properly presented at the Annual Meetng.</w:t>
      </w:r>
    </w:p>
    <w:p>
      <w:pPr>
        <w:spacing w:after="0" w:line="211"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The chart below summarizes, for each proposal described in this Proxy Statement, the board’s votng recommendaton, the votng approval standard, and the efect of abstentons and broker non-votes. Virtual atendance at our Annual Meetng will consttute presence “in person” for purposes of votng at the Annual Meetng.</w:t>
      </w: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Calibri" w:cs="Calibri" w:eastAsia="Calibri" w:hAnsi="Calibri"/>
                <w:sz w:val="14"/>
                <w:szCs w:val="14"/>
                <w:b w:val="1"/>
                <w:bCs w:val="1"/>
                <w:color w:val="FB4E0B"/>
              </w:rPr>
              <w:t>Votng approval</w:t>
            </w: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Calibri" w:cs="Calibri" w:eastAsia="Calibri" w:hAnsi="Calibri"/>
                <w:sz w:val="14"/>
                <w:szCs w:val="14"/>
                <w:b w:val="1"/>
                <w:bCs w:val="1"/>
                <w:color w:val="FB4E0B"/>
              </w:rPr>
              <w:t>Efect of</w:t>
            </w:r>
          </w:p>
        </w:tc>
        <w:tc>
          <w:tcPr>
            <w:tcW w:w="0" w:type="dxa"/>
            <w:vAlign w:val="bottom"/>
          </w:tcPr>
          <w:p>
            <w:pPr>
              <w:spacing w:after="0"/>
              <w:rPr>
                <w:sz w:val="1"/>
                <w:szCs w:val="1"/>
                <w:color w:val="auto"/>
              </w:rPr>
            </w:pPr>
          </w:p>
        </w:tc>
      </w:tr>
      <w:tr>
        <w:trPr>
          <w:trHeight w:val="159"/>
        </w:trPr>
        <w:tc>
          <w:tcPr>
            <w:tcW w:w="4460" w:type="dxa"/>
            <w:vAlign w:val="bottom"/>
          </w:tcPr>
          <w:p>
            <w:pPr>
              <w:spacing w:after="0"/>
              <w:rPr>
                <w:sz w:val="13"/>
                <w:szCs w:val="13"/>
                <w:color w:val="auto"/>
              </w:rPr>
            </w:pPr>
          </w:p>
        </w:tc>
        <w:tc>
          <w:tcPr>
            <w:tcW w:w="146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FB4E0B"/>
              </w:rPr>
              <w:t>Board votng</w:t>
            </w:r>
          </w:p>
        </w:tc>
        <w:tc>
          <w:tcPr>
            <w:tcW w:w="1780" w:type="dxa"/>
            <w:vAlign w:val="bottom"/>
            <w:vMerge w:val="continue"/>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FB4E0B"/>
              </w:rPr>
              <w:t>Efect of</w:t>
            </w:r>
          </w:p>
        </w:tc>
        <w:tc>
          <w:tcPr>
            <w:tcW w:w="118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FB4E0B"/>
              </w:rPr>
              <w:t>Routne or</w:t>
            </w:r>
          </w:p>
        </w:tc>
        <w:tc>
          <w:tcPr>
            <w:tcW w:w="82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FB4E0B"/>
                <w:w w:val="98"/>
              </w:rPr>
              <w:t>broker non-</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FB4E0B"/>
            </w:tcBorders>
          </w:tcPr>
          <w:p>
            <w:pPr>
              <w:ind w:left="100"/>
              <w:spacing w:after="0"/>
              <w:rPr>
                <w:sz w:val="20"/>
                <w:szCs w:val="20"/>
                <w:color w:val="auto"/>
              </w:rPr>
            </w:pPr>
            <w:r>
              <w:rPr>
                <w:rFonts w:ascii="Calibri" w:cs="Calibri" w:eastAsia="Calibri" w:hAnsi="Calibri"/>
                <w:sz w:val="14"/>
                <w:szCs w:val="14"/>
                <w:b w:val="1"/>
                <w:bCs w:val="1"/>
                <w:color w:val="FB4E0B"/>
              </w:rPr>
              <w:t>Proposal</w:t>
            </w:r>
          </w:p>
        </w:tc>
        <w:tc>
          <w:tcPr>
            <w:tcW w:w="1460" w:type="dxa"/>
            <w:vAlign w:val="bottom"/>
            <w:tcBorders>
              <w:bottom w:val="single" w:sz="8" w:color="FB4E0B"/>
            </w:tcBorders>
          </w:tcPr>
          <w:p>
            <w:pPr>
              <w:jc w:val="center"/>
              <w:spacing w:after="0"/>
              <w:rPr>
                <w:sz w:val="20"/>
                <w:szCs w:val="20"/>
                <w:color w:val="auto"/>
              </w:rPr>
            </w:pPr>
            <w:r>
              <w:rPr>
                <w:rFonts w:ascii="Calibri" w:cs="Calibri" w:eastAsia="Calibri" w:hAnsi="Calibri"/>
                <w:sz w:val="14"/>
                <w:szCs w:val="14"/>
                <w:b w:val="1"/>
                <w:bCs w:val="1"/>
                <w:color w:val="FB4E0B"/>
              </w:rPr>
              <w:t>recommendaton</w:t>
            </w:r>
          </w:p>
        </w:tc>
        <w:tc>
          <w:tcPr>
            <w:tcW w:w="1780" w:type="dxa"/>
            <w:vAlign w:val="bottom"/>
            <w:tcBorders>
              <w:bottom w:val="single" w:sz="8" w:color="FB4E0B"/>
            </w:tcBorders>
          </w:tcPr>
          <w:p>
            <w:pPr>
              <w:jc w:val="center"/>
              <w:spacing w:after="0" w:line="166" w:lineRule="exact"/>
              <w:rPr>
                <w:sz w:val="20"/>
                <w:szCs w:val="20"/>
                <w:color w:val="auto"/>
              </w:rPr>
            </w:pPr>
            <w:r>
              <w:rPr>
                <w:rFonts w:ascii="Calibri" w:cs="Calibri" w:eastAsia="Calibri" w:hAnsi="Calibri"/>
                <w:sz w:val="14"/>
                <w:szCs w:val="14"/>
                <w:b w:val="1"/>
                <w:bCs w:val="1"/>
                <w:color w:val="FB4E0B"/>
                <w:w w:val="96"/>
              </w:rPr>
              <w:t>standard</w:t>
            </w:r>
          </w:p>
        </w:tc>
        <w:tc>
          <w:tcPr>
            <w:tcW w:w="920" w:type="dxa"/>
            <w:vAlign w:val="bottom"/>
            <w:tcBorders>
              <w:bottom w:val="single" w:sz="8" w:color="FB4E0B"/>
            </w:tcBorders>
          </w:tcPr>
          <w:p>
            <w:pPr>
              <w:jc w:val="center"/>
              <w:spacing w:after="0" w:line="223" w:lineRule="exact"/>
              <w:rPr>
                <w:sz w:val="20"/>
                <w:szCs w:val="20"/>
                <w:color w:val="auto"/>
              </w:rPr>
            </w:pPr>
            <w:r>
              <w:rPr>
                <w:rFonts w:ascii="Calibri" w:cs="Calibri" w:eastAsia="Calibri" w:hAnsi="Calibri"/>
                <w:sz w:val="14"/>
                <w:szCs w:val="14"/>
                <w:b w:val="1"/>
                <w:bCs w:val="1"/>
                <w:color w:val="FB4E0B"/>
                <w:w w:val="97"/>
              </w:rPr>
              <w:t>abstentons</w:t>
            </w:r>
            <w:r>
              <w:rPr>
                <w:rFonts w:ascii="Calibri" w:cs="Calibri" w:eastAsia="Calibri" w:hAnsi="Calibri"/>
                <w:sz w:val="20"/>
                <w:szCs w:val="20"/>
                <w:b w:val="1"/>
                <w:bCs w:val="1"/>
                <w:color w:val="FB4E0B"/>
                <w:w w:val="97"/>
                <w:vertAlign w:val="superscript"/>
              </w:rPr>
              <w:t>(1)</w:t>
            </w:r>
          </w:p>
        </w:tc>
        <w:tc>
          <w:tcPr>
            <w:tcW w:w="1180" w:type="dxa"/>
            <w:vAlign w:val="bottom"/>
            <w:tcBorders>
              <w:bottom w:val="single" w:sz="8" w:color="FB4E0B"/>
            </w:tcBorders>
          </w:tcPr>
          <w:p>
            <w:pPr>
              <w:jc w:val="center"/>
              <w:spacing w:after="0"/>
              <w:rPr>
                <w:sz w:val="20"/>
                <w:szCs w:val="20"/>
                <w:color w:val="auto"/>
              </w:rPr>
            </w:pPr>
            <w:r>
              <w:rPr>
                <w:rFonts w:ascii="Calibri" w:cs="Calibri" w:eastAsia="Calibri" w:hAnsi="Calibri"/>
                <w:sz w:val="14"/>
                <w:szCs w:val="14"/>
                <w:b w:val="1"/>
                <w:bCs w:val="1"/>
                <w:color w:val="FB4E0B"/>
              </w:rPr>
              <w:t>non-routne</w:t>
            </w:r>
          </w:p>
        </w:tc>
        <w:tc>
          <w:tcPr>
            <w:tcW w:w="820" w:type="dxa"/>
            <w:vAlign w:val="bottom"/>
            <w:tcBorders>
              <w:bottom w:val="single" w:sz="8" w:color="FB4E0B"/>
            </w:tcBorders>
          </w:tcPr>
          <w:p>
            <w:pPr>
              <w:jc w:val="center"/>
              <w:spacing w:after="0" w:line="223" w:lineRule="exact"/>
              <w:rPr>
                <w:sz w:val="20"/>
                <w:szCs w:val="20"/>
                <w:color w:val="auto"/>
              </w:rPr>
            </w:pPr>
            <w:r>
              <w:rPr>
                <w:rFonts w:ascii="Calibri" w:cs="Calibri" w:eastAsia="Calibri" w:hAnsi="Calibri"/>
                <w:sz w:val="14"/>
                <w:szCs w:val="14"/>
                <w:b w:val="1"/>
                <w:bCs w:val="1"/>
                <w:color w:val="FB4E0B"/>
                <w:w w:val="87"/>
              </w:rPr>
              <w:t>vote</w:t>
            </w:r>
            <w:r>
              <w:rPr>
                <w:rFonts w:ascii="Calibri" w:cs="Calibri" w:eastAsia="Calibri" w:hAnsi="Calibri"/>
                <w:sz w:val="20"/>
                <w:szCs w:val="20"/>
                <w:b w:val="1"/>
                <w:bCs w:val="1"/>
                <w:color w:val="FB4E0B"/>
                <w:w w:val="87"/>
                <w:vertAlign w:val="superscript"/>
              </w:rPr>
              <w:t>(2)</w:t>
            </w:r>
          </w:p>
        </w:tc>
        <w:tc>
          <w:tcPr>
            <w:tcW w:w="0" w:type="dxa"/>
            <w:vAlign w:val="bottom"/>
          </w:tcPr>
          <w:p>
            <w:pPr>
              <w:spacing w:after="0"/>
              <w:rPr>
                <w:sz w:val="1"/>
                <w:szCs w:val="1"/>
                <w:color w:val="auto"/>
              </w:rPr>
            </w:pPr>
          </w:p>
        </w:tc>
      </w:tr>
      <w:tr>
        <w:trPr>
          <w:trHeight w:val="237"/>
        </w:trPr>
        <w:tc>
          <w:tcPr>
            <w:tcW w:w="446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1: Electon of directors</w:t>
            </w: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 xml:space="preserve">FOR </w:t>
            </w:r>
            <w:r>
              <w:rPr>
                <w:rFonts w:ascii="Calibri" w:cs="Calibri" w:eastAsia="Calibri" w:hAnsi="Calibri"/>
                <w:sz w:val="17"/>
                <w:szCs w:val="17"/>
                <w:color w:val="auto"/>
              </w:rPr>
              <w:t>the electon</w:t>
            </w: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Afrmatve vote of a</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No efect</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Non-routne</w:t>
            </w:r>
          </w:p>
        </w:tc>
        <w:tc>
          <w:tcPr>
            <w:tcW w:w="820" w:type="dxa"/>
            <w:vAlign w:val="bottom"/>
          </w:tcPr>
          <w:p>
            <w:pPr>
              <w:jc w:val="center"/>
              <w:spacing w:after="0"/>
              <w:rPr>
                <w:sz w:val="20"/>
                <w:szCs w:val="20"/>
                <w:color w:val="auto"/>
              </w:rPr>
            </w:pPr>
            <w:r>
              <w:rPr>
                <w:rFonts w:ascii="Calibri" w:cs="Calibri" w:eastAsia="Calibri" w:hAnsi="Calibri"/>
                <w:sz w:val="17"/>
                <w:szCs w:val="17"/>
                <w:color w:val="auto"/>
              </w:rPr>
              <w:t>No efect</w:t>
            </w:r>
          </w:p>
        </w:tc>
        <w:tc>
          <w:tcPr>
            <w:tcW w:w="0" w:type="dxa"/>
            <w:vAlign w:val="bottom"/>
          </w:tcPr>
          <w:p>
            <w:pPr>
              <w:spacing w:after="0"/>
              <w:rPr>
                <w:sz w:val="1"/>
                <w:szCs w:val="1"/>
                <w:color w:val="auto"/>
              </w:rPr>
            </w:pPr>
          </w:p>
        </w:tc>
      </w:tr>
      <w:tr>
        <w:trPr>
          <w:trHeight w:val="208"/>
        </w:trPr>
        <w:tc>
          <w:tcPr>
            <w:tcW w:w="4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of each nominee</w:t>
            </w: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majority of votes cast</w:t>
            </w:r>
            <w:r>
              <w:rPr>
                <w:rFonts w:ascii="Calibri" w:cs="Calibri" w:eastAsia="Calibri" w:hAnsi="Calibri"/>
                <w:sz w:val="13"/>
                <w:szCs w:val="13"/>
                <w:color w:val="auto"/>
                <w:w w:val="99"/>
              </w:rPr>
              <w:t>(3)</w:t>
            </w:r>
          </w:p>
        </w:tc>
        <w:tc>
          <w:tcPr>
            <w:tcW w:w="9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446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46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2: The ratfcaton of the appointment of our independent</w:t>
            </w: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6"/>
              </w:rPr>
              <w:t>FOR</w:t>
            </w: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Majority of shares</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Vote</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Routne</w:t>
            </w:r>
          </w:p>
        </w:tc>
        <w:tc>
          <w:tcPr>
            <w:tcW w:w="820" w:type="dxa"/>
            <w:vAlign w:val="bottom"/>
          </w:tcPr>
          <w:p>
            <w:pPr>
              <w:jc w:val="center"/>
              <w:spacing w:after="0"/>
              <w:rPr>
                <w:sz w:val="20"/>
                <w:szCs w:val="20"/>
                <w:color w:val="auto"/>
              </w:rPr>
            </w:pPr>
            <w:r>
              <w:rPr>
                <w:rFonts w:ascii="Calibri" w:cs="Calibri" w:eastAsia="Calibri" w:hAnsi="Calibri"/>
                <w:sz w:val="17"/>
                <w:szCs w:val="17"/>
                <w:color w:val="auto"/>
              </w:rPr>
              <w:t>N/A</w:t>
            </w:r>
          </w:p>
        </w:tc>
        <w:tc>
          <w:tcPr>
            <w:tcW w:w="0" w:type="dxa"/>
            <w:vAlign w:val="bottom"/>
          </w:tcPr>
          <w:p>
            <w:pPr>
              <w:spacing w:after="0"/>
              <w:rPr>
                <w:sz w:val="1"/>
                <w:szCs w:val="1"/>
                <w:color w:val="auto"/>
              </w:rPr>
            </w:pPr>
          </w:p>
        </w:tc>
      </w:tr>
      <w:tr>
        <w:trPr>
          <w:trHeight w:val="208"/>
        </w:trPr>
        <w:tc>
          <w:tcPr>
            <w:tcW w:w="446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registered public accountng frm</w:t>
            </w:r>
          </w:p>
        </w:tc>
        <w:tc>
          <w:tcPr>
            <w:tcW w:w="14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present and enttled to</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6"/>
              </w:rPr>
              <w:t>against</w:t>
            </w:r>
            <w:r>
              <w:rPr>
                <w:rFonts w:ascii="Calibri" w:cs="Calibri" w:eastAsia="Calibri" w:hAnsi="Calibri"/>
                <w:sz w:val="13"/>
                <w:szCs w:val="13"/>
                <w:color w:val="auto"/>
                <w:w w:val="96"/>
              </w:rPr>
              <w:t>(4)</w:t>
            </w:r>
          </w:p>
        </w:tc>
        <w:tc>
          <w:tcPr>
            <w:tcW w:w="11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vote</w:t>
            </w:r>
          </w:p>
        </w:tc>
        <w:tc>
          <w:tcPr>
            <w:tcW w:w="9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446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46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3: The advisory (non-binding) approval of the compensaton of</w:t>
            </w: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6"/>
              </w:rPr>
              <w:t>FOR</w:t>
            </w: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Majority of shares</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Vote</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Non-routne</w:t>
            </w:r>
          </w:p>
        </w:tc>
        <w:tc>
          <w:tcPr>
            <w:tcW w:w="820" w:type="dxa"/>
            <w:vAlign w:val="bottom"/>
          </w:tcPr>
          <w:p>
            <w:pPr>
              <w:jc w:val="center"/>
              <w:spacing w:after="0"/>
              <w:rPr>
                <w:sz w:val="20"/>
                <w:szCs w:val="20"/>
                <w:color w:val="auto"/>
              </w:rPr>
            </w:pPr>
            <w:r>
              <w:rPr>
                <w:rFonts w:ascii="Calibri" w:cs="Calibri" w:eastAsia="Calibri" w:hAnsi="Calibri"/>
                <w:sz w:val="17"/>
                <w:szCs w:val="17"/>
                <w:color w:val="auto"/>
              </w:rPr>
              <w:t>No efect</w:t>
            </w:r>
          </w:p>
        </w:tc>
        <w:tc>
          <w:tcPr>
            <w:tcW w:w="0" w:type="dxa"/>
            <w:vAlign w:val="bottom"/>
          </w:tcPr>
          <w:p>
            <w:pPr>
              <w:spacing w:after="0"/>
              <w:rPr>
                <w:sz w:val="1"/>
                <w:szCs w:val="1"/>
                <w:color w:val="auto"/>
              </w:rPr>
            </w:pPr>
          </w:p>
        </w:tc>
      </w:tr>
      <w:tr>
        <w:trPr>
          <w:trHeight w:val="208"/>
        </w:trPr>
        <w:tc>
          <w:tcPr>
            <w:tcW w:w="446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our named executve ofcers</w:t>
            </w:r>
          </w:p>
        </w:tc>
        <w:tc>
          <w:tcPr>
            <w:tcW w:w="14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present and enttled to</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6"/>
              </w:rPr>
              <w:t>against</w:t>
            </w:r>
            <w:r>
              <w:rPr>
                <w:rFonts w:ascii="Calibri" w:cs="Calibri" w:eastAsia="Calibri" w:hAnsi="Calibri"/>
                <w:sz w:val="13"/>
                <w:szCs w:val="13"/>
                <w:color w:val="auto"/>
                <w:w w:val="96"/>
              </w:rPr>
              <w:t>(4)</w:t>
            </w:r>
          </w:p>
        </w:tc>
        <w:tc>
          <w:tcPr>
            <w:tcW w:w="11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vote</w:t>
            </w:r>
          </w:p>
        </w:tc>
        <w:tc>
          <w:tcPr>
            <w:tcW w:w="9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446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46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4: The approval of the Fourth Amended and Restated</w:t>
            </w: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6"/>
              </w:rPr>
              <w:t>FOR</w:t>
            </w: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Afrmatve vote of a</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Vote</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Non-routne</w:t>
            </w:r>
          </w:p>
        </w:tc>
        <w:tc>
          <w:tcPr>
            <w:tcW w:w="820" w:type="dxa"/>
            <w:vAlign w:val="bottom"/>
          </w:tcPr>
          <w:p>
            <w:pPr>
              <w:jc w:val="center"/>
              <w:spacing w:after="0"/>
              <w:rPr>
                <w:sz w:val="20"/>
                <w:szCs w:val="20"/>
                <w:color w:val="auto"/>
              </w:rPr>
            </w:pPr>
            <w:r>
              <w:rPr>
                <w:rFonts w:ascii="Calibri" w:cs="Calibri" w:eastAsia="Calibri" w:hAnsi="Calibri"/>
                <w:sz w:val="17"/>
                <w:szCs w:val="17"/>
                <w:color w:val="auto"/>
                <w:w w:val="97"/>
              </w:rPr>
              <w:t>Vote</w:t>
            </w:r>
          </w:p>
        </w:tc>
        <w:tc>
          <w:tcPr>
            <w:tcW w:w="0" w:type="dxa"/>
            <w:vAlign w:val="bottom"/>
          </w:tcPr>
          <w:p>
            <w:pPr>
              <w:spacing w:after="0"/>
              <w:rPr>
                <w:sz w:val="1"/>
                <w:szCs w:val="1"/>
                <w:color w:val="auto"/>
              </w:rPr>
            </w:pPr>
          </w:p>
        </w:tc>
      </w:tr>
      <w:tr>
        <w:trPr>
          <w:trHeight w:val="208"/>
        </w:trPr>
        <w:tc>
          <w:tcPr>
            <w:tcW w:w="446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Certfcate of Incorporaton to provide for, among other things,</w:t>
            </w:r>
          </w:p>
        </w:tc>
        <w:tc>
          <w:tcPr>
            <w:tcW w:w="14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majority of shares</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6"/>
              </w:rPr>
              <w:t>against</w:t>
            </w:r>
            <w:r>
              <w:rPr>
                <w:rFonts w:ascii="Calibri" w:cs="Calibri" w:eastAsia="Calibri" w:hAnsi="Calibri"/>
                <w:sz w:val="13"/>
                <w:szCs w:val="13"/>
                <w:color w:val="auto"/>
                <w:w w:val="96"/>
              </w:rPr>
              <w:t>(4)</w:t>
            </w:r>
          </w:p>
        </w:tc>
        <w:tc>
          <w:tcPr>
            <w:tcW w:w="1180" w:type="dxa"/>
            <w:vAlign w:val="bottom"/>
            <w:tcBorders>
              <w:right w:val="single" w:sz="8" w:color="auto"/>
            </w:tcBorders>
          </w:tcPr>
          <w:p>
            <w:pPr>
              <w:spacing w:after="0"/>
              <w:rPr>
                <w:sz w:val="18"/>
                <w:szCs w:val="18"/>
                <w:color w:val="auto"/>
              </w:rPr>
            </w:pPr>
          </w:p>
        </w:tc>
        <w:tc>
          <w:tcPr>
            <w:tcW w:w="820" w:type="dxa"/>
            <w:vAlign w:val="bottom"/>
          </w:tcPr>
          <w:p>
            <w:pPr>
              <w:jc w:val="center"/>
              <w:spacing w:after="0"/>
              <w:rPr>
                <w:sz w:val="20"/>
                <w:szCs w:val="20"/>
                <w:color w:val="auto"/>
              </w:rPr>
            </w:pPr>
            <w:r>
              <w:rPr>
                <w:rFonts w:ascii="Calibri" w:cs="Calibri" w:eastAsia="Calibri" w:hAnsi="Calibri"/>
                <w:sz w:val="17"/>
                <w:szCs w:val="17"/>
                <w:color w:val="auto"/>
                <w:w w:val="96"/>
              </w:rPr>
              <w:t>against</w:t>
            </w:r>
          </w:p>
        </w:tc>
        <w:tc>
          <w:tcPr>
            <w:tcW w:w="0" w:type="dxa"/>
            <w:vAlign w:val="bottom"/>
          </w:tcPr>
          <w:p>
            <w:pPr>
              <w:spacing w:after="0"/>
              <w:rPr>
                <w:sz w:val="1"/>
                <w:szCs w:val="1"/>
                <w:color w:val="auto"/>
              </w:rPr>
            </w:pPr>
          </w:p>
        </w:tc>
      </w:tr>
      <w:tr>
        <w:trPr>
          <w:trHeight w:val="208"/>
        </w:trPr>
        <w:tc>
          <w:tcPr>
            <w:tcW w:w="446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ofcer exculpaton</w:t>
            </w:r>
          </w:p>
        </w:tc>
        <w:tc>
          <w:tcPr>
            <w:tcW w:w="14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outstanding</w:t>
            </w:r>
          </w:p>
        </w:tc>
        <w:tc>
          <w:tcPr>
            <w:tcW w:w="9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4460" w:type="dxa"/>
            <w:vAlign w:val="bottom"/>
            <w:tcBorders>
              <w:bottom w:val="single" w:sz="8" w:color="FB4E0B"/>
              <w:right w:val="single" w:sz="8" w:color="auto"/>
            </w:tcBorders>
          </w:tcPr>
          <w:p>
            <w:pPr>
              <w:spacing w:after="0"/>
              <w:rPr>
                <w:sz w:val="11"/>
                <w:szCs w:val="11"/>
                <w:color w:val="auto"/>
              </w:rPr>
            </w:pPr>
          </w:p>
        </w:tc>
        <w:tc>
          <w:tcPr>
            <w:tcW w:w="1460" w:type="dxa"/>
            <w:vAlign w:val="bottom"/>
            <w:tcBorders>
              <w:bottom w:val="single" w:sz="8" w:color="FB4E0B"/>
              <w:right w:val="single" w:sz="8" w:color="auto"/>
            </w:tcBorders>
          </w:tcPr>
          <w:p>
            <w:pPr>
              <w:spacing w:after="0"/>
              <w:rPr>
                <w:sz w:val="11"/>
                <w:szCs w:val="11"/>
                <w:color w:val="auto"/>
              </w:rPr>
            </w:pPr>
          </w:p>
        </w:tc>
        <w:tc>
          <w:tcPr>
            <w:tcW w:w="1780" w:type="dxa"/>
            <w:vAlign w:val="bottom"/>
            <w:tcBorders>
              <w:bottom w:val="single" w:sz="8" w:color="FB4E0B"/>
              <w:right w:val="single" w:sz="8" w:color="auto"/>
            </w:tcBorders>
          </w:tcPr>
          <w:p>
            <w:pPr>
              <w:spacing w:after="0"/>
              <w:rPr>
                <w:sz w:val="11"/>
                <w:szCs w:val="11"/>
                <w:color w:val="auto"/>
              </w:rPr>
            </w:pPr>
          </w:p>
        </w:tc>
        <w:tc>
          <w:tcPr>
            <w:tcW w:w="920" w:type="dxa"/>
            <w:vAlign w:val="bottom"/>
            <w:tcBorders>
              <w:bottom w:val="single" w:sz="8" w:color="FB4E0B"/>
              <w:right w:val="single" w:sz="8" w:color="auto"/>
            </w:tcBorders>
          </w:tcPr>
          <w:p>
            <w:pPr>
              <w:spacing w:after="0"/>
              <w:rPr>
                <w:sz w:val="11"/>
                <w:szCs w:val="11"/>
                <w:color w:val="auto"/>
              </w:rPr>
            </w:pPr>
          </w:p>
        </w:tc>
        <w:tc>
          <w:tcPr>
            <w:tcW w:w="1180" w:type="dxa"/>
            <w:vAlign w:val="bottom"/>
            <w:tcBorders>
              <w:bottom w:val="single" w:sz="8" w:color="FB4E0B"/>
              <w:right w:val="single" w:sz="8" w:color="auto"/>
            </w:tcBorders>
          </w:tcPr>
          <w:p>
            <w:pPr>
              <w:spacing w:after="0"/>
              <w:rPr>
                <w:sz w:val="11"/>
                <w:szCs w:val="11"/>
                <w:color w:val="auto"/>
              </w:rPr>
            </w:pPr>
          </w:p>
        </w:tc>
        <w:tc>
          <w:tcPr>
            <w:tcW w:w="82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right="60" w:hanging="4"/>
        <w:spacing w:after="0" w:line="251" w:lineRule="auto"/>
        <w:tabs>
          <w:tab w:leader="none" w:pos="494" w:val="left"/>
        </w:tabs>
        <w:numPr>
          <w:ilvl w:val="0"/>
          <w:numId w:val="71"/>
        </w:numPr>
        <w:rPr>
          <w:rFonts w:ascii="Calibri" w:cs="Calibri" w:eastAsia="Calibri" w:hAnsi="Calibri"/>
          <w:sz w:val="13"/>
          <w:szCs w:val="13"/>
          <w:color w:val="auto"/>
        </w:rPr>
      </w:pPr>
      <w:r>
        <w:rPr>
          <w:rFonts w:ascii="Calibri" w:cs="Calibri" w:eastAsia="Calibri" w:hAnsi="Calibri"/>
          <w:sz w:val="13"/>
          <w:szCs w:val="13"/>
          <w:color w:val="auto"/>
        </w:rPr>
        <w:t>If you wish to abstain from votng on a proposal, you must indicate, or mark ABSTAIN, while votng. If a proxy is submited with no directon given, the proxies given to the proxy holders will be voted in accordance with the board recommendatons.</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71"/>
        </w:numPr>
        <w:rPr>
          <w:rFonts w:ascii="Calibri" w:cs="Calibri" w:eastAsia="Calibri" w:hAnsi="Calibri"/>
          <w:sz w:val="13"/>
          <w:szCs w:val="13"/>
          <w:color w:val="auto"/>
        </w:rPr>
      </w:pPr>
      <w:r>
        <w:rPr>
          <w:rFonts w:ascii="Calibri" w:cs="Calibri" w:eastAsia="Calibri" w:hAnsi="Calibri"/>
          <w:sz w:val="13"/>
          <w:szCs w:val="13"/>
          <w:color w:val="auto"/>
        </w:rPr>
        <w:t>As discussed above under “What is a broker non-vote?,” brokers will not be enttled to vote on “non-routne” proposals unless benefcial owners provide votng instructons.</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124 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2024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Annual meetng Q&amp;A</w:t>
      </w:r>
    </w:p>
    <w:p>
      <w:pPr>
        <w:spacing w:after="0" w:line="363" w:lineRule="exact"/>
        <w:rPr>
          <w:sz w:val="20"/>
          <w:szCs w:val="20"/>
          <w:color w:val="auto"/>
        </w:rPr>
      </w:pPr>
    </w:p>
    <w:p>
      <w:pPr>
        <w:ind w:left="320" w:right="20" w:hanging="4"/>
        <w:spacing w:after="0" w:line="254" w:lineRule="auto"/>
        <w:tabs>
          <w:tab w:leader="none" w:pos="494" w:val="left"/>
        </w:tabs>
        <w:numPr>
          <w:ilvl w:val="0"/>
          <w:numId w:val="72"/>
        </w:numPr>
        <w:rPr>
          <w:rFonts w:ascii="Calibri" w:cs="Calibri" w:eastAsia="Calibri" w:hAnsi="Calibri"/>
          <w:sz w:val="13"/>
          <w:szCs w:val="13"/>
          <w:color w:val="auto"/>
        </w:rPr>
      </w:pPr>
      <w:r>
        <w:rPr>
          <w:rFonts w:ascii="Calibri" w:cs="Calibri" w:eastAsia="Calibri" w:hAnsi="Calibri"/>
          <w:sz w:val="13"/>
          <w:szCs w:val="13"/>
          <w:color w:val="auto"/>
        </w:rPr>
        <w:t>Under our By-Laws, directors who are standing for electon at the Annual Meetng will be elected by the afrmatve vote of a majority of votes cast (meaning the number of shares voted “for” a nominee must exceed the number of shares voted “against” such nominee) by stockholders in person or represented by proxy and enttled to vote at the Annual Meetng. If any incumbent nominee for director receives a greater number of votes “against” his or her electon than votes “for” such electon, our By-laws provide that such person will tender to the board of directors his or her resignaton as a director. You may cast your vote in favor of electng all of the nominees as directors, against one or more nominees, or abstain from votng your shares.</w:t>
      </w:r>
    </w:p>
    <w:p>
      <w:pPr>
        <w:spacing w:after="0" w:line="4" w:lineRule="exact"/>
        <w:rPr>
          <w:rFonts w:ascii="Calibri" w:cs="Calibri" w:eastAsia="Calibri" w:hAnsi="Calibri"/>
          <w:sz w:val="13"/>
          <w:szCs w:val="13"/>
          <w:color w:val="auto"/>
        </w:rPr>
      </w:pPr>
    </w:p>
    <w:p>
      <w:pPr>
        <w:ind w:left="320" w:right="320" w:hanging="4"/>
        <w:spacing w:after="0" w:line="251" w:lineRule="auto"/>
        <w:tabs>
          <w:tab w:leader="none" w:pos="494" w:val="left"/>
        </w:tabs>
        <w:numPr>
          <w:ilvl w:val="0"/>
          <w:numId w:val="72"/>
        </w:numPr>
        <w:rPr>
          <w:rFonts w:ascii="Calibri" w:cs="Calibri" w:eastAsia="Calibri" w:hAnsi="Calibri"/>
          <w:sz w:val="13"/>
          <w:szCs w:val="13"/>
          <w:color w:val="auto"/>
        </w:rPr>
      </w:pPr>
      <w:r>
        <w:rPr>
          <w:rFonts w:ascii="Calibri" w:cs="Calibri" w:eastAsia="Calibri" w:hAnsi="Calibri"/>
          <w:sz w:val="13"/>
          <w:szCs w:val="13"/>
          <w:color w:val="auto"/>
        </w:rPr>
        <w:t>Under the General Corporaton Law of the State of Delaware, shares that abstain consttute shares that are present and enttled to vote and, accordingly, have the practcal efect of being voted “against” these proposals requiring a majority of shares present and enttled to vote or those based on total shares outstanding).</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Are there other maters to be acted upon at the meetng?</w:t>
      </w:r>
    </w:p>
    <w:p>
      <w:pPr>
        <w:spacing w:after="0" w:line="192"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Our board of directors presently is not aware of any maters, other than those specifcally stated in the Notce of Annual Meetng, which are to be presented for acton at the Annual Meetng. If any mater other than those described in this Proxy Statement is presented at the Annual Meetng on which a vote may properly be taken, the shares represented by proxies will be voted in accordance with the judgment of the person or persons votng those shares.</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What about adjournments and postponements?</w:t>
      </w:r>
    </w:p>
    <w:p>
      <w:pPr>
        <w:spacing w:after="0" w:line="179"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Any acton on the items of business described above may be considered at the Annual Meetng at the tme and on the date specifed above or at any tme and date to which the Annual Meetng is properly adjourned or postponed.</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Who pays for solicitaton of proxies?</w:t>
      </w:r>
    </w:p>
    <w:p>
      <w:pPr>
        <w:spacing w:after="0" w:line="179" w:lineRule="exact"/>
        <w:rPr>
          <w:sz w:val="20"/>
          <w:szCs w:val="20"/>
          <w:color w:val="auto"/>
        </w:rPr>
      </w:pPr>
    </w:p>
    <w:p>
      <w:pPr>
        <w:ind w:left="320" w:right="20"/>
        <w:spacing w:after="0" w:line="268" w:lineRule="auto"/>
        <w:rPr>
          <w:sz w:val="20"/>
          <w:szCs w:val="20"/>
          <w:color w:val="auto"/>
        </w:rPr>
      </w:pPr>
      <w:r>
        <w:rPr>
          <w:rFonts w:ascii="Calibri" w:cs="Calibri" w:eastAsia="Calibri" w:hAnsi="Calibri"/>
          <w:sz w:val="16"/>
          <w:szCs w:val="16"/>
          <w:color w:val="auto"/>
        </w:rPr>
        <w:t>We will pay the cost of printng and mailing proxy materials and postng them on the Internet. Upon request, we will reimburse brokers, dealers, banks and trustees, or their nominees, for reasonable expenses incurred by them in forwarding proxy materials to benefcial owners of shares of our common stock.</w:t>
      </w:r>
    </w:p>
    <w:p>
      <w:pPr>
        <w:spacing w:after="0" w:line="395" w:lineRule="exact"/>
        <w:rPr>
          <w:sz w:val="20"/>
          <w:szCs w:val="20"/>
          <w:color w:val="auto"/>
        </w:rPr>
      </w:pPr>
    </w:p>
    <w:p>
      <w:pPr>
        <w:ind w:left="320" w:right="400"/>
        <w:spacing w:after="0" w:line="242" w:lineRule="auto"/>
        <w:rPr>
          <w:sz w:val="20"/>
          <w:szCs w:val="20"/>
          <w:color w:val="auto"/>
        </w:rPr>
      </w:pPr>
      <w:r>
        <w:rPr>
          <w:rFonts w:ascii="Calibri" w:cs="Calibri" w:eastAsia="Calibri" w:hAnsi="Calibri"/>
          <w:sz w:val="24"/>
          <w:szCs w:val="24"/>
          <w:color w:val="005071"/>
        </w:rPr>
        <w:t>How can I atend the Annual Meetng and why is the Company holding the Annual Meetng in a virtual only format?</w:t>
      </w:r>
    </w:p>
    <w:p>
      <w:pPr>
        <w:spacing w:after="0" w:line="191"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As we have done in recent years, we will hold a virtual Annual Meetng rather than a meetng at any physical locaton. We believe that holding a meetng in a virtual format provides an opportunity for broader stockholder partcipaton.</w:t>
      </w:r>
    </w:p>
    <w:p>
      <w:pPr>
        <w:spacing w:after="0" w:line="21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To atend and partcipate in the Virtual Annual Meetng, stockholders will need to access the live audio webcast of the meetng. To do so, stockholders of record will need to visit www.virtualshareholdermeetng.com/EXLS2024 and use their 16-digit Control Numbers provided in the Internet Notce to log in to this website, and benefcial owners of shares held in street name will need to follow the instructons provided by the broker, bank or other nominee that holds their shares. We encourage stockholders to log in to this website and access the webcast before the Annual Meetng’s start tme. Further instructons on how to atend, partcipate in and vote at the Annual Meetng, including how to demonstrate your ownership of our stock as of the record date, are available at www.virtualshareholdermeetng.com/EXLS2024. Please note you will only be able to atend, partcipate and vote in the meetng using this website. All references to atending the Annual Meetng “in person” in this Proxy Statement shall mean atending the live webcast at the Annual Meetng.</w:t>
      </w:r>
    </w:p>
    <w:p>
      <w:pPr>
        <w:spacing w:after="0" w:line="299"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2024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125</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Annual meetng Q&amp;A</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How do I submit questons at the Annual Meetng?</w:t>
      </w:r>
    </w:p>
    <w:p>
      <w:pPr>
        <w:spacing w:after="0" w:line="192"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We are commited to ensuring that our stockholders will be aforded the same rights and opportunites to partcipate in a virtual Annual Meetng as they would at a meetng held at a physical locaton. You will be able to submit questons during our Annual Meetng by visitng www.virtualshareholdermeetng.com/EXLS2024. We will try to answer as many stockholder-submited questons as tme permits that comply with the meetng rules of conduct as determined by the chair of the meetng. However, we reserve the right to edit profanity or other inappropriate language, or to exclude questons that are not pertnent to meetng maters or that are otherwise inappropriate. If we receive substantally similar questons, we will group such questons together and provide a single response to avoid repetton.</w:t>
      </w: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Will the Annual Meetng be recorded?</w:t>
      </w:r>
    </w:p>
    <w:p>
      <w:pPr>
        <w:spacing w:after="0" w:line="179"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A recording of the Annual Meetng will be available online at www.virtualshareholdermeetng.com/EXLS2024 for approximately 12 months following the meetng date.</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What if I have technical difcultes or trouble accessing the virtual Annual Meetng?</w:t>
      </w:r>
    </w:p>
    <w:p>
      <w:pPr>
        <w:spacing w:after="0" w:line="179"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We will have technicians ready to assist you with any technical difcultes you may have accessing the live webcast of the Annual Meetng. A technical support phone number will be posted on www.virtualshareholdermeetng.com/EXLS2024 that you may call if you experience technical difcultes during the check-in process or during the Annual Meetng.</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What if I have further questons?</w:t>
      </w:r>
    </w:p>
    <w:p>
      <w:pPr>
        <w:spacing w:after="0" w:line="192"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color w:val="auto"/>
        </w:rPr>
        <w:t>If you have any further questons about votng your shares or atending the Annual Meetng, please call our Investor Relatons Department at (212) 277-7100 or email at ir@exlservice.com.</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Important</w:t>
      </w:r>
    </w:p>
    <w:p>
      <w:pPr>
        <w:spacing w:after="0" w:line="10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Please promptly vote and submit your proxy before the Annual Meetng by (i) Internet (by following the instructons provided in the Internet Notce), (ii) by phone (by following the instructons provided in the Internet Notce) or (iii) by requestng that proxy materials be sent to you by mail that will include a proxy card that you can use to vote by completng, signing, datng and returning the proxy card in the prepaid postage envelope provided. This will not limit your right to atend or vote at the Annual Meetng.</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126 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2024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1" w:right="6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Other maters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Other maters</w:t>
      </w:r>
    </w:p>
    <w:p>
      <w:pPr>
        <w:spacing w:after="0" w:line="330"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Our board of directors does not know of any other business that will be presented at the Annual Meetng. If any other business is properly brought before the Annual Meetng, your proxy holders will vote on it as they think best unless you direct them otherwise in your proxy instructons.</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Whether or not you intend to be present at the Annual Meetng, we urge you to submit your signed proxy promptly.</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237490</wp:posOffset>
            </wp:positionV>
            <wp:extent cx="2032000" cy="6858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0320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Ajay Ayyappan</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i w:val="1"/>
          <w:iCs w:val="1"/>
          <w:color w:val="auto"/>
        </w:rPr>
        <w:t>Executve Vice President, General Counsel and Corporate Secretary</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New York, New York</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April 29, 2024</w:t>
      </w:r>
    </w:p>
    <w:p>
      <w:pPr>
        <w:spacing w:after="0" w:line="314" w:lineRule="exact"/>
        <w:rPr>
          <w:sz w:val="20"/>
          <w:szCs w:val="20"/>
          <w:color w:val="auto"/>
        </w:rPr>
      </w:pPr>
    </w:p>
    <w:p>
      <w:pPr>
        <w:ind w:left="320" w:right="200"/>
        <w:spacing w:after="0"/>
        <w:rPr>
          <w:sz w:val="20"/>
          <w:szCs w:val="20"/>
          <w:color w:val="auto"/>
        </w:rPr>
      </w:pPr>
      <w:r>
        <w:rPr>
          <w:rFonts w:ascii="Calibri" w:cs="Calibri" w:eastAsia="Calibri" w:hAnsi="Calibri"/>
          <w:sz w:val="17"/>
          <w:szCs w:val="17"/>
          <w:b w:val="1"/>
          <w:bCs w:val="1"/>
          <w:color w:val="auto"/>
        </w:rPr>
        <w:t>We will furnish without charge to each person whose proxy is being solicited, upon the writen request of any such person, a copy of the 2023 Form 10-K, as fled with the SEC, as well as copies of exhibits to the 2023 Form 10-K, but for copies of exhibits will charge a reasonable fee per page to any requestng stockholder. Stockholders may make such request in writng to ExlService Holdings, Inc., 320 Park Avenue, 29th Floor, New York, New York 10022, Atenton: Investor Relatons. The request must include a representaton by the stockholder that as of April 23, 2024, the stockholder was enttled to vote at the Annual Meetng.</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2024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127</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Annex A</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Annex A</w:t>
      </w: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Calibri" w:cs="Calibri" w:eastAsia="Calibri" w:hAnsi="Calibri"/>
          <w:sz w:val="24"/>
          <w:szCs w:val="24"/>
          <w:color w:val="auto"/>
        </w:rPr>
        <w:t>FOURTH AMENDED AND RESTATED</w:t>
      </w:r>
    </w:p>
    <w:p>
      <w:pPr>
        <w:spacing w:after="0" w:line="6" w:lineRule="exact"/>
        <w:rPr>
          <w:sz w:val="20"/>
          <w:szCs w:val="20"/>
          <w:color w:val="auto"/>
        </w:rPr>
      </w:pPr>
    </w:p>
    <w:p>
      <w:pPr>
        <w:jc w:val="center"/>
        <w:ind w:right="-319"/>
        <w:spacing w:after="0"/>
        <w:rPr>
          <w:sz w:val="20"/>
          <w:szCs w:val="20"/>
          <w:color w:val="auto"/>
        </w:rPr>
      </w:pPr>
      <w:r>
        <w:rPr>
          <w:rFonts w:ascii="Calibri" w:cs="Calibri" w:eastAsia="Calibri" w:hAnsi="Calibri"/>
          <w:sz w:val="24"/>
          <w:szCs w:val="24"/>
          <w:color w:val="auto"/>
        </w:rPr>
        <w:t>CERTIFICATE OF INCORPORATION</w:t>
      </w:r>
    </w:p>
    <w:p>
      <w:pPr>
        <w:spacing w:after="0" w:line="6" w:lineRule="exact"/>
        <w:rPr>
          <w:sz w:val="20"/>
          <w:szCs w:val="20"/>
          <w:color w:val="auto"/>
        </w:rPr>
      </w:pPr>
    </w:p>
    <w:p>
      <w:pPr>
        <w:jc w:val="center"/>
        <w:ind w:right="-319"/>
        <w:spacing w:after="0"/>
        <w:rPr>
          <w:sz w:val="20"/>
          <w:szCs w:val="20"/>
          <w:color w:val="auto"/>
        </w:rPr>
      </w:pPr>
      <w:r>
        <w:rPr>
          <w:rFonts w:ascii="Calibri" w:cs="Calibri" w:eastAsia="Calibri" w:hAnsi="Calibri"/>
          <w:sz w:val="24"/>
          <w:szCs w:val="24"/>
          <w:color w:val="auto"/>
        </w:rPr>
        <w:t>OF</w:t>
      </w:r>
    </w:p>
    <w:p>
      <w:pPr>
        <w:spacing w:after="0" w:line="6" w:lineRule="exact"/>
        <w:rPr>
          <w:sz w:val="20"/>
          <w:szCs w:val="20"/>
          <w:color w:val="auto"/>
        </w:rPr>
      </w:pPr>
    </w:p>
    <w:p>
      <w:pPr>
        <w:jc w:val="center"/>
        <w:ind w:right="-319"/>
        <w:spacing w:after="0"/>
        <w:rPr>
          <w:sz w:val="20"/>
          <w:szCs w:val="20"/>
          <w:color w:val="auto"/>
        </w:rPr>
      </w:pPr>
      <w:r>
        <w:rPr>
          <w:rFonts w:ascii="Calibri" w:cs="Calibri" w:eastAsia="Calibri" w:hAnsi="Calibri"/>
          <w:sz w:val="24"/>
          <w:szCs w:val="24"/>
          <w:color w:val="auto"/>
        </w:rPr>
        <w:t>EXLSERVICE HOLDINGS, INC.</w:t>
      </w:r>
    </w:p>
    <w:p>
      <w:pPr>
        <w:spacing w:after="0" w:line="217"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color w:val="auto"/>
        </w:rPr>
        <w:t>(Pursuant to Sectons 242 and 245 of the</w:t>
      </w:r>
    </w:p>
    <w:p>
      <w:pPr>
        <w:spacing w:after="0" w:line="1"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color w:val="auto"/>
        </w:rPr>
        <w:t>General Corporaton Law of the State of Delaware)</w:t>
      </w:r>
    </w:p>
    <w:p>
      <w:pPr>
        <w:spacing w:after="0" w:line="210"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ExlService Holdings, Inc. (the “</w:t>
      </w:r>
      <w:r>
        <w:rPr>
          <w:rFonts w:ascii="Calibri" w:cs="Calibri" w:eastAsia="Calibri" w:hAnsi="Calibri"/>
          <w:sz w:val="17"/>
          <w:szCs w:val="17"/>
          <w:u w:val="single" w:color="auto"/>
          <w:color w:val="auto"/>
        </w:rPr>
        <w:t>Corporaton</w:t>
      </w:r>
      <w:r>
        <w:rPr>
          <w:rFonts w:ascii="Calibri" w:cs="Calibri" w:eastAsia="Calibri" w:hAnsi="Calibri"/>
          <w:sz w:val="17"/>
          <w:szCs w:val="17"/>
          <w:color w:val="auto"/>
        </w:rPr>
        <w:t>”), a corporaton organized and existng under and by virtue of the provisions of the General Corporaton Law of the State of Delaware (the “</w:t>
      </w:r>
      <w:r>
        <w:rPr>
          <w:rFonts w:ascii="Calibri" w:cs="Calibri" w:eastAsia="Calibri" w:hAnsi="Calibri"/>
          <w:sz w:val="17"/>
          <w:szCs w:val="17"/>
          <w:u w:val="single" w:color="auto"/>
          <w:color w:val="auto"/>
        </w:rPr>
        <w:t>General Corporaton Law</w:t>
      </w:r>
      <w:r>
        <w:rPr>
          <w:rFonts w:ascii="Calibri" w:cs="Calibri" w:eastAsia="Calibri" w:hAnsi="Calibri"/>
          <w:sz w:val="17"/>
          <w:szCs w:val="17"/>
          <w:color w:val="auto"/>
        </w:rPr>
        <w:t>”),</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DOES HEREBY CERTIFY:</w:t>
      </w:r>
    </w:p>
    <w:p>
      <w:pPr>
        <w:spacing w:after="0" w:line="314" w:lineRule="exact"/>
        <w:rPr>
          <w:sz w:val="20"/>
          <w:szCs w:val="20"/>
          <w:color w:val="auto"/>
        </w:rPr>
      </w:pPr>
    </w:p>
    <w:p>
      <w:pPr>
        <w:ind w:left="320" w:right="40"/>
        <w:spacing w:after="0"/>
        <w:rPr>
          <w:sz w:val="20"/>
          <w:szCs w:val="20"/>
          <w:color w:val="auto"/>
        </w:rPr>
      </w:pPr>
      <w:r>
        <w:rPr>
          <w:rFonts w:ascii="Calibri" w:cs="Calibri" w:eastAsia="Calibri" w:hAnsi="Calibri"/>
          <w:sz w:val="17"/>
          <w:szCs w:val="17"/>
          <w:b w:val="1"/>
          <w:bCs w:val="1"/>
          <w:color w:val="auto"/>
        </w:rPr>
        <w:t>FIRST</w:t>
      </w:r>
      <w:r>
        <w:rPr>
          <w:rFonts w:ascii="Calibri" w:cs="Calibri" w:eastAsia="Calibri" w:hAnsi="Calibri"/>
          <w:sz w:val="17"/>
          <w:szCs w:val="17"/>
          <w:color w:val="auto"/>
        </w:rPr>
        <w:t>: That the name of the Corporaton is ExlService Holdings, Inc. The original Certfcate of Incorporaton of the Corporaton was fled with the Secretary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of State of the State of Delaware on the October 29, 2002. The frst Amended and Restated Certfcate of Incorporaton of the Corporaton was fled with the Secretary of State of the State of Delaware on December 13, 2002. The second Amended and Restated Certfcate of Incorporaton of the Corporaton was fled with the Secretary of State of the State of Delaware on October 24, 2006. The Restated Certfcate of Incorporaton of the Corporaton was fled with the Secretary of State of the State of Delaware on August 1, 2023.</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SECOND</w:t>
      </w:r>
      <w:r>
        <w:rPr>
          <w:rFonts w:ascii="Calibri" w:cs="Calibri" w:eastAsia="Calibri" w:hAnsi="Calibri"/>
          <w:sz w:val="17"/>
          <w:szCs w:val="17"/>
          <w:color w:val="auto"/>
        </w:rPr>
        <w:t>: That the Board of Directors of the Corporaton duly adopted resolutons proposing to amend and restate the Restated Certfcate of Incorporaton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of the Corporaton, declaring said amendment and restatement to be advisable and in the best interests of the Corporaton and its stockholders, and authorizing the appropriate ofcers of the Corporaton to solicit the consent of the stockholders therefor, which resoluton setng forth the proposed amendment and restatement is as follows:</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RESOLVED</w:t>
      </w:r>
      <w:r>
        <w:rPr>
          <w:rFonts w:ascii="Calibri" w:cs="Calibri" w:eastAsia="Calibri" w:hAnsi="Calibri"/>
          <w:sz w:val="17"/>
          <w:szCs w:val="17"/>
          <w:color w:val="auto"/>
        </w:rPr>
        <w:t>, that the Restated Certfcate of Incorporaton of the Corporaton be amended and restated in its entrety to read as follows:</w:t>
      </w:r>
    </w:p>
    <w:p>
      <w:pPr>
        <w:spacing w:after="0" w:line="313" w:lineRule="exact"/>
        <w:rPr>
          <w:sz w:val="20"/>
          <w:szCs w:val="20"/>
          <w:color w:val="auto"/>
        </w:rPr>
      </w:pPr>
    </w:p>
    <w:p>
      <w:pPr>
        <w:ind w:left="480" w:hanging="164"/>
        <w:spacing w:after="0"/>
        <w:tabs>
          <w:tab w:leader="none" w:pos="480" w:val="left"/>
        </w:tabs>
        <w:numPr>
          <w:ilvl w:val="0"/>
          <w:numId w:val="73"/>
        </w:numPr>
        <w:rPr>
          <w:rFonts w:ascii="Calibri" w:cs="Calibri" w:eastAsia="Calibri" w:hAnsi="Calibri"/>
          <w:sz w:val="17"/>
          <w:szCs w:val="17"/>
          <w:color w:val="auto"/>
        </w:rPr>
      </w:pPr>
      <w:r>
        <w:rPr>
          <w:rFonts w:ascii="Calibri" w:cs="Calibri" w:eastAsia="Calibri" w:hAnsi="Calibri"/>
          <w:sz w:val="17"/>
          <w:szCs w:val="17"/>
          <w:u w:val="single" w:color="auto"/>
          <w:color w:val="auto"/>
        </w:rPr>
        <w:t>Name</w:t>
      </w:r>
      <w:r>
        <w:rPr>
          <w:rFonts w:ascii="Calibri" w:cs="Calibri" w:eastAsia="Calibri" w:hAnsi="Calibri"/>
          <w:sz w:val="17"/>
          <w:szCs w:val="17"/>
          <w:color w:val="auto"/>
        </w:rPr>
        <w:t>. The name of the corporaton is “ExlService Holdings, Inc.”</w:t>
      </w:r>
    </w:p>
    <w:p>
      <w:pPr>
        <w:spacing w:after="0" w:line="314" w:lineRule="exact"/>
        <w:rPr>
          <w:rFonts w:ascii="Calibri" w:cs="Calibri" w:eastAsia="Calibri" w:hAnsi="Calibri"/>
          <w:sz w:val="17"/>
          <w:szCs w:val="17"/>
          <w:color w:val="auto"/>
        </w:rPr>
      </w:pPr>
    </w:p>
    <w:p>
      <w:pPr>
        <w:ind w:left="320" w:right="440" w:hanging="4"/>
        <w:spacing w:after="0" w:line="268" w:lineRule="auto"/>
        <w:tabs>
          <w:tab w:leader="none" w:pos="487" w:val="left"/>
        </w:tabs>
        <w:numPr>
          <w:ilvl w:val="0"/>
          <w:numId w:val="73"/>
        </w:numPr>
        <w:rPr>
          <w:rFonts w:ascii="Calibri" w:cs="Calibri" w:eastAsia="Calibri" w:hAnsi="Calibri"/>
          <w:sz w:val="16"/>
          <w:szCs w:val="16"/>
          <w:color w:val="auto"/>
        </w:rPr>
      </w:pPr>
      <w:r>
        <w:rPr>
          <w:rFonts w:ascii="Calibri" w:cs="Calibri" w:eastAsia="Calibri" w:hAnsi="Calibri"/>
          <w:sz w:val="16"/>
          <w:szCs w:val="16"/>
          <w:u w:val="single" w:color="auto"/>
          <w:color w:val="auto"/>
        </w:rPr>
        <w:t>Address; Registered Ofce and Agent</w:t>
      </w:r>
      <w:r>
        <w:rPr>
          <w:rFonts w:ascii="Calibri" w:cs="Calibri" w:eastAsia="Calibri" w:hAnsi="Calibri"/>
          <w:sz w:val="16"/>
          <w:szCs w:val="16"/>
          <w:color w:val="auto"/>
        </w:rPr>
        <w:t>. The address of the Corporaton’s registered ofce in the State of Delaware is 1209 Orange Street, City of Wilmington, County of New Castle, State of Delaware 19801; and the name of its registered agent at such address is The Corporaton Trust Company.</w:t>
      </w:r>
    </w:p>
    <w:p>
      <w:pPr>
        <w:spacing w:after="0" w:line="292" w:lineRule="exact"/>
        <w:rPr>
          <w:rFonts w:ascii="Calibri" w:cs="Calibri" w:eastAsia="Calibri" w:hAnsi="Calibri"/>
          <w:sz w:val="16"/>
          <w:szCs w:val="16"/>
          <w:color w:val="auto"/>
        </w:rPr>
      </w:pPr>
    </w:p>
    <w:p>
      <w:pPr>
        <w:ind w:left="320" w:right="720" w:hanging="4"/>
        <w:spacing w:after="0" w:line="239" w:lineRule="auto"/>
        <w:tabs>
          <w:tab w:leader="none" w:pos="487" w:val="left"/>
        </w:tabs>
        <w:numPr>
          <w:ilvl w:val="0"/>
          <w:numId w:val="73"/>
        </w:numPr>
        <w:rPr>
          <w:rFonts w:ascii="Calibri" w:cs="Calibri" w:eastAsia="Calibri" w:hAnsi="Calibri"/>
          <w:sz w:val="17"/>
          <w:szCs w:val="17"/>
          <w:color w:val="auto"/>
        </w:rPr>
      </w:pPr>
      <w:r>
        <w:rPr>
          <w:rFonts w:ascii="Calibri" w:cs="Calibri" w:eastAsia="Calibri" w:hAnsi="Calibri"/>
          <w:sz w:val="17"/>
          <w:szCs w:val="17"/>
          <w:u w:val="single" w:color="auto"/>
          <w:color w:val="auto"/>
        </w:rPr>
        <w:t>Purposes</w:t>
      </w:r>
      <w:r>
        <w:rPr>
          <w:rFonts w:ascii="Calibri" w:cs="Calibri" w:eastAsia="Calibri" w:hAnsi="Calibri"/>
          <w:sz w:val="17"/>
          <w:szCs w:val="17"/>
          <w:color w:val="auto"/>
        </w:rPr>
        <w:t>. The purpose of the Corporaton is to engage in any lawful act or actvity for which corporatons may be organized under the General Corporaton Law.</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40" w:type="dxa"/>
            <w:vAlign w:val="bottom"/>
            <w:vMerge w:val="restart"/>
          </w:tcPr>
          <w:p>
            <w:pPr>
              <w:ind w:left="4020"/>
              <w:spacing w:after="0"/>
              <w:rPr>
                <w:sz w:val="20"/>
                <w:szCs w:val="20"/>
                <w:color w:val="auto"/>
              </w:rPr>
            </w:pPr>
            <w:r>
              <w:rPr>
                <w:rFonts w:ascii="Calibri" w:cs="Calibri" w:eastAsia="Calibri" w:hAnsi="Calibri"/>
                <w:sz w:val="13"/>
                <w:szCs w:val="13"/>
                <w:color w:val="auto"/>
                <w:w w:val="98"/>
              </w:rPr>
              <w:t>EXL 2024 Proxy Statement </w:t>
            </w:r>
          </w:p>
        </w:tc>
        <w:tc>
          <w:tcPr>
            <w:tcW w:w="74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A-1</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Annex A</w:t>
      </w:r>
    </w:p>
    <w:p>
      <w:pPr>
        <w:spacing w:after="0" w:line="348" w:lineRule="exact"/>
        <w:rPr>
          <w:sz w:val="20"/>
          <w:szCs w:val="20"/>
          <w:color w:val="auto"/>
        </w:rPr>
      </w:pPr>
    </w:p>
    <w:p>
      <w:pPr>
        <w:jc w:val="both"/>
        <w:ind w:left="320" w:right="200" w:hanging="4"/>
        <w:spacing w:after="0"/>
        <w:tabs>
          <w:tab w:leader="none" w:pos="487" w:val="left"/>
        </w:tabs>
        <w:numPr>
          <w:ilvl w:val="0"/>
          <w:numId w:val="74"/>
        </w:numPr>
        <w:rPr>
          <w:rFonts w:ascii="Calibri" w:cs="Calibri" w:eastAsia="Calibri" w:hAnsi="Calibri"/>
          <w:sz w:val="17"/>
          <w:szCs w:val="17"/>
          <w:color w:val="auto"/>
        </w:rPr>
      </w:pPr>
      <w:r>
        <w:rPr>
          <w:rFonts w:ascii="Calibri" w:cs="Calibri" w:eastAsia="Calibri" w:hAnsi="Calibri"/>
          <w:sz w:val="17"/>
          <w:szCs w:val="17"/>
          <w:u w:val="single" w:color="auto"/>
          <w:color w:val="auto"/>
        </w:rPr>
        <w:t>Number of Shares</w:t>
      </w:r>
      <w:r>
        <w:rPr>
          <w:rFonts w:ascii="Calibri" w:cs="Calibri" w:eastAsia="Calibri" w:hAnsi="Calibri"/>
          <w:sz w:val="17"/>
          <w:szCs w:val="17"/>
          <w:color w:val="auto"/>
        </w:rPr>
        <w:t>. The Corporaton is authorized to issue two classes of stock to be designated, respectvely, “Common Stock” and “Preferred Stock.” The total number of shares of all classes of stock which the Corporaton shall have authority to issue is 415,000,000 shares, consistng of (i) 400,000,000 shares of Common Stock, $0.001 par value per share (“</w:t>
      </w:r>
      <w:r>
        <w:rPr>
          <w:rFonts w:ascii="Calibri" w:cs="Calibri" w:eastAsia="Calibri" w:hAnsi="Calibri"/>
          <w:sz w:val="17"/>
          <w:szCs w:val="17"/>
          <w:u w:val="single" w:color="auto"/>
          <w:color w:val="auto"/>
        </w:rPr>
        <w:t>Common Stock</w:t>
      </w:r>
      <w:r>
        <w:rPr>
          <w:rFonts w:ascii="Calibri" w:cs="Calibri" w:eastAsia="Calibri" w:hAnsi="Calibri"/>
          <w:sz w:val="17"/>
          <w:szCs w:val="17"/>
          <w:color w:val="auto"/>
        </w:rPr>
        <w:t>”), and (ii) 15,000,000 shares of Preferred Stock, $0.001 par value per share (“</w:t>
      </w:r>
      <w:r>
        <w:rPr>
          <w:rFonts w:ascii="Calibri" w:cs="Calibri" w:eastAsia="Calibri" w:hAnsi="Calibri"/>
          <w:sz w:val="17"/>
          <w:szCs w:val="17"/>
          <w:u w:val="single" w:color="auto"/>
          <w:color w:val="auto"/>
        </w:rPr>
        <w:t>Preferred Stock</w:t>
      </w:r>
      <w:r>
        <w:rPr>
          <w:rFonts w:ascii="Calibri" w:cs="Calibri" w:eastAsia="Calibri" w:hAnsi="Calibri"/>
          <w:sz w:val="17"/>
          <w:szCs w:val="17"/>
          <w:color w:val="auto"/>
        </w:rPr>
        <w:t>”).</w:t>
      </w:r>
    </w:p>
    <w:p>
      <w:pPr>
        <w:spacing w:after="0" w:line="313" w:lineRule="exact"/>
        <w:rPr>
          <w:rFonts w:ascii="Calibri" w:cs="Calibri" w:eastAsia="Calibri" w:hAnsi="Calibri"/>
          <w:sz w:val="17"/>
          <w:szCs w:val="17"/>
          <w:color w:val="auto"/>
        </w:rPr>
      </w:pPr>
    </w:p>
    <w:p>
      <w:pPr>
        <w:ind w:left="480" w:hanging="164"/>
        <w:spacing w:after="0"/>
        <w:tabs>
          <w:tab w:leader="none" w:pos="480" w:val="left"/>
        </w:tabs>
        <w:numPr>
          <w:ilvl w:val="0"/>
          <w:numId w:val="74"/>
        </w:numPr>
        <w:rPr>
          <w:rFonts w:ascii="Calibri" w:cs="Calibri" w:eastAsia="Calibri" w:hAnsi="Calibri"/>
          <w:sz w:val="17"/>
          <w:szCs w:val="17"/>
          <w:color w:val="auto"/>
        </w:rPr>
      </w:pPr>
      <w:r>
        <w:rPr>
          <w:rFonts w:ascii="Calibri" w:cs="Calibri" w:eastAsia="Calibri" w:hAnsi="Calibri"/>
          <w:sz w:val="17"/>
          <w:szCs w:val="17"/>
          <w:u w:val="single" w:color="auto"/>
          <w:color w:val="auto"/>
        </w:rPr>
        <w:t>Classes of Shares</w:t>
      </w:r>
      <w:r>
        <w:rPr>
          <w:rFonts w:ascii="Calibri" w:cs="Calibri" w:eastAsia="Calibri" w:hAnsi="Calibri"/>
          <w:sz w:val="17"/>
          <w:szCs w:val="17"/>
          <w:color w:val="auto"/>
        </w:rPr>
        <w:t>. The designaton, relatve rights, preferences and limitatons of the shares of each class are as follows:</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 xml:space="preserve">5.1 </w:t>
      </w:r>
      <w:r>
        <w:rPr>
          <w:rFonts w:ascii="Calibri" w:cs="Calibri" w:eastAsia="Calibri" w:hAnsi="Calibri"/>
          <w:sz w:val="17"/>
          <w:szCs w:val="17"/>
          <w:u w:val="single" w:color="auto"/>
          <w:color w:val="auto"/>
        </w:rPr>
        <w:t>Common Stock</w:t>
      </w:r>
      <w:r>
        <w:rPr>
          <w:rFonts w:ascii="Calibri" w:cs="Calibri" w:eastAsia="Calibri" w:hAnsi="Calibri"/>
          <w:sz w:val="17"/>
          <w:szCs w:val="17"/>
          <w:color w:val="auto"/>
        </w:rPr>
        <w:t>. Except as otherwise provided by law or by this Certfcate of Incorporaton and subject to the express terms of any series of shares of Preferred Stock, the holders of outstanding shares of Common Stock shall exclusively possess votng power for the electon of Directors and for all other purposes, each holder of record of shares of Common Stock shall be enttled to one vote for each share of Common Stock standing in his or her name on the books of the Corporaton. Except as otherwise provided by law or by this Certfcate of Incorporaton and subject to the express terms of any series of shares of Preferred Stock, the holders of shares of Common Stock shall be enttled, to the exclusion of the holders of shares of Preferred Stock of any and all series, to receive such dividends as from tme to tme may be declared by the Board of Directors of the Corporaton (the “</w:t>
      </w:r>
      <w:r>
        <w:rPr>
          <w:rFonts w:ascii="Calibri" w:cs="Calibri" w:eastAsia="Calibri" w:hAnsi="Calibri"/>
          <w:sz w:val="17"/>
          <w:szCs w:val="17"/>
          <w:u w:val="single" w:color="auto"/>
          <w:color w:val="auto"/>
        </w:rPr>
        <w:t>Board</w:t>
      </w:r>
      <w:r>
        <w:rPr>
          <w:rFonts w:ascii="Calibri" w:cs="Calibri" w:eastAsia="Calibri" w:hAnsi="Calibri"/>
          <w:sz w:val="17"/>
          <w:szCs w:val="17"/>
          <w:color w:val="auto"/>
        </w:rPr>
        <w:t>”). In the event of any liquidaton, dissoluton or winding up of the Corporaton, whether voluntary or involuntary, subject to the rights, if any, of the holders of any outstanding series of Preferred Stock, the holders of shares of Common Stock shall be enttled to share ratably according to the number of shares of Common Stock held by them in all remaining assets of the Corporaton available for distributon to its stockholders. Subject to the rights of the holders of any one or more series of Preferred Stock then outstanding, the number of authorized shares of any class or classes of stock may be increased or decreased (but not below the number of shares thereof then outstanding) by the afrmatve vote of the holders of a majority of the stock of the Corporaton enttled to vote, irrespectve of the provisions of Secton 242(b)(2) of the General Corporaton Law or any corresponding provision hereinafer enacted.</w:t>
      </w:r>
    </w:p>
    <w:p>
      <w:pPr>
        <w:spacing w:after="0" w:line="320"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 xml:space="preserve">5.2 </w:t>
      </w:r>
      <w:r>
        <w:rPr>
          <w:rFonts w:ascii="Calibri" w:cs="Calibri" w:eastAsia="Calibri" w:hAnsi="Calibri"/>
          <w:sz w:val="17"/>
          <w:szCs w:val="17"/>
          <w:u w:val="single" w:color="auto"/>
          <w:color w:val="auto"/>
        </w:rPr>
        <w:t>Preferred Stock.</w:t>
      </w:r>
      <w:r>
        <w:rPr>
          <w:rFonts w:ascii="Calibri" w:cs="Calibri" w:eastAsia="Calibri" w:hAnsi="Calibri"/>
          <w:sz w:val="17"/>
          <w:szCs w:val="17"/>
          <w:color w:val="auto"/>
        </w:rPr>
        <w:t xml:space="preserve"> The shares of Preferred Stock may be issued from tme to tme in one or more series of any number of shares, provided that the aggregate number of shares issued and not retred of any and all such series shall not exceed the total number of shares of Preferred Stock hereinabove authorized, and with such powers, including votng powers, if any, and the designatons, preferences and relatve, partcipatng, optonal or other special rights, if any, and any qualifcatons, limitatons or restrictons thereof, all as shall hereafer be stated and expressed in the resoluton or resolutons providing for the designaton and issue of such shares of Preferred Stock from tme to tme adopted by the Board pursuant to authority so to do which is hereby expressly vested in the Board. The powers, including votng powers, if any, preferences and relatve, partcipatng, optonal and other special rights of each series of Preferred Stock, and the qualifcatons, limitatons or restrictons thereof, if any, may difer from those of any and all other series at any tme outstanding. Each series of shares of Preferred Stock: (a) may have such votng rights or powers, full or limited, if any; (b) may be subject to redempton at such tme or tmes and at such prices, if any; (c) may be enttled to receive dividends (which may be cumulatve or non-cumulatve) at such rate or rates, on such conditons and at such tmes, and payable in preference to, or in such relaton to, the dividends payable on any other class or classes or series of stock, if any; (d) may have such rights upon the voluntary or involuntary liquidaton, winding up or dissoluton of, upon any distributon of the assets of, or in the event of any merger, sale or consolidaton of, the Corporaton, if any; (e) may be made convertble into or exchangeable for, shares of any other class or classes or of any other series of the same or any other class or classes of stock of the Corporaton</w:t>
      </w:r>
    </w:p>
    <w:p>
      <w:pPr>
        <w:spacing w:after="0" w:line="13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00" w:type="dxa"/>
            <w:vAlign w:val="bottom"/>
            <w:vMerge w:val="restart"/>
          </w:tcPr>
          <w:p>
            <w:pPr>
              <w:spacing w:after="0"/>
              <w:rPr>
                <w:sz w:val="20"/>
                <w:szCs w:val="20"/>
                <w:color w:val="auto"/>
              </w:rPr>
            </w:pPr>
            <w:r>
              <w:rPr>
                <w:rFonts w:ascii="Calibri" w:cs="Calibri" w:eastAsia="Calibri" w:hAnsi="Calibri"/>
                <w:sz w:val="17"/>
                <w:szCs w:val="17"/>
                <w:b w:val="1"/>
                <w:bCs w:val="1"/>
                <w:color w:val="auto"/>
                <w:w w:val="92"/>
              </w:rPr>
              <w:t>A-2 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4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4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1" w:right="6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Annex A</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(or any other securites of the Corporaton or any other person) at such price or prices or at such rates of exchange and with such adjustments, if any;</w:t>
      </w:r>
    </w:p>
    <w:p>
      <w:pPr>
        <w:spacing w:after="0" w:line="1" w:lineRule="exact"/>
        <w:rPr>
          <w:sz w:val="20"/>
          <w:szCs w:val="20"/>
          <w:color w:val="auto"/>
        </w:rPr>
      </w:pPr>
    </w:p>
    <w:p>
      <w:pPr>
        <w:ind w:left="520" w:hanging="204"/>
        <w:spacing w:after="0"/>
        <w:tabs>
          <w:tab w:leader="none" w:pos="520" w:val="left"/>
        </w:tabs>
        <w:numPr>
          <w:ilvl w:val="0"/>
          <w:numId w:val="75"/>
        </w:numPr>
        <w:rPr>
          <w:rFonts w:ascii="Calibri" w:cs="Calibri" w:eastAsia="Calibri" w:hAnsi="Calibri"/>
          <w:sz w:val="17"/>
          <w:szCs w:val="17"/>
          <w:color w:val="auto"/>
        </w:rPr>
      </w:pPr>
      <w:r>
        <w:rPr>
          <w:rFonts w:ascii="Calibri" w:cs="Calibri" w:eastAsia="Calibri" w:hAnsi="Calibri"/>
          <w:sz w:val="17"/>
          <w:szCs w:val="17"/>
          <w:color w:val="auto"/>
        </w:rPr>
        <w:t>may be enttled to the beneft of a sinking fund to be applied to the purchase or redempton of shares of such series in such amount or amounts, if any;</w:t>
      </w:r>
    </w:p>
    <w:p>
      <w:pPr>
        <w:spacing w:after="0" w:line="2" w:lineRule="exact"/>
        <w:rPr>
          <w:rFonts w:ascii="Calibri" w:cs="Calibri" w:eastAsia="Calibri" w:hAnsi="Calibri"/>
          <w:sz w:val="17"/>
          <w:szCs w:val="17"/>
          <w:color w:val="auto"/>
        </w:rPr>
      </w:pPr>
    </w:p>
    <w:p>
      <w:pPr>
        <w:ind w:left="320" w:right="140" w:hanging="4"/>
        <w:spacing w:after="0"/>
        <w:tabs>
          <w:tab w:leader="none" w:pos="541" w:val="left"/>
        </w:tabs>
        <w:numPr>
          <w:ilvl w:val="0"/>
          <w:numId w:val="75"/>
        </w:numPr>
        <w:rPr>
          <w:rFonts w:ascii="Calibri" w:cs="Calibri" w:eastAsia="Calibri" w:hAnsi="Calibri"/>
          <w:sz w:val="17"/>
          <w:szCs w:val="17"/>
          <w:color w:val="auto"/>
        </w:rPr>
      </w:pPr>
      <w:r>
        <w:rPr>
          <w:rFonts w:ascii="Calibri" w:cs="Calibri" w:eastAsia="Calibri" w:hAnsi="Calibri"/>
          <w:sz w:val="17"/>
          <w:szCs w:val="17"/>
          <w:color w:val="auto"/>
        </w:rPr>
        <w:t>may be enttled to the beneft of conditons and restrictons upon the creaton of indebtedness of the Corporaton or any subsidiary, upon the issue of any additonal shares (including additonal shares of such series or of any other series) and upon the payment of dividends or the making of other distributons on, and the purchase, redempton or other acquisiton by the Corporaton or any subsidiary of, any outstanding shares of the Corporaton, if any; (h) may be subject to restrictons on transfer or registraton of transfer, or on the amount of shares that may be owned by any person or group of persons; and (i) may have such other relatve, partcipatng, optonal or other special rights, qualifcatons, limitatons or restrictons thereof, if any; all as shall be stated in said resoluton or resolutons of the Board providing for the designaton and issue of such shares of Preferred Stock.</w:t>
      </w:r>
    </w:p>
    <w:p>
      <w:pPr>
        <w:spacing w:after="0" w:line="315" w:lineRule="exact"/>
        <w:rPr>
          <w:sz w:val="20"/>
          <w:szCs w:val="20"/>
          <w:color w:val="auto"/>
        </w:rPr>
      </w:pPr>
    </w:p>
    <w:p>
      <w:pPr>
        <w:ind w:left="480" w:hanging="164"/>
        <w:spacing w:after="0"/>
        <w:tabs>
          <w:tab w:leader="none" w:pos="480" w:val="left"/>
        </w:tabs>
        <w:numPr>
          <w:ilvl w:val="0"/>
          <w:numId w:val="76"/>
        </w:numPr>
        <w:rPr>
          <w:rFonts w:ascii="Calibri" w:cs="Calibri" w:eastAsia="Calibri" w:hAnsi="Calibri"/>
          <w:sz w:val="17"/>
          <w:szCs w:val="17"/>
          <w:color w:val="auto"/>
        </w:rPr>
      </w:pPr>
      <w:r>
        <w:rPr>
          <w:rFonts w:ascii="Calibri" w:cs="Calibri" w:eastAsia="Calibri" w:hAnsi="Calibri"/>
          <w:sz w:val="17"/>
          <w:szCs w:val="17"/>
          <w:u w:val="single" w:color="auto"/>
          <w:color w:val="auto"/>
        </w:rPr>
        <w:t>Board of Directors.</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 xml:space="preserve">6.1 </w:t>
      </w:r>
      <w:r>
        <w:rPr>
          <w:rFonts w:ascii="Calibri" w:cs="Calibri" w:eastAsia="Calibri" w:hAnsi="Calibri"/>
          <w:sz w:val="17"/>
          <w:szCs w:val="17"/>
          <w:u w:val="single" w:color="auto"/>
          <w:color w:val="auto"/>
        </w:rPr>
        <w:t>Number of Directors.</w:t>
      </w:r>
      <w:r>
        <w:rPr>
          <w:rFonts w:ascii="Calibri" w:cs="Calibri" w:eastAsia="Calibri" w:hAnsi="Calibri"/>
          <w:sz w:val="17"/>
          <w:szCs w:val="17"/>
          <w:color w:val="auto"/>
        </w:rPr>
        <w:t xml:space="preserve"> The business and afairs of the Corporaton shall be managed by, or under the directon of, the Board. Unless and except to the extent that the Amended and Restated By-laws of the Corporaton, as such By-laws may be amended from tme to tme (the “</w:t>
      </w:r>
      <w:r>
        <w:rPr>
          <w:rFonts w:ascii="Calibri" w:cs="Calibri" w:eastAsia="Calibri" w:hAnsi="Calibri"/>
          <w:sz w:val="17"/>
          <w:szCs w:val="17"/>
          <w:u w:val="single" w:color="auto"/>
          <w:color w:val="auto"/>
        </w:rPr>
        <w:t>By-laws</w:t>
      </w:r>
      <w:r>
        <w:rPr>
          <w:rFonts w:ascii="Calibri" w:cs="Calibri" w:eastAsia="Calibri" w:hAnsi="Calibri"/>
          <w:sz w:val="17"/>
          <w:szCs w:val="17"/>
          <w:color w:val="auto"/>
        </w:rPr>
        <w:t>”), shall so require, the electon of the Directors of the Corporaton need not be by writen ballot. Except as otherwise provided for or fxed pursuant to the provisions of Secton 5 of this Certfcate of Incorporaton relatng to the rights of the holders of any series of Preferred Stock to elect additonal Directors, the total number of Directors consttutng the entre Board shall be not less than 6 nor more than 12, with the then authorized number of Directors being fxed from tme to tme by the Board. During any period when the holders of any series of Preferred Stock have the right to elect additonal Directors as provided for or fxed pursuant to the provisions of Secton 5 hereof, then upon commencement and for the duraton of the period during which such right contnues:</w:t>
      </w:r>
    </w:p>
    <w:p>
      <w:pPr>
        <w:spacing w:after="0" w:line="4" w:lineRule="exact"/>
        <w:rPr>
          <w:sz w:val="20"/>
          <w:szCs w:val="20"/>
          <w:color w:val="auto"/>
        </w:rPr>
      </w:pPr>
    </w:p>
    <w:p>
      <w:pPr>
        <w:ind w:left="320" w:right="60" w:hanging="4"/>
        <w:spacing w:after="0"/>
        <w:tabs>
          <w:tab w:leader="none" w:pos="500" w:val="left"/>
        </w:tabs>
        <w:numPr>
          <w:ilvl w:val="0"/>
          <w:numId w:val="77"/>
        </w:numPr>
        <w:rPr>
          <w:rFonts w:ascii="Calibri" w:cs="Calibri" w:eastAsia="Calibri" w:hAnsi="Calibri"/>
          <w:sz w:val="17"/>
          <w:szCs w:val="17"/>
          <w:color w:val="auto"/>
        </w:rPr>
      </w:pPr>
      <w:r>
        <w:rPr>
          <w:rFonts w:ascii="Calibri" w:cs="Calibri" w:eastAsia="Calibri" w:hAnsi="Calibri"/>
          <w:sz w:val="17"/>
          <w:szCs w:val="17"/>
          <w:color w:val="auto"/>
        </w:rPr>
        <w:t>the then otherwise total authorized number of Directors of the Corporaton shall automatcally be increased by such specifed number of Directors, and the holders of such Preferred Stock shall be enttled to elect the additonal Directors so provided for or fxed pursuant to said provisions, and (ii) each such additonal Director shall serve untl such Director’s successor shall have been duly elected and qualifed, or untl such Director’s right to hold such ofce terminates pursuant to said provisions, whichever occurs earlier, subject to his or her earlier death, disqualifcaton, resignaton or removal. Except as otherwise provided by the Board in the resoluton or resolutons establishing such series, whenever the holders of any series of Preferred Stock having such right to elect additonal Directors are divested of such right pursuant to the provisions of such stock, the terms of ofce of all such additonal Directors elected by the holders of such stock, or elected to fll any vacancies resultng from the death, resignaton, disqualifcaton or removal of such additonal Directors, shall forthwith terminate and the total and authorized number of Directors of the Corporaton shall be reduced accordingly.</w:t>
      </w:r>
    </w:p>
    <w:p>
      <w:pPr>
        <w:spacing w:after="0" w:line="317"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 xml:space="preserve">6.2 </w:t>
      </w:r>
      <w:r>
        <w:rPr>
          <w:rFonts w:ascii="Calibri" w:cs="Calibri" w:eastAsia="Calibri" w:hAnsi="Calibri"/>
          <w:sz w:val="17"/>
          <w:szCs w:val="17"/>
          <w:u w:val="single" w:color="auto"/>
          <w:color w:val="auto"/>
        </w:rPr>
        <w:t>Terms of Directors</w:t>
      </w:r>
      <w:r>
        <w:rPr>
          <w:rFonts w:ascii="Calibri" w:cs="Calibri" w:eastAsia="Calibri" w:hAnsi="Calibri"/>
          <w:sz w:val="17"/>
          <w:szCs w:val="17"/>
          <w:color w:val="auto"/>
        </w:rPr>
        <w:t>. Subject to the provisions of this Certfcate of Incorporaton relatng to directors elected by the holders of one or more series of Preferred Stock, votng as a separate series or with one or more other series of Preferred Stock, at each annual meetng of stockholders commencing with the 2019 annual meetng of stockholders, directors of the corporaton other than those in the 2020 Class and 2021 Class (each as defned below) shall be elected for a term of one year, expiring at the next succeeding annual meetng of stockholders. Each director of the corporaton who was elected at the 2017 annual meetng of stockholders for a three-year term expiring in 2020 (the “2020 Class”), and each director of the corporaton who was elected at the 2018 annual meetng of stockholders for a three-year term expiring in 2021 (the “2021 Class”), including any person appointed to</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40" w:type="dxa"/>
            <w:vAlign w:val="bottom"/>
            <w:vMerge w:val="restart"/>
          </w:tcPr>
          <w:p>
            <w:pPr>
              <w:ind w:left="4020"/>
              <w:spacing w:after="0"/>
              <w:rPr>
                <w:sz w:val="20"/>
                <w:szCs w:val="20"/>
                <w:color w:val="auto"/>
              </w:rPr>
            </w:pPr>
            <w:r>
              <w:rPr>
                <w:rFonts w:ascii="Calibri" w:cs="Calibri" w:eastAsia="Calibri" w:hAnsi="Calibri"/>
                <w:sz w:val="13"/>
                <w:szCs w:val="13"/>
                <w:color w:val="auto"/>
                <w:w w:val="98"/>
              </w:rPr>
              <w:t>EXL 2024 Proxy Statement </w:t>
            </w:r>
          </w:p>
        </w:tc>
        <w:tc>
          <w:tcPr>
            <w:tcW w:w="74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A-3</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Annex A</w:t>
      </w:r>
    </w:p>
    <w:p>
      <w:pPr>
        <w:spacing w:after="0" w:line="348"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fll any vacancy occurring with respect to any director in the 2020 Class or the 2021 Class (each of whom shall be deemed to be a member of the class of directors in which the vacancy occurred), shall contnue to hold ofce untl the end of the term for which such director was elected or appointed, as applicable. Subject to the provisions of this Certfcate of Incorporaton relatng to directors elected by the holders of one or more series of Preferred Stock, votng as a separate series or with one or more other series of Preferred Stock, (a) commencing with the 2020 annual meetng of stockholders, all directors of the corporaton other than those in the 2021 Class will be elected for a term of one year, and (b) commencing with the 2021 annual meetng of stockholders, all directors of the corporaton will be elected for a term of one year. In all cases, each director shall serve untl such director’s successor has been duly elected and qualifed or untl such director’s earlier death, disqualifcaton, resignaton or removal.</w:t>
      </w:r>
    </w:p>
    <w:p>
      <w:pPr>
        <w:spacing w:after="0" w:line="31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 xml:space="preserve">6.3 </w:t>
      </w:r>
      <w:r>
        <w:rPr>
          <w:rFonts w:ascii="Calibri" w:cs="Calibri" w:eastAsia="Calibri" w:hAnsi="Calibri"/>
          <w:sz w:val="17"/>
          <w:szCs w:val="17"/>
          <w:u w:val="single" w:color="auto"/>
          <w:color w:val="auto"/>
        </w:rPr>
        <w:t>Vacancies and Newly Created Directorships</w:t>
      </w:r>
      <w:r>
        <w:rPr>
          <w:rFonts w:ascii="Calibri" w:cs="Calibri" w:eastAsia="Calibri" w:hAnsi="Calibri"/>
          <w:sz w:val="17"/>
          <w:szCs w:val="17"/>
          <w:color w:val="auto"/>
        </w:rPr>
        <w:t>. Subject to the rights of the holders of any one or more series of Preferred Stock then outstanding, newly created directorships resultng from any increase in the authorized number of Directors or any vacancies on the Board resultng from death, resignaton, retrement, disqualifcaton, removal from ofce or other cause shall be flled solely by the afrmatve vote of a majority of the remaining Directors then in ofce, even if less than a quorum of the Board. Any Director so chosen shall hold ofce untl the expiraton of the term of ofce of the Director whom he or she has replaced and untl his or her successor shall be duly elected and qualifed or untl such Director’s earlier death, disqualifcaton, resignaton or removal. No decrease in the number of Directors shall shorten the term of any incumbent Director.</w:t>
      </w:r>
    </w:p>
    <w:p>
      <w:pPr>
        <w:spacing w:after="0" w:line="316"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 xml:space="preserve">6.4 </w:t>
      </w:r>
      <w:r>
        <w:rPr>
          <w:rFonts w:ascii="Calibri" w:cs="Calibri" w:eastAsia="Calibri" w:hAnsi="Calibri"/>
          <w:sz w:val="17"/>
          <w:szCs w:val="17"/>
          <w:u w:val="single" w:color="auto"/>
          <w:color w:val="auto"/>
        </w:rPr>
        <w:t>Removal of Directors</w:t>
      </w:r>
      <w:r>
        <w:rPr>
          <w:rFonts w:ascii="Calibri" w:cs="Calibri" w:eastAsia="Calibri" w:hAnsi="Calibri"/>
          <w:sz w:val="17"/>
          <w:szCs w:val="17"/>
          <w:color w:val="auto"/>
        </w:rPr>
        <w:t>. Unless otherwise restricted by applicable law and except for such additonal Directors, if any, as are elected by the holders of any series of Preferred Stock as provided for or fxed pursuant to the provisions of Secton 5 hereof, any Director, or the entre Board, may be removed from ofce at any tme, with or without cause, by the afrmatve vote of the holders of at least a majority of the total votng power of the outstanding shares of capital stock of the Corporaton enttled to vote generally in the electon of Directors, votng together as a single class.</w:t>
      </w:r>
    </w:p>
    <w:p>
      <w:pPr>
        <w:spacing w:after="0" w:line="315" w:lineRule="exact"/>
        <w:rPr>
          <w:sz w:val="20"/>
          <w:szCs w:val="20"/>
          <w:color w:val="auto"/>
        </w:rPr>
      </w:pPr>
    </w:p>
    <w:p>
      <w:pPr>
        <w:ind w:left="320" w:right="300" w:hanging="4"/>
        <w:spacing w:after="0"/>
        <w:tabs>
          <w:tab w:leader="none" w:pos="487" w:val="left"/>
        </w:tabs>
        <w:numPr>
          <w:ilvl w:val="0"/>
          <w:numId w:val="78"/>
        </w:numPr>
        <w:rPr>
          <w:rFonts w:ascii="Calibri" w:cs="Calibri" w:eastAsia="Calibri" w:hAnsi="Calibri"/>
          <w:sz w:val="17"/>
          <w:szCs w:val="17"/>
          <w:color w:val="auto"/>
        </w:rPr>
      </w:pPr>
      <w:r>
        <w:rPr>
          <w:rFonts w:ascii="Calibri" w:cs="Calibri" w:eastAsia="Calibri" w:hAnsi="Calibri"/>
          <w:sz w:val="17"/>
          <w:szCs w:val="17"/>
          <w:u w:val="single" w:color="auto"/>
          <w:color w:val="auto"/>
        </w:rPr>
        <w:t>Limitaton of Liability</w:t>
      </w:r>
      <w:r>
        <w:rPr>
          <w:rFonts w:ascii="Calibri" w:cs="Calibri" w:eastAsia="Calibri" w:hAnsi="Calibri"/>
          <w:sz w:val="17"/>
          <w:szCs w:val="17"/>
          <w:color w:val="auto"/>
        </w:rPr>
        <w:t>. To the fullest extent permited by the General Corporaton Law, as the same exists or may hereafer be amended, a Director or ofcer of the Corporaton shall not be personally liable to the Corporaton or its stockholders for monetary damages for breach of fduciary duty as a Director or ofcer. Any amendment, repeal or modifcaton of the foregoing provision shall not adversely afect any right or protecton of a Director or ofcer of the Corporaton hereunder in respect of any act or omission occurring prior to the tme of such amendment, repeal or modifcaton.</w:t>
      </w:r>
    </w:p>
    <w:p>
      <w:pPr>
        <w:spacing w:after="0" w:line="313" w:lineRule="exact"/>
        <w:rPr>
          <w:rFonts w:ascii="Calibri" w:cs="Calibri" w:eastAsia="Calibri" w:hAnsi="Calibri"/>
          <w:sz w:val="17"/>
          <w:szCs w:val="17"/>
          <w:color w:val="auto"/>
        </w:rPr>
      </w:pPr>
    </w:p>
    <w:p>
      <w:pPr>
        <w:ind w:left="480" w:hanging="164"/>
        <w:spacing w:after="0"/>
        <w:tabs>
          <w:tab w:leader="none" w:pos="480" w:val="left"/>
        </w:tabs>
        <w:numPr>
          <w:ilvl w:val="0"/>
          <w:numId w:val="78"/>
        </w:numPr>
        <w:rPr>
          <w:rFonts w:ascii="Calibri" w:cs="Calibri" w:eastAsia="Calibri" w:hAnsi="Calibri"/>
          <w:sz w:val="17"/>
          <w:szCs w:val="17"/>
          <w:color w:val="auto"/>
        </w:rPr>
      </w:pPr>
      <w:r>
        <w:rPr>
          <w:rFonts w:ascii="Calibri" w:cs="Calibri" w:eastAsia="Calibri" w:hAnsi="Calibri"/>
          <w:sz w:val="17"/>
          <w:szCs w:val="17"/>
          <w:u w:val="single" w:color="auto"/>
          <w:color w:val="auto"/>
        </w:rPr>
        <w:t>Indemnifcaton.</w:t>
      </w:r>
    </w:p>
    <w:p>
      <w:pPr>
        <w:spacing w:after="0" w:line="314"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 xml:space="preserve">8.1 </w:t>
      </w:r>
      <w:r>
        <w:rPr>
          <w:rFonts w:ascii="Calibri" w:cs="Calibri" w:eastAsia="Calibri" w:hAnsi="Calibri"/>
          <w:sz w:val="17"/>
          <w:szCs w:val="17"/>
          <w:u w:val="single" w:color="auto"/>
          <w:color w:val="auto"/>
        </w:rPr>
        <w:t>Right to Indemnifcaton.</w:t>
      </w:r>
      <w:r>
        <w:rPr>
          <w:rFonts w:ascii="Calibri" w:cs="Calibri" w:eastAsia="Calibri" w:hAnsi="Calibri"/>
          <w:sz w:val="17"/>
          <w:szCs w:val="17"/>
          <w:color w:val="auto"/>
        </w:rPr>
        <w:t xml:space="preserve"> The Corporaton shall indemnify and hold harmless, to the fullest extent permited by applicable law as it presently exists or may hereafer be amended, any person (a “</w:t>
      </w:r>
      <w:r>
        <w:rPr>
          <w:rFonts w:ascii="Calibri" w:cs="Calibri" w:eastAsia="Calibri" w:hAnsi="Calibri"/>
          <w:sz w:val="17"/>
          <w:szCs w:val="17"/>
          <w:u w:val="single" w:color="auto"/>
          <w:color w:val="auto"/>
        </w:rPr>
        <w:t>Covered Person</w:t>
      </w:r>
      <w:r>
        <w:rPr>
          <w:rFonts w:ascii="Calibri" w:cs="Calibri" w:eastAsia="Calibri" w:hAnsi="Calibri"/>
          <w:sz w:val="17"/>
          <w:szCs w:val="17"/>
          <w:color w:val="auto"/>
        </w:rPr>
        <w:t>”) who was or is made or is threatened to be made a party or is otherwise involved in any acton, suit or proceeding, whether civil, criminal, administratve or investgatve (a “</w:t>
      </w:r>
      <w:r>
        <w:rPr>
          <w:rFonts w:ascii="Calibri" w:cs="Calibri" w:eastAsia="Calibri" w:hAnsi="Calibri"/>
          <w:sz w:val="17"/>
          <w:szCs w:val="17"/>
          <w:u w:val="single" w:color="auto"/>
          <w:color w:val="auto"/>
        </w:rPr>
        <w:t>Proceeding</w:t>
      </w:r>
      <w:r>
        <w:rPr>
          <w:rFonts w:ascii="Calibri" w:cs="Calibri" w:eastAsia="Calibri" w:hAnsi="Calibri"/>
          <w:sz w:val="17"/>
          <w:szCs w:val="17"/>
          <w:color w:val="auto"/>
        </w:rPr>
        <w:t>”), by reason of the fact that he or she, or a person for whom he or she is the legal representatve, is or was a Director or ofcer of the Corporaton or, while a Director or ofcer of the Corporaton, is or was serving at the request of the Corporaton as a director, ofcer, employee or agent of another corporaton or of a partnership, joint venture, trust, enterprise or nonproft entty (an “</w:t>
      </w:r>
      <w:r>
        <w:rPr>
          <w:rFonts w:ascii="Calibri" w:cs="Calibri" w:eastAsia="Calibri" w:hAnsi="Calibri"/>
          <w:sz w:val="17"/>
          <w:szCs w:val="17"/>
          <w:u w:val="single" w:color="auto"/>
          <w:color w:val="auto"/>
        </w:rPr>
        <w:t>Other Entty</w:t>
      </w:r>
      <w:r>
        <w:rPr>
          <w:rFonts w:ascii="Calibri" w:cs="Calibri" w:eastAsia="Calibri" w:hAnsi="Calibri"/>
          <w:sz w:val="17"/>
          <w:szCs w:val="17"/>
          <w:color w:val="auto"/>
        </w:rPr>
        <w:t>”), including service with respect to employee beneft plans, against all liability and loss sufered and expenses (including atorneys’ fees) reasonably incurred by such Covered Person. Notwithstanding the preceding sentence, except as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00" w:type="dxa"/>
            <w:vAlign w:val="bottom"/>
            <w:vMerge w:val="restart"/>
          </w:tcPr>
          <w:p>
            <w:pPr>
              <w:spacing w:after="0"/>
              <w:rPr>
                <w:sz w:val="20"/>
                <w:szCs w:val="20"/>
                <w:color w:val="auto"/>
              </w:rPr>
            </w:pPr>
            <w:r>
              <w:rPr>
                <w:rFonts w:ascii="Calibri" w:cs="Calibri" w:eastAsia="Calibri" w:hAnsi="Calibri"/>
                <w:sz w:val="17"/>
                <w:szCs w:val="17"/>
                <w:b w:val="1"/>
                <w:bCs w:val="1"/>
                <w:color w:val="auto"/>
                <w:w w:val="92"/>
              </w:rPr>
              <w:t>A-4 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4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4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63627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Annex A</w:t>
      </w:r>
    </w:p>
    <w:p>
      <w:pPr>
        <w:spacing w:after="0" w:line="348" w:lineRule="exact"/>
        <w:rPr>
          <w:sz w:val="20"/>
          <w:szCs w:val="20"/>
          <w:color w:val="auto"/>
        </w:rPr>
      </w:pPr>
    </w:p>
    <w:p>
      <w:pPr>
        <w:ind w:left="320" w:right="100"/>
        <w:spacing w:after="0" w:line="268" w:lineRule="auto"/>
        <w:rPr>
          <w:sz w:val="20"/>
          <w:szCs w:val="20"/>
          <w:color w:val="auto"/>
        </w:rPr>
      </w:pPr>
      <w:r>
        <w:rPr>
          <w:rFonts w:ascii="Calibri" w:cs="Calibri" w:eastAsia="Calibri" w:hAnsi="Calibri"/>
          <w:sz w:val="16"/>
          <w:szCs w:val="16"/>
          <w:color w:val="auto"/>
        </w:rPr>
        <w:t>otherwise provided in Secton 8.3, the Corporaton shall be required to indemnify a Covered Person in connecton with a Proceeding (or part thereof) commenced by such Covered Person only if the commencement of such Proceeding (or part thereof) by the Covered Person was authorized by the Board.</w:t>
      </w:r>
    </w:p>
    <w:p>
      <w:pPr>
        <w:spacing w:after="0" w:line="292"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 xml:space="preserve">8.2 </w:t>
      </w:r>
      <w:r>
        <w:rPr>
          <w:rFonts w:ascii="Calibri" w:cs="Calibri" w:eastAsia="Calibri" w:hAnsi="Calibri"/>
          <w:sz w:val="17"/>
          <w:szCs w:val="17"/>
          <w:u w:val="single" w:color="auto"/>
          <w:color w:val="auto"/>
        </w:rPr>
        <w:t>Prepayment of Expenses</w:t>
      </w:r>
      <w:r>
        <w:rPr>
          <w:rFonts w:ascii="Calibri" w:cs="Calibri" w:eastAsia="Calibri" w:hAnsi="Calibri"/>
          <w:sz w:val="17"/>
          <w:szCs w:val="17"/>
          <w:color w:val="auto"/>
        </w:rPr>
        <w:t>. The Corporaton shall pay the expenses (including atorneys’ fees) incurred by a Covered Person in defending any Proceeding in advance of its fnal dispositon, provided, however, that, to the extent required by applicable law, such payment of expenses in advance of the fnal dispositon of the Proceeding shall be made only upon receipt of an undertaking by the Covered Person to repay all amounts advanced if it should be ultmately determined that the Covered Person is not enttled to be indemnifed under this Secton 8 or otherwise.</w:t>
      </w:r>
    </w:p>
    <w:p>
      <w:pPr>
        <w:spacing w:after="0" w:line="315"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 xml:space="preserve">8.3 </w:t>
      </w:r>
      <w:r>
        <w:rPr>
          <w:rFonts w:ascii="Calibri" w:cs="Calibri" w:eastAsia="Calibri" w:hAnsi="Calibri"/>
          <w:sz w:val="17"/>
          <w:szCs w:val="17"/>
          <w:u w:val="single" w:color="auto"/>
          <w:color w:val="auto"/>
        </w:rPr>
        <w:t>Claims</w:t>
      </w:r>
      <w:r>
        <w:rPr>
          <w:rFonts w:ascii="Calibri" w:cs="Calibri" w:eastAsia="Calibri" w:hAnsi="Calibri"/>
          <w:sz w:val="17"/>
          <w:szCs w:val="17"/>
          <w:color w:val="auto"/>
        </w:rPr>
        <w:t>. If a claim for indemnifcaton or advancement of expenses under this Secton 8 is not paid in full within 30 days afer a writen claim therefor by the Covered Person has been received by the Corporaton, the Covered Person may fle suit to recover the unpaid amount of such claim and, if successful, shall be enttled to be paid the expense of prosecutng such claim. In any such acton the Corporaton shall have the burden of proving that the Covered Person is not enttled to the requested indemnifcaton or advancement of expenses under applicable law.</w:t>
      </w:r>
    </w:p>
    <w:p>
      <w:pPr>
        <w:spacing w:after="0" w:line="315" w:lineRule="exact"/>
        <w:rPr>
          <w:sz w:val="20"/>
          <w:szCs w:val="20"/>
          <w:color w:val="auto"/>
        </w:rPr>
      </w:pPr>
    </w:p>
    <w:p>
      <w:pPr>
        <w:jc w:val="both"/>
        <w:ind w:left="320" w:right="380"/>
        <w:spacing w:after="0" w:line="239" w:lineRule="auto"/>
        <w:rPr>
          <w:sz w:val="20"/>
          <w:szCs w:val="20"/>
          <w:color w:val="auto"/>
        </w:rPr>
      </w:pPr>
      <w:r>
        <w:rPr>
          <w:rFonts w:ascii="Calibri" w:cs="Calibri" w:eastAsia="Calibri" w:hAnsi="Calibri"/>
          <w:sz w:val="17"/>
          <w:szCs w:val="17"/>
          <w:color w:val="auto"/>
        </w:rPr>
        <w:t xml:space="preserve">8.4 </w:t>
      </w:r>
      <w:r>
        <w:rPr>
          <w:rFonts w:ascii="Calibri" w:cs="Calibri" w:eastAsia="Calibri" w:hAnsi="Calibri"/>
          <w:sz w:val="17"/>
          <w:szCs w:val="17"/>
          <w:u w:val="single" w:color="auto"/>
          <w:color w:val="auto"/>
        </w:rPr>
        <w:t>Nonexclusivity of Rights</w:t>
      </w:r>
      <w:r>
        <w:rPr>
          <w:rFonts w:ascii="Calibri" w:cs="Calibri" w:eastAsia="Calibri" w:hAnsi="Calibri"/>
          <w:sz w:val="17"/>
          <w:szCs w:val="17"/>
          <w:color w:val="auto"/>
        </w:rPr>
        <w:t>. The rights conferred on any Covered Person by this Secton 8 shall not be exclusive of any other rights that such Covered Person may have or hereafer acquire under any statute, provision of this Certfcate of Incorporaton, the By-laws, agreement, vote of stockholders or disinterested Directors or otherwise.</w:t>
      </w:r>
    </w:p>
    <w:p>
      <w:pPr>
        <w:spacing w:after="0" w:line="317" w:lineRule="exact"/>
        <w:rPr>
          <w:sz w:val="20"/>
          <w:szCs w:val="20"/>
          <w:color w:val="auto"/>
        </w:rPr>
      </w:pPr>
    </w:p>
    <w:p>
      <w:pPr>
        <w:jc w:val="both"/>
        <w:ind w:left="320" w:right="20"/>
        <w:spacing w:after="0" w:line="239" w:lineRule="auto"/>
        <w:rPr>
          <w:sz w:val="20"/>
          <w:szCs w:val="20"/>
          <w:color w:val="auto"/>
        </w:rPr>
      </w:pPr>
      <w:r>
        <w:rPr>
          <w:rFonts w:ascii="Calibri" w:cs="Calibri" w:eastAsia="Calibri" w:hAnsi="Calibri"/>
          <w:sz w:val="17"/>
          <w:szCs w:val="17"/>
          <w:color w:val="auto"/>
        </w:rPr>
        <w:t xml:space="preserve">8.5 </w:t>
      </w:r>
      <w:r>
        <w:rPr>
          <w:rFonts w:ascii="Calibri" w:cs="Calibri" w:eastAsia="Calibri" w:hAnsi="Calibri"/>
          <w:sz w:val="17"/>
          <w:szCs w:val="17"/>
          <w:u w:val="single" w:color="auto"/>
          <w:color w:val="auto"/>
        </w:rPr>
        <w:t>Other Sources</w:t>
      </w:r>
      <w:r>
        <w:rPr>
          <w:rFonts w:ascii="Calibri" w:cs="Calibri" w:eastAsia="Calibri" w:hAnsi="Calibri"/>
          <w:sz w:val="17"/>
          <w:szCs w:val="17"/>
          <w:color w:val="auto"/>
        </w:rPr>
        <w:t>. The Corporaton’s obligaton, if any, to indemnify or to advance expenses to any Covered Person who was or is serving at its request as a Director, ofcer, employee or agent of an Other Entty shall be reduced by any amount such Covered Person collects as indemnifcaton or advancement of expenses from such Other Entty.</w:t>
      </w:r>
    </w:p>
    <w:p>
      <w:pPr>
        <w:spacing w:after="0" w:line="317" w:lineRule="exact"/>
        <w:rPr>
          <w:sz w:val="20"/>
          <w:szCs w:val="20"/>
          <w:color w:val="auto"/>
        </w:rPr>
      </w:pPr>
    </w:p>
    <w:p>
      <w:pPr>
        <w:jc w:val="both"/>
        <w:ind w:left="320" w:right="600"/>
        <w:spacing w:after="0" w:line="239" w:lineRule="auto"/>
        <w:rPr>
          <w:sz w:val="20"/>
          <w:szCs w:val="20"/>
          <w:color w:val="auto"/>
        </w:rPr>
      </w:pPr>
      <w:r>
        <w:rPr>
          <w:rFonts w:ascii="Calibri" w:cs="Calibri" w:eastAsia="Calibri" w:hAnsi="Calibri"/>
          <w:sz w:val="17"/>
          <w:szCs w:val="17"/>
          <w:color w:val="auto"/>
        </w:rPr>
        <w:t xml:space="preserve">8.6 </w:t>
      </w:r>
      <w:r>
        <w:rPr>
          <w:rFonts w:ascii="Calibri" w:cs="Calibri" w:eastAsia="Calibri" w:hAnsi="Calibri"/>
          <w:sz w:val="17"/>
          <w:szCs w:val="17"/>
          <w:u w:val="single" w:color="auto"/>
          <w:color w:val="auto"/>
        </w:rPr>
        <w:t>Amendment or Repeal</w:t>
      </w:r>
      <w:r>
        <w:rPr>
          <w:rFonts w:ascii="Calibri" w:cs="Calibri" w:eastAsia="Calibri" w:hAnsi="Calibri"/>
          <w:sz w:val="17"/>
          <w:szCs w:val="17"/>
          <w:color w:val="auto"/>
        </w:rPr>
        <w:t>. Any repeal or modifcaton of the foregoing provisions of this Secton 8 shall not adversely afect any right or protecton hereunder of any Covered Person in respect of any act or omission occurring prior to the tme of such repeal or modifcaton.</w:t>
      </w:r>
    </w:p>
    <w:p>
      <w:pPr>
        <w:spacing w:after="0" w:line="315" w:lineRule="exact"/>
        <w:rPr>
          <w:sz w:val="20"/>
          <w:szCs w:val="20"/>
          <w:color w:val="auto"/>
        </w:rPr>
      </w:pPr>
    </w:p>
    <w:p>
      <w:pPr>
        <w:jc w:val="both"/>
        <w:ind w:left="320" w:right="580"/>
        <w:spacing w:after="0" w:line="239" w:lineRule="auto"/>
        <w:rPr>
          <w:sz w:val="20"/>
          <w:szCs w:val="20"/>
          <w:color w:val="auto"/>
        </w:rPr>
      </w:pPr>
      <w:r>
        <w:rPr>
          <w:rFonts w:ascii="Calibri" w:cs="Calibri" w:eastAsia="Calibri" w:hAnsi="Calibri"/>
          <w:sz w:val="17"/>
          <w:szCs w:val="17"/>
          <w:color w:val="auto"/>
        </w:rPr>
        <w:t xml:space="preserve">8.7 </w:t>
      </w:r>
      <w:r>
        <w:rPr>
          <w:rFonts w:ascii="Calibri" w:cs="Calibri" w:eastAsia="Calibri" w:hAnsi="Calibri"/>
          <w:sz w:val="17"/>
          <w:szCs w:val="17"/>
          <w:u w:val="single" w:color="auto"/>
          <w:color w:val="auto"/>
        </w:rPr>
        <w:t>Other Indemnifcaton and Prepayment of Expenses</w:t>
      </w:r>
      <w:r>
        <w:rPr>
          <w:rFonts w:ascii="Calibri" w:cs="Calibri" w:eastAsia="Calibri" w:hAnsi="Calibri"/>
          <w:sz w:val="17"/>
          <w:szCs w:val="17"/>
          <w:color w:val="auto"/>
        </w:rPr>
        <w:t>. This Secton 8 shall not limit the right of the Corporaton, to the extent and in the manner permited by applicable law, to indemnify and to advance expenses to persons other than Covered Persons when and as authorized by appropriate corporate acton.</w:t>
      </w:r>
    </w:p>
    <w:p>
      <w:pPr>
        <w:spacing w:after="0" w:line="317" w:lineRule="exact"/>
        <w:rPr>
          <w:sz w:val="20"/>
          <w:szCs w:val="20"/>
          <w:color w:val="auto"/>
        </w:rPr>
      </w:pPr>
    </w:p>
    <w:p>
      <w:pPr>
        <w:ind w:left="320" w:right="100" w:hanging="4"/>
        <w:spacing w:after="0"/>
        <w:tabs>
          <w:tab w:leader="none" w:pos="487" w:val="left"/>
        </w:tabs>
        <w:numPr>
          <w:ilvl w:val="0"/>
          <w:numId w:val="79"/>
        </w:numPr>
        <w:rPr>
          <w:rFonts w:ascii="Calibri" w:cs="Calibri" w:eastAsia="Calibri" w:hAnsi="Calibri"/>
          <w:sz w:val="17"/>
          <w:szCs w:val="17"/>
          <w:color w:val="auto"/>
        </w:rPr>
      </w:pPr>
      <w:r>
        <w:rPr>
          <w:rFonts w:ascii="Calibri" w:cs="Calibri" w:eastAsia="Calibri" w:hAnsi="Calibri"/>
          <w:sz w:val="17"/>
          <w:szCs w:val="17"/>
          <w:u w:val="single" w:color="auto"/>
          <w:color w:val="auto"/>
        </w:rPr>
        <w:t>Adopton, Amendment and/or Repeal of By-Laws</w:t>
      </w:r>
      <w:r>
        <w:rPr>
          <w:rFonts w:ascii="Calibri" w:cs="Calibri" w:eastAsia="Calibri" w:hAnsi="Calibri"/>
          <w:sz w:val="17"/>
          <w:szCs w:val="17"/>
          <w:color w:val="auto"/>
        </w:rPr>
        <w:t>. In furtherance and not in limitaton of the powers conferred by the laws of the State of Delaware, the Board is expressly authorized to make, alter and repeal the By-laws, subject to the power of the Stockholders of the Corporaton to alter or repeal any By-laws whether adopted by them or otherwise. Notwithstanding any other provisions of this Certfcate of Incorporaton or the By-laws (and notwithstanding the fact that a lesser percentage may be permited by applicable law, this Certfcate of Incorporaton or the By-laws), but in additon to any afrmatve vote of the holders</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40" w:type="dxa"/>
            <w:vAlign w:val="bottom"/>
            <w:vMerge w:val="restart"/>
          </w:tcPr>
          <w:p>
            <w:pPr>
              <w:ind w:left="4020"/>
              <w:spacing w:after="0"/>
              <w:rPr>
                <w:sz w:val="20"/>
                <w:szCs w:val="20"/>
                <w:color w:val="auto"/>
              </w:rPr>
            </w:pPr>
            <w:r>
              <w:rPr>
                <w:rFonts w:ascii="Calibri" w:cs="Calibri" w:eastAsia="Calibri" w:hAnsi="Calibri"/>
                <w:sz w:val="13"/>
                <w:szCs w:val="13"/>
                <w:color w:val="auto"/>
                <w:w w:val="98"/>
              </w:rPr>
              <w:t>EXL 2024 Proxy Statement </w:t>
            </w:r>
          </w:p>
        </w:tc>
        <w:tc>
          <w:tcPr>
            <w:tcW w:w="74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A-5</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Annex A</w:t>
      </w:r>
    </w:p>
    <w:p>
      <w:pPr>
        <w:spacing w:after="0" w:line="348"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of any partcular class of stock of the Corporaton required by applicable law or this Certfcate of Incorporaton, the afrmatve vote of the holders of at least 66 2/3% of the votng power of the shares of the then outstanding votng stock of the Corporaton, votng together as a single class, shall be required to adopt new By-laws or to alter, amend or repeal the By-laws.</w:t>
      </w:r>
    </w:p>
    <w:p>
      <w:pPr>
        <w:spacing w:after="0" w:line="317" w:lineRule="exact"/>
        <w:rPr>
          <w:sz w:val="20"/>
          <w:szCs w:val="20"/>
          <w:color w:val="auto"/>
        </w:rPr>
      </w:pPr>
    </w:p>
    <w:p>
      <w:pPr>
        <w:ind w:left="320" w:right="260" w:hanging="4"/>
        <w:spacing w:after="0"/>
        <w:tabs>
          <w:tab w:leader="none" w:pos="572" w:val="left"/>
        </w:tabs>
        <w:numPr>
          <w:ilvl w:val="0"/>
          <w:numId w:val="80"/>
        </w:numPr>
        <w:rPr>
          <w:rFonts w:ascii="Calibri" w:cs="Calibri" w:eastAsia="Calibri" w:hAnsi="Calibri"/>
          <w:sz w:val="17"/>
          <w:szCs w:val="17"/>
          <w:color w:val="auto"/>
        </w:rPr>
      </w:pPr>
      <w:r>
        <w:rPr>
          <w:rFonts w:ascii="Calibri" w:cs="Calibri" w:eastAsia="Calibri" w:hAnsi="Calibri"/>
          <w:sz w:val="17"/>
          <w:szCs w:val="17"/>
          <w:u w:val="single" w:color="auto"/>
          <w:color w:val="auto"/>
        </w:rPr>
        <w:t>Certfcate Amendments</w:t>
      </w:r>
      <w:r>
        <w:rPr>
          <w:rFonts w:ascii="Calibri" w:cs="Calibri" w:eastAsia="Calibri" w:hAnsi="Calibri"/>
          <w:sz w:val="17"/>
          <w:szCs w:val="17"/>
          <w:color w:val="auto"/>
        </w:rPr>
        <w:t>. The Corporaton reserves the right at any tme, and from tme to tme, to amend, alter, change or repeal any provision contained in this Certfcate of Incorporaton. In additon, other provisions authorized by the laws of the State of Delaware at the tme in force may be added or inserted, in the manner now or hereafer prescribed by applicable law. All rights, preferences and privileges of whatsoever nature conferred upon stockholders, Directors or any other persons whomsoever by and pursuant to this Certfcate of Incorporaton in its present form or as hereafer amended are granted and held subject to the rights the Corporaton has reserved in this Secton 10. Notwithstanding any other provisions of this Certfcate of Incorporaton or the By-laws (and notwithstanding the fact that a lesser percentage may be permited by applicable law, this Certfcate of Incorporaton or the By-laws), but in additon to any afrmatve vote of the holders of any partcular class of stock of the Corporaton required by applicable law or this Certfcate of Incorporaton, the afrmatve vote of the holders of at least 66 2/3% of the votng power of the shares of the then outstanding votng stock of the Corporaton, votng together as a single class, shall be required to amend or repeal, or adopt any provisions inconsistent with Sectons 6, 9, 10, 11 or 12 of this Certfcate of Incorporaton.</w:t>
      </w:r>
    </w:p>
    <w:p>
      <w:pPr>
        <w:spacing w:after="0" w:line="318" w:lineRule="exact"/>
        <w:rPr>
          <w:rFonts w:ascii="Calibri" w:cs="Calibri" w:eastAsia="Calibri" w:hAnsi="Calibri"/>
          <w:sz w:val="17"/>
          <w:szCs w:val="17"/>
          <w:color w:val="auto"/>
        </w:rPr>
      </w:pPr>
    </w:p>
    <w:p>
      <w:pPr>
        <w:ind w:left="320" w:right="80" w:hanging="4"/>
        <w:spacing w:after="0"/>
        <w:tabs>
          <w:tab w:leader="none" w:pos="572" w:val="left"/>
        </w:tabs>
        <w:numPr>
          <w:ilvl w:val="0"/>
          <w:numId w:val="80"/>
        </w:numPr>
        <w:rPr>
          <w:rFonts w:ascii="Calibri" w:cs="Calibri" w:eastAsia="Calibri" w:hAnsi="Calibri"/>
          <w:sz w:val="17"/>
          <w:szCs w:val="17"/>
          <w:color w:val="auto"/>
        </w:rPr>
      </w:pPr>
      <w:r>
        <w:rPr>
          <w:rFonts w:ascii="Calibri" w:cs="Calibri" w:eastAsia="Calibri" w:hAnsi="Calibri"/>
          <w:sz w:val="17"/>
          <w:szCs w:val="17"/>
          <w:u w:val="single" w:color="auto"/>
          <w:color w:val="auto"/>
        </w:rPr>
        <w:t>Writen Consent Prohibiton</w:t>
      </w:r>
      <w:r>
        <w:rPr>
          <w:rFonts w:ascii="Calibri" w:cs="Calibri" w:eastAsia="Calibri" w:hAnsi="Calibri"/>
          <w:sz w:val="17"/>
          <w:szCs w:val="17"/>
          <w:color w:val="auto"/>
        </w:rPr>
        <w:t>. Except as otherwise provided for or fxed pursuant to the provisions of Secton 5 of this Certfcate of Incorporaton relatng to the rights of holders of any series of Preferred Stock, no acton that is required or permited to be taken by the stockholders of the Corporaton at any annual or special meetng of stockholders may be efected by writen consent of stockholders in lieu of a meetng of stockholders, unless the acton to be efected by writen consent of stockholders and the taking of such acton by such writen consent have expressly been approved in advance by the Board.</w:t>
      </w:r>
    </w:p>
    <w:p>
      <w:pPr>
        <w:spacing w:after="0" w:line="200" w:lineRule="exact"/>
        <w:rPr>
          <w:rFonts w:ascii="Calibri" w:cs="Calibri" w:eastAsia="Calibri" w:hAnsi="Calibri"/>
          <w:sz w:val="17"/>
          <w:szCs w:val="17"/>
          <w:color w:val="auto"/>
        </w:rPr>
      </w:pPr>
    </w:p>
    <w:p>
      <w:pPr>
        <w:spacing w:after="0" w:line="322" w:lineRule="exact"/>
        <w:rPr>
          <w:rFonts w:ascii="Calibri" w:cs="Calibri" w:eastAsia="Calibri" w:hAnsi="Calibri"/>
          <w:sz w:val="17"/>
          <w:szCs w:val="17"/>
          <w:color w:val="auto"/>
        </w:rPr>
      </w:pPr>
    </w:p>
    <w:p>
      <w:pPr>
        <w:ind w:left="320" w:right="220" w:hanging="4"/>
        <w:spacing w:after="0" w:line="239" w:lineRule="auto"/>
        <w:tabs>
          <w:tab w:leader="none" w:pos="572" w:val="left"/>
        </w:tabs>
        <w:numPr>
          <w:ilvl w:val="0"/>
          <w:numId w:val="80"/>
        </w:numPr>
        <w:rPr>
          <w:rFonts w:ascii="Calibri" w:cs="Calibri" w:eastAsia="Calibri" w:hAnsi="Calibri"/>
          <w:sz w:val="17"/>
          <w:szCs w:val="17"/>
          <w:color w:val="auto"/>
        </w:rPr>
      </w:pPr>
      <w:r>
        <w:rPr>
          <w:rFonts w:ascii="Calibri" w:cs="Calibri" w:eastAsia="Calibri" w:hAnsi="Calibri"/>
          <w:sz w:val="17"/>
          <w:szCs w:val="17"/>
          <w:u w:val="single" w:color="auto"/>
          <w:color w:val="auto"/>
        </w:rPr>
        <w:t>Special Meetngs of the Corporaton’s Stockholders</w:t>
      </w:r>
      <w:r>
        <w:rPr>
          <w:rFonts w:ascii="Calibri" w:cs="Calibri" w:eastAsia="Calibri" w:hAnsi="Calibri"/>
          <w:sz w:val="17"/>
          <w:szCs w:val="17"/>
          <w:color w:val="auto"/>
        </w:rPr>
        <w:t>. Unless otherwise provided by applicable law and subject to the express terms of any series of shares of Preferred Stock, a special meetng of the Corporaton’s stockholders may be called only by (a) the Corporaton’s Chairman of the Board or (b) a majority of the members of the Board, and may not be called by any other person or persons.</w:t>
      </w:r>
    </w:p>
    <w:p>
      <w:pPr>
        <w:spacing w:after="0" w:line="31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6880" w:type="dxa"/>
            <w:vAlign w:val="bottom"/>
          </w:tcPr>
          <w:p>
            <w:pPr>
              <w:spacing w:after="0"/>
              <w:rPr>
                <w:sz w:val="20"/>
                <w:szCs w:val="20"/>
                <w:color w:val="auto"/>
              </w:rPr>
            </w:pPr>
            <w:r>
              <w:rPr>
                <w:rFonts w:ascii="Calibri" w:cs="Calibri" w:eastAsia="Calibri" w:hAnsi="Calibri"/>
                <w:sz w:val="17"/>
                <w:szCs w:val="17"/>
                <w:color w:val="auto"/>
              </w:rPr>
              <w:t xml:space="preserve">WITNESS the signature of this Fourth Amended and Restated Certfcate of Incorporaton this [       </w:t>
            </w:r>
          </w:p>
        </w:tc>
        <w:tc>
          <w:tcPr>
            <w:tcW w:w="3740" w:type="dxa"/>
            <w:vAlign w:val="bottom"/>
          </w:tcPr>
          <w:p>
            <w:pPr>
              <w:ind w:left="80"/>
              <w:spacing w:after="0"/>
              <w:rPr>
                <w:sz w:val="20"/>
                <w:szCs w:val="20"/>
                <w:color w:val="auto"/>
              </w:rPr>
            </w:pPr>
            <w:r>
              <w:rPr>
                <w:rFonts w:ascii="Calibri" w:cs="Calibri" w:eastAsia="Calibri" w:hAnsi="Calibri"/>
                <w:sz w:val="17"/>
                <w:szCs w:val="17"/>
                <w:color w:val="auto"/>
              </w:rPr>
              <w:t>   ] day of [            ], 2024.</w:t>
            </w:r>
          </w:p>
        </w:tc>
        <w:tc>
          <w:tcPr>
            <w:tcW w:w="0" w:type="dxa"/>
            <w:vAlign w:val="bottom"/>
          </w:tcPr>
          <w:p>
            <w:pPr>
              <w:spacing w:after="0"/>
              <w:rPr>
                <w:sz w:val="1"/>
                <w:szCs w:val="1"/>
                <w:color w:val="auto"/>
              </w:rPr>
            </w:pPr>
          </w:p>
        </w:tc>
      </w:tr>
      <w:tr>
        <w:trPr>
          <w:trHeight w:val="559"/>
        </w:trPr>
        <w:tc>
          <w:tcPr>
            <w:tcW w:w="10620" w:type="dxa"/>
            <w:vAlign w:val="bottom"/>
            <w:gridSpan w:val="2"/>
          </w:tcPr>
          <w:p>
            <w:pPr>
              <w:ind w:left="6380"/>
              <w:spacing w:after="0"/>
              <w:rPr>
                <w:sz w:val="20"/>
                <w:szCs w:val="20"/>
                <w:color w:val="auto"/>
              </w:rPr>
            </w:pPr>
            <w:r>
              <w:rPr>
                <w:rFonts w:ascii="Calibri" w:cs="Calibri" w:eastAsia="Calibri" w:hAnsi="Calibri"/>
                <w:sz w:val="17"/>
                <w:szCs w:val="17"/>
                <w:color w:val="auto"/>
              </w:rPr>
              <w:t>EXLSERVICE HOLDINGS, INC.</w:t>
            </w:r>
          </w:p>
        </w:tc>
        <w:tc>
          <w:tcPr>
            <w:tcW w:w="0" w:type="dxa"/>
            <w:vAlign w:val="bottom"/>
          </w:tcPr>
          <w:p>
            <w:pPr>
              <w:spacing w:after="0"/>
              <w:rPr>
                <w:sz w:val="1"/>
                <w:szCs w:val="1"/>
                <w:color w:val="auto"/>
              </w:rPr>
            </w:pPr>
          </w:p>
        </w:tc>
      </w:tr>
      <w:tr>
        <w:trPr>
          <w:trHeight w:val="429"/>
        </w:trPr>
        <w:tc>
          <w:tcPr>
            <w:tcW w:w="6880" w:type="dxa"/>
            <w:vAlign w:val="bottom"/>
          </w:tcPr>
          <w:p>
            <w:pPr>
              <w:ind w:left="6380"/>
              <w:spacing w:after="0"/>
              <w:rPr>
                <w:sz w:val="20"/>
                <w:szCs w:val="20"/>
                <w:color w:val="auto"/>
              </w:rPr>
            </w:pPr>
            <w:r>
              <w:rPr>
                <w:rFonts w:ascii="Calibri" w:cs="Calibri" w:eastAsia="Calibri" w:hAnsi="Calibri"/>
                <w:sz w:val="17"/>
                <w:szCs w:val="17"/>
                <w:color w:val="auto"/>
              </w:rPr>
              <w:t>By:</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880" w:type="dxa"/>
            <w:vAlign w:val="bottom"/>
            <w:vMerge w:val="restart"/>
          </w:tcPr>
          <w:p>
            <w:pPr>
              <w:ind w:left="6380"/>
              <w:spacing w:after="0"/>
              <w:rPr>
                <w:sz w:val="20"/>
                <w:szCs w:val="20"/>
                <w:color w:val="auto"/>
              </w:rPr>
            </w:pPr>
            <w:r>
              <w:rPr>
                <w:rFonts w:ascii="Calibri" w:cs="Calibri" w:eastAsia="Calibri" w:hAnsi="Calibri"/>
                <w:sz w:val="17"/>
                <w:szCs w:val="17"/>
                <w:color w:val="auto"/>
              </w:rPr>
              <w:t>Name:</w:t>
            </w:r>
          </w:p>
        </w:tc>
        <w:tc>
          <w:tcPr>
            <w:tcW w:w="3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880" w:type="dxa"/>
            <w:vAlign w:val="bottom"/>
            <w:vMerge w:val="continue"/>
          </w:tcPr>
          <w:p>
            <w:pPr>
              <w:spacing w:after="0"/>
              <w:rPr>
                <w:sz w:val="15"/>
                <w:szCs w:val="15"/>
                <w:color w:val="auto"/>
              </w:rPr>
            </w:pPr>
          </w:p>
        </w:tc>
        <w:tc>
          <w:tcPr>
            <w:tcW w:w="3740" w:type="dxa"/>
            <w:vAlign w:val="bottom"/>
          </w:tcPr>
          <w:p>
            <w:pPr>
              <w:ind w:left="60"/>
              <w:spacing w:after="0" w:line="180" w:lineRule="exact"/>
              <w:rPr>
                <w:sz w:val="20"/>
                <w:szCs w:val="20"/>
                <w:color w:val="auto"/>
              </w:rPr>
            </w:pPr>
            <w:r>
              <w:rPr>
                <w:rFonts w:ascii="Calibri" w:cs="Calibri" w:eastAsia="Calibri" w:hAnsi="Calibri"/>
                <w:sz w:val="17"/>
                <w:szCs w:val="17"/>
                <w:color w:val="auto"/>
              </w:rPr>
              <w:t>Rohit Kapoor</w:t>
            </w:r>
          </w:p>
        </w:tc>
        <w:tc>
          <w:tcPr>
            <w:tcW w:w="0" w:type="dxa"/>
            <w:vAlign w:val="bottom"/>
          </w:tcPr>
          <w:p>
            <w:pPr>
              <w:spacing w:after="0"/>
              <w:rPr>
                <w:sz w:val="1"/>
                <w:szCs w:val="1"/>
                <w:color w:val="auto"/>
              </w:rPr>
            </w:pPr>
          </w:p>
        </w:tc>
      </w:tr>
      <w:tr>
        <w:trPr>
          <w:trHeight w:val="206"/>
        </w:trPr>
        <w:tc>
          <w:tcPr>
            <w:tcW w:w="6880" w:type="dxa"/>
            <w:vAlign w:val="bottom"/>
          </w:tcPr>
          <w:p>
            <w:pPr>
              <w:ind w:left="6380"/>
              <w:spacing w:after="0" w:line="206" w:lineRule="exact"/>
              <w:rPr>
                <w:sz w:val="20"/>
                <w:szCs w:val="20"/>
                <w:color w:val="auto"/>
              </w:rPr>
            </w:pPr>
            <w:r>
              <w:rPr>
                <w:rFonts w:ascii="Calibri" w:cs="Calibri" w:eastAsia="Calibri" w:hAnsi="Calibri"/>
                <w:sz w:val="17"/>
                <w:szCs w:val="17"/>
                <w:color w:val="auto"/>
              </w:rPr>
              <w:t>Title:</w:t>
            </w:r>
          </w:p>
        </w:tc>
        <w:tc>
          <w:tcPr>
            <w:tcW w:w="3740" w:type="dxa"/>
            <w:vAlign w:val="bottom"/>
          </w:tcPr>
          <w:p>
            <w:pPr>
              <w:ind w:left="60"/>
              <w:spacing w:after="0" w:line="206" w:lineRule="exact"/>
              <w:rPr>
                <w:sz w:val="20"/>
                <w:szCs w:val="20"/>
                <w:color w:val="auto"/>
              </w:rPr>
            </w:pPr>
            <w:r>
              <w:rPr>
                <w:rFonts w:ascii="Calibri" w:cs="Calibri" w:eastAsia="Calibri" w:hAnsi="Calibri"/>
                <w:sz w:val="17"/>
                <w:szCs w:val="17"/>
                <w:color w:val="auto"/>
              </w:rPr>
              <w:t>Chief Executve Ofcer, Chair and Director</w:t>
            </w:r>
          </w:p>
        </w:tc>
        <w:tc>
          <w:tcPr>
            <w:tcW w:w="0" w:type="dxa"/>
            <w:vAlign w:val="bottom"/>
          </w:tcPr>
          <w:p>
            <w:pPr>
              <w:spacing w:after="0"/>
              <w:rPr>
                <w:sz w:val="1"/>
                <w:szCs w:val="1"/>
                <w:color w:val="auto"/>
              </w:rPr>
            </w:pPr>
          </w:p>
        </w:tc>
      </w:tr>
    </w:tbl>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00" w:type="dxa"/>
            <w:vAlign w:val="bottom"/>
            <w:vMerge w:val="restart"/>
          </w:tcPr>
          <w:p>
            <w:pPr>
              <w:spacing w:after="0"/>
              <w:rPr>
                <w:sz w:val="20"/>
                <w:szCs w:val="20"/>
                <w:color w:val="auto"/>
              </w:rPr>
            </w:pPr>
            <w:r>
              <w:rPr>
                <w:rFonts w:ascii="Calibri" w:cs="Calibri" w:eastAsia="Calibri" w:hAnsi="Calibri"/>
                <w:sz w:val="17"/>
                <w:szCs w:val="17"/>
                <w:b w:val="1"/>
                <w:bCs w:val="1"/>
                <w:color w:val="auto"/>
                <w:w w:val="92"/>
              </w:rPr>
              <w:t>A-6 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40" w:type="dxa"/>
            <w:vAlign w:val="bottom"/>
            <w:vMerge w:val="restart"/>
          </w:tcPr>
          <w:p>
            <w:pPr>
              <w:ind w:left="60"/>
              <w:spacing w:after="0"/>
              <w:rPr>
                <w:sz w:val="20"/>
                <w:szCs w:val="20"/>
                <w:color w:val="auto"/>
              </w:rPr>
            </w:pPr>
            <w:r>
              <w:rPr>
                <w:rFonts w:ascii="Calibri" w:cs="Calibri" w:eastAsia="Calibri" w:hAnsi="Calibri"/>
                <w:sz w:val="13"/>
                <w:szCs w:val="13"/>
                <w:color w:val="auto"/>
              </w:rPr>
              <w:t>   EXL 2024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4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7000240" cy="911987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ectPr>
          <w:pgSz w:w="11900" w:h="16838" w:orient="portrait"/>
          <w:cols w:equalWidth="0" w:num="1">
            <w:col w:w="10139"/>
          </w:cols>
          <w:pgMar w:left="320" w:top="471"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202565</wp:posOffset>
            </wp:positionV>
            <wp:extent cx="6129655" cy="79305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129655" cy="7930515"/>
                    </a:xfrm>
                    <a:prstGeom prst="rect">
                      <a:avLst/>
                    </a:prstGeom>
                    <a:noFill/>
                  </pic:spPr>
                </pic:pic>
              </a:graphicData>
            </a:graphic>
          </wp:anchor>
        </w:drawing>
      </w:r>
    </w:p>
    <w:p>
      <w:pPr>
        <w:sectPr>
          <w:pgSz w:w="11900" w:h="16838" w:orient="portrait"/>
          <w:cols w:equalWidth="0" w:num="1">
            <w:col w:w="10139"/>
          </w:cols>
          <w:pgMar w:left="320" w:top="471"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202565</wp:posOffset>
            </wp:positionV>
            <wp:extent cx="6129655" cy="79305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129655" cy="7930515"/>
                    </a:xfrm>
                    <a:prstGeom prst="rect">
                      <a:avLst/>
                    </a:prstGeom>
                    <a:noFill/>
                  </pic:spPr>
                </pic:pic>
              </a:graphicData>
            </a:graphic>
          </wp:anchor>
        </w:drawing>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1)"/>
      <w:numFmt w:val="decimal"/>
      <w:start w:val="1"/>
    </w:lvl>
  </w:abstractNum>
  <w:abstractNum w:abstractNumId="6">
    <w:nsid w:val="1D4ED43B"/>
    <w:multiLevelType w:val="hybridMultilevel"/>
    <w:lvl w:ilvl="0">
      <w:lvlJc w:val="left"/>
      <w:lvlText w:val="%1."/>
      <w:numFmt w:val="decimal"/>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lvl w:ilvl="1">
      <w:lvlJc w:val="left"/>
      <w:lvlText w:val="\endash "/>
      <w:numFmt w:val="bullet"/>
      <w:start w:val="1"/>
    </w:lvl>
  </w:abstractNum>
  <w:abstractNum w:abstractNumId="9">
    <w:nsid w:val="57E4CCAF"/>
    <w:multiLevelType w:val="hybridMultilevel"/>
    <w:lvl w:ilvl="0">
      <w:lvlJc w:val="left"/>
      <w:lvlText w:val=" "/>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
      <w:numFmt w:val="bullet"/>
      <w:start w:val="1"/>
    </w:lvl>
  </w:abstractNum>
  <w:abstractNum w:abstractNumId="14">
    <w:nsid w:val="38437FDB"/>
    <w:multiLevelType w:val="hybridMultilevel"/>
    <w:lvl w:ilvl="0">
      <w:lvlJc w:val="left"/>
      <w:lvlText w:val=" "/>
      <w:numFmt w:val="bullet"/>
      <w:start w:val="1"/>
    </w:lvl>
  </w:abstractNum>
  <w:abstractNum w:abstractNumId="15">
    <w:nsid w:val="7644A45C"/>
    <w:multiLevelType w:val="hybridMultilevel"/>
    <w:lvl w:ilvl="0">
      <w:lvlJc w:val="left"/>
      <w:lvlText w:val=" "/>
      <w:numFmt w:val="bullet"/>
      <w:start w:val="1"/>
    </w:lvl>
  </w:abstractNum>
  <w:abstractNum w:abstractNumId="16">
    <w:nsid w:val="32FFF902"/>
    <w:multiLevelType w:val="hybridMultilevel"/>
    <w:lvl w:ilvl="0">
      <w:lvlJc w:val="left"/>
      <w:lvlText w:val=" "/>
      <w:numFmt w:val="bullet"/>
      <w:start w:val="1"/>
    </w:lvl>
  </w:abstractNum>
  <w:abstractNum w:abstractNumId="17">
    <w:nsid w:val="684A481A"/>
    <w:multiLevelType w:val="hybridMultilevel"/>
    <w:lvl w:ilvl="0">
      <w:lvlJc w:val="left"/>
      <w:lvlText w:val=" "/>
      <w:numFmt w:val="bullet"/>
      <w:start w:val="1"/>
    </w:lvl>
  </w:abstractNum>
  <w:abstractNum w:abstractNumId="18">
    <w:nsid w:val="579478FE"/>
    <w:multiLevelType w:val="hybridMultilevel"/>
    <w:lvl w:ilvl="0">
      <w:lvlJc w:val="left"/>
      <w:lvlText w:val=" "/>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
      <w:numFmt w:val="bullet"/>
      <w:start w:val="1"/>
    </w:lvl>
  </w:abstractNum>
  <w:abstractNum w:abstractNumId="21">
    <w:nsid w:val="1BA026FA"/>
    <w:multiLevelType w:val="hybridMultilevel"/>
    <w:lvl w:ilvl="0">
      <w:lvlJc w:val="left"/>
      <w:lvlText w:val="(%1)"/>
      <w:numFmt w:val="lowerRoman"/>
      <w:start w:val="1"/>
    </w:lvl>
  </w:abstractNum>
  <w:abstractNum w:abstractNumId="22">
    <w:nsid w:val="79A1DEAA"/>
    <w:multiLevelType w:val="hybridMultilevel"/>
    <w:lvl w:ilvl="0">
      <w:lvlJc w:val="left"/>
      <w:lvlText w:val="(%1)"/>
      <w:numFmt w:val="lowerRoman"/>
      <w:start w:val="4"/>
    </w:lvl>
  </w:abstractNum>
  <w:abstractNum w:abstractNumId="23">
    <w:nsid w:val="75C6C33A"/>
    <w:multiLevelType w:val="hybridMultilevel"/>
    <w:lvl w:ilvl="0">
      <w:lvlJc w:val="left"/>
      <w:lvlText w:val=" "/>
      <w:numFmt w:val="bullet"/>
      <w:start w:val="1"/>
    </w:lvl>
  </w:abstractNum>
  <w:abstractNum w:abstractNumId="24">
    <w:nsid w:val="12E685FB"/>
    <w:multiLevelType w:val="hybridMultilevel"/>
    <w:lvl w:ilvl="0">
      <w:lvlJc w:val="left"/>
      <w:lvlText w:val="2"/>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lvl w:ilvl="1">
      <w:lvlJc w:val="left"/>
      <w:lvlText w:val="\endash "/>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
      <w:numFmt w:val="bullet"/>
      <w:start w:val="1"/>
    </w:lvl>
    <w:lvl w:ilvl="1">
      <w:lvlJc w:val="left"/>
      <w:lvlText w:val="\endash "/>
      <w:numFmt w:val="bullet"/>
      <w:start w:val="1"/>
    </w:lvl>
  </w:abstractNum>
  <w:abstractNum w:abstractNumId="32">
    <w:nsid w:val="39386575"/>
    <w:multiLevelType w:val="hybridMultilevel"/>
    <w:lvl w:ilvl="0">
      <w:lvlJc w:val="left"/>
      <w:lvlText w:val="\endash "/>
      <w:numFmt w:val="bullet"/>
      <w:start w:val="1"/>
    </w:lvl>
  </w:abstractNum>
  <w:abstractNum w:abstractNumId="33">
    <w:nsid w:val="1CF10FD8"/>
    <w:multiLevelType w:val="hybridMultilevel"/>
    <w:lvl w:ilvl="0">
      <w:lvlJc w:val="left"/>
      <w:lvlText w:val=" "/>
      <w:numFmt w:val="bullet"/>
      <w:start w:val="1"/>
    </w:lvl>
  </w:abstractNum>
  <w:abstractNum w:abstractNumId="34">
    <w:nsid w:val="180115BE"/>
    <w:multiLevelType w:val="hybridMultilevel"/>
    <w:lvl w:ilvl="0">
      <w:lvlJc w:val="left"/>
      <w:lvlText w:val="•"/>
      <w:numFmt w:val="bullet"/>
      <w:start w:val="1"/>
    </w:lvl>
    <w:lvl w:ilvl="1">
      <w:lvlJc w:val="left"/>
      <w:lvlText w:val="\endash "/>
      <w:numFmt w:val="bullet"/>
      <w:start w:val="1"/>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1)"/>
      <w:numFmt w:val="decimal"/>
      <w:start w:val="4"/>
    </w:lvl>
  </w:abstractNum>
  <w:abstractNum w:abstractNumId="40">
    <w:nsid w:val="D34B6A8"/>
    <w:multiLevelType w:val="hybridMultilevel"/>
    <w:lvl w:ilvl="0">
      <w:lvlJc w:val="left"/>
      <w:lvlText w:val="(%1)"/>
      <w:numFmt w:val="decimal"/>
      <w:start w:val="1"/>
    </w:lvl>
  </w:abstractNum>
  <w:abstractNum w:abstractNumId="41">
    <w:nsid w:val="10233C99"/>
    <w:multiLevelType w:val="hybridMultilevel"/>
    <w:lvl w:ilvl="0">
      <w:lvlJc w:val="left"/>
      <w:lvlText w:val="(%1)"/>
      <w:numFmt w:val="decimal"/>
      <w:start w:val="7"/>
    </w:lvl>
  </w:abstractNum>
  <w:abstractNum w:abstractNumId="42">
    <w:nsid w:val="3F6AB60F"/>
    <w:multiLevelType w:val="hybridMultilevel"/>
    <w:lvl w:ilvl="0">
      <w:lvlJc w:val="left"/>
      <w:lvlText w:val="(%1)"/>
      <w:numFmt w:val="decimal"/>
      <w:start w:val="1"/>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lvl w:ilvl="1">
      <w:lvlJc w:val="left"/>
      <w:lvlText w:val="•"/>
      <w:numFmt w:val="bullet"/>
      <w:start w:val="1"/>
    </w:lvl>
    <w:lvl w:ilvl="2">
      <w:lvlJc w:val="left"/>
      <w:lvlText w:val="(%3)"/>
      <w:numFmt w:val="lowerRoman"/>
      <w:start w:val="1"/>
    </w:lvl>
    <w:lvl w:ilvl="3">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1)"/>
      <w:numFmt w:val="decimal"/>
      <w:start w:val="1"/>
    </w:lvl>
  </w:abstractNum>
  <w:abstractNum w:abstractNumId="49">
    <w:nsid w:val="2F305DE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0">
    <w:nsid w:val="25A70BF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1">
    <w:nsid w:val="1DBABF00"/>
    <w:multiLevelType w:val="hybridMultilevel"/>
    <w:lvl w:ilvl="0">
      <w:lvlJc w:val="left"/>
      <w:lvlText w:val="•"/>
      <w:numFmt w:val="bullet"/>
      <w:start w:val="1"/>
    </w:lvl>
    <w:lvl w:ilvl="1">
      <w:lvlJc w:val="left"/>
      <w:lvlText w:val="•"/>
      <w:numFmt w:val="bullet"/>
      <w:start w:val="1"/>
    </w:lvl>
  </w:abstractNum>
  <w:abstractNum w:abstractNumId="52">
    <w:nsid w:val="4AD084E9"/>
    <w:multiLevelType w:val="hybridMultilevel"/>
    <w:lvl w:ilvl="0">
      <w:lvlJc w:val="left"/>
      <w:lvlText w:val="(%1)"/>
      <w:numFmt w:val="lowerRoman"/>
      <w:start w:val="8"/>
    </w:lvl>
  </w:abstractNum>
  <w:abstractNum w:abstractNumId="53">
    <w:nsid w:val="1F48EAA1"/>
    <w:multiLevelType w:val="hybridMultilevel"/>
    <w:lvl w:ilvl="0">
      <w:lvlJc w:val="left"/>
      <w:lvlText w:val="(%1)"/>
      <w:numFmt w:val="lowerRoman"/>
      <w:start w:val="2"/>
    </w:lvl>
  </w:abstractNum>
  <w:abstractNum w:abstractNumId="54">
    <w:nsid w:val="1381823A"/>
    <w:multiLevelType w:val="hybridMultilevel"/>
    <w:lvl w:ilvl="0">
      <w:lvlJc w:val="left"/>
      <w:lvlText w:val="(%1)"/>
      <w:numFmt w:val="decimal"/>
      <w:start w:val="1"/>
    </w:lvl>
  </w:abstractNum>
  <w:abstractNum w:abstractNumId="55">
    <w:nsid w:val="5DB70AE5"/>
    <w:multiLevelType w:val="hybridMultilevel"/>
    <w:lvl w:ilvl="0">
      <w:lvlJc w:val="left"/>
      <w:lvlText w:val="(%1)"/>
      <w:numFmt w:val="decimal"/>
      <w:start w:val="1"/>
    </w:lvl>
    <w:lvl w:ilvl="1">
      <w:lvlJc w:val="left"/>
      <w:lvlText w:val="•"/>
      <w:numFmt w:val="bullet"/>
      <w:start w:val="1"/>
    </w:lvl>
  </w:abstractNum>
  <w:abstractNum w:abstractNumId="56">
    <w:nsid w:val="100F8FCA"/>
    <w:multiLevelType w:val="hybridMultilevel"/>
    <w:lvl w:ilvl="0">
      <w:lvlJc w:val="left"/>
      <w:lvlText w:val="(%1)"/>
      <w:numFmt w:val="decimal"/>
      <w:start w:val="4"/>
    </w:lvl>
  </w:abstractNum>
  <w:abstractNum w:abstractNumId="57">
    <w:nsid w:val="6590700B"/>
    <w:multiLevelType w:val="hybridMultilevel"/>
    <w:lvl w:ilvl="0">
      <w:lvlJc w:val="left"/>
      <w:lvlText w:val="(%1)"/>
      <w:numFmt w:val="decimal"/>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1)"/>
      <w:numFmt w:val="decimal"/>
      <w:start w:val="1"/>
    </w:lvl>
  </w:abstractNum>
  <w:abstractNum w:abstractNumId="60">
    <w:nsid w:val="98A3148"/>
    <w:multiLevelType w:val="hybridMultilevel"/>
    <w:lvl w:ilvl="0">
      <w:lvlJc w:val="left"/>
      <w:lvlText w:val="(%1)"/>
      <w:numFmt w:val="lowerLetter"/>
      <w:start w:val="5"/>
    </w:lvl>
  </w:abstractNum>
  <w:abstractNum w:abstractNumId="61">
    <w:nsid w:val="799D0247"/>
    <w:multiLevelType w:val="hybridMultilevel"/>
    <w:lvl w:ilvl="0">
      <w:lvlJc w:val="left"/>
      <w:lvlText w:val=" "/>
      <w:numFmt w:val="bullet"/>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1)"/>
      <w:numFmt w:val="lowerRoman"/>
      <w:start w:val="3"/>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1."/>
      <w:numFmt w:val="decimal"/>
      <w:start w:val="7"/>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1)"/>
      <w:numFmt w:val="decimal"/>
      <w:start w:val="1"/>
    </w:lvl>
  </w:abstractNum>
  <w:abstractNum w:abstractNumId="71">
    <w:nsid w:val="613EFDC5"/>
    <w:multiLevelType w:val="hybridMultilevel"/>
    <w:lvl w:ilvl="0">
      <w:lvlJc w:val="left"/>
      <w:lvlText w:val="(%1)"/>
      <w:numFmt w:val="decimal"/>
      <w:start w:val="3"/>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decimal"/>
      <w:start w:val="4"/>
    </w:lvl>
  </w:abstractNum>
  <w:abstractNum w:abstractNumId="74">
    <w:nsid w:val="42963E5A"/>
    <w:multiLevelType w:val="hybridMultilevel"/>
    <w:lvl w:ilvl="0">
      <w:lvlJc w:val="left"/>
      <w:lvlText w:val="(%1)"/>
      <w:numFmt w:val="lowerLetter"/>
      <w:start w:val="6"/>
    </w:lvl>
  </w:abstractNum>
  <w:abstractNum w:abstractNumId="75">
    <w:nsid w:val="A0382C5"/>
    <w:multiLevelType w:val="hybridMultilevel"/>
    <w:lvl w:ilvl="0">
      <w:lvlJc w:val="left"/>
      <w:lvlText w:val="%1."/>
      <w:numFmt w:val="decimal"/>
      <w:start w:val="6"/>
    </w:lvl>
  </w:abstractNum>
  <w:abstractNum w:abstractNumId="76">
    <w:nsid w:val="8F2B15E"/>
    <w:multiLevelType w:val="hybridMultilevel"/>
    <w:lvl w:ilvl="0">
      <w:lvlJc w:val="left"/>
      <w:lvlText w:val="(%1)"/>
      <w:numFmt w:val="lowerRoman"/>
      <w:start w:val="1"/>
    </w:lvl>
  </w:abstractNum>
  <w:abstractNum w:abstractNumId="77">
    <w:nsid w:val="1A32234B"/>
    <w:multiLevelType w:val="hybridMultilevel"/>
    <w:lvl w:ilvl="0">
      <w:lvlJc w:val="left"/>
      <w:lvlText w:val="%1."/>
      <w:numFmt w:val="decimal"/>
      <w:start w:val="7"/>
    </w:lvl>
  </w:abstractNum>
  <w:abstractNum w:abstractNumId="78">
    <w:nsid w:val="3B0FD379"/>
    <w:multiLevelType w:val="hybridMultilevel"/>
    <w:lvl w:ilvl="0">
      <w:lvlJc w:val="left"/>
      <w:lvlText w:val="%1."/>
      <w:numFmt w:val="decimal"/>
      <w:start w:val="9"/>
    </w:lvl>
  </w:abstractNum>
  <w:abstractNum w:abstractNumId="79">
    <w:nsid w:val="68EB2F6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2024-04-29T14:35:09Z</dcterms:created>
  <dcterms:modified xsi:type="dcterms:W3CDTF">2024-04-29T14:35:09Z</dcterms:modified>
</cp:coreProperties>
</file>