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line="13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5315585</wp:posOffset>
            </wp:positionH>
            <wp:positionV relativeFrom="paragraph">
              <wp:posOffset>-610235</wp:posOffset>
            </wp:positionV>
            <wp:extent cx="8255" cy="6108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10870"/>
                    </a:xfrm>
                    <a:prstGeom prst="rect">
                      <a:avLst/>
                    </a:prstGeom>
                    <a:noFill/>
                  </pic:spPr>
                </pic:pic>
              </a:graphicData>
            </a:graphic>
          </wp:anchor>
        </w:drawing>
        <w:drawing>
          <wp:anchor simplePos="0" relativeHeight="251657728" behindDoc="1" locked="0" layoutInCell="0" allowOverlap="1">
            <wp:simplePos x="0" y="0"/>
            <wp:positionH relativeFrom="column">
              <wp:posOffset>4011295</wp:posOffset>
            </wp:positionH>
            <wp:positionV relativeFrom="paragraph">
              <wp:posOffset>-618490</wp:posOffset>
            </wp:positionV>
            <wp:extent cx="8255" cy="6191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9125"/>
                    </a:xfrm>
                    <a:prstGeom prst="rect">
                      <a:avLst/>
                    </a:prstGeom>
                    <a:noFill/>
                  </pic:spPr>
                </pic:pic>
              </a:graphicData>
            </a:graphic>
          </wp:anchor>
        </w:drawing>
        <w:drawing>
          <wp:anchor simplePos="0" relativeHeight="251657728" behindDoc="1" locked="0" layoutInCell="0" allowOverlap="1">
            <wp:simplePos x="0" y="0"/>
            <wp:positionH relativeFrom="column">
              <wp:posOffset>4036060</wp:posOffset>
            </wp:positionH>
            <wp:positionV relativeFrom="paragraph">
              <wp:posOffset>-593725</wp:posOffset>
            </wp:positionV>
            <wp:extent cx="1263015" cy="5695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3015" cy="56959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29210</wp:posOffset>
            </wp:positionV>
            <wp:extent cx="6967220" cy="16262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7220" cy="1626235"/>
                    </a:xfrm>
                    <a:prstGeom prst="rect">
                      <a:avLst/>
                    </a:prstGeom>
                    <a:noFill/>
                  </pic:spPr>
                </pic:pic>
              </a:graphicData>
            </a:graphic>
          </wp:anchor>
        </w:drawing>
      </w:r>
    </w:p>
    <w:p>
      <w:pPr>
        <w:spacing w:after="0" w:line="100" w:lineRule="exact"/>
        <w:rPr>
          <w:sz w:val="24"/>
          <w:szCs w:val="24"/>
          <w:color w:val="auto"/>
        </w:rPr>
      </w:pPr>
    </w:p>
    <w:p>
      <w:pPr>
        <w:sectPr>
          <w:pgSz w:w="11900" w:h="16838" w:orient="portrait"/>
          <w:cols w:equalWidth="0" w:num="2">
            <w:col w:w="2280" w:space="260"/>
            <w:col w:w="8540"/>
          </w:cols>
          <w:pgMar w:left="460" w:top="222"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OSTLER CLYDE W</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4"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320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jc w:val="center"/>
        <w:ind w:right="246"/>
        <w:spacing w:after="0"/>
        <w:rPr>
          <w:rFonts w:ascii="Arial" w:cs="Arial" w:eastAsia="Arial" w:hAnsi="Arial"/>
          <w:sz w:val="19"/>
          <w:szCs w:val="19"/>
          <w:color w:val="0000EE"/>
        </w:rPr>
      </w:pPr>
      <w:hyperlink r:id="rId14">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4"/>
          <w:szCs w:val="14"/>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0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06/15/2020</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ind w:left="-6" w:right="620" w:firstLine="6"/>
        <w:spacing w:after="0" w:line="239"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194"/>
        <w:spacing w:after="0"/>
        <w:tabs>
          <w:tab w:leader="none" w:pos="514" w:val="left"/>
          <w:tab w:leader="none" w:pos="2094"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06"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ind w:left="534"/>
        <w:spacing w:after="0"/>
        <w:tabs>
          <w:tab w:leader="none" w:pos="209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03" w:lineRule="exact"/>
        <w:rPr>
          <w:sz w:val="24"/>
          <w:szCs w:val="24"/>
          <w:color w:val="auto"/>
        </w:rPr>
      </w:pPr>
    </w:p>
    <w:p>
      <w:pPr>
        <w:sectPr>
          <w:pgSz w:w="11900" w:h="16838" w:orient="portrait"/>
          <w:cols w:equalWidth="0" w:num="3">
            <w:col w:w="3180" w:space="720"/>
            <w:col w:w="3106" w:space="720"/>
            <w:col w:w="3354"/>
          </w:cols>
          <w:pgMar w:left="460" w:top="222"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3"/>
        </w:trPr>
        <w:tc>
          <w:tcPr>
            <w:tcW w:w="20" w:type="dxa"/>
            <w:vAlign w:val="bottom"/>
          </w:tcPr>
          <w:p>
            <w:pPr>
              <w:spacing w:after="0"/>
              <w:rPr>
                <w:sz w:val="20"/>
                <w:szCs w:val="20"/>
                <w:color w:val="auto"/>
              </w:rPr>
            </w:pPr>
          </w:p>
        </w:tc>
        <w:tc>
          <w:tcPr>
            <w:tcW w:w="1080" w:type="dxa"/>
            <w:vAlign w:val="bottom"/>
          </w:tcPr>
          <w:p>
            <w:pPr>
              <w:ind w:left="20"/>
              <w:spacing w:after="0"/>
              <w:rPr>
                <w:sz w:val="20"/>
                <w:szCs w:val="20"/>
                <w:color w:val="auto"/>
              </w:rPr>
            </w:pPr>
            <w:r>
              <w:rPr>
                <w:rFonts w:ascii="Arial" w:cs="Arial" w:eastAsia="Arial" w:hAnsi="Arial"/>
                <w:sz w:val="17"/>
                <w:szCs w:val="17"/>
                <w:color w:val="0000FF"/>
              </w:rPr>
              <w:t>NEW YORK</w:t>
            </w:r>
          </w:p>
        </w:tc>
        <w:tc>
          <w:tcPr>
            <w:tcW w:w="960" w:type="dxa"/>
            <w:vAlign w:val="bottom"/>
          </w:tcPr>
          <w:p>
            <w:pPr>
              <w:ind w:left="160"/>
              <w:spacing w:after="0"/>
              <w:rPr>
                <w:sz w:val="20"/>
                <w:szCs w:val="20"/>
                <w:color w:val="auto"/>
              </w:rPr>
            </w:pPr>
            <w:r>
              <w:rPr>
                <w:rFonts w:ascii="Arial" w:cs="Arial" w:eastAsia="Arial" w:hAnsi="Arial"/>
                <w:sz w:val="17"/>
                <w:szCs w:val="17"/>
                <w:color w:val="0000FF"/>
              </w:rPr>
              <w:t>NY</w:t>
            </w:r>
          </w:p>
        </w:tc>
        <w:tc>
          <w:tcPr>
            <w:tcW w:w="1600" w:type="dxa"/>
            <w:vAlign w:val="bottom"/>
          </w:tcPr>
          <w:p>
            <w:pPr>
              <w:ind w:left="420"/>
              <w:spacing w:after="0"/>
              <w:rPr>
                <w:sz w:val="20"/>
                <w:szCs w:val="20"/>
                <w:color w:val="auto"/>
              </w:rPr>
            </w:pPr>
            <w:r>
              <w:rPr>
                <w:rFonts w:ascii="Arial" w:cs="Arial" w:eastAsia="Arial" w:hAnsi="Arial"/>
                <w:sz w:val="17"/>
                <w:szCs w:val="17"/>
                <w:color w:val="0000FF"/>
              </w:rPr>
              <w:t>10022</w:t>
            </w:r>
          </w:p>
        </w:tc>
      </w:tr>
      <w:tr>
        <w:trPr>
          <w:trHeight w:val="151"/>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21"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6"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-2473325</wp:posOffset>
            </wp:positionH>
            <wp:positionV relativeFrom="paragraph">
              <wp:posOffset>202565</wp:posOffset>
            </wp:positionV>
            <wp:extent cx="6967220" cy="8832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7220" cy="883285"/>
                    </a:xfrm>
                    <a:prstGeom prst="rect">
                      <a:avLst/>
                    </a:prstGeom>
                    <a:noFill/>
                  </pic:spPr>
                </pic:pic>
              </a:graphicData>
            </a:graphic>
          </wp:anchor>
        </w:drawing>
      </w:r>
    </w:p>
    <w:p>
      <w:pPr>
        <w:spacing w:after="0" w:line="380" w:lineRule="exact"/>
        <w:rPr>
          <w:sz w:val="24"/>
          <w:szCs w:val="24"/>
          <w:color w:val="auto"/>
        </w:rPr>
      </w:pPr>
    </w:p>
    <w:p>
      <w:pPr>
        <w:sectPr>
          <w:pgSz w:w="11900" w:h="16838" w:orient="portrait"/>
          <w:cols w:equalWidth="0" w:num="2">
            <w:col w:w="3740" w:space="160"/>
            <w:col w:w="718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0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9"/>
              </w:rPr>
              <w:t>Transaction</w:t>
            </w:r>
          </w:p>
        </w:tc>
        <w:tc>
          <w:tcPr>
            <w:tcW w:w="1920" w:type="dxa"/>
            <w:vAlign w:val="bottom"/>
            <w:gridSpan w:val="3"/>
          </w:tcPr>
          <w:p>
            <w:pPr>
              <w:ind w:left="8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00" w:type="dxa"/>
            <w:vAlign w:val="bottom"/>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50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50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500" w:type="dxa"/>
            <w:vAlign w:val="bottom"/>
          </w:tcPr>
          <w:p>
            <w:pPr>
              <w:spacing w:after="0"/>
              <w:rPr>
                <w:sz w:val="7"/>
                <w:szCs w:val="7"/>
                <w:color w:val="auto"/>
              </w:rPr>
            </w:pPr>
          </w:p>
        </w:tc>
        <w:tc>
          <w:tcPr>
            <w:tcW w:w="1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7"/>
                <w:szCs w:val="7"/>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250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0"/>
        </w:trPr>
        <w:tc>
          <w:tcPr>
            <w:tcW w:w="20" w:type="dxa"/>
            <w:vAlign w:val="bottom"/>
            <w:tcBorders>
              <w:bottom w:val="single" w:sz="8" w:color="2C2C2C"/>
            </w:tcBorders>
          </w:tcPr>
          <w:p>
            <w:pPr>
              <w:spacing w:after="0"/>
              <w:rPr>
                <w:sz w:val="6"/>
                <w:szCs w:val="6"/>
                <w:color w:val="auto"/>
              </w:rPr>
            </w:pPr>
          </w:p>
        </w:tc>
        <w:tc>
          <w:tcPr>
            <w:tcW w:w="2500" w:type="dxa"/>
            <w:vAlign w:val="bottom"/>
            <w:tcBorders>
              <w:bottom w:val="single" w:sz="8" w:color="2C2C2C"/>
            </w:tcBorders>
          </w:tcPr>
          <w:p>
            <w:pPr>
              <w:spacing w:after="0"/>
              <w:rPr>
                <w:sz w:val="6"/>
                <w:szCs w:val="6"/>
                <w:color w:val="auto"/>
              </w:rPr>
            </w:pPr>
          </w:p>
        </w:tc>
        <w:tc>
          <w:tcPr>
            <w:tcW w:w="1800" w:type="dxa"/>
            <w:vAlign w:val="bottom"/>
            <w:tcBorders>
              <w:bottom w:val="single" w:sz="8" w:color="2C2C2C"/>
            </w:tcBorders>
          </w:tcPr>
          <w:p>
            <w:pPr>
              <w:spacing w:after="0"/>
              <w:rPr>
                <w:sz w:val="6"/>
                <w:szCs w:val="6"/>
                <w:color w:val="auto"/>
              </w:rPr>
            </w:pPr>
          </w:p>
        </w:tc>
        <w:tc>
          <w:tcPr>
            <w:tcW w:w="11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500" w:type="dxa"/>
            <w:vAlign w:val="bottom"/>
            <w:tcBorders>
              <w:top w:val="single" w:sz="8" w:color="808080"/>
            </w:tcBorders>
            <w:shd w:val="clear" w:color="auto" w:fill="2C2C2C"/>
          </w:tcPr>
          <w:p>
            <w:pPr>
              <w:spacing w:after="0" w:line="20" w:lineRule="exact"/>
              <w:rPr>
                <w:sz w:val="1"/>
                <w:szCs w:val="1"/>
                <w:color w:val="auto"/>
              </w:rPr>
            </w:pPr>
          </w:p>
        </w:tc>
        <w:tc>
          <w:tcPr>
            <w:tcW w:w="1800" w:type="dxa"/>
            <w:vAlign w:val="bottom"/>
            <w:tcBorders>
              <w:top w:val="single" w:sz="8" w:color="808080"/>
            </w:tcBorders>
            <w:shd w:val="clear" w:color="auto" w:fill="2C2C2C"/>
          </w:tcPr>
          <w:p>
            <w:pPr>
              <w:spacing w:after="0" w:line="20" w:lineRule="exact"/>
              <w:rPr>
                <w:sz w:val="1"/>
                <w:szCs w:val="1"/>
                <w:color w:val="auto"/>
              </w:rPr>
            </w:pPr>
          </w:p>
        </w:tc>
        <w:tc>
          <w:tcPr>
            <w:tcW w:w="1100" w:type="dxa"/>
            <w:vAlign w:val="bottom"/>
            <w:tcBorders>
              <w:top w:val="single" w:sz="8" w:color="808080"/>
            </w:tcBorders>
            <w:shd w:val="clear" w:color="auto" w:fill="2C2C2C"/>
          </w:tcPr>
          <w:p>
            <w:pPr>
              <w:spacing w:after="0" w:line="20" w:lineRule="exact"/>
              <w:rPr>
                <w:sz w:val="1"/>
                <w:szCs w:val="1"/>
                <w:color w:val="auto"/>
              </w:rPr>
            </w:pPr>
          </w:p>
        </w:tc>
        <w:tc>
          <w:tcPr>
            <w:tcW w:w="780" w:type="dxa"/>
            <w:vAlign w:val="bottom"/>
            <w:tcBorders>
              <w:top w:val="single" w:sz="8" w:color="808080"/>
            </w:tcBorders>
            <w:shd w:val="clear" w:color="auto" w:fill="2C2C2C"/>
          </w:tcPr>
          <w:p>
            <w:pPr>
              <w:spacing w:after="0" w:line="20" w:lineRule="exact"/>
              <w:rPr>
                <w:sz w:val="1"/>
                <w:szCs w:val="1"/>
                <w:color w:val="auto"/>
              </w:rPr>
            </w:pPr>
          </w:p>
        </w:tc>
        <w:tc>
          <w:tcPr>
            <w:tcW w:w="700" w:type="dxa"/>
            <w:vAlign w:val="bottom"/>
            <w:tcBorders>
              <w:top w:val="single" w:sz="8" w:color="808080"/>
            </w:tcBorders>
            <w:shd w:val="clear" w:color="auto" w:fill="2C2C2C"/>
          </w:tcPr>
          <w:p>
            <w:pPr>
              <w:spacing w:after="0" w:line="20" w:lineRule="exact"/>
              <w:rPr>
                <w:sz w:val="1"/>
                <w:szCs w:val="1"/>
                <w:color w:val="auto"/>
              </w:rPr>
            </w:pPr>
          </w:p>
        </w:tc>
        <w:tc>
          <w:tcPr>
            <w:tcW w:w="580" w:type="dxa"/>
            <w:vAlign w:val="bottom"/>
            <w:tcBorders>
              <w:top w:val="single" w:sz="8" w:color="808080"/>
            </w:tcBorders>
            <w:shd w:val="clear" w:color="auto" w:fill="2C2C2C"/>
          </w:tcPr>
          <w:p>
            <w:pPr>
              <w:spacing w:after="0" w:line="20" w:lineRule="exact"/>
              <w:rPr>
                <w:sz w:val="1"/>
                <w:szCs w:val="1"/>
                <w:color w:val="auto"/>
              </w:rPr>
            </w:pPr>
          </w:p>
        </w:tc>
        <w:tc>
          <w:tcPr>
            <w:tcW w:w="64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94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7033260" cy="22866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3260" cy="2286635"/>
                    </a:xfrm>
                    <a:prstGeom prst="rect">
                      <a:avLst/>
                    </a:prstGeom>
                    <a:noFill/>
                  </pic:spPr>
                </pic:pic>
              </a:graphicData>
            </a:graphic>
          </wp:anchor>
        </w:drawing>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3"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1"/>
                <w:szCs w:val="11"/>
                <w:color w:val="auto"/>
              </w:rPr>
            </w:pP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260" w:type="dxa"/>
            <w:vAlign w:val="bottom"/>
          </w:tcPr>
          <w:p>
            <w:pPr>
              <w:spacing w:after="0"/>
              <w:rPr>
                <w:sz w:val="11"/>
                <w:szCs w:val="11"/>
                <w:color w:val="auto"/>
              </w:rPr>
            </w:pP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6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7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Common</w:t>
            </w:r>
          </w:p>
        </w:tc>
        <w:tc>
          <w:tcPr>
            <w:tcW w:w="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Restricted</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720" w:type="dxa"/>
            <w:vAlign w:val="bottom"/>
            <w:vMerge w:val="restart"/>
          </w:tcPr>
          <w:p>
            <w:pPr>
              <w:jc w:val="right"/>
              <w:ind w:right="243"/>
              <w:spacing w:after="0"/>
              <w:rPr>
                <w:sz w:val="20"/>
                <w:szCs w:val="20"/>
                <w:color w:val="auto"/>
              </w:rPr>
            </w:pPr>
            <w:r>
              <w:rPr>
                <w:rFonts w:ascii="Arial" w:cs="Arial" w:eastAsia="Arial" w:hAnsi="Arial"/>
                <w:sz w:val="11"/>
                <w:szCs w:val="11"/>
                <w:color w:val="008000"/>
              </w:rPr>
              <w:t>(2)</w:t>
            </w:r>
          </w:p>
        </w:tc>
        <w:tc>
          <w:tcPr>
            <w:tcW w:w="680" w:type="dxa"/>
            <w:vAlign w:val="bottom"/>
          </w:tcPr>
          <w:p>
            <w:pPr>
              <w:ind w:left="140"/>
              <w:spacing w:after="0" w:line="143" w:lineRule="exact"/>
              <w:rPr>
                <w:sz w:val="20"/>
                <w:szCs w:val="20"/>
                <w:color w:val="auto"/>
              </w:rPr>
            </w:pPr>
            <w:r>
              <w:rPr>
                <w:rFonts w:ascii="Arial" w:cs="Arial" w:eastAsia="Arial" w:hAnsi="Arial"/>
                <w:sz w:val="13"/>
                <w:szCs w:val="13"/>
                <w:color w:val="0000FF"/>
              </w:rPr>
              <w:t>Stock,</w:t>
            </w:r>
          </w:p>
        </w:tc>
        <w:tc>
          <w:tcPr>
            <w:tcW w:w="520" w:type="dxa"/>
            <w:vAlign w:val="bottom"/>
            <w:vMerge w:val="restart"/>
          </w:tcPr>
          <w:p>
            <w:pPr>
              <w:ind w:left="40"/>
              <w:spacing w:after="0"/>
              <w:rPr>
                <w:sz w:val="20"/>
                <w:szCs w:val="20"/>
                <w:color w:val="auto"/>
              </w:rPr>
            </w:pPr>
            <w:r>
              <w:rPr>
                <w:rFonts w:ascii="Arial" w:cs="Arial" w:eastAsia="Arial" w:hAnsi="Arial"/>
                <w:sz w:val="17"/>
                <w:szCs w:val="17"/>
                <w:color w:val="0000FF"/>
              </w:rPr>
              <w:t>2,363</w:t>
            </w: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jc w:val="right"/>
              <w:ind w:right="180"/>
              <w:spacing w:after="0" w:line="143" w:lineRule="exact"/>
              <w:rPr>
                <w:sz w:val="20"/>
                <w:szCs w:val="20"/>
                <w:color w:val="auto"/>
              </w:rPr>
            </w:pPr>
            <w:r>
              <w:rPr>
                <w:rFonts w:ascii="Arial" w:cs="Arial" w:eastAsia="Arial" w:hAnsi="Arial"/>
                <w:sz w:val="13"/>
                <w:szCs w:val="13"/>
                <w:color w:val="0000FF"/>
              </w:rPr>
              <w:t>06/15/2020</w:t>
            </w:r>
          </w:p>
        </w:tc>
        <w:tc>
          <w:tcPr>
            <w:tcW w:w="1100" w:type="dxa"/>
            <w:vAlign w:val="bottom"/>
          </w:tcPr>
          <w:p>
            <w:pPr>
              <w:spacing w:after="0"/>
              <w:rPr>
                <w:sz w:val="12"/>
                <w:szCs w:val="12"/>
                <w:color w:val="auto"/>
              </w:rPr>
            </w:pPr>
          </w:p>
        </w:tc>
        <w:tc>
          <w:tcPr>
            <w:tcW w:w="800" w:type="dxa"/>
            <w:vAlign w:val="bottom"/>
          </w:tcPr>
          <w:p>
            <w:pPr>
              <w:ind w:left="180"/>
              <w:spacing w:after="0" w:line="143" w:lineRule="exact"/>
              <w:rPr>
                <w:sz w:val="20"/>
                <w:szCs w:val="20"/>
                <w:color w:val="auto"/>
              </w:rPr>
            </w:pPr>
            <w:r>
              <w:rPr>
                <w:rFonts w:ascii="Arial" w:cs="Arial" w:eastAsia="Arial" w:hAnsi="Arial"/>
                <w:sz w:val="13"/>
                <w:szCs w:val="13"/>
                <w:color w:val="0000FF"/>
              </w:rPr>
              <w:t>A</w:t>
            </w:r>
          </w:p>
        </w:tc>
        <w:tc>
          <w:tcPr>
            <w:tcW w:w="480" w:type="dxa"/>
            <w:vAlign w:val="bottom"/>
          </w:tcPr>
          <w:p>
            <w:pPr>
              <w:ind w:left="100"/>
              <w:spacing w:after="0" w:line="143" w:lineRule="exact"/>
              <w:rPr>
                <w:sz w:val="20"/>
                <w:szCs w:val="20"/>
                <w:color w:val="auto"/>
              </w:rPr>
            </w:pPr>
            <w:r>
              <w:rPr>
                <w:rFonts w:ascii="Arial" w:cs="Arial" w:eastAsia="Arial" w:hAnsi="Arial"/>
                <w:sz w:val="13"/>
                <w:szCs w:val="13"/>
                <w:color w:val="0000FF"/>
              </w:rPr>
              <w:t>2,363</w:t>
            </w:r>
          </w:p>
        </w:tc>
        <w:tc>
          <w:tcPr>
            <w:tcW w:w="26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80" w:type="dxa"/>
            <w:vAlign w:val="bottom"/>
          </w:tcPr>
          <w:p>
            <w:pPr>
              <w:ind w:left="80"/>
              <w:spacing w:after="0" w:line="143" w:lineRule="exact"/>
              <w:rPr>
                <w:sz w:val="20"/>
                <w:szCs w:val="20"/>
                <w:color w:val="auto"/>
              </w:rPr>
            </w:pPr>
            <w:r>
              <w:rPr>
                <w:rFonts w:ascii="Arial" w:cs="Arial" w:eastAsia="Arial" w:hAnsi="Arial"/>
                <w:sz w:val="13"/>
                <w:szCs w:val="13"/>
                <w:color w:val="0000FF"/>
              </w:rPr>
              <w:t>par value</w:t>
            </w:r>
          </w:p>
        </w:tc>
        <w:tc>
          <w:tcPr>
            <w:tcW w:w="520" w:type="dxa"/>
            <w:vAlign w:val="bottom"/>
            <w:vMerge w:val="continue"/>
          </w:tcPr>
          <w:p>
            <w:pPr>
              <w:spacing w:after="0"/>
              <w:rPr>
                <w:sz w:val="12"/>
                <w:szCs w:val="12"/>
                <w:color w:val="auto"/>
              </w:rPr>
            </w:pPr>
          </w:p>
        </w:tc>
        <w:tc>
          <w:tcPr>
            <w:tcW w:w="70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940" w:type="dxa"/>
            <w:vAlign w:val="bottom"/>
          </w:tcPr>
          <w:p>
            <w:pPr>
              <w:ind w:left="300"/>
              <w:spacing w:after="0" w:line="143" w:lineRule="exact"/>
              <w:rPr>
                <w:sz w:val="20"/>
                <w:szCs w:val="20"/>
                <w:color w:val="auto"/>
              </w:rPr>
            </w:pPr>
            <w:r>
              <w:rPr>
                <w:rFonts w:ascii="Arial" w:cs="Arial" w:eastAsia="Arial" w:hAnsi="Arial"/>
                <w:sz w:val="13"/>
                <w:szCs w:val="13"/>
                <w:color w:val="0000FF"/>
              </w:rPr>
              <w:t>38,604</w:t>
            </w:r>
          </w:p>
        </w:tc>
        <w:tc>
          <w:tcPr>
            <w:tcW w:w="740" w:type="dxa"/>
            <w:vAlign w:val="bottom"/>
          </w:tcPr>
          <w:p>
            <w:pPr>
              <w:ind w:left="320"/>
              <w:spacing w:after="0" w:line="143"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ind w:left="140"/>
              <w:spacing w:after="0" w:line="143" w:lineRule="exact"/>
              <w:rPr>
                <w:sz w:val="20"/>
                <w:szCs w:val="20"/>
                <w:color w:val="auto"/>
              </w:rPr>
            </w:pPr>
            <w:r>
              <w:rPr>
                <w:rFonts w:ascii="Arial" w:cs="Arial" w:eastAsia="Arial" w:hAnsi="Arial"/>
                <w:sz w:val="13"/>
                <w:szCs w:val="13"/>
                <w:color w:val="0000FF"/>
              </w:rPr>
              <w:t>$0.001</w:t>
            </w: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ind w:left="80"/>
              <w:spacing w:after="0"/>
              <w:rPr>
                <w:sz w:val="20"/>
                <w:szCs w:val="20"/>
                <w:color w:val="auto"/>
              </w:rPr>
            </w:pPr>
            <w:r>
              <w:rPr>
                <w:rFonts w:ascii="Arial" w:cs="Arial" w:eastAsia="Arial" w:hAnsi="Arial"/>
                <w:sz w:val="13"/>
                <w:szCs w:val="13"/>
                <w:color w:val="0000FF"/>
              </w:rPr>
              <w:t>per share</w:t>
            </w: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8"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restricted stock unit represents a contingent right to receive one share of the Company's common stock upon settlement.</w:t>
      </w:r>
    </w:p>
    <w:p>
      <w:pPr>
        <w:spacing w:after="0" w:line="45" w:lineRule="exact"/>
        <w:rPr>
          <w:rFonts w:ascii="Arial" w:cs="Arial" w:eastAsia="Arial" w:hAnsi="Arial"/>
          <w:sz w:val="13"/>
          <w:szCs w:val="13"/>
          <w:color w:val="008000"/>
        </w:rPr>
      </w:pPr>
    </w:p>
    <w:p>
      <w:pPr>
        <w:ind w:left="40" w:right="200" w:firstLine="3"/>
        <w:spacing w:after="0" w:line="236"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restricted stock units vest upon the earlier of (i) the first anniversary of the date of grant, (ii) the date on which the reporting person's term as a member of the Board of Directors of ExlService Holdings, Inc. (the "Board") expires if the reporting person is not subsequently elected to a new term on the Board, and (iii) the occurrence of a "Change in Control", as defined in the ExlService Holdings, Inc. 2018 Omnibus Incentive Plan (the "Plan"), and such awards settle upon the earlier of (i) the reporting person's death, (ii) the occurrence of a "Change of Control", as defined in the Plan and (iii) the date that is 180 days following the date on which the reporting person ceases to serve as a member of the Board for any reason other than due to such reporting person's death or, if later, the date of the reporting person's separation from service.</w:t>
      </w:r>
    </w:p>
    <w:p>
      <w:pPr>
        <w:spacing w:after="0" w:line="2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Mr. Oseni is the Company's Head of Administration and Accounts</w:t>
      </w:r>
    </w:p>
    <w:p>
      <w:pPr>
        <w:ind w:left="6600"/>
        <w:spacing w:after="0" w:line="185"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3"/>
          <w:szCs w:val="33"/>
          <w:color w:val="0000FF"/>
          <w:vertAlign w:val="subscript"/>
        </w:rPr>
        <w:t>06/17/2020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-26670</wp:posOffset>
            </wp:positionV>
            <wp:extent cx="13233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23340"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-19685</wp:posOffset>
            </wp:positionV>
            <wp:extent cx="1847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84785" cy="8255"/>
                    </a:xfrm>
                    <a:prstGeom prst="rect">
                      <a:avLst/>
                    </a:prstGeom>
                    <a:noFill/>
                  </pic:spPr>
                </pic:pic>
              </a:graphicData>
            </a:graphic>
          </wp:anchor>
        </w:drawing>
        <w:drawing>
          <wp:anchor simplePos="0" relativeHeight="251657728" behindDoc="1" locked="0" layoutInCell="0" allowOverlap="1">
            <wp:simplePos x="0" y="0"/>
            <wp:positionH relativeFrom="column">
              <wp:posOffset>5582920</wp:posOffset>
            </wp:positionH>
            <wp:positionV relativeFrom="paragraph">
              <wp:posOffset>-85725</wp:posOffset>
            </wp:positionV>
            <wp:extent cx="48895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488950" cy="8255"/>
                    </a:xfrm>
                    <a:prstGeom prst="rect">
                      <a:avLst/>
                    </a:prstGeom>
                    <a:noFill/>
                  </pic:spPr>
                </pic:pic>
              </a:graphicData>
            </a:graphic>
          </wp:anchor>
        </w:drawing>
      </w:r>
    </w:p>
    <w:p>
      <w:pPr>
        <w:spacing w:after="0" w:line="38"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7"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179283" TargetMode="External"/><Relationship Id="rId14"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2020-06-17T16:02:35Z</dcterms:created>
  <dcterms:modified xsi:type="dcterms:W3CDTF">2020-06-17T16:02:35Z</dcterms:modified>
</cp:coreProperties>
</file>