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254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548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10/03/2017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60" w:type="dxa"/>
            <w:vAlign w:val="bottom"/>
            <w:gridSpan w:val="6"/>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40" w:type="dxa"/>
            <w:vAlign w:val="bottom"/>
            <w:gridSpan w:val="11"/>
            <w:vMerge w:val="restart"/>
          </w:tcPr>
          <w:p>
            <w:pPr>
              <w:ind w:left="3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6"/>
            <w:vMerge w:val="continue"/>
          </w:tcPr>
          <w:p>
            <w:pPr>
              <w:spacing w:after="0"/>
              <w:rPr>
                <w:sz w:val="11"/>
                <w:szCs w:val="11"/>
                <w:color w:val="auto"/>
              </w:rPr>
            </w:pPr>
          </w:p>
        </w:tc>
        <w:tc>
          <w:tcPr>
            <w:tcW w:w="38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gridSpan w:val="4"/>
          </w:tcPr>
          <w:p>
            <w:pPr>
              <w:ind w:left="38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560" w:type="dxa"/>
            <w:vAlign w:val="bottom"/>
          </w:tcPr>
          <w:p>
            <w:pPr>
              <w:ind w:left="20"/>
              <w:spacing w:after="0"/>
              <w:rPr>
                <w:sz w:val="20"/>
                <w:szCs w:val="20"/>
                <w:color w:val="auto"/>
              </w:rPr>
            </w:pPr>
            <w:r>
              <w:rPr>
                <w:rFonts w:ascii="Arial" w:cs="Arial" w:eastAsia="Arial" w:hAnsi="Arial"/>
                <w:sz w:val="18"/>
                <w:szCs w:val="18"/>
                <w:color w:val="0000FF"/>
              </w:rPr>
              <w:t>10017</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120" w:type="dxa"/>
            <w:vAlign w:val="bottom"/>
            <w:gridSpan w:val="8"/>
          </w:tcPr>
          <w:p>
            <w:pPr>
              <w:ind w:left="5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40" w:type="dxa"/>
            <w:vAlign w:val="bottom"/>
            <w:gridSpan w:val="8"/>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4"/>
                <w:szCs w:val="14"/>
                <w:color w:val="auto"/>
                <w:w w:val="94"/>
              </w:rPr>
              <w:t>Person</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436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jc w:val="center"/>
              <w:ind w:left="72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right"/>
              <w:ind w:right="58"/>
              <w:spacing w:after="0"/>
              <w:rPr>
                <w:sz w:val="20"/>
                <w:szCs w:val="20"/>
                <w:color w:val="auto"/>
              </w:rPr>
            </w:pPr>
            <w:r>
              <w:rPr>
                <w:rFonts w:ascii="Arial" w:cs="Arial" w:eastAsia="Arial" w:hAnsi="Arial"/>
                <w:sz w:val="18"/>
                <w:szCs w:val="18"/>
                <w:color w:val="0000FF"/>
              </w:rPr>
              <w:t>10/03/2017</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91"/>
                <w:vertAlign w:val="subscript"/>
              </w:rPr>
              <w:t>M</w:t>
            </w:r>
            <w:r>
              <w:rPr>
                <w:rFonts w:ascii="Arial" w:cs="Arial" w:eastAsia="Arial" w:hAnsi="Arial"/>
                <w:sz w:val="11"/>
                <w:szCs w:val="11"/>
                <w:color w:val="008000"/>
                <w:w w:val="91"/>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7,882</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19.76</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9"/>
              </w:rPr>
              <w:t>180,568</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0"/>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right"/>
              <w:ind w:right="58"/>
              <w:spacing w:after="0"/>
              <w:rPr>
                <w:sz w:val="20"/>
                <w:szCs w:val="20"/>
                <w:color w:val="auto"/>
              </w:rPr>
            </w:pPr>
            <w:r>
              <w:rPr>
                <w:rFonts w:ascii="Arial" w:cs="Arial" w:eastAsia="Arial" w:hAnsi="Arial"/>
                <w:sz w:val="18"/>
                <w:szCs w:val="18"/>
                <w:color w:val="0000FF"/>
              </w:rPr>
              <w:t>10/03/2017</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(3)</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7,882</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58.81</w:t>
            </w:r>
            <w:r>
              <w:rPr>
                <w:rFonts w:ascii="Arial" w:cs="Arial" w:eastAsia="Arial" w:hAnsi="Arial"/>
                <w:sz w:val="22"/>
                <w:szCs w:val="22"/>
                <w:color w:val="008000"/>
                <w:w w:val="82"/>
                <w:vertAlign w:val="superscript"/>
              </w:rPr>
              <w:t>(4)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9"/>
              </w:rPr>
              <w:t>172,686</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0"/>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40,219</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333,185</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177,134</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00" w:type="dxa"/>
            <w:vAlign w:val="bottom"/>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0000FF"/>
                <w:w w:val="98"/>
              </w:rPr>
              <w:t>Common</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jc w:val="right"/>
              <w:ind w:right="58"/>
              <w:spacing w:after="0" w:line="297" w:lineRule="exact"/>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(10)</w:t>
            </w: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600" w:type="dxa"/>
            <w:vAlign w:val="bottom"/>
            <w:vMerge w:val="restart"/>
          </w:tcPr>
          <w:p>
            <w:pPr>
              <w:ind w:left="100"/>
              <w:spacing w:after="0"/>
              <w:rPr>
                <w:sz w:val="20"/>
                <w:szCs w:val="20"/>
                <w:color w:val="auto"/>
              </w:rPr>
            </w:pPr>
            <w:r>
              <w:rPr>
                <w:rFonts w:ascii="Arial" w:cs="Arial" w:eastAsia="Arial" w:hAnsi="Arial"/>
                <w:sz w:val="18"/>
                <w:szCs w:val="18"/>
                <w:color w:val="0000FF"/>
              </w:rPr>
              <w:t>7,882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19.76</w:t>
            </w:r>
          </w:p>
        </w:tc>
        <w:tc>
          <w:tcPr>
            <w:tcW w:w="160" w:type="dxa"/>
            <w:vAlign w:val="bottom"/>
          </w:tcPr>
          <w:p>
            <w:pPr>
              <w:spacing w:after="0"/>
              <w:rPr>
                <w:sz w:val="12"/>
                <w:szCs w:val="12"/>
                <w:color w:val="auto"/>
              </w:rPr>
            </w:pPr>
          </w:p>
        </w:tc>
        <w:tc>
          <w:tcPr>
            <w:tcW w:w="1080" w:type="dxa"/>
            <w:vAlign w:val="bottom"/>
          </w:tcPr>
          <w:p>
            <w:pPr>
              <w:jc w:val="right"/>
              <w:ind w:right="129"/>
              <w:spacing w:after="0" w:line="149" w:lineRule="exact"/>
              <w:rPr>
                <w:sz w:val="20"/>
                <w:szCs w:val="20"/>
                <w:color w:val="auto"/>
              </w:rPr>
            </w:pPr>
            <w:r>
              <w:rPr>
                <w:rFonts w:ascii="Arial" w:cs="Arial" w:eastAsia="Arial" w:hAnsi="Arial"/>
                <w:sz w:val="14"/>
                <w:szCs w:val="14"/>
                <w:color w:val="0000FF"/>
              </w:rPr>
              <w:t>10/03/2017</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ind w:left="320"/>
              <w:spacing w:after="0" w:line="149" w:lineRule="exact"/>
              <w:rPr>
                <w:sz w:val="20"/>
                <w:szCs w:val="20"/>
                <w:color w:val="auto"/>
              </w:rPr>
            </w:pPr>
            <w:r>
              <w:rPr>
                <w:rFonts w:ascii="Arial" w:cs="Arial" w:eastAsia="Arial" w:hAnsi="Arial"/>
                <w:sz w:val="14"/>
                <w:szCs w:val="14"/>
                <w:color w:val="0000FF"/>
              </w:rPr>
              <w:t>7,882</w:t>
            </w:r>
          </w:p>
        </w:tc>
        <w:tc>
          <w:tcPr>
            <w:tcW w:w="800" w:type="dxa"/>
            <w:vAlign w:val="bottom"/>
            <w:vMerge w:val="continue"/>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0000FF"/>
                <w:w w:val="94"/>
              </w:rPr>
              <w:t>02/03/2021</w:t>
            </w:r>
          </w:p>
        </w:tc>
        <w:tc>
          <w:tcPr>
            <w:tcW w:w="660" w:type="dxa"/>
            <w:vAlign w:val="bottom"/>
          </w:tcPr>
          <w:p>
            <w:pPr>
              <w:ind w:left="80"/>
              <w:spacing w:after="0" w:line="149" w:lineRule="exact"/>
              <w:rPr>
                <w:sz w:val="20"/>
                <w:szCs w:val="20"/>
                <w:color w:val="auto"/>
              </w:rPr>
            </w:pPr>
            <w:r>
              <w:rPr>
                <w:rFonts w:ascii="Arial" w:cs="Arial" w:eastAsia="Arial" w:hAnsi="Arial"/>
                <w:sz w:val="14"/>
                <w:szCs w:val="14"/>
                <w:color w:val="0000FF"/>
                <w:w w:val="97"/>
              </w:rPr>
              <w:t>par value</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tcPr>
          <w:p>
            <w:pPr>
              <w:ind w:left="240"/>
              <w:spacing w:after="0" w:line="149" w:lineRule="exact"/>
              <w:rPr>
                <w:sz w:val="20"/>
                <w:szCs w:val="20"/>
                <w:color w:val="auto"/>
              </w:rPr>
            </w:pPr>
            <w:r>
              <w:rPr>
                <w:rFonts w:ascii="Arial" w:cs="Arial" w:eastAsia="Arial" w:hAnsi="Arial"/>
                <w:sz w:val="14"/>
                <w:szCs w:val="14"/>
                <w:color w:val="0000FF"/>
              </w:rPr>
              <w:t>47,500</w:t>
            </w:r>
          </w:p>
        </w:tc>
        <w:tc>
          <w:tcPr>
            <w:tcW w:w="600" w:type="dxa"/>
            <w:vAlign w:val="bottom"/>
          </w:tcPr>
          <w:p>
            <w:pPr>
              <w:ind w:left="42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0000FF"/>
                <w:w w:val="94"/>
              </w:rPr>
              <w:t>per share</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October 3, 2017 the reporting person exercised previously issued options to purchase an aggregate of 7,882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$58.60 to $59.25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360" w:firstLine="9"/>
        <w:spacing w:after="0" w:line="29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3, 2011, the reporting person was granted 97, 500 stock options. 25 percent of these options became vested and exercisable on February 3, 2012, an additional 25 percent became vested and exercisable on February 3, 2013, an additional 25 percent became vested and exercisable on February 3, 2014, and the balance of 25 percent became vested and exercisable on February 3, 2015.</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sectPr>
          <w:pgSz w:w="11900" w:h="16838" w:orient="portrait"/>
          <w:cols w:equalWidth="0" w:num="1">
            <w:col w:w="11520"/>
          </w:cols>
          <w:pgMar w:left="240" w:top="226" w:right="139" w:bottom="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Lazbart Oseni, Attorney-in-  10/05/2017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2019-12-04T00:59:41Z</dcterms:created>
  <dcterms:modified xsi:type="dcterms:W3CDTF">2019-12-04T00:59:41Z</dcterms:modified>
</cp:coreProperties>
</file>