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Srivatsan Nagaraja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8"/>
          <w:szCs w:val="18"/>
          <w:color w:val="0000FF"/>
        </w:rPr>
        <w:t>Exec VP &amp; Chief Growth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0000FF"/>
              </w:rPr>
              <w:t>04/23/2019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1,416</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61.65</w:t>
            </w:r>
            <w:r>
              <w:rPr>
                <w:rFonts w:ascii="Arial" w:cs="Arial" w:eastAsia="Arial" w:hAnsi="Arial"/>
                <w:sz w:val="22"/>
                <w:szCs w:val="22"/>
                <w:color w:val="008000"/>
                <w:w w:val="93"/>
                <w:vertAlign w:val="superscript"/>
              </w:rPr>
              <w:t>(2)</w:t>
            </w:r>
          </w:p>
        </w:tc>
        <w:tc>
          <w:tcPr>
            <w:tcW w:w="4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542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2"/>
          </w:tcPr>
          <w:p>
            <w:pPr>
              <w:jc w:val="center"/>
              <w:ind w:left="8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$61.50 to $62.00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04/25/2019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925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2019-12-23T22:11:38Z</dcterms:created>
  <dcterms:modified xsi:type="dcterms:W3CDTF">2019-12-23T22:11:38Z</dcterms:modified>
</cp:coreProperties>
</file>