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1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140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8"/>
                <w:szCs w:val="18"/>
                <w:color w:val="0000FF"/>
              </w:rPr>
              <w:t>01/02/2020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7,752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18.24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90"/>
              </w:rPr>
              <w:t>26,601</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Arial" w:cs="Arial" w:eastAsia="Arial" w:hAnsi="Arial"/>
                <w:sz w:val="18"/>
                <w:szCs w:val="18"/>
                <w:color w:val="0000FF"/>
                <w:w w:val="91"/>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8"/>
                <w:szCs w:val="18"/>
                <w:color w:val="0000FF"/>
              </w:rPr>
              <w:t>01/02/2020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7,752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70.01</w:t>
            </w:r>
            <w:r>
              <w:rPr>
                <w:rFonts w:ascii="Arial" w:cs="Arial" w:eastAsia="Arial" w:hAnsi="Arial"/>
                <w:sz w:val="22"/>
                <w:szCs w:val="22"/>
                <w:color w:val="008000"/>
                <w:w w:val="82"/>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90"/>
              </w:rPr>
              <w:t>18,849</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Arial" w:cs="Arial" w:eastAsia="Arial" w:hAnsi="Arial"/>
                <w:sz w:val="18"/>
                <w:szCs w:val="18"/>
                <w:color w:val="0000FF"/>
                <w:w w:val="91"/>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1,854</w:t>
            </w:r>
          </w:p>
        </w:tc>
        <w:tc>
          <w:tcPr>
            <w:tcW w:w="320" w:type="dxa"/>
            <w:vAlign w:val="bottom"/>
          </w:tcPr>
          <w:p>
            <w:pPr>
              <w:spacing w:after="0"/>
              <w:rPr>
                <w:sz w:val="22"/>
                <w:szCs w:val="22"/>
                <w:color w:val="auto"/>
              </w:rPr>
            </w:pPr>
          </w:p>
        </w:tc>
        <w:tc>
          <w:tcPr>
            <w:tcW w:w="560" w:type="dxa"/>
            <w:vAlign w:val="bottom"/>
            <w:vMerge w:val="restart"/>
          </w:tcPr>
          <w:p>
            <w:pPr>
              <w:jc w:val="center"/>
              <w:ind w:right="31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80" w:type="dxa"/>
            <w:vAlign w:val="bottom"/>
            <w:gridSpan w:val="13"/>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2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vMerge w:val="restart"/>
          </w:tcPr>
          <w:p>
            <w:pPr>
              <w:jc w:val="right"/>
              <w:ind w:right="6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7,752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18.24</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01/02/2020</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7,752</w:t>
            </w:r>
          </w:p>
        </w:tc>
        <w:tc>
          <w:tcPr>
            <w:tcW w:w="80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01/04/2020</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7"/>
              </w:rPr>
              <w:t>par value</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40"/>
              <w:spacing w:after="0" w:line="149" w:lineRule="exact"/>
              <w:rPr>
                <w:sz w:val="20"/>
                <w:szCs w:val="20"/>
                <w:color w:val="auto"/>
              </w:rPr>
            </w:pPr>
            <w:r>
              <w:rPr>
                <w:rFonts w:ascii="Arial" w:cs="Arial" w:eastAsia="Arial" w:hAnsi="Arial"/>
                <w:sz w:val="14"/>
                <w:szCs w:val="14"/>
                <w:color w:val="0000FF"/>
                <w:w w:val="94"/>
              </w:rPr>
              <w:t>821</w:t>
            </w:r>
          </w:p>
        </w:tc>
        <w:tc>
          <w:tcPr>
            <w:tcW w:w="320" w:type="dxa"/>
            <w:vAlign w:val="bottom"/>
          </w:tcPr>
          <w:p>
            <w:pPr>
              <w:spacing w:after="0"/>
              <w:rPr>
                <w:sz w:val="12"/>
                <w:szCs w:val="12"/>
                <w:color w:val="auto"/>
              </w:rPr>
            </w:pPr>
          </w:p>
        </w:tc>
        <w:tc>
          <w:tcPr>
            <w:tcW w:w="56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0000FF"/>
                <w:w w:val="94"/>
              </w:rPr>
              <w:t>per share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2020, the reporting person exercised previously issued options to purchase an aggregate of 7,752 shares of common stock of ExlService Holdings, Inc.</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$70.00 to $70.16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Staglin Family Irrevocable Trust of 2018 dated November 9,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4, 2010, the reporting person was granted 8,573 stock options. 100 percent of these options became vested and exercisable on December 31,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2020-01-06T16:03:32Z</dcterms:created>
  <dcterms:modified xsi:type="dcterms:W3CDTF">2020-01-06T16:03:32Z</dcterms:modified>
</cp:coreProperties>
</file>