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54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BAGAI PAVAN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02/24/2020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COO</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gridSpan w:val="2"/>
          </w:tcPr>
          <w:p>
            <w:pPr>
              <w:ind w:left="200"/>
              <w:spacing w:after="0"/>
              <w:rPr>
                <w:sz w:val="20"/>
                <w:szCs w:val="20"/>
                <w:color w:val="auto"/>
              </w:rPr>
            </w:pPr>
            <w:r>
              <w:rPr>
                <w:rFonts w:ascii="Arial" w:cs="Arial" w:eastAsia="Arial" w:hAnsi="Arial"/>
                <w:sz w:val="18"/>
                <w:szCs w:val="18"/>
                <w:color w:val="0000FF"/>
              </w:rPr>
              <w:t>02/24/2020</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7"/>
              <w:spacing w:after="0"/>
              <w:rPr>
                <w:sz w:val="20"/>
                <w:szCs w:val="20"/>
                <w:color w:val="auto"/>
              </w:rPr>
            </w:pPr>
            <w:r>
              <w:rPr>
                <w:rFonts w:ascii="Arial" w:cs="Arial" w:eastAsia="Arial" w:hAnsi="Arial"/>
                <w:sz w:val="14"/>
                <w:szCs w:val="14"/>
                <w:color w:val="0000FF"/>
              </w:rPr>
              <w:t>M</w:t>
            </w:r>
          </w:p>
        </w:tc>
        <w:tc>
          <w:tcPr>
            <w:tcW w:w="720" w:type="dxa"/>
            <w:vAlign w:val="bottom"/>
          </w:tcPr>
          <w:p>
            <w:pPr>
              <w:ind w:left="260"/>
              <w:spacing w:after="0"/>
              <w:rPr>
                <w:sz w:val="20"/>
                <w:szCs w:val="20"/>
                <w:color w:val="auto"/>
              </w:rPr>
            </w:pPr>
            <w:r>
              <w:rPr>
                <w:rFonts w:ascii="Arial" w:cs="Arial" w:eastAsia="Arial" w:hAnsi="Arial"/>
                <w:sz w:val="18"/>
                <w:szCs w:val="18"/>
                <w:color w:val="0000FF"/>
                <w:w w:val="97"/>
              </w:rPr>
              <w:t>3,125</w:t>
            </w:r>
          </w:p>
        </w:tc>
        <w:tc>
          <w:tcPr>
            <w:tcW w:w="700" w:type="dxa"/>
            <w:vAlign w:val="bottom"/>
          </w:tcPr>
          <w:p>
            <w:pPr>
              <w:jc w:val="right"/>
              <w:ind w:right="154"/>
              <w:spacing w:after="0"/>
              <w:rPr>
                <w:sz w:val="20"/>
                <w:szCs w:val="20"/>
                <w:color w:val="auto"/>
              </w:rPr>
            </w:pPr>
            <w:r>
              <w:rPr>
                <w:rFonts w:ascii="Arial" w:cs="Arial" w:eastAsia="Arial" w:hAnsi="Arial"/>
                <w:sz w:val="18"/>
                <w:szCs w:val="18"/>
                <w:color w:val="0000FF"/>
              </w:rPr>
              <w:t>A</w:t>
            </w:r>
          </w:p>
        </w:tc>
        <w:tc>
          <w:tcPr>
            <w:tcW w:w="540" w:type="dxa"/>
            <w:vAlign w:val="bottom"/>
          </w:tcPr>
          <w:p>
            <w:pPr>
              <w:jc w:val="right"/>
              <w:ind w:right="54"/>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ind w:left="360"/>
              <w:spacing w:after="0"/>
              <w:rPr>
                <w:sz w:val="20"/>
                <w:szCs w:val="20"/>
                <w:color w:val="auto"/>
              </w:rPr>
            </w:pPr>
            <w:r>
              <w:rPr>
                <w:rFonts w:ascii="Arial" w:cs="Arial" w:eastAsia="Arial" w:hAnsi="Arial"/>
                <w:sz w:val="18"/>
                <w:szCs w:val="18"/>
                <w:color w:val="0000FF"/>
              </w:rPr>
              <w:t>45,396</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gridSpan w:val="4"/>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02/24/2020</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7"/>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1,336</w:t>
            </w:r>
          </w:p>
        </w:tc>
        <w:tc>
          <w:tcPr>
            <w:tcW w:w="700" w:type="dxa"/>
            <w:vAlign w:val="bottom"/>
            <w:tcBorders>
              <w:bottom w:val="single" w:sz="8" w:color="2C2C2C"/>
            </w:tcBorders>
          </w:tcPr>
          <w:p>
            <w:pPr>
              <w:jc w:val="right"/>
              <w:ind w:right="154"/>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77.28</w:t>
            </w:r>
            <w:r>
              <w:rPr>
                <w:rFonts w:ascii="Arial" w:cs="Arial" w:eastAsia="Arial" w:hAnsi="Arial"/>
                <w:sz w:val="22"/>
                <w:szCs w:val="22"/>
                <w:color w:val="008000"/>
                <w:w w:val="87"/>
                <w:vertAlign w:val="superscript"/>
              </w:rPr>
              <w:t>(2)</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44,060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4"/>
          </w:tcPr>
          <w:p>
            <w:pPr>
              <w:jc w:val="center"/>
              <w:ind w:left="9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80" w:type="dxa"/>
            <w:vAlign w:val="bottom"/>
            <w:gridSpan w:val="10"/>
          </w:tcPr>
          <w:p>
            <w:pPr>
              <w:ind w:left="1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(3)</w:t>
            </w:r>
          </w:p>
        </w:tc>
        <w:tc>
          <w:tcPr>
            <w:tcW w:w="700" w:type="dxa"/>
            <w:vAlign w:val="bottom"/>
          </w:tcPr>
          <w:p>
            <w:pPr>
              <w:jc w:val="right"/>
              <w:ind w:right="154"/>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3,125</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2"/>
              <w:spacing w:after="0" w:line="149" w:lineRule="exact"/>
              <w:rPr>
                <w:sz w:val="20"/>
                <w:szCs w:val="20"/>
                <w:color w:val="auto"/>
              </w:rPr>
            </w:pPr>
            <w:r>
              <w:rPr>
                <w:rFonts w:ascii="Arial" w:cs="Arial" w:eastAsia="Arial" w:hAnsi="Arial"/>
                <w:sz w:val="14"/>
                <w:szCs w:val="14"/>
                <w:color w:val="0000FF"/>
              </w:rPr>
              <w:t>02/24/2020</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12"/>
                <w:szCs w:val="12"/>
                <w:color w:val="auto"/>
              </w:rPr>
            </w:pPr>
          </w:p>
        </w:tc>
        <w:tc>
          <w:tcPr>
            <w:tcW w:w="820" w:type="dxa"/>
            <w:vAlign w:val="bottom"/>
          </w:tcPr>
          <w:p>
            <w:pPr>
              <w:ind w:left="400"/>
              <w:spacing w:after="0" w:line="149" w:lineRule="exact"/>
              <w:rPr>
                <w:sz w:val="20"/>
                <w:szCs w:val="20"/>
                <w:color w:val="auto"/>
              </w:rPr>
            </w:pPr>
            <w:r>
              <w:rPr>
                <w:rFonts w:ascii="Arial" w:cs="Arial" w:eastAsia="Arial" w:hAnsi="Arial"/>
                <w:sz w:val="14"/>
                <w:szCs w:val="14"/>
                <w:color w:val="0000FF"/>
              </w:rPr>
              <w:t>3,125</w:t>
            </w:r>
          </w:p>
        </w:tc>
        <w:tc>
          <w:tcPr>
            <w:tcW w:w="82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00" w:type="dxa"/>
            <w:vAlign w:val="bottom"/>
          </w:tcPr>
          <w:p>
            <w:pPr>
              <w:ind w:left="6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00" w:type="dxa"/>
            <w:vAlign w:val="bottom"/>
          </w:tcPr>
          <w:p>
            <w:pPr>
              <w:ind w:left="460"/>
              <w:spacing w:after="0" w:line="149"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jc w:val="right"/>
              <w:ind w:right="134"/>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restricted stock units reported in this report vested on February 24, 2019. Pursuant to the Company's 2015 Amendment and Restatement of the 2006 Omnibus Award Plan, pursuant to which such restricted stock units were granted, the closing price of the Common Stock on the Nasdaq Global Select Market on the preceding day is used for purposes of computing tax reporting and withholding.</w:t>
      </w:r>
    </w:p>
    <w:p>
      <w:pPr>
        <w:spacing w:after="0" w:line="30" w:lineRule="exact"/>
        <w:rPr>
          <w:rFonts w:ascii="Arial" w:cs="Arial" w:eastAsia="Arial" w:hAnsi="Arial"/>
          <w:sz w:val="14"/>
          <w:szCs w:val="14"/>
          <w:color w:val="008000"/>
        </w:rPr>
      </w:pPr>
    </w:p>
    <w:p>
      <w:pPr>
        <w:ind w:left="40" w:right="200" w:firstLine="9"/>
        <w:spacing w:after="0" w:line="28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February 24, 2016, the reporting person was granted 12,500 restricted stock units, vesting in four equal annual installments beginning on the first anniversary of the grant date. 25 percent of the restricted stock units became vested on February 24, 2017, an additional 25 percent of the restricted stock units became vested on February 24, 2018, an additional 25 percent of the restricted stock units became vested on February 24, 2019, and the remaining balance of 25 percent of the restricted stock units became vested on February 24, 2020.</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02/26/2020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413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2020-02-26T16:16:14Z</dcterms:created>
  <dcterms:modified xsi:type="dcterms:W3CDTF">2020-02-26T16:16:14Z</dcterms:modified>
</cp:coreProperties>
</file>