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Sections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640" w:type="dxa"/>
        <w:tblCellMar>
          <w:top w:w="0" w:type="dxa"/>
          <w:left w:w="0" w:type="dxa"/>
          <w:bottom w:w="0" w:type="dxa"/>
          <w:right w:w="0" w:type="dxa"/>
        </w:tblCellMar>
      </w:tblPr>
      <w:tr>
        <w:trPr>
          <w:trHeight w:val="220"/>
        </w:trPr>
        <w:tc>
          <w:tcPr>
            <w:tcW w:w="24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001-33089</w:t>
            </w:r>
          </w:p>
        </w:tc>
        <w:tc>
          <w:tcPr>
            <w:tcW w:w="1680" w:type="dxa"/>
            <w:vAlign w:val="bottom"/>
          </w:tcPr>
          <w:p>
            <w:pPr>
              <w:jc w:val="right"/>
              <w:ind w:right="130"/>
              <w:spacing w:after="0"/>
              <w:rPr>
                <w:sz w:val="20"/>
                <w:szCs w:val="20"/>
                <w:color w:val="auto"/>
              </w:rPr>
            </w:pPr>
            <w:r>
              <w:rPr>
                <w:rFonts w:ascii="Arial" w:cs="Arial" w:eastAsia="Arial" w:hAnsi="Arial"/>
                <w:sz w:val="18"/>
                <w:szCs w:val="18"/>
                <w:b w:val="1"/>
                <w:bCs w:val="1"/>
                <w:color w:val="auto"/>
              </w:rPr>
              <w:t>82-0572194</w:t>
            </w:r>
          </w:p>
        </w:tc>
      </w:tr>
      <w:tr>
        <w:trPr>
          <w:trHeight w:val="216"/>
        </w:trPr>
        <w:tc>
          <w:tcPr>
            <w:tcW w:w="2440" w:type="dxa"/>
            <w:vAlign w:val="bottom"/>
          </w:tcPr>
          <w:p>
            <w:pPr>
              <w:jc w:val="center"/>
              <w:ind w:right="10"/>
              <w:spacing w:after="0"/>
              <w:rPr>
                <w:sz w:val="20"/>
                <w:szCs w:val="20"/>
                <w:color w:val="auto"/>
              </w:rPr>
            </w:pPr>
            <w:r>
              <w:rPr>
                <w:rFonts w:ascii="Arial" w:cs="Arial" w:eastAsia="Arial" w:hAnsi="Arial"/>
                <w:sz w:val="18"/>
                <w:szCs w:val="18"/>
                <w:color w:val="auto"/>
                <w:w w:val="92"/>
              </w:rPr>
              <w:t>(State or other jurisdiction</w:t>
            </w:r>
          </w:p>
        </w:tc>
        <w:tc>
          <w:tcPr>
            <w:tcW w:w="5340" w:type="dxa"/>
            <w:vAlign w:val="bottom"/>
          </w:tcPr>
          <w:p>
            <w:pPr>
              <w:jc w:val="center"/>
              <w:ind w:right="190"/>
              <w:spacing w:after="0"/>
              <w:rPr>
                <w:sz w:val="20"/>
                <w:szCs w:val="20"/>
                <w:color w:val="auto"/>
              </w:rPr>
            </w:pPr>
            <w:r>
              <w:rPr>
                <w:rFonts w:ascii="Arial" w:cs="Arial" w:eastAsia="Arial" w:hAnsi="Arial"/>
                <w:sz w:val="18"/>
                <w:szCs w:val="18"/>
                <w:color w:val="auto"/>
                <w:w w:val="92"/>
              </w:rPr>
              <w:t>(Commission File Number)</w:t>
            </w:r>
          </w:p>
        </w:tc>
        <w:tc>
          <w:tcPr>
            <w:tcW w:w="1680" w:type="dxa"/>
            <w:vAlign w:val="bottom"/>
          </w:tcPr>
          <w:p>
            <w:pPr>
              <w:jc w:val="center"/>
              <w:ind w:left="270"/>
              <w:spacing w:after="0"/>
              <w:rPr>
                <w:sz w:val="20"/>
                <w:szCs w:val="20"/>
                <w:color w:val="auto"/>
              </w:rPr>
            </w:pPr>
            <w:r>
              <w:rPr>
                <w:rFonts w:ascii="Arial" w:cs="Arial" w:eastAsia="Arial" w:hAnsi="Arial"/>
                <w:sz w:val="18"/>
                <w:szCs w:val="18"/>
                <w:color w:val="auto"/>
                <w:w w:val="93"/>
              </w:rPr>
              <w:t>(I.R.S. Employer</w:t>
            </w:r>
          </w:p>
        </w:tc>
      </w:tr>
      <w:tr>
        <w:trPr>
          <w:trHeight w:val="230"/>
        </w:trPr>
        <w:tc>
          <w:tcPr>
            <w:tcW w:w="2440" w:type="dxa"/>
            <w:vAlign w:val="bottom"/>
          </w:tcPr>
          <w:p>
            <w:pPr>
              <w:jc w:val="center"/>
              <w:spacing w:after="0"/>
              <w:rPr>
                <w:sz w:val="20"/>
                <w:szCs w:val="20"/>
                <w:color w:val="auto"/>
              </w:rPr>
            </w:pPr>
            <w:r>
              <w:rPr>
                <w:rFonts w:ascii="Arial" w:cs="Arial" w:eastAsia="Arial" w:hAnsi="Arial"/>
                <w:sz w:val="18"/>
                <w:szCs w:val="18"/>
                <w:color w:val="auto"/>
                <w:w w:val="92"/>
              </w:rPr>
              <w:t>of incorporation or organization)</w:t>
            </w:r>
          </w:p>
        </w:tc>
        <w:tc>
          <w:tcPr>
            <w:tcW w:w="5340" w:type="dxa"/>
            <w:vAlign w:val="bottom"/>
          </w:tcPr>
          <w:p>
            <w:pPr>
              <w:spacing w:after="0"/>
              <w:rPr>
                <w:sz w:val="20"/>
                <w:szCs w:val="20"/>
                <w:color w:val="auto"/>
              </w:rPr>
            </w:pP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440" w:type="dxa"/>
            <w:vAlign w:val="bottom"/>
          </w:tcPr>
          <w:p>
            <w:pPr>
              <w:spacing w:after="0"/>
              <w:rPr>
                <w:sz w:val="24"/>
                <w:szCs w:val="24"/>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320 Park Avenue, 29th Floor</w:t>
            </w:r>
          </w:p>
        </w:tc>
        <w:tc>
          <w:tcPr>
            <w:tcW w:w="1680" w:type="dxa"/>
            <w:vAlign w:val="bottom"/>
          </w:tcPr>
          <w:p>
            <w:pPr>
              <w:spacing w:after="0"/>
              <w:rPr>
                <w:sz w:val="24"/>
                <w:szCs w:val="24"/>
                <w:color w:val="auto"/>
              </w:rPr>
            </w:pPr>
          </w:p>
        </w:tc>
      </w:tr>
      <w:tr>
        <w:trPr>
          <w:trHeight w:val="220"/>
        </w:trPr>
        <w:tc>
          <w:tcPr>
            <w:tcW w:w="2440" w:type="dxa"/>
            <w:vAlign w:val="bottom"/>
          </w:tcPr>
          <w:p>
            <w:pPr>
              <w:spacing w:after="0"/>
              <w:rPr>
                <w:sz w:val="19"/>
                <w:szCs w:val="19"/>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New York, New York</w:t>
            </w: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rPr>
              <w:t>10022</w:t>
            </w:r>
          </w:p>
        </w:tc>
      </w:tr>
      <w:tr>
        <w:trPr>
          <w:trHeight w:val="230"/>
        </w:trPr>
        <w:tc>
          <w:tcPr>
            <w:tcW w:w="2440" w:type="dxa"/>
            <w:vAlign w:val="bottom"/>
          </w:tcPr>
          <w:p>
            <w:pPr>
              <w:spacing w:after="0"/>
              <w:rPr>
                <w:sz w:val="20"/>
                <w:szCs w:val="20"/>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jc w:val="center"/>
              <w:ind w:left="270"/>
              <w:spacing w:after="0"/>
              <w:rPr>
                <w:sz w:val="20"/>
                <w:szCs w:val="20"/>
                <w:color w:val="auto"/>
              </w:rPr>
            </w:pPr>
            <w:r>
              <w:rPr>
                <w:rFonts w:ascii="Arial" w:cs="Arial" w:eastAsia="Arial" w:hAnsi="Arial"/>
                <w:sz w:val="18"/>
                <w:szCs w:val="18"/>
                <w:color w:val="auto"/>
                <w:w w:val="93"/>
              </w:rPr>
              <w:t>(Zip code)</w:t>
            </w:r>
          </w:p>
        </w:tc>
      </w:tr>
      <w:tr>
        <w:trPr>
          <w:trHeight w:val="432"/>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(212) 277-7100</w:t>
            </w:r>
          </w:p>
        </w:tc>
        <w:tc>
          <w:tcPr>
            <w:tcW w:w="1680" w:type="dxa"/>
            <w:vAlign w:val="bottom"/>
          </w:tcPr>
          <w:p>
            <w:pPr>
              <w:spacing w:after="0"/>
              <w:rPr>
                <w:sz w:val="24"/>
                <w:szCs w:val="24"/>
                <w:color w:val="auto"/>
              </w:rPr>
            </w:pPr>
          </w:p>
        </w:tc>
      </w:tr>
      <w:tr>
        <w:trPr>
          <w:trHeight w:val="418"/>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Arial" w:cs="Arial" w:eastAsia="Arial" w:hAnsi="Arial"/>
                <w:sz w:val="18"/>
                <w:szCs w:val="18"/>
                <w:b w:val="1"/>
                <w:bCs w:val="1"/>
                <w:color w:val="auto"/>
              </w:rPr>
              <w:t>NOT APPLICABLE</w:t>
            </w:r>
          </w:p>
        </w:tc>
        <w:tc>
          <w:tcPr>
            <w:tcW w:w="1680" w:type="dxa"/>
            <w:vAlign w:val="bottom"/>
          </w:tcPr>
          <w:p>
            <w:pPr>
              <w:spacing w:after="0"/>
              <w:rPr>
                <w:sz w:val="24"/>
                <w:szCs w:val="24"/>
                <w:color w:val="auto"/>
              </w:rPr>
            </w:pPr>
          </w:p>
        </w:tc>
      </w:tr>
      <w:tr>
        <w:trPr>
          <w:trHeight w:val="230"/>
        </w:trPr>
        <w:tc>
          <w:tcPr>
            <w:tcW w:w="2440" w:type="dxa"/>
            <w:vAlign w:val="bottom"/>
          </w:tcPr>
          <w:p>
            <w:pPr>
              <w:spacing w:after="0"/>
              <w:rPr>
                <w:sz w:val="20"/>
                <w:szCs w:val="20"/>
                <w:color w:val="auto"/>
              </w:rPr>
            </w:pPr>
          </w:p>
        </w:tc>
        <w:tc>
          <w:tcPr>
            <w:tcW w:w="5340" w:type="dxa"/>
            <w:vAlign w:val="bottom"/>
          </w:tcPr>
          <w:p>
            <w:pPr>
              <w:jc w:val="center"/>
              <w:ind w:right="150"/>
              <w:spacing w:after="0"/>
              <w:rPr>
                <w:sz w:val="20"/>
                <w:szCs w:val="20"/>
                <w:color w:val="auto"/>
              </w:rPr>
            </w:pPr>
            <w:r>
              <w:rPr>
                <w:rFonts w:ascii="Arial" w:cs="Arial" w:eastAsia="Arial" w:hAnsi="Arial"/>
                <w:sz w:val="18"/>
                <w:szCs w:val="18"/>
                <w:color w:val="auto"/>
                <w:w w:val="89"/>
              </w:rPr>
              <w:t>(Former name or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right="160" w:hanging="652"/>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6"/>
        </w:trPr>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EXLS</w:t>
            </w:r>
          </w:p>
        </w:tc>
        <w:tc>
          <w:tcPr>
            <w:tcW w:w="4360" w:type="dxa"/>
            <w:vAlign w:val="bottom"/>
          </w:tcPr>
          <w:p>
            <w:pPr>
              <w:jc w:val="center"/>
              <w:spacing w:after="0"/>
              <w:rPr>
                <w:sz w:val="20"/>
                <w:szCs w:val="20"/>
                <w:color w:val="auto"/>
              </w:rPr>
            </w:pPr>
            <w:r>
              <w:rPr>
                <w:rFonts w:ascii="Arial" w:cs="Arial" w:eastAsia="Arial" w:hAnsi="Arial"/>
                <w:sz w:val="18"/>
                <w:szCs w:val="18"/>
                <w:color w:val="auto"/>
                <w:w w:val="97"/>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64"/>
        </w:trPr>
        <w:tc>
          <w:tcPr>
            <w:tcW w:w="374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tcPr>
          <w:p>
            <w:pPr>
              <w:spacing w:after="0"/>
              <w:rPr>
                <w:sz w:val="22"/>
                <w:szCs w:val="22"/>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459"/>
        </w:trPr>
        <w:tc>
          <w:tcPr>
            <w:tcW w:w="37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2" w:right="339" w:bottom="1440" w:gutter="0" w:footer="0" w:header="0"/>
        </w:sectPr>
      </w:pPr>
    </w:p>
    <w:bookmarkStart w:id="1" w:name="page2"/>
    <w:bookmarkEnd w:id="1"/>
    <w:p>
      <w:pPr>
        <w:ind w:right="2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ExlService Holdings, Inc. (the “Company”) and Rohit Kapoor (“Mr. Kapoor”) have, as of August 3, 2020, entered into a Second Amended and Restated Employment and Non-Competition Agreement (the “Agreement”) that will supersede the existing Amended and Restated Employment and Non-Competition Agreement, dated September 19, 2017, between the Company and Mr. Kapoor, which was due to expire on December 31, 2020. Under the Agreement, Mr. Kapoor will continue to serve as the Chief Executive Officer and Vice Chairman of the Company.</w:t>
      </w:r>
    </w:p>
    <w:p>
      <w:pPr>
        <w:spacing w:after="0" w:line="171"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The Agreement provides for (1) an employment term that extends until Mr. Kapoor’s termination or resignation (previously a three year term subject to renewal, unless terminated earlier), (2) updates, to reflect levels currently in effect, to Mr. Kapoor’s base salary ($750,000, subject to his 50% base salary reduction and deferment of 2020 increments due to the COVID-19 pandemic), bonus (150% minimum and 310% maximum of base salary) and equity ($4,925,000 baseline), and (3) associated changes to reflect the removal of the employment term and the addition of certain retirement benefits upon Mr. Kapoor’s termination of his employment after the age of 60, including 27 months of continued equity vesting for outstanding awards.</w:t>
      </w:r>
    </w:p>
    <w:p>
      <w:pPr>
        <w:spacing w:after="0" w:line="161"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Under the Agreement, Mr. Kapoor continues to be eligible to receive equity awards, as determined by the Compensation Committee of the Board of Directors, which determination will take into account the baseline value above, certain other conditions, as well as his actual performance against pre-established individual performance criteria (a new condition under the Agreement).</w:t>
      </w:r>
    </w:p>
    <w:p>
      <w:pPr>
        <w:spacing w:after="0" w:line="184"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Except as stated herein, the terms of the Agreement, including the compensatory arrangements therein, are consistent with the terms of his prior agreement that has been filed by the Company with the Securities and Exchange Commission (the “SEC”) and is summarized in the Company’s definitive proxy statement for the Company’s 2020 annual meeting of stockholders filed with the SEC on April 24, 2020. The foregoing summary is not complete and is qualified in its entirety by reference to the Agreement, a copy of which will be filed with the Company’s next periodic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20" w:type="dxa"/>
            <w:vAlign w:val="bottom"/>
          </w:tcPr>
          <w:p>
            <w:pPr>
              <w:spacing w:after="0"/>
              <w:rPr>
                <w:sz w:val="19"/>
                <w:szCs w:val="19"/>
                <w:color w:val="auto"/>
              </w:rPr>
            </w:pPr>
          </w:p>
        </w:tc>
        <w:tc>
          <w:tcPr>
            <w:tcW w:w="6760" w:type="dxa"/>
            <w:vAlign w:val="bottom"/>
            <w:gridSpan w:val="2"/>
          </w:tcPr>
          <w:p>
            <w:pPr>
              <w:ind w:left="2820"/>
              <w:spacing w:after="0"/>
              <w:rPr>
                <w:sz w:val="20"/>
                <w:szCs w:val="20"/>
                <w:color w:val="auto"/>
              </w:rPr>
            </w:pPr>
            <w:r>
              <w:rPr>
                <w:rFonts w:ascii="Arial" w:cs="Arial" w:eastAsia="Arial" w:hAnsi="Arial"/>
                <w:sz w:val="18"/>
                <w:szCs w:val="18"/>
                <w:b w:val="1"/>
                <w:bCs w:val="1"/>
                <w:color w:val="auto"/>
              </w:rPr>
              <w:t>EXLSERVICE HOLDINGS, INC.</w:t>
            </w:r>
          </w:p>
        </w:tc>
        <w:tc>
          <w:tcPr>
            <w:tcW w:w="60" w:type="dxa"/>
            <w:vAlign w:val="bottom"/>
          </w:tcPr>
          <w:p>
            <w:pPr>
              <w:spacing w:after="0"/>
              <w:rPr>
                <w:sz w:val="19"/>
                <w:szCs w:val="19"/>
                <w:color w:val="auto"/>
              </w:rPr>
            </w:pPr>
          </w:p>
        </w:tc>
      </w:tr>
      <w:tr>
        <w:trPr>
          <w:trHeight w:val="230"/>
        </w:trPr>
        <w:tc>
          <w:tcPr>
            <w:tcW w:w="4420" w:type="dxa"/>
            <w:vAlign w:val="bottom"/>
          </w:tcPr>
          <w:p>
            <w:pPr>
              <w:spacing w:after="0"/>
              <w:rPr>
                <w:sz w:val="20"/>
                <w:szCs w:val="20"/>
                <w:color w:val="auto"/>
              </w:rPr>
            </w:pPr>
          </w:p>
        </w:tc>
        <w:tc>
          <w:tcPr>
            <w:tcW w:w="6760" w:type="dxa"/>
            <w:vAlign w:val="bottom"/>
            <w:gridSpan w:val="2"/>
          </w:tcPr>
          <w:p>
            <w:pPr>
              <w:ind w:left="2820"/>
              <w:spacing w:after="0"/>
              <w:rPr>
                <w:sz w:val="20"/>
                <w:szCs w:val="20"/>
                <w:color w:val="auto"/>
              </w:rPr>
            </w:pPr>
            <w:r>
              <w:rPr>
                <w:rFonts w:ascii="Arial" w:cs="Arial" w:eastAsia="Arial" w:hAnsi="Arial"/>
                <w:sz w:val="18"/>
                <w:szCs w:val="18"/>
                <w:color w:val="auto"/>
              </w:rPr>
              <w:t>(Registrant)</w:t>
            </w:r>
          </w:p>
        </w:tc>
        <w:tc>
          <w:tcPr>
            <w:tcW w:w="60" w:type="dxa"/>
            <w:vAlign w:val="bottom"/>
          </w:tcPr>
          <w:p>
            <w:pPr>
              <w:spacing w:after="0"/>
              <w:rPr>
                <w:sz w:val="20"/>
                <w:szCs w:val="20"/>
                <w:color w:val="auto"/>
              </w:rPr>
            </w:pPr>
          </w:p>
        </w:tc>
      </w:tr>
      <w:tr>
        <w:trPr>
          <w:trHeight w:val="432"/>
        </w:trPr>
        <w:tc>
          <w:tcPr>
            <w:tcW w:w="4420" w:type="dxa"/>
            <w:vAlign w:val="bottom"/>
          </w:tcPr>
          <w:p>
            <w:pPr>
              <w:ind w:left="60"/>
              <w:spacing w:after="0"/>
              <w:rPr>
                <w:sz w:val="20"/>
                <w:szCs w:val="20"/>
                <w:color w:val="auto"/>
              </w:rPr>
            </w:pPr>
            <w:r>
              <w:rPr>
                <w:rFonts w:ascii="Arial" w:cs="Arial" w:eastAsia="Arial" w:hAnsi="Arial"/>
                <w:sz w:val="18"/>
                <w:szCs w:val="18"/>
                <w:color w:val="auto"/>
              </w:rPr>
              <w:t>Date: August 6, 2020</w:t>
            </w:r>
          </w:p>
        </w:tc>
        <w:tc>
          <w:tcPr>
            <w:tcW w:w="3640" w:type="dxa"/>
            <w:vAlign w:val="bottom"/>
          </w:tcPr>
          <w:p>
            <w:pPr>
              <w:ind w:left="2820"/>
              <w:spacing w:after="0"/>
              <w:rPr>
                <w:sz w:val="20"/>
                <w:szCs w:val="20"/>
                <w:color w:val="auto"/>
              </w:rPr>
            </w:pPr>
            <w:r>
              <w:rPr>
                <w:rFonts w:ascii="Arial" w:cs="Arial" w:eastAsia="Arial" w:hAnsi="Arial"/>
                <w:sz w:val="18"/>
                <w:szCs w:val="18"/>
                <w:color w:val="auto"/>
              </w:rPr>
              <w:t>By:</w:t>
            </w:r>
          </w:p>
        </w:tc>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Ajay Ayyappan</w:t>
            </w:r>
          </w:p>
        </w:tc>
        <w:tc>
          <w:tcPr>
            <w:tcW w:w="60" w:type="dxa"/>
            <w:vAlign w:val="bottom"/>
          </w:tcPr>
          <w:p>
            <w:pPr>
              <w:spacing w:after="0"/>
              <w:rPr>
                <w:sz w:val="24"/>
                <w:szCs w:val="24"/>
                <w:color w:val="auto"/>
              </w:rPr>
            </w:pPr>
          </w:p>
        </w:tc>
      </w:tr>
      <w:tr>
        <w:trPr>
          <w:trHeight w:val="195"/>
        </w:trPr>
        <w:tc>
          <w:tcPr>
            <w:tcW w:w="4420" w:type="dxa"/>
            <w:vAlign w:val="bottom"/>
          </w:tcPr>
          <w:p>
            <w:pPr>
              <w:spacing w:after="0"/>
              <w:rPr>
                <w:sz w:val="16"/>
                <w:szCs w:val="16"/>
                <w:color w:val="auto"/>
              </w:rPr>
            </w:pPr>
          </w:p>
        </w:tc>
        <w:tc>
          <w:tcPr>
            <w:tcW w:w="3640" w:type="dxa"/>
            <w:vAlign w:val="bottom"/>
          </w:tcPr>
          <w:p>
            <w:pPr>
              <w:ind w:left="2820"/>
              <w:spacing w:after="0" w:line="195" w:lineRule="exact"/>
              <w:rPr>
                <w:sz w:val="20"/>
                <w:szCs w:val="20"/>
                <w:color w:val="auto"/>
              </w:rPr>
            </w:pPr>
            <w:r>
              <w:rPr>
                <w:rFonts w:ascii="Arial" w:cs="Arial" w:eastAsia="Arial" w:hAnsi="Arial"/>
                <w:sz w:val="18"/>
                <w:szCs w:val="18"/>
                <w:color w:val="auto"/>
              </w:rPr>
              <w:t>Name:</w:t>
            </w:r>
          </w:p>
        </w:tc>
        <w:tc>
          <w:tcPr>
            <w:tcW w:w="3120" w:type="dxa"/>
            <w:vAlign w:val="bottom"/>
          </w:tcPr>
          <w:p>
            <w:pPr>
              <w:spacing w:after="0" w:line="195" w:lineRule="exact"/>
              <w:rPr>
                <w:sz w:val="20"/>
                <w:szCs w:val="20"/>
                <w:color w:val="auto"/>
              </w:rPr>
            </w:pPr>
            <w:r>
              <w:rPr>
                <w:rFonts w:ascii="Arial" w:cs="Arial" w:eastAsia="Arial" w:hAnsi="Arial"/>
                <w:sz w:val="18"/>
                <w:szCs w:val="18"/>
                <w:color w:val="auto"/>
              </w:rPr>
              <w:t>Ajay Ayyappan</w:t>
            </w:r>
          </w:p>
        </w:tc>
        <w:tc>
          <w:tcPr>
            <w:tcW w:w="60" w:type="dxa"/>
            <w:vAlign w:val="bottom"/>
          </w:tcPr>
          <w:p>
            <w:pPr>
              <w:spacing w:after="0"/>
              <w:rPr>
                <w:sz w:val="16"/>
                <w:szCs w:val="16"/>
                <w:color w:val="auto"/>
              </w:rPr>
            </w:pPr>
          </w:p>
        </w:tc>
      </w:tr>
      <w:tr>
        <w:trPr>
          <w:trHeight w:val="230"/>
        </w:trPr>
        <w:tc>
          <w:tcPr>
            <w:tcW w:w="4420" w:type="dxa"/>
            <w:vAlign w:val="bottom"/>
          </w:tcPr>
          <w:p>
            <w:pPr>
              <w:spacing w:after="0"/>
              <w:rPr>
                <w:sz w:val="20"/>
                <w:szCs w:val="20"/>
                <w:color w:val="auto"/>
              </w:rPr>
            </w:pPr>
          </w:p>
        </w:tc>
        <w:tc>
          <w:tcPr>
            <w:tcW w:w="3640" w:type="dxa"/>
            <w:vAlign w:val="bottom"/>
          </w:tcPr>
          <w:p>
            <w:pPr>
              <w:ind w:left="2820"/>
              <w:spacing w:after="0"/>
              <w:rPr>
                <w:sz w:val="20"/>
                <w:szCs w:val="20"/>
                <w:color w:val="auto"/>
              </w:rPr>
            </w:pPr>
            <w:r>
              <w:rPr>
                <w:rFonts w:ascii="Arial" w:cs="Arial" w:eastAsia="Arial" w:hAnsi="Arial"/>
                <w:sz w:val="18"/>
                <w:szCs w:val="18"/>
                <w:color w:val="auto"/>
              </w:rPr>
              <w:t>Title:</w:t>
            </w:r>
          </w:p>
        </w:tc>
        <w:tc>
          <w:tcPr>
            <w:tcW w:w="3120" w:type="dxa"/>
            <w:vAlign w:val="bottom"/>
          </w:tcPr>
          <w:p>
            <w:pPr>
              <w:spacing w:after="0"/>
              <w:rPr>
                <w:sz w:val="20"/>
                <w:szCs w:val="20"/>
                <w:color w:val="auto"/>
              </w:rPr>
            </w:pPr>
            <w:r>
              <w:rPr>
                <w:rFonts w:ascii="Arial" w:cs="Arial" w:eastAsia="Arial" w:hAnsi="Arial"/>
                <w:sz w:val="18"/>
                <w:szCs w:val="18"/>
                <w:color w:val="auto"/>
                <w:w w:val="91"/>
              </w:rPr>
              <w:t>General Counsel and Corporate Secretary</w:t>
            </w:r>
          </w:p>
        </w:tc>
        <w:tc>
          <w:tcPr>
            <w:tcW w:w="60" w:type="dxa"/>
            <w:vAlign w:val="bottom"/>
          </w:tcPr>
          <w:p>
            <w:pPr>
              <w:spacing w:after="0"/>
              <w:rPr>
                <w:sz w:val="20"/>
                <w:szCs w:val="20"/>
                <w:color w:val="auto"/>
              </w:rPr>
            </w:pPr>
          </w:p>
        </w:tc>
      </w:tr>
      <w:tr>
        <w:trPr>
          <w:trHeight w:val="675"/>
        </w:trPr>
        <w:tc>
          <w:tcPr>
            <w:tcW w:w="44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2020-08-06T15:35:57Z</dcterms:created>
  <dcterms:modified xsi:type="dcterms:W3CDTF">2020-08-06T15:35:57Z</dcterms:modified>
</cp:coreProperties>
</file>