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948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948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60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Nicolelli Maurizio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20" w:lineRule="auto"/>
        <w:rPr>
          <w:sz w:val="20"/>
          <w:szCs w:val="20"/>
          <w:color w:val="auto"/>
        </w:rPr>
      </w:pPr>
      <w:r>
        <w:rPr>
          <w:rFonts w:ascii="Times New Roman" w:cs="Times New Roman" w:eastAsia="Times New Roman" w:hAnsi="Times New Roman"/>
          <w:sz w:val="17"/>
          <w:szCs w:val="17"/>
          <w:color w:val="0000FF"/>
        </w:rPr>
        <w:t>EXLSERVICE HOLDINGS INC 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ExlService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01/27/2025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25"/>
        <w:spacing w:after="0"/>
        <w:rPr>
          <w:sz w:val="20"/>
          <w:szCs w:val="20"/>
          <w:color w:val="auto"/>
        </w:rPr>
      </w:pPr>
      <w:r>
        <w:rPr>
          <w:rFonts w:ascii="Times New Roman" w:cs="Times New Roman" w:eastAsia="Times New Roman" w:hAnsi="Times New Roman"/>
          <w:sz w:val="17"/>
          <w:szCs w:val="17"/>
          <w:color w:val="0000FF"/>
        </w:rPr>
        <w:t>Executive Vice President &amp; CFO</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606"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10022</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gridSpan w:val="2"/>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4"/>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jc w:val="right"/>
              <w:ind w:righ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80" w:type="dxa"/>
            <w:vAlign w:val="bottom"/>
          </w:tcPr>
          <w:p>
            <w:pPr>
              <w:spacing w:after="0"/>
              <w:rPr>
                <w:sz w:val="15"/>
                <w:szCs w:val="15"/>
                <w:color w:val="auto"/>
              </w:rPr>
            </w:pPr>
          </w:p>
        </w:tc>
        <w:tc>
          <w:tcPr>
            <w:tcW w:w="1500" w:type="dxa"/>
            <w:vAlign w:val="bottom"/>
            <w:gridSpan w:val="3"/>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00" w:type="dxa"/>
            <w:vAlign w:val="bottom"/>
            <w:gridSpan w:val="3"/>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80" w:type="dxa"/>
            <w:vAlign w:val="bottom"/>
            <w:tcBorders>
              <w:bottom w:val="single" w:sz="8" w:color="2C2C2C"/>
            </w:tcBorders>
            <w:gridSpan w:val="6"/>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3"/>
            <w:vMerge w:val="restart"/>
          </w:tcPr>
          <w:p>
            <w:pPr>
              <w:jc w:val="right"/>
              <w:ind w:right="118"/>
              <w:spacing w:after="0"/>
              <w:rPr>
                <w:sz w:val="20"/>
                <w:szCs w:val="20"/>
                <w:color w:val="auto"/>
              </w:rPr>
            </w:pPr>
            <w:r>
              <w:rPr>
                <w:rFonts w:ascii="Times New Roman" w:cs="Times New Roman" w:eastAsia="Times New Roman" w:hAnsi="Times New Roman"/>
                <w:sz w:val="17"/>
                <w:szCs w:val="17"/>
                <w:color w:val="0000FF"/>
              </w:rPr>
              <w:t>01/27/2025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23,310</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center"/>
              <w:ind w:left="29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179,525</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6"/>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3"/>
            <w:vMerge w:val="restart"/>
          </w:tcPr>
          <w:p>
            <w:pPr>
              <w:jc w:val="right"/>
              <w:ind w:right="118"/>
              <w:spacing w:after="0"/>
              <w:rPr>
                <w:sz w:val="20"/>
                <w:szCs w:val="20"/>
                <w:color w:val="auto"/>
              </w:rPr>
            </w:pPr>
            <w:r>
              <w:rPr>
                <w:rFonts w:ascii="Times New Roman" w:cs="Times New Roman" w:eastAsia="Times New Roman" w:hAnsi="Times New Roman"/>
                <w:sz w:val="17"/>
                <w:szCs w:val="17"/>
                <w:color w:val="0000FF"/>
              </w:rPr>
              <w:t>01/27/2025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6,282</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ind w:left="1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49.14</w:t>
            </w:r>
            <w:r>
              <w:rPr>
                <w:rFonts w:ascii="Times New Roman" w:cs="Times New Roman" w:eastAsia="Times New Roman" w:hAnsi="Times New Roman"/>
                <w:sz w:val="22"/>
                <w:szCs w:val="22"/>
                <w:color w:val="008000"/>
                <w:w w:val="95"/>
                <w:vertAlign w:val="superscript"/>
              </w:rPr>
              <w:t>(2)</w:t>
            </w:r>
          </w:p>
        </w:tc>
        <w:tc>
          <w:tcPr>
            <w:tcW w:w="280" w:type="dxa"/>
            <w:vAlign w:val="bottom"/>
          </w:tcPr>
          <w:p>
            <w:pPr>
              <w:spacing w:after="0"/>
              <w:rPr>
                <w:sz w:val="21"/>
                <w:szCs w:val="21"/>
                <w:color w:val="auto"/>
              </w:rPr>
            </w:pP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173,243</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6"/>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3"/>
            <w:vMerge w:val="restart"/>
          </w:tcPr>
          <w:p>
            <w:pPr>
              <w:jc w:val="right"/>
              <w:ind w:right="118"/>
              <w:spacing w:after="0"/>
              <w:rPr>
                <w:sz w:val="20"/>
                <w:szCs w:val="20"/>
                <w:color w:val="auto"/>
              </w:rPr>
            </w:pPr>
            <w:r>
              <w:rPr>
                <w:rFonts w:ascii="Times New Roman" w:cs="Times New Roman" w:eastAsia="Times New Roman" w:hAnsi="Times New Roman"/>
                <w:sz w:val="17"/>
                <w:szCs w:val="17"/>
                <w:color w:val="0000FF"/>
              </w:rPr>
              <w:t>01/27/2025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34,950</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center"/>
              <w:ind w:left="29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208,193</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6"/>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3"/>
            <w:vMerge w:val="restart"/>
          </w:tcPr>
          <w:p>
            <w:pPr>
              <w:jc w:val="right"/>
              <w:ind w:right="118"/>
              <w:spacing w:after="0"/>
              <w:rPr>
                <w:sz w:val="20"/>
                <w:szCs w:val="20"/>
                <w:color w:val="auto"/>
              </w:rPr>
            </w:pPr>
            <w:r>
              <w:rPr>
                <w:rFonts w:ascii="Times New Roman" w:cs="Times New Roman" w:eastAsia="Times New Roman" w:hAnsi="Times New Roman"/>
                <w:sz w:val="17"/>
                <w:szCs w:val="17"/>
                <w:color w:val="0000FF"/>
              </w:rPr>
              <w:t>01/27/2025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13,753</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ind w:left="1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49.14</w:t>
            </w:r>
            <w:r>
              <w:rPr>
                <w:rFonts w:ascii="Times New Roman" w:cs="Times New Roman" w:eastAsia="Times New Roman" w:hAnsi="Times New Roman"/>
                <w:sz w:val="22"/>
                <w:szCs w:val="22"/>
                <w:color w:val="008000"/>
                <w:w w:val="95"/>
                <w:vertAlign w:val="superscript"/>
              </w:rPr>
              <w:t>(2)</w:t>
            </w:r>
          </w:p>
        </w:tc>
        <w:tc>
          <w:tcPr>
            <w:tcW w:w="280" w:type="dxa"/>
            <w:vAlign w:val="bottom"/>
          </w:tcPr>
          <w:p>
            <w:pPr>
              <w:spacing w:after="0"/>
              <w:rPr>
                <w:sz w:val="21"/>
                <w:szCs w:val="21"/>
                <w:color w:val="auto"/>
              </w:rPr>
            </w:pP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194,440</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jc w:val="right"/>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40" w:type="dxa"/>
            <w:vAlign w:val="bottom"/>
            <w:gridSpan w:val="10"/>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280" w:type="dxa"/>
            <w:vAlign w:val="bottom"/>
          </w:tcPr>
          <w:p>
            <w:pPr>
              <w:spacing w:after="0"/>
              <w:rPr>
                <w:sz w:val="15"/>
                <w:szCs w:val="15"/>
                <w:color w:val="auto"/>
              </w:rPr>
            </w:pP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280" w:type="dxa"/>
            <w:vAlign w:val="bottom"/>
          </w:tcPr>
          <w:p>
            <w:pPr>
              <w:spacing w:after="0"/>
              <w:rPr>
                <w:sz w:val="11"/>
                <w:szCs w:val="11"/>
                <w:color w:val="auto"/>
              </w:rPr>
            </w:pPr>
          </w:p>
        </w:tc>
        <w:tc>
          <w:tcPr>
            <w:tcW w:w="10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shares of common stock, par value $0.001 per share (the "Common Stock") reported in this report were earned pursuant to the performance restricted stock units ("PRSUs") of ExlService Holdings, Inc. (the "Company") granted on February 16, 2022. Such shares of Common Stock were deemed earned on January 27, 2025 based on the Compensation Committee of the Board of Directors administering the award certifying the achievement of performance targets applicable to the PRSUs for the performance period ending on December 31, 2024.</w:t>
      </w:r>
    </w:p>
    <w:p>
      <w:pPr>
        <w:spacing w:after="0" w:line="20"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ExlService Holdings, Inc. 2018 Omnibus Incentive Plan, pursuant to which such PRSUs were granted, the closing price of the Common Stock on the Nasdaq Global Select Market on the preceding day is used for purposes of computing tax reporting and withholding.</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Ayyappan is the Company's General Counsel.</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Ajay Ayyappan,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01/29/2025</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60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72650"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2025-01-29T16:13:38Z</dcterms:created>
  <dcterms:modified xsi:type="dcterms:W3CDTF">2025-01-29T16:13:38Z</dcterms:modified>
</cp:coreProperties>
</file>