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36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361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9"/>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0000FF"/>
              </w:rPr>
              <w:t>01/21/2026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5,315</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398,707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gridSpan w:val="13"/>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6,960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01/21/2026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6,960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of common stock of ExlService Holdings, Inc. (the "Company") issued in respect of the reporting person's restricted stock units that vested as of March 31, 2024, but which were settled as of January 21, 2026. Due to administrative delay in settlement, the number of shares of common stock issued to the reporting person was reduced based on applicable U.S. tax rules and regulations.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received under a share matching plan in connection with the officer's purchase of common stock, par value $0.001 per share of ExlService Holdings, Inc.</w:t>
      </w:r>
    </w:p>
    <w:p>
      <w:pPr>
        <w:spacing w:after="0" w:line="4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2022, the reporting person was granted 20,885 restricted stock units, after adjustment for the 5-for-1 forward stock split, effective August 1, 2023, vesting in two installment installments beginning on the second anniversary of the grant date. 33% of the restricted stock units became vested on March 31, 2024, and the remaining balance of 67% of the restricted stock units became vested on March 31, 2025. This transaction represents the settlement, as of January 21, 2026, of the shares that vested in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2026-01-23T16:57:23Z</dcterms:created>
  <dcterms:modified xsi:type="dcterms:W3CDTF">2026-01-23T16:57:23Z</dcterms:modified>
</cp:coreProperties>
</file>