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38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20" w:type="dxa"/>
            <w:vAlign w:val="bottom"/>
          </w:tcPr>
          <w:p>
            <w:pPr>
              <w:jc w:val="center"/>
              <w:ind w:right="2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 NEW YORK,</w:t>
            </w:r>
          </w:p>
        </w:tc>
        <w:tc>
          <w:tcPr>
            <w:tcW w:w="1520" w:type="dxa"/>
            <w:vAlign w:val="bottom"/>
          </w:tcPr>
          <w:p>
            <w:pPr>
              <w:spacing w:after="0"/>
              <w:rPr>
                <w:sz w:val="24"/>
                <w:szCs w:val="24"/>
                <w:color w:val="auto"/>
              </w:rPr>
            </w:pPr>
          </w:p>
        </w:tc>
      </w:tr>
      <w:tr>
        <w:trPr>
          <w:trHeight w:val="231"/>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rPr>
              <w:t>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25"/>
        </w:trPr>
        <w:tc>
          <w:tcPr>
            <w:tcW w:w="6720" w:type="dxa"/>
            <w:vAlign w:val="bottom"/>
          </w:tcPr>
          <w:p>
            <w:pPr>
              <w:jc w:val="right"/>
              <w:ind w:right="1362"/>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20" w:type="dxa"/>
            <w:vAlign w:val="bottom"/>
          </w:tcPr>
          <w:p>
            <w:pPr>
              <w:jc w:val="center"/>
              <w:ind w:left="26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3">
            <w:col w:w="910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As of October 31, 2011, there were 31,151,039 shares of the registrant’s common stock outstanding (excluding 323,397 shares held in treasury and 71,401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p>
      <w:pPr>
        <w:ind w:left="10880"/>
        <w:spacing w:after="0"/>
        <w:rPr>
          <w:sz w:val="20"/>
          <w:szCs w:val="20"/>
          <w:color w:val="auto"/>
        </w:rPr>
      </w:pPr>
      <w:r>
        <w:rPr>
          <w:rFonts w:ascii="Arial" w:cs="Arial" w:eastAsia="Arial" w:hAnsi="Arial"/>
          <w:sz w:val="15"/>
          <w:szCs w:val="15"/>
          <w:u w:val="single" w:color="auto"/>
          <w:color w:val="auto"/>
        </w:rPr>
        <w:t>PAGE</w:t>
      </w:r>
    </w:p>
    <w:p>
      <w:pPr>
        <w:spacing w:after="0" w:line="152" w:lineRule="exact"/>
        <w:rPr>
          <w:sz w:val="20"/>
          <w:szCs w:val="20"/>
          <w:color w:val="auto"/>
        </w:rPr>
      </w:pPr>
    </w:p>
    <w:p>
      <w:pPr>
        <w:spacing w:after="0"/>
        <w:tabs>
          <w:tab w:leader="none" w:pos="760" w:val="left"/>
          <w:tab w:leader="none" w:pos="11220" w:val="left"/>
        </w:tabs>
        <w:rPr>
          <w:rFonts w:ascii="Arial" w:cs="Arial" w:eastAsia="Arial" w:hAnsi="Arial"/>
          <w:sz w:val="18"/>
          <w:szCs w:val="18"/>
          <w:color w:val="0000EE"/>
        </w:rPr>
      </w:pPr>
      <w:r>
        <w:rPr>
          <w:rFonts w:ascii="Arial" w:cs="Arial" w:eastAsia="Arial" w:hAnsi="Arial"/>
          <w:sz w:val="18"/>
          <w:szCs w:val="18"/>
          <w:color w:val="auto"/>
        </w:rPr>
        <w:t>ITEM</w:t>
      </w:r>
      <w:r>
        <w:rPr>
          <w:sz w:val="20"/>
          <w:szCs w:val="20"/>
          <w:color w:val="auto"/>
        </w:rPr>
        <w:tab/>
      </w:r>
      <w:hyperlink w:anchor="page3">
        <w:r>
          <w:rPr>
            <w:rFonts w:ascii="Arial" w:cs="Arial" w:eastAsia="Arial" w:hAnsi="Arial"/>
            <w:sz w:val="18"/>
            <w:szCs w:val="18"/>
            <w:u w:val="single" w:color="auto"/>
            <w:color w:val="0000EE"/>
          </w:rPr>
          <w:t>PART I. FINANCIAL INFORMATION</w:t>
        </w:r>
      </w:hyperlink>
      <w:r>
        <w:rPr>
          <w:rFonts w:ascii="Arial" w:cs="Arial" w:eastAsia="Arial" w:hAnsi="Arial"/>
          <w:sz w:val="18"/>
          <w:szCs w:val="18"/>
          <w:color w:val="0000EE"/>
        </w:rPr>
        <w:tab/>
      </w:r>
      <w:r>
        <w:rPr>
          <w:rFonts w:ascii="Arial" w:cs="Arial" w:eastAsia="Arial" w:hAnsi="Arial"/>
          <w:sz w:val="14"/>
          <w:szCs w:val="14"/>
          <w:color w:val="0000EE"/>
        </w:rPr>
        <w:t>3</w:t>
      </w:r>
    </w:p>
    <w:p>
      <w:pPr>
        <w:spacing w:after="0" w:line="117" w:lineRule="exact"/>
        <w:rPr>
          <w:sz w:val="20"/>
          <w:szCs w:val="20"/>
          <w:color w:val="auto"/>
        </w:rPr>
      </w:pPr>
    </w:p>
    <w:p>
      <w:pPr>
        <w:ind w:left="780" w:hanging="684"/>
        <w:spacing w:after="0"/>
        <w:tabs>
          <w:tab w:leader="none" w:pos="78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20" w:type="dxa"/>
            <w:vAlign w:val="bottom"/>
            <w:gridSpan w:val="16"/>
          </w:tcPr>
          <w:p>
            <w:pPr>
              <w:spacing w:after="0" w:line="193"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2011 (Unaudited) and December 31, 2010</w:t>
              </w:r>
            </w:hyperlink>
          </w:p>
        </w:tc>
        <w:tc>
          <w:tcPr>
            <w:tcW w:w="48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Income (Unaudited) for the Three Months Ended and Nine Months Ended September 30, 2011 and 2010</w:t>
              </w:r>
            </w:hyperlink>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Nine Months Ended September 30, 2011 and 2010</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 (Unaudited)</w:t>
              </w:r>
            </w:hyperlink>
          </w:p>
        </w:tc>
        <w:tc>
          <w:tcPr>
            <w:tcW w:w="3860" w:type="dxa"/>
            <w:vAlign w:val="bottom"/>
            <w:tcBorders>
              <w:top w:val="single" w:sz="8" w:color="0000EE"/>
            </w:tcBorders>
            <w:gridSpan w:val="3"/>
          </w:tcPr>
          <w:p>
            <w:pPr>
              <w:spacing w:after="0"/>
              <w:rPr>
                <w:sz w:val="17"/>
                <w:szCs w:val="17"/>
                <w:color w:val="auto"/>
              </w:rPr>
            </w:pPr>
          </w:p>
        </w:tc>
        <w:tc>
          <w:tcPr>
            <w:tcW w:w="18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7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580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4"/>
          </w:tcPr>
          <w:p>
            <w:pPr>
              <w:spacing w:after="0"/>
              <w:rPr>
                <w:sz w:val="24"/>
                <w:szCs w:val="24"/>
                <w:color w:val="auto"/>
              </w:rPr>
            </w:pPr>
          </w:p>
        </w:tc>
        <w:tc>
          <w:tcPr>
            <w:tcW w:w="756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1A.</w:t>
            </w:r>
          </w:p>
        </w:tc>
        <w:tc>
          <w:tcPr>
            <w:tcW w:w="100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Unregistered Sales of Equity Securities and Use of Proceeds</w:t>
              </w:r>
            </w:hyperlink>
          </w:p>
        </w:tc>
        <w:tc>
          <w:tcPr>
            <w:tcW w:w="58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(Removed and Reserved)</w:t>
              </w:r>
            </w:hyperlink>
          </w:p>
        </w:tc>
        <w:tc>
          <w:tcPr>
            <w:tcW w:w="78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1780" w:type="dxa"/>
            <w:vAlign w:val="bottom"/>
            <w:tcBorders>
              <w:top w:val="single" w:sz="8" w:color="0000EE"/>
            </w:tcBorders>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28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7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3"/>
          </w:tcPr>
          <w:p>
            <w:pPr>
              <w:ind w:left="490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99"/>
              </w:rPr>
              <w:t>EXLSERVICE HOLDINGS, INC.</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jc w:val="center"/>
              <w:ind w:left="153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$131 at September 30, 2011 and $246 at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December 31, 2010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58,235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5,211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159,849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41,003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96,238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373,582</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23,947</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28,790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16,560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57,137</w:t>
            </w: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31,447,336 shares issued and 31,123,939 shares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as of September 30, 2011 and 29,690,463 shares issued and 29,437,961 shares outstanding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170,401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136,173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137,493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112,266</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(loss)/income</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(16,533)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291,392</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249,595</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w w:val="96"/>
              </w:rPr>
              <w:t>Less: 323,397 shares as of September 30, 2011 and 252,502 shares as of December 31, 2010, held in treasury, at cost</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(2,693)</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288,699</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288,721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373,582</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61,755</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157,971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5,331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18,894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26,611</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30,293,114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29,302,862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29,926,846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29,221,668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31,586,936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30,385,308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31,131,513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30,248,648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25,226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Non-employee stock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exchange (gain)/loss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Advance income-tax,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(81,173)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(100,739)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(55,259)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Principal payments of 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(30,049)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Proceeds from issuance of common stock in public offering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Direct costs incurred in relation to public offering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(38,306)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(29,607)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111,182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72,876</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4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2010.</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 and unaudited consolidated statement of income, respectively. The non-controlling interest in the operations for the three and nine months ended September 30, 2011 and 2010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future obligations under employee benefit plans, deferred tax valuation allowances, income 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September 2009, the Financial Accounting Standards Board (“FASB”) issued update No. 2009-13, “Multiple-Deliverable Revenue Arrangements—a consensus of the FASB Emerging Issues Task Force” (“ASU 2009-13”). ASU 2009-13 updates the existing multiple-element revenue arrangements guidance currently included under ASC topic 605-25, which originated primarily from the guidance in EITF Issue No. 00-21, “Revenue Arrangements with Multiple Deliverables.”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is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the Company’s unaudited consolidated financial statements since the number of multiple deliverable revenue arrangements is insignificant.</w:t>
      </w:r>
    </w:p>
    <w:p>
      <w:pPr>
        <w:spacing w:after="0" w:line="12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December 2010, the FASB issued update No. 2010-29 (“ASU 2010-29”), “Disclosure of Supplementary Pro Forma Information for Business Combinations.” ASU 2010-29 requires public companies to disclose revenues and earnings of the combined entity as though the current period business combination had occurred as of the beginning of the comparable prior annual reporting period while presenting comparative financial statements. The amendments expand the supplemental pro forma disclosures to include a description of the nature and amount of material, nonrecurring pro forma adjustments directly attributable to the business combination included in the reported pro forma revenue and earnings. The Company adopted the guidance effective January 1, 2011 for material (either on an individual or aggregate basis) business combinations entered into in fiscal years beginning on or after December 15, 2010. The adoption of the guidance had no effect on the Company’s financial position or results of operations. Refer to Note 5 to the unaudited consolidated financial statements for further details.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2011, the FASB issued update No. 2011-05 (“ASU 2011-05”), “Presentation of Comprehensive Income.” ASU 2011-05 amends existing guidance by allowing only two options for presenting the components of net income and other comprehensive income: (1) in a single continuous financial statement and statement of comprehensive income, or (2) in two separate but consecutive financial statements, consisting of an income statement followed by a separate statement of other comprehensive income. Also, items that are reclassified from other comprehensive income to net income must be presented on the face of the financial statements. ASU 2011-05 requires retrospective application, and is effective for fiscal years, and interim periods within those years, beginning on or after December 15, 2011, with early adoption permitted. The Company believes that the adoption of this update will change the order in which certain financial statements are presented and provide additional detail on those financial statements when applicable, but will not have any other impact on the Company’s unaudited consolidated financial statements.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September 2011, the FASB issued update No. 2011-08, “Testing Goodwill for Impairment” (“ASU 2011-08”), which allows entities to use a qualitative approach to test goodwill for impairment. ASU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2011-08 is effective for annual and interim goodwill impairment tests performed for fiscal years beginning after December 15, 2011. The Company is currently evaluating the impact of adopting the provisions of ASU 2011-08.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Cash or in-kind dividends declared with respect to unvested shares of restricted stock and restricted stock units are withheld by the Company and paid to the holder of such shares of restricted stock and restricted stock units, without interest, only if and when such shares of restricted stock and restricted stock units vest. Any unvested shares of restricted stock and restricted stock units are immediately forfeited without consideration upon the termination of such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computation of basic earnings per share.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34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8,391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7,804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25,226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30,293,114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29,302,862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29,926,846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29,221,668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share based awards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1,293,822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1,082,446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1,204,667</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1,026,980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31,586,936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30,385,308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31,131,513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30,248,648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considered anti-dilutive in computing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316,675</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546,088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458,113</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Company’s recent acquisition of Business Process Outsourcing, Inc. (“OPI”) is classified within the outsourcing services segment. See Note 5 for further details regarding the acquisition.</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other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September 30, 2011 and 2010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10"/>
          </w:tcPr>
          <w:p>
            <w:pPr>
              <w:jc w:val="right"/>
              <w:ind w:right="780"/>
              <w:spacing w:after="0"/>
              <w:rPr>
                <w:sz w:val="20"/>
                <w:szCs w:val="20"/>
                <w:color w:val="auto"/>
              </w:rPr>
            </w:pPr>
            <w:r>
              <w:rPr>
                <w:rFonts w:ascii="Arial" w:cs="Arial" w:eastAsia="Arial" w:hAnsi="Arial"/>
                <w:sz w:val="14"/>
                <w:szCs w:val="14"/>
                <w:b w:val="1"/>
                <w:bCs w:val="1"/>
                <w:color w:val="auto"/>
                <w:w w:val="95"/>
              </w:rPr>
              <w:t>Three months ended September 30, 2011</w:t>
            </w:r>
          </w:p>
        </w:tc>
        <w:tc>
          <w:tcPr>
            <w:tcW w:w="100" w:type="dxa"/>
            <w:vAlign w:val="bottom"/>
          </w:tcPr>
          <w:p>
            <w:pPr>
              <w:spacing w:after="0"/>
              <w:rPr>
                <w:sz w:val="14"/>
                <w:szCs w:val="14"/>
                <w:color w:val="auto"/>
              </w:rPr>
            </w:pPr>
          </w:p>
        </w:tc>
        <w:tc>
          <w:tcPr>
            <w:tcW w:w="3000" w:type="dxa"/>
            <w:vAlign w:val="bottom"/>
            <w:gridSpan w:val="8"/>
          </w:tcPr>
          <w:p>
            <w:pPr>
              <w:ind w:left="220"/>
              <w:spacing w:after="0"/>
              <w:rPr>
                <w:sz w:val="20"/>
                <w:szCs w:val="20"/>
                <w:color w:val="auto"/>
              </w:rPr>
            </w:pPr>
            <w:r>
              <w:rPr>
                <w:rFonts w:ascii="Arial" w:cs="Arial" w:eastAsia="Arial" w:hAnsi="Arial"/>
                <w:sz w:val="14"/>
                <w:szCs w:val="14"/>
                <w:b w:val="1"/>
                <w:bCs w:val="1"/>
                <w:color w:val="auto"/>
              </w:rPr>
              <w:t>Three months ended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Services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83,176</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100,026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50,468</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67,585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50,961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10,794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61,755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32,215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26,611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8,391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jc w:val="right"/>
              <w:ind w:right="92"/>
              <w:spacing w:after="0"/>
              <w:rPr>
                <w:sz w:val="20"/>
                <w:szCs w:val="20"/>
                <w:color w:val="auto"/>
              </w:rPr>
            </w:pPr>
            <w:r>
              <w:rPr>
                <w:rFonts w:ascii="Arial" w:cs="Arial" w:eastAsia="Arial" w:hAnsi="Arial"/>
                <w:sz w:val="18"/>
                <w:szCs w:val="18"/>
                <w:color w:val="auto"/>
              </w:rPr>
              <w:t>8</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Revenues and cost of revenues for each of the nine months ended September 30, 2011 and 2010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9"/>
          </w:tcPr>
          <w:p>
            <w:pPr>
              <w:ind w:left="220"/>
              <w:spacing w:after="0"/>
              <w:rPr>
                <w:sz w:val="20"/>
                <w:szCs w:val="20"/>
                <w:color w:val="auto"/>
              </w:rPr>
            </w:pPr>
            <w:r>
              <w:rPr>
                <w:rFonts w:ascii="Arial" w:cs="Arial" w:eastAsia="Arial" w:hAnsi="Arial"/>
                <w:sz w:val="14"/>
                <w:szCs w:val="14"/>
                <w:b w:val="1"/>
                <w:bCs w:val="1"/>
                <w:color w:val="auto"/>
              </w:rPr>
              <w:t>Nine months ended September 30, 2011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9"/>
          </w:tcPr>
          <w:p>
            <w:pPr>
              <w:ind w:left="220"/>
              <w:spacing w:after="0"/>
              <w:rPr>
                <w:sz w:val="20"/>
                <w:szCs w:val="20"/>
                <w:color w:val="auto"/>
              </w:rPr>
            </w:pPr>
            <w:r>
              <w:rPr>
                <w:rFonts w:ascii="Arial" w:cs="Arial" w:eastAsia="Arial" w:hAnsi="Arial"/>
                <w:sz w:val="14"/>
                <w:szCs w:val="14"/>
                <w:b w:val="1"/>
                <w:bCs w:val="1"/>
                <w:color w:val="auto"/>
              </w:rPr>
              <w:t>Nine months ended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Outsourcing</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Outsourcing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208,751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257,961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138,618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44,095</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182,713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Cost of revenues (exclusive of 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126,532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157,971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81,786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82,219</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99,990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56,832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71,414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May 31, 2011, the Company completed its acquisition of OPI, a Delaware corporation formerly organized as a Cayman Islands exempted company (the “OPI Acquisition”), pursuant to a Merger Agreement, dated as of April 30, 2011 (the “Merger Agreement”), with F&amp;A BPO Merger Sub, Inc., a Delaware corporation and wholly owned subsidiary of the Company (“Merger Sub”), OPI and Shareholder Representative Services LLC, a Colorado limited liability company. Under the terms of the Merger Agreement, Merger Sub merged with and into OPI and OPI survived as a wholly owned subsidiary of the Company (the “Merger”).</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acquired OPI to strengthen its position as a provider of finance and accounting outsourcing services. 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The total purchase price of the OPI Acquisition is as follows: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9"/>
              </w:rPr>
              <w:t>Add: Working capital baseline and other adjustments as of the acquisition date</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gridSpan w:val="2"/>
          </w:tcPr>
          <w:p>
            <w:pPr>
              <w:ind w:left="1380"/>
              <w:spacing w:after="0"/>
              <w:rPr>
                <w:sz w:val="20"/>
                <w:szCs w:val="20"/>
                <w:color w:val="auto"/>
              </w:rPr>
            </w:pPr>
            <w:r>
              <w:rPr>
                <w:rFonts w:ascii="Arial" w:cs="Arial" w:eastAsia="Arial" w:hAnsi="Arial"/>
                <w:sz w:val="18"/>
                <w:szCs w:val="18"/>
                <w:color w:val="auto"/>
              </w:rPr>
              <w:t>Total purchase price</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2232"/>
              <w:spacing w:after="0"/>
              <w:rPr>
                <w:sz w:val="20"/>
                <w:szCs w:val="20"/>
                <w:color w:val="auto"/>
              </w:rPr>
            </w:pPr>
            <w:r>
              <w:rPr>
                <w:rFonts w:ascii="Arial" w:cs="Arial" w:eastAsia="Arial" w:hAnsi="Arial"/>
                <w:sz w:val="18"/>
                <w:szCs w:val="18"/>
                <w:color w:val="auto"/>
              </w:rPr>
              <w:t>9</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preliminary purchase price allocation for OPI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(liabilities)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24,009</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Leasehold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54,314</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100,923</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Includes $14,000 deposited in escrow accounts in connection with the acquisition.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ASC topic 805, “Business Combinations,” the preliminary allocation of the purchase price to the tangible and intangible assets and liabilities acquired may change up to a period of one year from the date of acquisition. Accordingly, the Company may adjust the amounts recorded as of September 30, 2011 to reflect any revised valuations of the assets acquired or liabilities assumed. The customer relationships and leasehold benefits from the OPI Acquisition are being amortized over a weighted average life of 10.6 years and the remaining period of the lease (approximately 8 years), respectively. Similarly, trade names, trademarks and non-compete agreements are being amortized over a life of 3.0 years and 1.5 years, respectively.</w:t>
      </w:r>
    </w:p>
    <w:p>
      <w:pPr>
        <w:spacing w:after="0" w:line="11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During the three and nine months ended September 30, 2011, the Company recognized $0 and $1,139 of acquisition-related costs, related to the OPI Acquisition, which amounts are included under general and administrative expenses in the unaudited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ASC paragraph 805-10-50-2(h) requires a public entity to disclose pro forma information for the business combinations that occurred in the current reporting period. Under ASU 2010-29, the disclosures include pro forma revenues and earnings of the combined entity for the current reporting period as though the acquisition date for the business combination that occurred during the year had been as of the beginning of the annual reporting period. If comparative financial statements are presented, the pro forma revenues and earnings of the combined entity for the comparable prior reporting period should be reported as though the acquisition date for all business combinations that occurred during the current year had been as of the beginning of the comparable prior annual reporting period.</w:t>
      </w:r>
    </w:p>
    <w:p>
      <w:pPr>
        <w:spacing w:after="0" w:line="14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of ExlService Holdings and OPI, on a pro forma basis, as though the companies had been combined as of January 1, 2010. The pro forma financial information is presented for informational purposes only and is not indicative of the results of operations that would have been achieved if the OPI Acquisition had taken place on that date or of results that may occur in the future. The unaudited pro forma financial information for the three and nine months ended September 30, 2011 and 2010 combines the historical results for the Company for the three and nine months ended September 30, 2011 and 2010 and the historical results for OPI for the three and nine months ended September 30, 2011 and 2010.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4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237,420</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8,391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28,074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r>
      <w:tr>
        <w:trPr>
          <w:trHeight w:val="208"/>
        </w:trPr>
        <w:tc>
          <w:tcPr>
            <w:tcW w:w="4920" w:type="dxa"/>
            <w:vAlign w:val="bottom"/>
          </w:tcPr>
          <w:p>
            <w:pPr>
              <w:spacing w:after="0"/>
              <w:rPr>
                <w:sz w:val="20"/>
                <w:szCs w:val="20"/>
                <w:color w:val="auto"/>
              </w:rPr>
            </w:pPr>
            <w:r>
              <w:rPr>
                <w:rFonts w:ascii="Arial" w:cs="Arial" w:eastAsia="Arial" w:hAnsi="Arial"/>
                <w:sz w:val="18"/>
                <w:szCs w:val="18"/>
                <w:color w:val="auto"/>
              </w:rPr>
              <w:t>Weighted-average number of shares used in computing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30,293,114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29,302,862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29,221,668</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31,586,936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30,385,308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30,248,648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income for the three and nine months ended September 30, 2011 and 2010 include adjustments for amortization of identifiable intangible assets recognized from the OPI Acquisition, Merger-related transaction costs including advisory and legal fees incurred which are directly attributable to the Merger, but which are not expected to have a continuing impact on the combined entity’s results and adjustment for changes to income tax expense as a result of the consummation of this transaction.</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results of operations for three and nine months ended September 30, 2011 include $22,532 and $29,884 of revenues and $1,590 and $2,070 of net income, respectively, attributable to the revenues and net income of OPI since the OPI Acquisition was consummated.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September 30,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Transformation</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28,557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(5,303)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23"/>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26,585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Goodwill arising from OPI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54,314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54,314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2011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79,453</w:t>
            </w:r>
          </w:p>
        </w:tc>
        <w:tc>
          <w:tcPr>
            <w:tcW w:w="5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16,785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96,238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right="12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 adjustments related to the American Express Global Travel Service Center (“GTSC”) and Professional Data Management Again, Inc. (“PDMA”) acquisitions.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September 30, 2011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$33,098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(3,638)</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benefits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3,777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1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42,975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(5,111)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37,864</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As of December 31, 2010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$16,595</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benefits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20,797</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(2,206)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Amortization expense for the three months ended September 30, 2011 and 2010 was $1,395 and $688, respectively. Amortization expense for the nine months ended September 30, 2011 and 2010 was $2,943 and $1,388, respectively. The weighted average life of intangible assets was 10.1 years for customer relationships, 6.8 years for leasehold benefits, 10.0 years for developed technology, 1.5 years for non-compete agreements and 3.0 years for trade names and trademarks excluding indefinite life trade names and trademarks. The Company had $900 of indefinite life trade names and trademarks as of September 30, 2011 and December 31, 2010.</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Estimated amortization of intangible assets during the year ending September 30,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5,249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4,492</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4,170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3,770</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2016</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3,770</w:t>
            </w:r>
          </w:p>
        </w:tc>
      </w:tr>
      <w:tr>
        <w:trPr>
          <w:trHeight w:val="356"/>
        </w:trPr>
        <w:tc>
          <w:tcPr>
            <w:tcW w:w="6460" w:type="dxa"/>
            <w:vAlign w:val="bottom"/>
          </w:tcPr>
          <w:p>
            <w:pPr>
              <w:ind w:left="378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September 30, 2011 and December 31, 2010. The table excludes short-term investments, accounts receivable, short-term borrowings, accounts payable and accrued expenses for which fair values approximate their carrying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2011</w:t>
            </w:r>
          </w:p>
        </w:tc>
        <w:tc>
          <w:tcPr>
            <w:tcW w:w="244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spacing w:after="0"/>
              <w:rPr>
                <w:sz w:val="20"/>
                <w:szCs w:val="20"/>
                <w:color w:val="auto"/>
              </w:rPr>
            </w:pPr>
            <w:r>
              <w:rPr>
                <w:rFonts w:ascii="Arial" w:cs="Arial" w:eastAsia="Arial" w:hAnsi="Arial"/>
                <w:sz w:val="18"/>
                <w:szCs w:val="18"/>
                <w:color w:val="auto"/>
                <w:w w:val="87"/>
              </w:rPr>
              <w:t>40,870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40,870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20" w:type="dxa"/>
            <w:vAlign w:val="bottom"/>
            <w:gridSpan w:val="2"/>
            <w:vMerge w:val="continue"/>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ind w:lef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4,830</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4,830</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2010</w:t>
            </w:r>
          </w:p>
        </w:tc>
        <w:tc>
          <w:tcPr>
            <w:tcW w:w="244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w w:val="87"/>
              </w:rPr>
              <w:t>83,335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4,214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spacing w:after="0"/>
              <w:rPr>
                <w:sz w:val="20"/>
                <w:szCs w:val="20"/>
                <w:color w:val="auto"/>
              </w:rPr>
            </w:pPr>
            <w:r>
              <w:rPr>
                <w:rFonts w:ascii="Arial" w:cs="Arial" w:eastAsia="Arial" w:hAnsi="Arial"/>
                <w:sz w:val="18"/>
                <w:szCs w:val="18"/>
                <w:color w:val="auto"/>
                <w:w w:val="87"/>
              </w:rPr>
              <w:t>83,335</w:t>
            </w:r>
          </w:p>
        </w:tc>
        <w:tc>
          <w:tcPr>
            <w:tcW w:w="1080" w:type="dxa"/>
            <w:vAlign w:val="bottom"/>
            <w:gridSpan w:val="4"/>
          </w:tcPr>
          <w:p>
            <w:pPr>
              <w:ind w:lef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4,214</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“Derivatives and Hedging” (“ASC 815”). The Company also uses derivatives consisting of foreign currency exchange contracts not designated as hedging instruments under ASC 815 to hedge intercompany balances and other monetary assets or liabilities denominated in currencies other than the functional currency.</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$206,630, GBP 9,143 and EUR 133 as of September 30, 2011 and totaling $166,030, GBP 8,434 and EUR 785 as of December 31, 2010. The Company estimates that approximately $2,883 of net derivative loss included in accumulated other comprehensive income (“AOCI”) could be reclassified into earnings within the next twelve months based on exchange rates prevailing as of September 30, 2011. As of September 30, 2011, the maximum outstanding term of derivative instruments that hedge forecasted transactions was thirty three months.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and nine months ended September 30, 2011.</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gridSpan w:val="3"/>
          </w:tcPr>
          <w:p>
            <w:pPr>
              <w:ind w:left="14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57"/>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gridSpan w:val="3"/>
          </w:tcPr>
          <w:p>
            <w:pPr>
              <w:ind w:left="14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57"/>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gridSpan w:val="3"/>
          </w:tcPr>
          <w:p>
            <w:pPr>
              <w:ind w:left="14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7"/>
              <w:spacing w:after="0"/>
              <w:rPr>
                <w:sz w:val="20"/>
                <w:szCs w:val="20"/>
                <w:color w:val="auto"/>
              </w:rPr>
            </w:pPr>
            <w:r>
              <w:rPr>
                <w:rFonts w:ascii="Arial" w:cs="Arial" w:eastAsia="Arial" w:hAnsi="Arial"/>
                <w:sz w:val="18"/>
                <w:szCs w:val="18"/>
                <w:color w:val="auto"/>
                <w:w w:val="84"/>
              </w:rPr>
              <w:t>2,883</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gridSpan w:val="3"/>
          </w:tcPr>
          <w:p>
            <w:pPr>
              <w:ind w:left="14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7"/>
              <w:spacing w:after="0"/>
              <w:rPr>
                <w:sz w:val="20"/>
                <w:szCs w:val="20"/>
                <w:color w:val="auto"/>
              </w:rPr>
            </w:pPr>
            <w:r>
              <w:rPr>
                <w:rFonts w:ascii="Arial" w:cs="Arial" w:eastAsia="Arial" w:hAnsi="Arial"/>
                <w:sz w:val="18"/>
                <w:szCs w:val="18"/>
                <w:color w:val="auto"/>
                <w:w w:val="84"/>
              </w:rPr>
              <w:t>1,505</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451"/>
        </w:trPr>
        <w:tc>
          <w:tcPr>
            <w:tcW w:w="5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40" w:type="dxa"/>
            <w:vAlign w:val="bottom"/>
            <w:gridSpan w:val="5"/>
          </w:tcPr>
          <w:p>
            <w:pPr>
              <w:ind w:left="1280"/>
              <w:spacing w:after="0"/>
              <w:rPr>
                <w:sz w:val="20"/>
                <w:szCs w:val="20"/>
                <w:color w:val="auto"/>
              </w:rPr>
            </w:pPr>
            <w:r>
              <w:rPr>
                <w:rFonts w:ascii="Arial" w:cs="Arial" w:eastAsia="Arial" w:hAnsi="Arial"/>
                <w:sz w:val="14"/>
                <w:szCs w:val="14"/>
                <w:b w:val="1"/>
                <w:bCs w:val="1"/>
                <w:color w:val="auto"/>
                <w:w w:val="98"/>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assets:</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442</w:t>
            </w:r>
          </w:p>
        </w:tc>
        <w:tc>
          <w:tcPr>
            <w:tcW w:w="120" w:type="dxa"/>
            <w:vAlign w:val="bottom"/>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Location of Gain/(Loss)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60" w:type="dxa"/>
            <w:vAlign w:val="bottom"/>
          </w:tcPr>
          <w:p>
            <w:pPr>
              <w:spacing w:after="0"/>
              <w:rPr>
                <w:sz w:val="12"/>
                <w:szCs w:val="12"/>
                <w:color w:val="auto"/>
              </w:rPr>
            </w:pPr>
          </w:p>
        </w:tc>
        <w:tc>
          <w:tcPr>
            <w:tcW w:w="1400" w:type="dxa"/>
            <w:vAlign w:val="bottom"/>
            <w:gridSpan w:val="7"/>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2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156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0" w:type="dxa"/>
            <w:vAlign w:val="bottom"/>
          </w:tcPr>
          <w:p>
            <w:pPr>
              <w:spacing w:after="0"/>
              <w:rPr>
                <w:sz w:val="1"/>
                <w:szCs w:val="1"/>
                <w:color w:val="auto"/>
              </w:rPr>
            </w:pPr>
          </w:p>
        </w:tc>
      </w:tr>
      <w:tr>
        <w:trPr>
          <w:trHeight w:val="148"/>
        </w:trPr>
        <w:tc>
          <w:tcPr>
            <w:tcW w:w="2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Amount of Gain/</w:t>
            </w:r>
          </w:p>
        </w:tc>
        <w:tc>
          <w:tcPr>
            <w:tcW w:w="14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Location of Gain /</w:t>
            </w:r>
          </w:p>
        </w:tc>
        <w:tc>
          <w:tcPr>
            <w:tcW w:w="160" w:type="dxa"/>
            <w:vAlign w:val="bottom"/>
          </w:tcPr>
          <w:p>
            <w:pPr>
              <w:spacing w:after="0"/>
              <w:rPr>
                <w:sz w:val="12"/>
                <w:szCs w:val="12"/>
                <w:color w:val="auto"/>
              </w:rPr>
            </w:pPr>
          </w:p>
        </w:tc>
        <w:tc>
          <w:tcPr>
            <w:tcW w:w="1620" w:type="dxa"/>
            <w:vAlign w:val="bottom"/>
            <w:gridSpan w:val="5"/>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Amount of Gain/</w:t>
            </w:r>
          </w:p>
        </w:tc>
        <w:tc>
          <w:tcPr>
            <w:tcW w:w="140" w:type="dxa"/>
            <w:vAlign w:val="bottom"/>
          </w:tcPr>
          <w:p>
            <w:pPr>
              <w:spacing w:after="0"/>
              <w:rPr>
                <w:sz w:val="12"/>
                <w:szCs w:val="12"/>
                <w:color w:val="auto"/>
              </w:rPr>
            </w:pPr>
          </w:p>
        </w:tc>
        <w:tc>
          <w:tcPr>
            <w:tcW w:w="1740" w:type="dxa"/>
            <w:vAlign w:val="bottom"/>
            <w:gridSpan w:val="5"/>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(Ineffective Portion</w:t>
            </w:r>
          </w:p>
        </w:tc>
        <w:tc>
          <w:tcPr>
            <w:tcW w:w="1560" w:type="dxa"/>
            <w:vAlign w:val="bottom"/>
            <w:gridSpan w:val="8"/>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Income on Derivative</w:t>
            </w:r>
          </w:p>
        </w:tc>
        <w:tc>
          <w:tcPr>
            <w:tcW w:w="0" w:type="dxa"/>
            <w:vAlign w:val="bottom"/>
          </w:tcPr>
          <w:p>
            <w:pPr>
              <w:spacing w:after="0"/>
              <w:rPr>
                <w:sz w:val="1"/>
                <w:szCs w:val="1"/>
                <w:color w:val="auto"/>
              </w:rPr>
            </w:pPr>
          </w:p>
        </w:tc>
      </w:tr>
      <w:tr>
        <w:trPr>
          <w:trHeight w:val="149"/>
        </w:trPr>
        <w:tc>
          <w:tcPr>
            <w:tcW w:w="2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40" w:type="dxa"/>
            <w:vAlign w:val="bottom"/>
          </w:tcPr>
          <w:p>
            <w:pPr>
              <w:spacing w:after="0"/>
              <w:rPr>
                <w:sz w:val="12"/>
                <w:szCs w:val="12"/>
                <w:color w:val="auto"/>
              </w:rPr>
            </w:pPr>
          </w:p>
        </w:tc>
        <w:tc>
          <w:tcPr>
            <w:tcW w:w="14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4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60" w:type="dxa"/>
            <w:vAlign w:val="bottom"/>
          </w:tcPr>
          <w:p>
            <w:pPr>
              <w:spacing w:after="0"/>
              <w:rPr>
                <w:sz w:val="12"/>
                <w:szCs w:val="12"/>
                <w:color w:val="auto"/>
              </w:rPr>
            </w:pPr>
          </w:p>
        </w:tc>
        <w:tc>
          <w:tcPr>
            <w:tcW w:w="16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40" w:type="dxa"/>
            <w:vAlign w:val="bottom"/>
          </w:tcPr>
          <w:p>
            <w:pPr>
              <w:spacing w:after="0"/>
              <w:rPr>
                <w:sz w:val="12"/>
                <w:szCs w:val="12"/>
                <w:color w:val="auto"/>
              </w:rPr>
            </w:pPr>
          </w:p>
        </w:tc>
        <w:tc>
          <w:tcPr>
            <w:tcW w:w="17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and Amount Excluded</w:t>
            </w:r>
          </w:p>
        </w:tc>
        <w:tc>
          <w:tcPr>
            <w:tcW w:w="156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2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Hedging</w:t>
            </w:r>
          </w:p>
        </w:tc>
        <w:tc>
          <w:tcPr>
            <w:tcW w:w="40" w:type="dxa"/>
            <w:vAlign w:val="bottom"/>
          </w:tcPr>
          <w:p>
            <w:pPr>
              <w:spacing w:after="0"/>
              <w:rPr>
                <w:sz w:val="12"/>
                <w:szCs w:val="12"/>
                <w:color w:val="auto"/>
              </w:rPr>
            </w:pPr>
          </w:p>
        </w:tc>
        <w:tc>
          <w:tcPr>
            <w:tcW w:w="14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AOCI on Derivative</w:t>
            </w:r>
          </w:p>
        </w:tc>
        <w:tc>
          <w:tcPr>
            <w:tcW w:w="140" w:type="dxa"/>
            <w:vAlign w:val="bottom"/>
          </w:tcPr>
          <w:p>
            <w:pPr>
              <w:spacing w:after="0"/>
              <w:rPr>
                <w:sz w:val="12"/>
                <w:szCs w:val="12"/>
                <w:color w:val="auto"/>
              </w:rPr>
            </w:pP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60" w:type="dxa"/>
            <w:vAlign w:val="bottom"/>
          </w:tcPr>
          <w:p>
            <w:pPr>
              <w:spacing w:after="0"/>
              <w:rPr>
                <w:sz w:val="12"/>
                <w:szCs w:val="12"/>
                <w:color w:val="auto"/>
              </w:rPr>
            </w:pPr>
          </w:p>
        </w:tc>
        <w:tc>
          <w:tcPr>
            <w:tcW w:w="16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140" w:type="dxa"/>
            <w:vAlign w:val="bottom"/>
          </w:tcPr>
          <w:p>
            <w:pPr>
              <w:spacing w:after="0"/>
              <w:rPr>
                <w:sz w:val="12"/>
                <w:szCs w:val="12"/>
                <w:color w:val="auto"/>
              </w:rPr>
            </w:pPr>
          </w:p>
        </w:tc>
        <w:tc>
          <w:tcPr>
            <w:tcW w:w="17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156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Amount Excluded from</w:t>
            </w:r>
          </w:p>
        </w:tc>
        <w:tc>
          <w:tcPr>
            <w:tcW w:w="0" w:type="dxa"/>
            <w:vAlign w:val="bottom"/>
          </w:tcPr>
          <w:p>
            <w:pPr>
              <w:spacing w:after="0"/>
              <w:rPr>
                <w:sz w:val="1"/>
                <w:szCs w:val="1"/>
                <w:color w:val="auto"/>
              </w:rPr>
            </w:pPr>
          </w:p>
        </w:tc>
      </w:tr>
      <w:tr>
        <w:trPr>
          <w:trHeight w:val="149"/>
        </w:trPr>
        <w:tc>
          <w:tcPr>
            <w:tcW w:w="2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40" w:type="dxa"/>
            <w:vAlign w:val="bottom"/>
          </w:tcPr>
          <w:p>
            <w:pPr>
              <w:spacing w:after="0"/>
              <w:rPr>
                <w:sz w:val="12"/>
                <w:szCs w:val="12"/>
                <w:color w:val="auto"/>
              </w:rPr>
            </w:pPr>
          </w:p>
        </w:tc>
        <w:tc>
          <w:tcPr>
            <w:tcW w:w="1480" w:type="dxa"/>
            <w:vAlign w:val="bottom"/>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40" w:type="dxa"/>
            <w:vAlign w:val="bottom"/>
          </w:tcPr>
          <w:p>
            <w:pPr>
              <w:spacing w:after="0"/>
              <w:rPr>
                <w:sz w:val="12"/>
                <w:szCs w:val="12"/>
                <w:color w:val="auto"/>
              </w:rPr>
            </w:pPr>
          </w:p>
        </w:tc>
        <w:tc>
          <w:tcPr>
            <w:tcW w:w="1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60" w:type="dxa"/>
            <w:vAlign w:val="bottom"/>
          </w:tcPr>
          <w:p>
            <w:pPr>
              <w:spacing w:after="0"/>
              <w:rPr>
                <w:sz w:val="12"/>
                <w:szCs w:val="12"/>
                <w:color w:val="auto"/>
              </w:rPr>
            </w:pPr>
          </w:p>
        </w:tc>
        <w:tc>
          <w:tcPr>
            <w:tcW w:w="1620" w:type="dxa"/>
            <w:vAlign w:val="bottom"/>
            <w:gridSpan w:val="5"/>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84"/>
              </w:rPr>
              <w:t>Testing)</w:t>
            </w:r>
          </w:p>
        </w:tc>
        <w:tc>
          <w:tcPr>
            <w:tcW w:w="1560" w:type="dxa"/>
            <w:vAlign w:val="bottom"/>
            <w:gridSpan w:val="8"/>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Effectiveness Testing)</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20" w:type="dxa"/>
            <w:vAlign w:val="bottom"/>
            <w:tcBorders>
              <w:top w:val="single" w:sz="8" w:color="CCEEFF"/>
            </w:tcBorders>
            <w:gridSpan w:val="4"/>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gridSpan w:val="6"/>
            <w:shd w:val="clear" w:color="auto" w:fill="CCEEFF"/>
          </w:tcPr>
          <w:p>
            <w:pPr>
              <w:ind w:left="140"/>
              <w:spacing w:after="0" w:line="188" w:lineRule="exact"/>
              <w:rPr>
                <w:sz w:val="20"/>
                <w:szCs w:val="20"/>
                <w:color w:val="auto"/>
              </w:rPr>
            </w:pPr>
            <w:r>
              <w:rPr>
                <w:rFonts w:ascii="Arial" w:cs="Arial" w:eastAsia="Arial" w:hAnsi="Arial"/>
                <w:sz w:val="18"/>
                <w:szCs w:val="18"/>
                <w:color w:val="auto"/>
              </w:rPr>
              <w:t>Foreign exchange</w:t>
            </w: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$(5,835)</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$2,628</w:t>
            </w:r>
          </w:p>
        </w:tc>
        <w:tc>
          <w:tcPr>
            <w:tcW w:w="17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Foreign exchange gain</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656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w:t>
            </w:r>
          </w:p>
        </w:tc>
        <w:tc>
          <w:tcPr>
            <w:tcW w:w="18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gain</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5"/>
            <w:vMerge w:val="restart"/>
          </w:tcPr>
          <w:p>
            <w:pPr>
              <w:jc w:val="center"/>
              <w:ind w:left="966"/>
              <w:spacing w:after="0"/>
              <w:rPr>
                <w:sz w:val="20"/>
                <w:szCs w:val="20"/>
                <w:color w:val="auto"/>
              </w:rPr>
            </w:pPr>
            <w:r>
              <w:rPr>
                <w:rFonts w:ascii="Arial" w:cs="Arial" w:eastAsia="Arial" w:hAnsi="Arial"/>
                <w:sz w:val="14"/>
                <w:szCs w:val="14"/>
                <w:b w:val="1"/>
                <w:bCs w:val="1"/>
                <w:color w:val="auto"/>
                <w:w w:val="86"/>
              </w:rPr>
              <w:t>Location of Gain/(Loss)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5"/>
          </w:tcPr>
          <w:p>
            <w:pPr>
              <w:jc w:val="center"/>
              <w:ind w:left="28"/>
              <w:spacing w:after="0"/>
              <w:rPr>
                <w:sz w:val="20"/>
                <w:szCs w:val="20"/>
                <w:color w:val="auto"/>
              </w:rPr>
            </w:pPr>
            <w:r>
              <w:rPr>
                <w:rFonts w:ascii="Arial" w:cs="Arial" w:eastAsia="Arial" w:hAnsi="Arial"/>
                <w:sz w:val="14"/>
                <w:szCs w:val="14"/>
                <w:b w:val="1"/>
                <w:bCs w:val="1"/>
                <w:color w:val="auto"/>
                <w:w w:val="87"/>
              </w:rPr>
              <w:t>Amount of Gain/(Loss)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5"/>
          </w:tcPr>
          <w:p>
            <w:pPr>
              <w:jc w:val="center"/>
              <w:ind w:left="28"/>
              <w:spacing w:after="0" w:line="135" w:lineRule="exact"/>
              <w:rPr>
                <w:sz w:val="20"/>
                <w:szCs w:val="20"/>
                <w:color w:val="auto"/>
              </w:rPr>
            </w:pPr>
            <w:r>
              <w:rPr>
                <w:rFonts w:ascii="Arial" w:cs="Arial" w:eastAsia="Arial" w:hAnsi="Arial"/>
                <w:sz w:val="14"/>
                <w:szCs w:val="14"/>
                <w:b w:val="1"/>
                <w:bCs w:val="1"/>
                <w:color w:val="auto"/>
                <w:w w:val="86"/>
              </w:rPr>
              <w:t>Recognized in 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gridSpan w:val="5"/>
          </w:tcPr>
          <w:p>
            <w:pPr>
              <w:jc w:val="center"/>
              <w:ind w:left="946"/>
              <w:spacing w:after="0"/>
              <w:rPr>
                <w:sz w:val="20"/>
                <w:szCs w:val="20"/>
                <w:color w:val="auto"/>
              </w:rPr>
            </w:pPr>
            <w:r>
              <w:rPr>
                <w:rFonts w:ascii="Arial" w:cs="Arial" w:eastAsia="Arial" w:hAnsi="Arial"/>
                <w:sz w:val="14"/>
                <w:szCs w:val="14"/>
                <w:b w:val="1"/>
                <w:bCs w:val="1"/>
                <w:color w:val="auto"/>
                <w:w w:val="85"/>
              </w:rPr>
              <w:t>Recognized in Income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w w:val="87"/>
              </w:rPr>
              <w:t>on Derivatives</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as Hedging Instruments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on Derivatives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spacing w:after="0"/>
              <w:rPr>
                <w:sz w:val="12"/>
                <w:szCs w:val="12"/>
                <w:color w:val="auto"/>
              </w:rPr>
            </w:pPr>
          </w:p>
        </w:tc>
        <w:tc>
          <w:tcPr>
            <w:tcW w:w="760" w:type="dxa"/>
            <w:vAlign w:val="bottom"/>
          </w:tcPr>
          <w:p>
            <w:pPr>
              <w:jc w:val="right"/>
              <w:ind w:right="168"/>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Foreign exchange contracts</w:t>
            </w: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w w:val="93"/>
              </w:rPr>
              <w:t>Foreign exchange gain/ (loss)</w:t>
            </w: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(3,713)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jc w:val="right"/>
              <w:ind w:right="326"/>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Location of Gain/(Loss)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Derivatives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60" w:type="dxa"/>
            <w:vAlign w:val="bottom"/>
          </w:tcPr>
          <w:p>
            <w:pPr>
              <w:spacing w:after="0"/>
              <w:rPr>
                <w:sz w:val="12"/>
                <w:szCs w:val="12"/>
                <w:color w:val="auto"/>
              </w:rPr>
            </w:pPr>
          </w:p>
        </w:tc>
        <w:tc>
          <w:tcPr>
            <w:tcW w:w="150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auto"/>
                <w:w w:val="89"/>
              </w:rPr>
              <w:t>Amount of Gain/</w:t>
            </w:r>
          </w:p>
        </w:tc>
        <w:tc>
          <w:tcPr>
            <w:tcW w:w="260" w:type="dxa"/>
            <w:vAlign w:val="bottom"/>
          </w:tcPr>
          <w:p>
            <w:pPr>
              <w:spacing w:after="0"/>
              <w:rPr>
                <w:sz w:val="12"/>
                <w:szCs w:val="12"/>
                <w:color w:val="auto"/>
              </w:rPr>
            </w:pPr>
          </w:p>
        </w:tc>
        <w:tc>
          <w:tcPr>
            <w:tcW w:w="180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89"/>
              </w:rPr>
              <w:t>Location of Gain/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Amount of Gain/</w:t>
            </w:r>
          </w:p>
        </w:tc>
        <w:tc>
          <w:tcPr>
            <w:tcW w:w="2160" w:type="dxa"/>
            <w:vAlign w:val="bottom"/>
            <w:gridSpan w:val="6"/>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(Ineffective Portion</w:t>
            </w:r>
          </w:p>
        </w:tc>
        <w:tc>
          <w:tcPr>
            <w:tcW w:w="60" w:type="dxa"/>
            <w:vAlign w:val="bottom"/>
          </w:tcPr>
          <w:p>
            <w:pPr>
              <w:spacing w:after="0"/>
              <w:rPr>
                <w:sz w:val="12"/>
                <w:szCs w:val="12"/>
                <w:color w:val="auto"/>
              </w:rPr>
            </w:pPr>
          </w:p>
        </w:tc>
        <w:tc>
          <w:tcPr>
            <w:tcW w:w="1500" w:type="dxa"/>
            <w:vAlign w:val="bottom"/>
            <w:gridSpan w:val="7"/>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Income on Derivative</w:t>
            </w: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in Cash Flow</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260" w:type="dxa"/>
            <w:vAlign w:val="bottom"/>
          </w:tcPr>
          <w:p>
            <w:pPr>
              <w:spacing w:after="0"/>
              <w:rPr>
                <w:sz w:val="12"/>
                <w:szCs w:val="12"/>
                <w:color w:val="auto"/>
              </w:rPr>
            </w:pPr>
          </w:p>
        </w:tc>
        <w:tc>
          <w:tcPr>
            <w:tcW w:w="180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(Loss) Reclassified From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21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and Amount Excluded</w:t>
            </w:r>
          </w:p>
        </w:tc>
        <w:tc>
          <w:tcPr>
            <w:tcW w:w="156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rPr>
              <w:t>Hedging</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AOCI on Derivative</w:t>
            </w:r>
          </w:p>
        </w:tc>
        <w:tc>
          <w:tcPr>
            <w:tcW w:w="260" w:type="dxa"/>
            <w:vAlign w:val="bottom"/>
          </w:tcPr>
          <w:p>
            <w:pPr>
              <w:spacing w:after="0"/>
              <w:rPr>
                <w:sz w:val="12"/>
                <w:szCs w:val="12"/>
                <w:color w:val="auto"/>
              </w:rPr>
            </w:pPr>
          </w:p>
        </w:tc>
        <w:tc>
          <w:tcPr>
            <w:tcW w:w="180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21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156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Amount Excluded from</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Relationships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260" w:type="dxa"/>
            <w:vAlign w:val="bottom"/>
          </w:tcPr>
          <w:p>
            <w:pPr>
              <w:spacing w:after="0"/>
              <w:rPr>
                <w:sz w:val="12"/>
                <w:szCs w:val="12"/>
                <w:color w:val="auto"/>
              </w:rPr>
            </w:pPr>
          </w:p>
        </w:tc>
        <w:tc>
          <w:tcPr>
            <w:tcW w:w="1800" w:type="dxa"/>
            <w:vAlign w:val="bottom"/>
            <w:gridSpan w:val="2"/>
          </w:tcPr>
          <w:p>
            <w:pPr>
              <w:jc w:val="center"/>
              <w:ind w:left="152"/>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720" w:type="dxa"/>
            <w:vAlign w:val="bottom"/>
          </w:tcPr>
          <w:p>
            <w:pPr>
              <w:spacing w:after="0"/>
              <w:rPr>
                <w:sz w:val="12"/>
                <w:szCs w:val="12"/>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Testing)</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7"/>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Effectiveness Testing)</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gridSpan w:val="3"/>
          </w:tcPr>
          <w:p>
            <w:pPr>
              <w:jc w:val="right"/>
              <w:ind w:right="6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80" w:type="dxa"/>
            <w:vAlign w:val="bottom"/>
            <w:tcBorders>
              <w:top w:val="single" w:sz="8" w:color="CCEEFF"/>
            </w:tcBorders>
            <w:gridSpan w:val="3"/>
            <w:shd w:val="clear" w:color="auto" w:fill="CCEEFF"/>
          </w:tcPr>
          <w:p>
            <w:pPr>
              <w:spacing w:after="0" w:line="188" w:lineRule="exact"/>
              <w:rPr>
                <w:sz w:val="20"/>
                <w:szCs w:val="20"/>
                <w:color w:val="auto"/>
              </w:rPr>
            </w:pPr>
            <w:r>
              <w:rPr>
                <w:rFonts w:ascii="Arial" w:cs="Arial" w:eastAsia="Arial" w:hAnsi="Arial"/>
                <w:sz w:val="18"/>
                <w:szCs w:val="18"/>
                <w:color w:val="auto"/>
                <w:w w:val="97"/>
              </w:rPr>
              <w:t>Foreign exchange contracts</w:t>
            </w: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CCEEFF"/>
            </w:tcBorders>
            <w:gridSpan w:val="3"/>
            <w:shd w:val="clear" w:color="auto" w:fill="CCEEFF"/>
          </w:tcPr>
          <w:p>
            <w:pPr>
              <w:ind w:left="260"/>
              <w:spacing w:after="0" w:line="188" w:lineRule="exact"/>
              <w:rPr>
                <w:sz w:val="20"/>
                <w:szCs w:val="20"/>
                <w:color w:val="auto"/>
              </w:rPr>
            </w:pPr>
            <w:r>
              <w:rPr>
                <w:rFonts w:ascii="Arial" w:cs="Arial" w:eastAsia="Arial" w:hAnsi="Arial"/>
                <w:sz w:val="18"/>
                <w:szCs w:val="18"/>
                <w:color w:val="auto"/>
              </w:rPr>
              <w:t>Foreign exchange</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gridSpan w:val="6"/>
            <w:shd w:val="clear" w:color="auto" w:fill="CCEEFF"/>
          </w:tcPr>
          <w:p>
            <w:pPr>
              <w:spacing w:after="0" w:line="188" w:lineRule="exact"/>
              <w:rPr>
                <w:sz w:val="20"/>
                <w:szCs w:val="20"/>
                <w:color w:val="auto"/>
              </w:rPr>
            </w:pPr>
            <w:r>
              <w:rPr>
                <w:rFonts w:ascii="Arial" w:cs="Arial" w:eastAsia="Arial" w:hAnsi="Arial"/>
                <w:sz w:val="18"/>
                <w:szCs w:val="18"/>
                <w:color w:val="auto"/>
              </w:rPr>
              <w:t>Foreign exchange</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shd w:val="clear" w:color="auto" w:fill="CCEEFF"/>
          </w:tcPr>
          <w:p>
            <w:pPr>
              <w:spacing w:after="0"/>
              <w:rPr>
                <w:sz w:val="20"/>
                <w:szCs w:val="20"/>
                <w:color w:val="auto"/>
              </w:rPr>
            </w:pPr>
          </w:p>
        </w:tc>
        <w:tc>
          <w:tcPr>
            <w:tcW w:w="2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$(2,865)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$3,366</w:t>
            </w:r>
          </w:p>
        </w:tc>
        <w:tc>
          <w:tcPr>
            <w:tcW w:w="20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gain</w:t>
            </w: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$ 3,386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2,141</w:t>
            </w: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88"/>
              </w:rPr>
              <w:t>Amount of Gain/(Loss)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8"/>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Location of Gain / (Loss)</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5"/>
          </w:tcPr>
          <w:p>
            <w:pPr>
              <w:jc w:val="center"/>
              <w:ind w:left="171"/>
              <w:spacing w:after="0" w:line="135" w:lineRule="exact"/>
              <w:rPr>
                <w:sz w:val="20"/>
                <w:szCs w:val="20"/>
                <w:color w:val="auto"/>
              </w:rPr>
            </w:pPr>
            <w:r>
              <w:rPr>
                <w:rFonts w:ascii="Arial" w:cs="Arial" w:eastAsia="Arial" w:hAnsi="Arial"/>
                <w:sz w:val="14"/>
                <w:szCs w:val="14"/>
                <w:b w:val="1"/>
                <w:bCs w:val="1"/>
                <w:color w:val="auto"/>
                <w:w w:val="85"/>
              </w:rPr>
              <w:t>on Derivatives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gridSpan w:val="4"/>
            <w:vMerge w:val="restart"/>
          </w:tcPr>
          <w:p>
            <w:pPr>
              <w:spacing w:after="0" w:line="141" w:lineRule="exact"/>
              <w:rPr>
                <w:sz w:val="20"/>
                <w:szCs w:val="20"/>
                <w:color w:val="auto"/>
              </w:rPr>
            </w:pPr>
            <w:r>
              <w:rPr>
                <w:rFonts w:ascii="Arial" w:cs="Arial" w:eastAsia="Arial" w:hAnsi="Arial"/>
                <w:sz w:val="14"/>
                <w:szCs w:val="14"/>
                <w:b w:val="1"/>
                <w:bCs w:val="1"/>
                <w:color w:val="auto"/>
              </w:rPr>
              <w:t>as Hedging Instruments</w:t>
            </w: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20" w:type="dxa"/>
            <w:vAlign w:val="bottom"/>
            <w:gridSpan w:val="8"/>
            <w:vMerge w:val="restart"/>
          </w:tcPr>
          <w:p>
            <w:pPr>
              <w:jc w:val="center"/>
              <w:ind w:right="892"/>
              <w:spacing w:after="0" w:line="141" w:lineRule="exact"/>
              <w:rPr>
                <w:sz w:val="20"/>
                <w:szCs w:val="20"/>
                <w:color w:val="auto"/>
              </w:rPr>
            </w:pPr>
            <w:r>
              <w:rPr>
                <w:rFonts w:ascii="Arial" w:cs="Arial" w:eastAsia="Arial" w:hAnsi="Arial"/>
                <w:sz w:val="14"/>
                <w:szCs w:val="14"/>
                <w:b w:val="1"/>
                <w:bCs w:val="1"/>
                <w:color w:val="auto"/>
                <w:w w:val="86"/>
              </w:rPr>
              <w:t>Recognized in Income on Derivatives</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20" w:type="dxa"/>
            <w:vAlign w:val="bottom"/>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60"/>
              <w:spacing w:after="0" w:line="102" w:lineRule="exact"/>
              <w:rPr>
                <w:sz w:val="20"/>
                <w:szCs w:val="20"/>
                <w:color w:val="auto"/>
              </w:rPr>
            </w:pPr>
            <w:r>
              <w:rPr>
                <w:rFonts w:ascii="Arial" w:cs="Arial" w:eastAsia="Arial" w:hAnsi="Arial"/>
                <w:sz w:val="11"/>
                <w:szCs w:val="11"/>
                <w:b w:val="1"/>
                <w:bCs w:val="1"/>
                <w:color w:val="auto"/>
              </w:rPr>
              <w:t>2011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25"/>
              <w:spacing w:after="0" w:line="102"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w w:val="90"/>
              </w:rPr>
              <w:t>Foreign exchange contracts</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Foreign exchange gain</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73"/>
              </w:rPr>
              <w:t>(2,937)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79"/>
              </w:rPr>
              <w:t>932</w:t>
            </w: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320" w:type="dxa"/>
            <w:vAlign w:val="bottom"/>
            <w:gridSpan w:val="4"/>
          </w:tcPr>
          <w:p>
            <w:pPr>
              <w:ind w:left="210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0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Network equipment, cabling and computers</w:t>
            </w: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54,259</w:t>
            </w:r>
          </w:p>
        </w:tc>
        <w:tc>
          <w:tcPr>
            <w:tcW w:w="40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Land</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9,028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(55,365)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(48,455)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35,395</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cabling and computers</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080" w:type="dxa"/>
            <w:vAlign w:val="bottom"/>
          </w:tcPr>
          <w:p>
            <w:pPr>
              <w:ind w:left="440"/>
              <w:spacing w:after="0"/>
              <w:rPr>
                <w:sz w:val="20"/>
                <w:szCs w:val="20"/>
                <w:color w:val="auto"/>
              </w:rPr>
            </w:pPr>
            <w:r>
              <w:rPr>
                <w:rFonts w:ascii="Arial" w:cs="Arial" w:eastAsia="Arial" w:hAnsi="Arial"/>
                <w:sz w:val="18"/>
                <w:szCs w:val="18"/>
                <w:color w:val="auto"/>
              </w:rPr>
              <w:t>Fixed assets, net</w:t>
            </w: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41,003</w:t>
            </w:r>
          </w:p>
        </w:tc>
        <w:tc>
          <w:tcPr>
            <w:tcW w:w="400" w:type="dxa"/>
            <w:vAlign w:val="bottom"/>
          </w:tcPr>
          <w:p>
            <w:pPr>
              <w:spacing w:after="0"/>
              <w:rPr>
                <w:sz w:val="24"/>
                <w:szCs w:val="24"/>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00" w:type="dxa"/>
            <w:vAlign w:val="bottom"/>
            <w:vMerge w:val="restart"/>
          </w:tcPr>
          <w:p>
            <w:pPr>
              <w:ind w:left="16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Depreciation expense was $5,048 and $3,530 during the three months ended September 30, 2011 and 2010, respectively, and $13,462 and $9,760 during the nine months ended September 30,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change in the components of comprehensive income for the three and nine months ended September 30, 2011 and 2010:</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Three months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(loss)/gain on effective cash flow hedges, net of</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(6,491)</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(12,441)</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(11,457)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(loss)/income</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(18,922)</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(17,659)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7,567</w:t>
            </w:r>
          </w:p>
        </w:tc>
        <w:tc>
          <w:tcPr>
            <w:tcW w:w="3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September 19, 2011, the Company completed a public offering of its common stock. The Company sold 1,000,000 shares of its common stock and certain selling stockholders sold an aggregate of 3,000,000 shares of common stock at a price of $23.00 per share less underwriting discount. The Company received net proceeds of $21,573 from the offering.</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nine months ended September 30, 2011, the Company acquired 61,299 shares of common stock for a total consideration of $1,439 in pursuance of an option agreement between the Company and Prudential Financial, Inc. (“Prudential”) dated July 1, 2004. The purchase price of $23.47 per share was the average closing price for the 30-day period on the Nasdaq Global Select Market preceding the date of exercise of options by Prudential. The shares acquired are held as treasury stock. During the three months ended September 30, 2011, the Company did not acquire any shares of common stock pursuant to the option agreement with Prudential.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nine months ended September 30, 2011, the Company also acquired 9,596 shares of common stock from employees in connection with withholding tax payments related to the vesting of restricted stock for a total consideration of $185. The shares acquired are held as treasury stock. During the three months ended September 30, 2011, the Company did not acquire any shares of common stock from employees in connection with withholding tax payments related to the vesting of restricted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 Term Borrowings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May 26, 2011, the Company entered into a credit agreement (the “Credit Facility”) with certain lenders and JPMorgan Chase Bank, N.A., as Administrative Agent. The Credit Facility is comprised of a $50,000 revolving credit facility, including a letter of credit sub-facility, for a period of three years. The Company has an option to increase the commitments under the Credit Facility by up to an additional $25,000, subject to certain approvals and conditions as set forth in the Credit Facility.</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Borrowings under the Credit Facility may be used for working capital and general corporate purposes. The Company repaid all amounts outstanding under the Credit Facility during the three months ended September 30, 2011 and, as of September 30, 2011, it did not have any borrowings under the Credit Facility. In connection with the financing, the Company incurred $446 as debt issuance costs, which are deferred and amortized as an adjustment to interest expense over the term of the Credit Facility using the effective interest method.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Credit Facility is guaranteed by the Company’s domestic subsidiaries. The obligations under the Credit Facility are secured by all or substantially all of the assets of the borrower and its material domestic subsidiaries. The Credit Facility contains certain covenants including a restriction on indebtedness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Gratuity Plan in India and the Philippines provides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w w:val="87"/>
              </w:rPr>
              <w:t>Three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8"/>
          </w:tcPr>
          <w:p>
            <w:pPr>
              <w:ind w:left="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138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gratuity cost</w:t>
            </w: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385</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8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vMerge w:val="restart"/>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Actual contribution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Actual return</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September 30, 2011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September 30, 2011, the Company had invested its plan assets with Life Insurance Corporation of India (“LIC”). The funds are primarily invested by LIC in government securities and money market instruments. Since the Company’s plan assets are managed by a third party fund administrator, the contributions made by the Company are pooled with other funds managed by such fund administrator and invested in accordance with the regulatory guidelines. Accordingly, data related to the fair value of the assets for the various categories of plan assets held and the classification of level of fair value under ASC 820-10 “Fair Value Measurements and Disclosure” specific to the funds contributed by the Company is not available.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maintains the Exl Service Inc. 401(k) Plan, the Inductis 401(k) Profit Sharing Plan, OPI 401(k) Retirement Plan and the PDMA 401(k) Profit Sharing Plan (collectively, the “401(k) Plans”) under Section 401(k) of the Internal Revenue Code of 1986, covering all eligible employees, as defined. The Company may make discretionary contributions of up to a maximum of 3% of employee compensation within certain limits. The Company’s contribution to the 401(k) Plans amounted to $179 and $80 during the three month periods ended September 30, 2011 and September 30, 2010, respectively, and $525 and $238 during the nine month periods ended September 30, 2011 and September 30, 2010, respectively.</w:t>
      </w:r>
    </w:p>
    <w:p>
      <w:pPr>
        <w:spacing w:after="0" w:line="11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During the three and nine month periods ended September 30, 2011 and 2010, the Company contributed the following amounts to various defined contribution plans on behalf of its employees in India, the Philippines, Romania, Bulgaria, Malaysia and the Czech Republic:</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1,426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Three months ended September 30, 2010</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934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3,676</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Nine months ended September 30, 2010</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2,666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finances its use of certain facilities, computer hardware, leasehold improvements, furniture, fixtures, office equipments and motor vehicles under various lease arrangements provided by financial institutions. Future minimum lease payments under these capital leases as of September 30, 2011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2012</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2014</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2016</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2012</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2014</w:t>
            </w: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2016</w:t>
            </w: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4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240" w:type="dxa"/>
            <w:vAlign w:val="bottom"/>
            <w:vMerge w:val="restart"/>
          </w:tcPr>
          <w:p>
            <w:pPr>
              <w:jc w:val="right"/>
              <w:ind w:right="3032"/>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 line basis over the lease period. Rent expense under both cancellable and non-cancellable operating leases was $4,050 and $2,680 for the three months ended September 30, 2011 and 2010, respectively, and $10,253 and $7,038 for the nine months ended September 30, 2011 and 2010, respectively. Deferred rent as of September 30, 2011 and December 31, 2010 was $3,877 and $3,324,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recorded income tax expense of $4,138 and $384 for the three months ended September 30, 2011 and 2010, respectively, and $8,639 and $3,881 for the nine months ended September 30, 2011 and 2010, respectively. The effective rate of taxes increased from 4.7% during the three months ended September 30, 2010 to 33.0% during the three months ended September 30, 2011. The effective rate of taxes increased from 17.5% during the nine months ended September 30, 2010 to 25.5% during the nine months ended September 30, 2011. The increase in effective tax rate is primarily due to the expiry of a tax holiday period for most of the Company’s operating units in India, partially offset by a decrease due to the release of a valuation allowance on deferred tax assets of $1,961 related to the Company’s assessment that the deferred tax assets generated by certain of the Company’s operating units in India that were under a tax holiday period were more likely than not to be realized upon the expiration of the tax holiday period.</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the operations center began to manufacture or produce eligible goods and services and expired on April 1, 2011. As a result of the expiry of the tax holiday period, the tax holiday period for those of the Company’s operations centers in India that had not expired on April 1, 2010 expired on April 1, 2011. Therefore, profits generated from the services provided from such operations centers have become fully taxable and consequently, the Company’s tax expense will significantly increase in and after 2011.</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currently benefit from a four-year income tax holiday in the Philippines that is extendable for an additional two years. Our current income tax holiday in the Philippines is expected to expire in the middle of 2012, unless extended. While we intend to apply for an extension of this holiday, it is possible that an extension could be denied, or this holiday could be removed entirely due to changes in the government of the Philippines. Should either of these events occur, our Philippine tax liability could increase.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September 30, 2011,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The valuation allowance as of September 30, 2011 and December 31, 2010 was approximately $665 and $2,621, respectively.</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Indian subsidiaries of the Company are subjected to a Minimum Alternate Tax (“MAT”). However, the credit of the MAT paid is available for set off against the normal tax liabilities subject to payment of MAT. As of September 30, 2011 and December 31, 2010, deferred income taxes related to the MAT were approximately $2,901 and $4,157, respectively.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“Income Taxes,”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the gross unrecognized tax benefits from January 1, 2011 through September 30, 2011:</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Increases related to prior year tax positions</w:t>
            </w:r>
          </w:p>
        </w:tc>
        <w:tc>
          <w:tcPr>
            <w:tcW w:w="1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prior year tax positions</w:t>
            </w:r>
          </w:p>
        </w:tc>
        <w:tc>
          <w:tcPr>
            <w:tcW w:w="1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Increases related to current year tax positions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current year tax positions</w:t>
            </w:r>
          </w:p>
        </w:tc>
        <w:tc>
          <w:tcPr>
            <w:tcW w:w="1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Effect of exchange rate changes</w:t>
            </w:r>
          </w:p>
        </w:tc>
        <w:tc>
          <w:tcPr>
            <w:tcW w:w="17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17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$ 4,479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September 30, 2011 of $4,479, if recognized, would impact the effective tax rate.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has not recognized any interest and penalties during the three and nine months ended September 30, 2011. The unrecognized tax benefits may increase or decrease in the next 12 months depending on the Company’s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6"/>
              </w:rPr>
              <w:t>Three months ended September 30,</w:t>
            </w:r>
          </w:p>
        </w:tc>
        <w:tc>
          <w:tcPr>
            <w:tcW w:w="14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3,444</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2,160</w:t>
            </w:r>
          </w:p>
        </w:tc>
        <w:tc>
          <w:tcPr>
            <w:tcW w:w="8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2,121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7,287</w:t>
            </w:r>
          </w:p>
        </w:tc>
        <w:tc>
          <w:tcPr>
            <w:tcW w:w="8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48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w w:val="97"/>
              </w:rPr>
              <w:t>Three months ended September 30,</w:t>
            </w:r>
          </w:p>
        </w:tc>
        <w:tc>
          <w:tcPr>
            <w:tcW w:w="2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11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life (years)</w:t>
            </w: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840" w:type="dxa"/>
            <w:vAlign w:val="bottom"/>
          </w:tcPr>
          <w:p>
            <w:pPr>
              <w:spacing w:after="0"/>
              <w:rPr>
                <w:sz w:val="18"/>
                <w:szCs w:val="18"/>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5.63</w:t>
            </w: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1.41%</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1.65%</w:t>
            </w: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Volatility</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40%</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3,075,617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$ 28,810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343,367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(314,491)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(55,790)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10.26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3,048,703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$ 27,695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1,448,246</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12.65</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$ 13,777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2,752,552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24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230,200 options exercised by Prudential Financial, Inc. (“Prudential”), in pursuance of an option agreement between the Company and Prudential dated July 1, 2004.</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unrecognized compensation cost for unvested options as of September 30, 2011 was $6,277, which is expected to be expensed over a weighted average period of 2.37 years. The weighted-average fair value of options granted during the three months ended September 30, 2011 and 2010 was $8.57 and $6.93, respectively. The weighted-average fair value of options granted during the nine months ended September 30, 2011 and 2010 was $8.15 and $7.03, respectively. The total fair value of shares vested during the three and nine months ended September 30, 2011 is $467 and $2,603,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8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Restricted Stock</w:t>
            </w:r>
          </w:p>
        </w:tc>
        <w:tc>
          <w:tcPr>
            <w:tcW w:w="400" w:type="dxa"/>
            <w:vAlign w:val="bottom"/>
          </w:tcPr>
          <w:p>
            <w:pPr>
              <w:spacing w:after="0"/>
              <w:rPr>
                <w:sz w:val="14"/>
                <w:szCs w:val="14"/>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624,815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433,972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25.45</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(25,407)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942,560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2011, unrecognized compensation cost of $15,857 is expected to be expensed over a weighted average period of 2.74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provides services to Oak Hill Capital Partners, an affiliate of the Oak Hill Capital Partners, L.P., one of the Company’s significant stockholders. The Company recognized revenues of approximately $13 and $29 during the three months ended September 30, 2011 and 2010, respectively, and $48 and $67 during the nine months ended September 30, 2011 and 2010, respectively. As of September 30, 2011 and December 31, 2010, the Company had an account receivable of $5 and $9, respectively, related to these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85"/>
              </w:rPr>
              <w:t>Three months ended 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1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United States</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48,175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w w:val="82"/>
              </w:rPr>
              <w:t>184,981</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131,055</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8"/>
              </w:rPr>
              <w:t>United Kingdom</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w w:val="83"/>
              </w:rPr>
              <w:t>59,097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44,828</w:t>
            </w:r>
          </w:p>
        </w:tc>
        <w:tc>
          <w:tcPr>
            <w:tcW w:w="100" w:type="dxa"/>
            <w:vAlign w:val="bottom"/>
            <w:shd w:val="clear" w:color="auto" w:fill="CCEEFF"/>
          </w:tcPr>
          <w:p>
            <w:pPr>
              <w:spacing w:after="0"/>
              <w:rPr>
                <w:sz w:val="18"/>
                <w:szCs w:val="18"/>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3"/>
              </w:rPr>
              <w:t>13,883</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19"/>
                <w:szCs w:val="19"/>
                <w:color w:val="auto"/>
              </w:rPr>
            </w:pPr>
          </w:p>
        </w:tc>
      </w:tr>
      <w:tr>
        <w:trPr>
          <w:trHeight w:val="216"/>
        </w:trPr>
        <w:tc>
          <w:tcPr>
            <w:tcW w:w="128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82"/>
              </w:rPr>
              <w:t>257,961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182,713</w:t>
            </w:r>
          </w:p>
        </w:tc>
        <w:tc>
          <w:tcPr>
            <w:tcW w:w="100" w:type="dxa"/>
            <w:vAlign w:val="bottom"/>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4"/>
              </w:rPr>
              <w:t>December 31,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India</w:t>
            </w:r>
          </w:p>
        </w:tc>
        <w:tc>
          <w:tcPr>
            <w:tcW w:w="10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36,079</w:t>
            </w:r>
          </w:p>
        </w:tc>
        <w:tc>
          <w:tcPr>
            <w:tcW w:w="42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30,447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1,143</w:t>
            </w: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2,517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w w:val="84"/>
              </w:rPr>
              <w:t>2,049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4"/>
              </w:rPr>
              <w:t>1,094</w:t>
            </w: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41,003</w:t>
            </w:r>
          </w:p>
        </w:tc>
        <w:tc>
          <w:tcPr>
            <w:tcW w:w="420" w:type="dxa"/>
            <w:vAlign w:val="bottom"/>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34,733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2011, the Company had committed to spend approximately $4,064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Certain of the Company’s delivery centers in India had been established as 100% Export-Oriented units under the “Export Import Policy” (the “Policy”) or Software Technology Parks of India units (“STPI”) under the STPI guidelines issued by the Government of India that provided the Company with certain incentives on imported and indigenous capital goods. Under the Policy, these units were required to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the Company with certain incentives on the import of capital goods and requires that Exl Philippines meet certain export obligations. Our current income tax holiday in the Philippines is expected to expire in the middle of 2012, unless extended.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Company may incur increased tax liability, including accrued interest and penalties. The Company is currently involved in disputes with the Indian tax authorities over the application of some of its transfer pricing policies. The Company has received the following assessment orders from the Indian tax authorities with respect to their audit of certain of the Company’s subsidiaries. The Indian tax authorities are examining income tax returns for other tax years.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as of September 30, 2011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520" w:type="dxa"/>
            <w:vAlign w:val="bottom"/>
            <w:vMerge w:val="restart"/>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Tax</w:t>
            </w:r>
          </w:p>
        </w:tc>
        <w:tc>
          <w:tcPr>
            <w:tcW w:w="7000" w:type="dxa"/>
            <w:vAlign w:val="bottom"/>
            <w:gridSpan w:val="2"/>
            <w:vMerge w:val="restart"/>
          </w:tcPr>
          <w:p>
            <w:pPr>
              <w:ind w:left="3240"/>
              <w:spacing w:after="0"/>
              <w:rPr>
                <w:sz w:val="20"/>
                <w:szCs w:val="20"/>
                <w:color w:val="auto"/>
              </w:rPr>
            </w:pPr>
            <w:r>
              <w:rPr>
                <w:rFonts w:ascii="Arial" w:cs="Arial" w:eastAsia="Arial" w:hAnsi="Arial"/>
                <w:sz w:val="14"/>
                <w:szCs w:val="14"/>
                <w:b w:val="1"/>
                <w:bCs w:val="1"/>
                <w:color w:val="auto"/>
              </w:rPr>
              <w:t>Issue</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Year</w:t>
            </w:r>
          </w:p>
        </w:tc>
        <w:tc>
          <w:tcPr>
            <w:tcW w:w="7000" w:type="dxa"/>
            <w:vAlign w:val="bottom"/>
            <w:gridSpan w:val="2"/>
            <w:vMerge w:val="continue"/>
          </w:tcPr>
          <w:p>
            <w:pPr>
              <w:spacing w:after="0"/>
              <w:rPr>
                <w:sz w:val="14"/>
                <w:szCs w:val="14"/>
                <w:color w:val="auto"/>
              </w:rPr>
            </w:pP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5"/>
        </w:trPr>
        <w:tc>
          <w:tcPr>
            <w:tcW w:w="9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Exl India</w:t>
            </w:r>
          </w:p>
        </w:tc>
        <w:tc>
          <w:tcPr>
            <w:tcW w:w="6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2003-04</w:t>
            </w:r>
          </w:p>
        </w:tc>
        <w:tc>
          <w:tcPr>
            <w:tcW w:w="300" w:type="dxa"/>
            <w:vAlign w:val="bottom"/>
            <w:tcBorders>
              <w:top w:val="single" w:sz="8" w:color="CCEEFF"/>
            </w:tcBorders>
            <w:shd w:val="clear" w:color="auto" w:fill="CCEEFF"/>
          </w:tcPr>
          <w:p>
            <w:pPr>
              <w:spacing w:after="0"/>
              <w:rPr>
                <w:sz w:val="16"/>
                <w:szCs w:val="16"/>
                <w:color w:val="auto"/>
              </w:rPr>
            </w:pPr>
          </w:p>
        </w:tc>
        <w:tc>
          <w:tcPr>
            <w:tcW w:w="6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India and EXL Inc. in the 2003-04 tax year was not appropriate and also disallows certain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4"/>
              </w:rPr>
              <w:t>The assessment order alleges that the transfer price we applied to transactions between EXL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7"/>
              </w:rPr>
              <w:t>India and EXL Inc. for the 2004-05 tax year was not appropriate and also disallows certain</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expenses claimed as tax deductible by EXL India.</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The assessment order alleges that the transfer price we applied to transactions between EXL</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India and EXL Inc. for the 2005-06 tax year was not appropriate and also disallows certain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4"/>
              </w:rPr>
              <w:t>The assessment order alleges that the transfer price we applied to transactions between EXL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7"/>
              </w:rPr>
              <w:t>India and EXL Inc. for the 2006-07 tax year was not appropriate and also disallows certain</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expenses claimed as tax deductible by EXL India.</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3,693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2007-08</w:t>
            </w: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The assessment order alleges that the transfer price we applied to transactions between EXL</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India and EXL Inc. for the 2007-08 tax year was not appropriate and also disallows certain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2003-04</w:t>
            </w: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3"/>
              </w:rPr>
              <w:t>The assessment order alleges the transfer price we applied to transactions between OPI India</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1"/>
              </w:rPr>
              <w:t>and OPI Inc., for the 2004-05 tax year was not appropriate and proposes certain adjustments to</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the methodology for computing the amount of the tax exemption.</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The assessment order proposes certain adjustments to the methodology for computing the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the tax exemption.</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w w:val="96"/>
              </w:rPr>
              <w:t>The assessment order proposes certain adjustments to the methodology for computing the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amount of the tax exemption.</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2007-08</w:t>
            </w:r>
          </w:p>
        </w:tc>
        <w:tc>
          <w:tcPr>
            <w:tcW w:w="30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The assessment order proposes certain adjustments to the methodology for computing the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the tax exemption.</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20,870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11,167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Exl India, ExlService.com, Inc. (“Exl Inc.”) and by Outsource Partners International (India) Private Limited (“OPI India”) with the exception of those assessment orders disclosed above. There is a likelihood that the Company might receive similar orders for subsequent years until the above disputes are resolved. The assessment order for tax year 2007-08 for Exl India was received subsequent to September 30, 2011.</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$11,167 and $11,898 as of September 30, 2011 and December 31, 2010, respectively, are included in “Other assets” and amounts deposited for bank guarantees aggregating to $2,704 as of September 30, 2011 and $2,963 as of December 31, 2010, respectively, are included in “Restricted cash” in the Company’s unaudited consolidated balance sheet as of September 30, 2011 and the audited consolidated balance sheet as of December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October 1, 2011, the Company closed the acquisition of Trumbull Services, LLC (“Trumbull”), a market leader in subrogation services for property and casualty insurers, from The Hartford Financial Services Group, Inc. (“Hartford”). With this acquisition, the Company strengthens its leadership position in the insurance industry with a highly skilled and experienced employee base and an advanced software platform, and immediately becomes a leading provider of complex insurance subrogation outsourcing services. The aggregate consideration paid to Hartford was $250 in cash, excluding adjustments for working capital.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2010.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United States based and United Kingdom 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w:t>
      </w:r>
    </w:p>
    <w:p>
      <w:pPr>
        <w:spacing w:after="0" w:line="12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May 31, 2011, we completed the acquisition of Business Process Outsourcing Inc. (“OPI”), pursuant to a Merger Agreement, dated as of April 30, 2011 (the “OPI Acquisition”). The aggregate consideration paid to OPI’s former stockholders in the OPI Acquisition was $91 million in cash excluding adjustments based on OPI’s working capital, debt and certain expenses incurred by OPI in connection with the consummation of the OPI Acquisition.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acquired OPI to strengthen our position as a provider of finance and accounting outsourcing services. At the time of the acquisition, OPI had over 3,700 professionals globally and approximately 80 clients. By combining our existing finance and accounting outsourcing and transformation capabilities with OPI’s end-to-end finance and accounting outsourcing capabilities and proprietary platforms, we intend to provide a comprehensive set of finance and accounting services to our clients. The merger also furthers a strategic objective of leveraging technology and proprietary intellectual property in our services to our client offerings.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market our services directly through our sales and marketing and client management teams, which operate out of the U.S. and the U.K. We operate twelve operations centers in India and one operations center in each of Romania, the Philippines, the Czech Republic and the U.S. In addition to these operations centers, we also acquired three operations centers in India, two operations centers in Bulgaria, one operations center in Malaysia and two operations center in the U.S. as part of the OPI Acquisition. We are also in the process of expanding our operations center in the Philippines and some of our operations centers in India, including a significant expansion of our center located in a special economic zone in Noida, India, which is eligible for tax incentives.</w:t>
      </w:r>
    </w:p>
    <w:p>
      <w:pPr>
        <w:spacing w:after="0" w:line="1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We generate revenues principally from contracts to provide outsourcing and transformation services. For the three and nine months ended September 30, 2011, we had total revenues of $100.0 million and $258.0 million, respectively, compared to total revenues of $67.6 million and $182.7 million, respectively, in the three and nine months ended September 30, 2010, an increase of $32.4 million and $75.3 million, respectively, or 48.0% and 41.2%, respectively.</w:t>
      </w:r>
    </w:p>
    <w:p>
      <w:pPr>
        <w:spacing w:after="0" w:line="8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Revenues from outsourcing services increased from $50.5 million for the three months ended September 30, 2010 to $83.2 million for the three months ended September 30, 2011. The increase in revenues from outsourcing services of $32.7 million was primarily driven by revenues of $22.5 million from the OPI Acquisition and net volume increases from existing and new clients aggregating to $10.2 million. Revenues from outsourcing services increased from $138.6 million for the nine months ended September 30, 2010 to $208.8 million for the nine months ended September 30, 2011. The increase in revenues from outsourcing services of $70.2 million was primarily driven by revenues of $38.0 million from our acquisitions of American Express Global Travel Service Center (“GTSC”), Professional Data Management Again (“PDMA”) and OPI, revenues from a one-time payment of $2.2 million from a client with no associated costs, net volume increases from existing and new clients aggregating to $28.6 million and revenues of $1.4 million, primarily due to the appreciation of the Indian rupee and Czech koruna against the U.S. dollar during the nine months ended September 30, 2011 compared to the nine months ended September 30,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14" w:lineRule="auto"/>
        <w:rPr>
          <w:sz w:val="20"/>
          <w:szCs w:val="20"/>
          <w:color w:val="auto"/>
        </w:rPr>
      </w:pPr>
      <w:r>
        <w:rPr>
          <w:rFonts w:ascii="Arial" w:cs="Arial" w:eastAsia="Arial" w:hAnsi="Arial"/>
          <w:sz w:val="15"/>
          <w:szCs w:val="15"/>
          <w:color w:val="auto"/>
        </w:rPr>
        <w:t>Revenues from transformation services decreased marginally from $17.1 million for the three months ended September 30, 2010 to $16.8 million for the three months ended September 30, 2011. Revenues from new clients for transformation services were $0.1 million during both the three months ended September 30, 2011 and 2010. Revenues from transformation services increased from $44.1 million for the nine months ended September 30, 2010 to $49.2 million for the nine months ended September 30, 2011. The increase was primarily due to a combination of increased revenues in recurring or annuity decision analytics services and an increase in project-based engagements both in our decision analytics and operations and process excellence practices. Revenues from new clients for transformation services were $0.4 million and $2.9 million during the nine months ended September 30, 2011 and 2010, respectively.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transaction processing, customer service, debt management, finance and accounting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For outsourcing services, we enter into long-term agreements with our clients with initial terms ranging from three to five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 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serve clients mainly in the U.S. and the U.K., with these two regions generating approximately 71.5% and 21.0%, respectively, of our total revenues for the three months ended September 30, 2011 and approximately 71.3% and 24.3%, respectively, of our total revenues for the three months ended September 30, 2010. For the nine months ended September 30, 2011, these two regions generated approximately 71.7% and 22.9%, respectively, of our total revenues and approximately 71.7% and 24.5%, respectively, of our total revenues for the nine months ended September 30, 2010.</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September 30, 2011 and 2010, our total revenues from our three largest clients were $29.2 million and $27.1 million, respectively, accounting for 29.2% and 40.1% of our total revenues, respectively, during these periods. In the nine months ended September 30, 2011 and 2010, our total revenues from our three largest clients were $86.7 million and $75.3 million, respectively, accounting for 33.6% and 41.2% of our total revenues, respectively, during these periods.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provide services to The Travelers Companies (“Travelers”), which represented $10.7 million, or 10.7%, and $31.0 million, or 12.0% of our total revenues for the three and nine months ended September 30, 2011, respectively, and $9.6 million, or 14.1%, and $26.6 million, or 14.6% of our total revenues for the three and nine months ended September 30, 2010, respectively, under a services agreement. Travelers may terminate the services agreement, or any work assignment or work order thereunder, each of which expires in December 2013, without cause upon 60 days’ prior notice.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services to Centrica plc (“Centrica”), which represented $10.1 million, or 10.1%, and $29.9 million or 11.6%, of our total revenues for the three and nine months ended September 30, 2011, respectively, and $9.7 million or 14.3%, and $28.7 million or 15.7%, of our total revenues for the three and nine months ended September 30, 2010, respectively, under an agreement that is scheduled to expire in April 2012. Centrica may terminate the agreement without cause upon three months’ prior notice and payment of a breakup fee.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provide services to subsidiaries of American Express Company (“American Express”) under (i) a master services agreement for our outsourcing services, which agreement cannot be terminated by American Express without cause and which provides us with a minimum volume commitment over a period of eight years and (ii) a master agreement for our transformation services, which agreement may be terminated by American Express without cause upon five days prior written notice. Our aggregate revenues from outsourcing services and transformation services provided to American Express represented $8.4 million, or 8.4%, and $25.8 million or 10.0% of our total revenues for the three and nine months ended September 30, 2011, respectively, and $7.9 million, or 11.6%, and $20.0 million or 11.0% of our total revenues for the three and nine months ended September 30, 2010, respectively.</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derived revenues from five and four new clients for our services in the three months ended September 30, 2011 and 2010, respectively, and thirteen and fourteen new clients for our services in the nine months ended September 30, 2011 and 2010, respectively. Although we are increasing and diversifying our customer base, we expect in the near future that a significant portion of our revenues will continue to be contributed by a limited number of large clients.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September 30, 2011 and 2010, 4.3% and 4.2%, respectively, of our revenues represent reimbursement of such expenses. For the nine months ended September 30, 2011 and 2010, 4.3% and 4.4%, respectively, of our revenues represent reimbursement of such expenses.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Philippines peso/U.S. dollar and U.K. pound sterling/U.S. dollar foreign currency exposure.</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recent periods, our management has observed a shift in industry pricing models toward transaction-based pricing and other pricing models. We believe this trend will continue and we have begun to use transaction-based pricing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 with such clients.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2010.</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85"/>
              </w:rPr>
              <w:t>Three months ended September 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left="596"/>
              <w:spacing w:after="0" w:line="142" w:lineRule="exact"/>
              <w:rPr>
                <w:sz w:val="20"/>
                <w:szCs w:val="20"/>
                <w:color w:val="auto"/>
              </w:rPr>
            </w:pPr>
            <w:r>
              <w:rPr>
                <w:rFonts w:ascii="Arial" w:cs="Arial" w:eastAsia="Arial" w:hAnsi="Arial"/>
                <w:sz w:val="14"/>
                <w:szCs w:val="14"/>
                <w:b w:val="1"/>
                <w:bCs w:val="1"/>
                <w:color w:val="auto"/>
                <w:w w:val="90"/>
              </w:rPr>
              <w:t>(in million)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million)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Selling and marketing expenses(3)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expenses(4)</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include reimbursable expenses of $4.3 million and $2.8 million for the three months ended September 30, 2011 and 2010, respectively, and $11.0 million and $8.0 million for the nine months ended September 30, 2011 and 2010, respectively.</w:t>
      </w: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revenues includes $0.3 million and $0.5 million for the three months ended September 30, 2011 and 2010, respectively, and $1.3 million and $1.5 million for the nine months ended September 30, 2011 and 2010, respectively, of non-cash amortization of stock compensation expense relating to the issuance of equity awards to employees directly involved in providing services to our clients as described in Note 15 to our unaudited consolidated financial statements contained herein.</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$1.8 million and $1.7 million for the three months ended September 30, 2011 and 2010, respectively, and $6.0 million and $4.9 million for the nine months ended September 30, 2011 and 2010, respectively, of non-cash amortization of stock compensation expense relating to the issuance of equity awards to our non-operations staff as described in Note 15 to our unaudited consolidated financial statements contained herein.</w:t>
      </w:r>
    </w:p>
    <w:p>
      <w:pPr>
        <w:spacing w:after="0" w:line="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$1.4 million and $0.7 million for the three months ended September 30, 2011 and 2010, respectively, and $2.9 million and $1.4 million for the nine months ended September 30, 2011 and 2010, respectively, of amortization of intangibles as described in Note 5 to our unaudited consolidated financial statements contained 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48.0% from $67.6 million for the three months ended September 30, 2010 to $100.0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2011. Revenues from outsourcing services increased from $50.5 million during the three months ended September 30, 2010 to $83.2 million during the three months ended September 30, 2011. The increase in revenues from outsourcing services of $32.7 million was primarily driven by revenues of $22.5 million from the OPI Acquisition and net volume increases from existing and new clients aggregating to $10.2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Revenues from transformation services decreased marginally from $17.1 million for the three months ended September 30, 2010 to $16.8 million for the three months ended September 30, 2011. Revenues from new clients for transformation services were $0.1 million during both the three months ended September 30, 2010 and 2011.</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52.2% from $40.6 million for the three months ended September 30, 2010 to $61.8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2011. The increase in cost of revenues was primarily due to an increase in employee-related costs of $19.1 million as a result of an increase in the number of personnel directly involved in providing services to our clients, including $12.7 million of employee-related costs related to the OPI Acquisition, and an increase in facilities, technology and other operating expenses by $5.1 million, primarily due to our acquisitions and new operating centers to support our revenue growth, and partially offset by the recognition of a one-time service tax refund of $3.1 million as a result of a change in an accounting estimate. As a percentage of revenues, cost of revenues increased from 60.0% for the three months ended September 30, 2010 to 61.7% for the three months ended September 30, 2011.</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41.7% from $27.0 million for the three months ended September 30, 2010 to $38.3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2011. The increase in gross profit was primarily due to an increase in revenues of $32.4 million, offset by an increase in cost of revenues of $21.2 million. Gross profit as a percentage of revenues decreased from 40.0% for the three months ended September 30, 2010 to 38.3% for the three months ended September 30, 2011, primarily due to the impact of our acquisitions.</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Expenses. </w:t>
      </w:r>
      <w:r>
        <w:rPr>
          <w:rFonts w:ascii="Arial" w:cs="Arial" w:eastAsia="Arial" w:hAnsi="Arial"/>
          <w:sz w:val="15"/>
          <w:szCs w:val="15"/>
          <w:color w:val="auto"/>
        </w:rPr>
        <w:t>Selling, general and administrative (“SG&amp;A”) expenses increased 27.7% from $15.8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2010 to $20.2 million for the three months ended September 30, 2011. The increase in SG&amp;A expenses was primarily due to an increase in employee-related costs of $2.9 million, including $1.9 million of employee-related costs related to the OPI Acquisition and our continued investment in sales and client management personnel, an increase in facilities costs of $0.6 million, primarily related to the OPI Acquisition, and an increase in other SG&amp;A costs of $0.9 million during the three months ended September 30, 2011 compared to the three months ended September 30, 2010. As a percentage of revenues, SG&amp;A expenses decreased from 23.4% for the three months ended September 30, 2010 to 20.2% for the three months ended September 30, 2011.</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52.7% from $4.2 million for the three months ended September 30, 2010 to $6.4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2011. The increase was primarily due to an increase in amortization of acquisition-related intangibles of $0.7 million, an increase in depreciation of $1.5 million, primarily related to our new operations centers and the OPI Acquisition. As we add more operations centers, we expect that our depreciation expense will increase to reflect the additional investment in equipment and operations centers necessary to meet our service requirements. As a percentage of revenues, depreciation and amortization increased marginally from 6.2% for the three months ended September 30, 2010 to 6.4% for the three months ended September 30, 2011.</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67.0% from $7.0 million for the three months ended September 30, 2010 to $11.7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2011. The increase in income from operations was primarily due to an increase in gross profit by $11.3 million, offset by an increase in operating expenses of $6.6 million. As a percentage of revenues, income from operations increased from 10.3% for the three months ended September 30, 2010 to 11.7% for the three months ended September 30, 2011.</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is comprised of foreign exchange gains and losses, interest income and expense and other items. Other income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$1.2 million for the three months ended September 30, 2010 to $0.9 million for the three months ended September 30, 2011, primarily as a result of net foreign exchange gain of $0.9 million during the three months ended September 30, 2010 compared to $0.5 million during the three months ended September 30, 2011, primarily attributable to the movement of the U.S. dollar against the Indian rupee and the U.K. pound sterling. Net interest income and other income increased by $0.1 million during the three months ended September 30, 2011 compared to the three months ended September 30, 2010, primarily due to higher interest income, offset by interest expense on our revolver credit facility and capital leases. The average exchange rate of the Indian rupee against the U.S. dollar was 46.42 during the three months ended September 30, 2011 compared to 46.14 during the three months ended September 30, 2010.</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$0.4 million for the three months ended September 30, 2010 to $4.1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2011. The effective rate of taxes increased from 4.7% during the three months ended September 30, 2010 to 33.0% during the three months ended September 30, 2011. Refer to Note 14 to the unaudited consolidated financial statements for further details.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$7.8 million for the three months ended September 30, 2010 to $8.4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2011, primarily due to an increase in operating income of $4.7 million, offset by an increase in provision for income taxes of $3.7 million. As a percentage of revenues, net income decreased from 11.5% for the three months ended September 30, 2010 to 8.4% for the three months ended September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2011 Compared to Nine Months Ended September 30, 2010</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41.2% from $182.7 million for the nine months ended September 30, 2010 to $258.0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2011. Revenues from outsourcing services increased from $138.6 million for the nine months ended September 30, 2010 to $208.8 million for the nine months ended September 30, 2011. The increase in revenues from outsourcing services of $70.2 million was primarily driven by revenues of $38.0 million from our acquisitions of GTSC, PDMA and OPI, revenues from a one-time payment of $2.2 million from a client with no associated costs, net volume increases from existing and new clients aggregating to $28.6 million and revenues of $1.4 million, primarily due to the appreciation of the Indian rupee and Czech koruna against the U.S. dollar during the nine months ended September 30, 2011 compared to the nine months ended September 30, 2010.</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Revenues from transformation services increased from $44.1 million for the nine months ended September 30, 2010 to $49.2 million for the nine months ended September 30, 2011. The increase was primarily due to a combination of increased revenues in recurring or annuity decision analytics services and an increase in project-based engagements both in our decision analytics and operations and process excellence practices. Revenues from new clients for transformation services were $2.9 million and $0.4 million during the nine months ended September 30, 2010 and 2011,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44.2% from $109.5 million for the nine months ended September 30, 2010 to $158.0 million for the nine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2011. The increase in cost of revenues was primarily due to increases in employee-related costs of $36.8 million as a result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number of personnel directly involved in providing services to our clients, including $21.6 million of employee-related costs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 increase in reimbursable expenses of $1.7 million (resulting in an increase in revenues), an increase in facilities, technology and other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by $9.4 million, primarily due to our new operations centers including our acquisitions to support our revenue growth, and an increase of $1.7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appreciation of the Indian rupee, the Czech koruna and the Philippine peso against the U.S. dollar, and partially offset by the service tax refund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during the nine months ended September 30, 2011 compared to the service tax refund of $2.2 million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As a percentage of revenues, cost of revenues increased from 59.9% for the nine months ended September 30, 2010 to 61.2%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36.6% from $73.2 million for the nine months ended September 30, 2010 to $100.0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2011. The increase in gross profit was primarily due to an increase in revenues of $75.2 million, offset by an increase in cost of revenues of $48.5 million. Gross profit as a percentage of revenues decreased from 40.1% for the nine months ended September 30, 2010 to 38.8% for the nine months ended September 30, 2011, primarily due to the impact of our acquisitions.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increased 27.0% from $43.3 million for the nine months ended September 30, 2010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$55.0 million for the nine months ended September 30, 2011. The increase in SG&amp;A expenses was primarily due to an increase in salaries and personnel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$8.5 million as a result of our continued investment in sales and client management personnel and including $2.5 million of employee-related costs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OPI Acquisition, an increase in legal and professional fees of $1.2 million, primarily related to our acquisitions, and an increase in other SG&amp;A costs of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during the three months ended September 30, 2011 compared to the three months ended September 30, 2010. As a percentage of revenues, SG&amp;A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decreased from 23.7% for the nine months ended September 30, 2010 to 21.3% for the nine months ended September 30, 2011.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47.2% from $11.2 million for the nine months ended September 30, 2010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$16.4 million for the nine months ended September 30, 2011. The increase was primarily due to an increase in amortization of acquisition-related intangibles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an increase in depreciation of $3.5 million, primarily related to our new operations centers as a result of our acquisitions, and an increase of $0.2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due to the appreciation of the Indian rupee against the U.S. dollar during the nine months ended September 30, 2011 compared to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As we add more operations centers, we expect that depreciation expense will increase to reflect the additional investment in equipment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build outs necessary to meet our service requirements. As a percentage of revenues, depreciation and amortization increased from 6.1%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2010 to 6.4% for the nine months ended September 30,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52.6% from $18.7 million for the nine months ended September 30, 2010 to $28.6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2011. As a percentage of revenues, income from operations increased from 10.3% for the nine months ended September 30, 2010 to 11.1% for the nine months ended September 30, 2011. The increase in income from operations was primarily due to an increase in gross profit by $26.8 million, offset by an increase in operating expenses of $16.9 million.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is comprised of foreign exchange gains and losses, interest income, interest expense and other items. Other income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an income of $3.5 million for the nine months ended September 30, 2010 to of $5.3 million for the nine months ended September 30, 2011, primarily as a result of net foreign exchange gain of $2.5 million during the nine months ended September 30, 2010 compared to the net foreign exchange gain of $3.9 million during the nine months ended September 30, 2011 attributable to movement of the U.S. dollar against the Indian rupee and the U.K. pound sterling relative to our foreign exchange hedged positions. Net interest income and other income also increased by $0.4 million during the nine months ended September 30, 2011 compared to the nine months ended September 30, 2010, primarily due to higher interest income, offset by interest expense on our revolver credit facility and capital leases. The average exchange rate of the Indian rupee against the U.S. dollar was 45.45 during the nine months ended September 30, 2011 compared to 45.86 during the nine months ended September 30, 2010.</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$3.9 million for the nine months ended September 30, 2010 to $8.6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2011. The effective rate of taxes increased from 17.5% for the nine months ended September 30, 2010 to 25.5% for the nine months ended September 30, 2011. Refer to Note 14 to the unaudited consolidated financial statements for further details.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$18.3 million for the nine months ended September 30, 2010 to $25.2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2011, primarily due to an increase in operating income of $9.8 million and other income of $1.8 million, partially offset by an increase in the provision for income taxes of $4.8 million. As a percentage of revenues, net income decreased marginally from 10.0% for the nine months ended September 30, 2010 to 9.8% for the nine months ended September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we had $82.5 million in cash and cash equivalents and short-term investments.</w:t>
      </w:r>
    </w:p>
    <w:p>
      <w:pPr>
        <w:spacing w:after="0" w:line="17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Cash flows provided by operating activities increased from $23.7 million in the nine months ended September 30, 2010 to $40.5 million in the nine months ended September 30, 2011. Cash flows from net income adjusted for non-cash items increased by $9.4 million during the nine months ended September 30, 2011 compared to the nine months ended September 30, 2010, primarily due to an increase in net income of $6.9 million, an increase in depreciation, amortization and stock-based compensation expense of $6.2 million and an increase in unrealized foreign exchange gain of $3.7 million.</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Cash flows from changes in working capital increased by $7.3 million during the nine months ended September 30, 2011 compared to the nine months ended September 30, 2010, primarily due to movement in other assets and accrued expenses, partially offset by accrued employee costs and accounts receivables. Our day sales outstanding was 52 days as of September 30, 2011 compared to 57 days as of December 31, 2010.</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Cash flows used for investing activities increased from $55.3 million in the nine months ended September 30, 2010 to $100.7 million in the nine months ended September 30, 2011. The increase is primarily due to the payment of the purchase consideration of approximately $81.2 million (net of cash acquired of $19.7 million) for the OPI Acquisition during the nine months ended September 30, 2011 compared to $42.1 million paid for the acquisitions of GTSC and PDMA during the nine months ended September 30, 2010.</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Cash flows provided by financing activities increased from $1.4 million in the nine months ended September 30, 2010 to $24.0 million in the nine months ended September 30, 2011. The increase is primarily due to proceeds from the issuance of common stock in a public offering of $22.0 million and proceeds from the exercise of stock options of $5.4 million during the nine months ended September 30, 2011 compared to $1.6 million during the nine months ended September 30, 2010.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$12.4 million of capital expenditures in the nine months ended September 30, 2011. We expect to incur capital expenditures of approximately $6 million to $9 million in the remainder of 2011 primarily to meet the growth requirements of our clients, including additions to our existing facilities and expanding our operations centers in Philippines and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Service.com (India) Private Limited and ExlService.com, Inc., we may be required to deposit additional amounts with respect to the assessment orders received by us and for similar orders for subsequent years that may be received by us. Refer to Note 18 to our unaudited consolidated financial statements for further details.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May 26, 2011, the Company entered into a credit agreement (the “Credit Facility”) with certain lenders and JPMorgan Chase Bank, N.A., as Administrative Agent. The Credit Facility is comprised of a $50.0 million revolving credit facility, including a letter of credit sub-facility, for a period of three years. We repaid all amounts outstanding under the Credit Facility during the three months ended September 30, 2011 and, as of September 30, 2011, we did not have any borrowings under the Credit Facility. Borrowings under the Credit Facility may be used for working capital and general corporate purposes.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anticipate that we will continue to rely upon cash from operating activities and the Credit Facility to finance our acquisitions, capital expenditures and working capital needs. If we have significant growth through acquisitions, we may need to obtain additional financing.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and December 31, 2010,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95"/>
              </w:rPr>
              <w:t>Payment Due by Period</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70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1"/>
                <w:szCs w:val="11"/>
                <w:color w:val="auto"/>
              </w:rPr>
            </w:pPr>
          </w:p>
        </w:tc>
        <w:tc>
          <w:tcPr>
            <w:tcW w:w="66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6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5 years</w:t>
            </w:r>
          </w:p>
        </w:tc>
        <w:tc>
          <w:tcPr>
            <w:tcW w:w="14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13.2</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8.5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obligations(b)</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16.8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18.7</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$4.5 million related to uncertain tax positions, since the extent of the amount and timing of payment is currently not reliably estimable or determinable.</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units of our Indian subsidiaries had been established as 100% Export-Oriented units under the Export Import Policy or Software Technology Parks of India units (“STPI”) under the STPI guidelines issued by the Government of India that provided us with certain incentives on imported and indigenous capital goods on fulfillment of certain conditions. In the event that these units are unable to meet those conditions over the specified period, we may be required to refund those incentives along with penalties and fines. However, we believe that these units have in the past and will continue to satisfy those conditions.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The registration provides us with certain incentives on the import of capital goods and requires that Exl Philippines meet certain export obligations. Our current income tax holiday in the Philippines is expected to expire in the middle of 2012, unless extended.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September 2009, the Financial Accounting Standards Board (“FASB”) issued update No. 2009-13, “Multiple-Deliverable Revenue Arrangements—a consensus of the FASB Emerging Issues Task Force” (“ASU 2009-13”). ASU 2009-13 updates the existing multiple-element revenue arrangements guidance currently included under ASC topic 605-25, which originated primarily from the guidance in EITF Issue No. 00-21, “Revenue Arrangements with Multiple Deliverables.”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is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the Company’s unaudited consolidated financial statements as the number of multiple deliverable revenue arrangements is insignificant.</w:t>
      </w:r>
    </w:p>
    <w:p>
      <w:pPr>
        <w:spacing w:after="0" w:line="12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In December 2010, the FASB issued update No. 2010-29 (“ASU 2010-29”), “Disclosure of Supplementary Pro Forma Information for Business Combinations.” ASU 2010-29 requires public companies to disclose revenues and earnings of the combined entity as though the current period business combination had occurred as of the beginning of the comparable prior annual reporting period while presenting comparative financial statements. The amendments expand the supplemental pro forma disclosures to include a description of the nature and amount of material, nonrecurring pro forma adjustments directly attributable to the business combination included in the reported pro forma revenue and earnings. The Company adopted the guidance effective January 1, 2011 for material (either on an individual or aggregate basis) business combinations entered into in fiscal years beginning on or after December 15, 2010. The adoption of the guidance had no effect on the Company’s financial position or results of operations. Refer to Note 5 to our unaudited consolidated financial statements for further details.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June 2011, the FASB issued update No. 2011-05 (“ASU 2011-05”), “Presentation of Comprehensive Income.” ASU 2011-05 amends existing guidance by allowing only two options for presenting the components of net income and other comprehensive income: (1) in a single continuous financial statement and statement of comprehensive income, or (2) in two separate but consecutive financial statements, consisting of an income statement followed by a separate statement of other comprehensive income. Also, items that are reclassified from other comprehensive income to net income must be presented on the face of the financial statements. ASU 2011-05 requires retrospective application, and is effective for fiscal years, and interim periods within those years, beginning on or after December 15, 2011, with early adoption permitted. The Company believes that the adoption of this update will change the order in which certain financial statements are presented and provide additional detail on those financial statements when applicable, but will not have any other impact on our unaudited consolidated financial statements.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September 2011, the FASB issued update No. 2011-08, “Testing Goodwill for Impairment” (“ASU 2011-08”), which allows entities to use a qualitative approach to test goodwill for impairment. ASU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2011-08 is effective for annual and interim goodwill impairment tests performed for fiscal years beginning after December 15, 2011. The Company is currently evaluating the impact of adopting the provisions of ASU 2011-08.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recent OPI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nine months ended September 30, 2011,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2010.</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September 30, 2011. Based upon that evaluation, the CEO and CFO have concluded that, as of September 30, 2011,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nine months ended September 30, 2011,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May 31, 2011, the Company completed the OPI Acquisition. The scope of our assessment of the effectiveness of internal control over financial reporting does not include this newly acquired business as permitted by SEC rules for recently acquired businesses. The Company is in the process of reviewing the internal control structure of OPI, and, if necessary, will make appropriate changes as the Company incorporates its controls and procedures into the acquired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18 to our unaudited consolidated financial statements contained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2010 the risk factors which materially affect our business, financial condition or results of operations. You should carefully consider the “Risk Factors” set forth in our Annual Report on Form 10-K for the year ended December 31, 2010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2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58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1.1</w:t>
            </w:r>
          </w:p>
        </w:tc>
        <w:tc>
          <w:tcPr>
            <w:tcW w:w="9720" w:type="dxa"/>
            <w:vAlign w:val="bottom"/>
          </w:tcPr>
          <w:p>
            <w:pPr>
              <w:ind w:left="200"/>
              <w:spacing w:after="0"/>
              <w:rPr>
                <w:sz w:val="20"/>
                <w:szCs w:val="20"/>
                <w:color w:val="auto"/>
              </w:rPr>
            </w:pPr>
            <w:r>
              <w:rPr>
                <w:rFonts w:ascii="Arial" w:cs="Arial" w:eastAsia="Arial" w:hAnsi="Arial"/>
                <w:sz w:val="18"/>
                <w:szCs w:val="18"/>
                <w:color w:val="auto"/>
                <w:w w:val="91"/>
              </w:rPr>
              <w:t>Underwriting Agreement, dated September 13, 2011, among the Company, certain stockholders named in Schedule II thereto, and</w:t>
            </w:r>
          </w:p>
        </w:tc>
      </w:tr>
      <w:tr>
        <w:trPr>
          <w:trHeight w:val="216"/>
        </w:trPr>
        <w:tc>
          <w:tcPr>
            <w:tcW w:w="86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89"/>
              </w:rPr>
              <w:t>Citigroup Global Markets Inc. and J.P. Morgan Securities LLC, as the representatives of the underwriters listed in Schedule III thereto</w:t>
            </w:r>
          </w:p>
        </w:tc>
      </w:tr>
      <w:tr>
        <w:trPr>
          <w:trHeight w:val="216"/>
        </w:trPr>
        <w:tc>
          <w:tcPr>
            <w:tcW w:w="86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w w:val="90"/>
              </w:rPr>
              <w:t>(incorporated by reference from Exhibit 1.1 to the Company’s Current Report on Form 8-K, dated September 19, 2011 (File No. 001-</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33089)).</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31.1</w:t>
            </w:r>
          </w:p>
        </w:tc>
        <w:tc>
          <w:tcPr>
            <w:tcW w:w="9720" w:type="dxa"/>
            <w:vAlign w:val="bottom"/>
          </w:tcPr>
          <w:p>
            <w:pPr>
              <w:ind w:left="200"/>
              <w:spacing w:after="0"/>
              <w:rPr>
                <w:sz w:val="20"/>
                <w:szCs w:val="20"/>
                <w:color w:val="auto"/>
              </w:rPr>
            </w:pPr>
            <w:r>
              <w:rPr>
                <w:rFonts w:ascii="Arial" w:cs="Arial" w:eastAsia="Arial" w:hAnsi="Arial"/>
                <w:sz w:val="18"/>
                <w:szCs w:val="18"/>
                <w:color w:val="auto"/>
                <w:w w:val="92"/>
              </w:rPr>
              <w:t>Certification of the President and Chief Executive Officer of ExlService Holdings, pursuant to Rule 13a-14 of the Exchange Act, as</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31.2</w:t>
            </w:r>
          </w:p>
        </w:tc>
        <w:tc>
          <w:tcPr>
            <w:tcW w:w="9720" w:type="dxa"/>
            <w:vAlign w:val="bottom"/>
          </w:tcPr>
          <w:p>
            <w:pPr>
              <w:ind w:left="200"/>
              <w:spacing w:after="0"/>
              <w:rPr>
                <w:sz w:val="20"/>
                <w:szCs w:val="20"/>
                <w:color w:val="auto"/>
              </w:rPr>
            </w:pPr>
            <w:r>
              <w:rPr>
                <w:rFonts w:ascii="Arial" w:cs="Arial" w:eastAsia="Arial" w:hAnsi="Arial"/>
                <w:sz w:val="18"/>
                <w:szCs w:val="18"/>
                <w:color w:val="auto"/>
                <w:w w:val="90"/>
              </w:rPr>
              <w:t>Certification of the Chief Financial Officer of ExlService Holdings, pursuant to Rule 13a-14 of the Exchange Act, as adopted pursuant</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32.1</w:t>
            </w:r>
          </w:p>
        </w:tc>
        <w:tc>
          <w:tcPr>
            <w:tcW w:w="9720" w:type="dxa"/>
            <w:vAlign w:val="bottom"/>
          </w:tcPr>
          <w:p>
            <w:pPr>
              <w:ind w:left="200"/>
              <w:spacing w:after="0"/>
              <w:rPr>
                <w:sz w:val="20"/>
                <w:szCs w:val="20"/>
                <w:color w:val="auto"/>
              </w:rPr>
            </w:pPr>
            <w:r>
              <w:rPr>
                <w:rFonts w:ascii="Arial" w:cs="Arial" w:eastAsia="Arial" w:hAnsi="Arial"/>
                <w:sz w:val="18"/>
                <w:szCs w:val="18"/>
                <w:color w:val="auto"/>
                <w:w w:val="89"/>
              </w:rPr>
              <w:t>Certification of the President and Chief Executive Officer of ExlService Holdings, pursuant to Rule 13a-14(b) of the Exchange Act and</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18 U.S.C. Section 1350, as adopted pursuant to Section 906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32.2</w:t>
            </w:r>
          </w:p>
        </w:tc>
        <w:tc>
          <w:tcPr>
            <w:tcW w:w="9720" w:type="dxa"/>
            <w:vAlign w:val="bottom"/>
          </w:tcPr>
          <w:p>
            <w:pPr>
              <w:ind w:left="20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13a-14(b) of the Exchange Act and 18 U.S.C.</w:t>
            </w:r>
          </w:p>
        </w:tc>
      </w:tr>
      <w:tr>
        <w:trPr>
          <w:trHeight w:val="222"/>
        </w:trPr>
        <w:tc>
          <w:tcPr>
            <w:tcW w:w="860" w:type="dxa"/>
            <w:vAlign w:val="bottom"/>
          </w:tcPr>
          <w:p>
            <w:pPr>
              <w:spacing w:after="0"/>
              <w:rPr>
                <w:sz w:val="19"/>
                <w:szCs w:val="19"/>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tcPr>
          <w:p>
            <w:pPr>
              <w:ind w:left="2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77" w:lineRule="exact"/>
        <w:rPr>
          <w:sz w:val="20"/>
          <w:szCs w:val="20"/>
          <w:color w:val="auto"/>
        </w:rPr>
      </w:pPr>
    </w:p>
    <w:p>
      <w:pPr>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(15 U.S.C. 78r), or otherwise subject to the liability of that section. Such exhibit will not be deemed to be incorporated by reference into any filing under the Securities Act or Securities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60" w:val="left"/>
          <w:tab w:leader="none" w:pos="800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00"/>
          </w:cols>
          <w:pgMar w:left="240" w:top="459" w:right="8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12"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2011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2011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2019-12-11T00:55:51Z</dcterms:created>
  <dcterms:modified xsi:type="dcterms:W3CDTF">2019-12-11T00:55:51Z</dcterms:modified>
</cp:coreProperties>
</file>