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6769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6769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STAGLIN GAREN K</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12/10/2018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2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160" w:type="dxa"/>
            <w:vAlign w:val="bottom"/>
          </w:tcPr>
          <w:p>
            <w:pPr>
              <w:ind w:left="1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32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0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32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0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2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12/10/2018</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Arial" w:cs="Arial" w:eastAsia="Arial" w:hAnsi="Arial"/>
                <w:sz w:val="27"/>
                <w:szCs w:val="27"/>
                <w:color w:val="0000FF"/>
                <w:vertAlign w:val="subscript"/>
              </w:rPr>
              <w:t>M</w:t>
            </w:r>
            <w:r>
              <w:rPr>
                <w:rFonts w:ascii="Arial" w:cs="Arial" w:eastAsia="Arial" w:hAnsi="Arial"/>
                <w:sz w:val="11"/>
                <w:szCs w:val="11"/>
                <w:color w:val="008000"/>
              </w:rPr>
              <w:t>(1)</w:t>
            </w:r>
          </w:p>
        </w:tc>
        <w:tc>
          <w:tcPr>
            <w:tcW w:w="760" w:type="dxa"/>
            <w:vAlign w:val="bottom"/>
            <w:tcBorders>
              <w:bottom w:val="single" w:sz="8" w:color="2C2C2C"/>
            </w:tcBorders>
          </w:tcPr>
          <w:p>
            <w:pPr>
              <w:jc w:val="center"/>
              <w:ind w:left="6"/>
              <w:spacing w:after="0"/>
              <w:rPr>
                <w:sz w:val="20"/>
                <w:szCs w:val="20"/>
                <w:color w:val="auto"/>
              </w:rPr>
            </w:pPr>
            <w:r>
              <w:rPr>
                <w:rFonts w:ascii="Arial" w:cs="Arial" w:eastAsia="Arial" w:hAnsi="Arial"/>
                <w:sz w:val="18"/>
                <w:szCs w:val="18"/>
                <w:color w:val="0000FF"/>
                <w:w w:val="88"/>
              </w:rPr>
              <w:t>5,630</w:t>
            </w:r>
          </w:p>
        </w:tc>
        <w:tc>
          <w:tcPr>
            <w:tcW w:w="56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A</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8.51</w:t>
            </w:r>
          </w:p>
        </w:tc>
        <w:tc>
          <w:tcPr>
            <w:tcW w:w="11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24,476</w:t>
            </w:r>
          </w:p>
        </w:tc>
        <w:tc>
          <w:tcPr>
            <w:tcW w:w="9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12/10/2018</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(2)</w:t>
            </w:r>
          </w:p>
        </w:tc>
        <w:tc>
          <w:tcPr>
            <w:tcW w:w="760" w:type="dxa"/>
            <w:vAlign w:val="bottom"/>
            <w:tcBorders>
              <w:bottom w:val="single" w:sz="8" w:color="2C2C2C"/>
            </w:tcBorders>
          </w:tcPr>
          <w:p>
            <w:pPr>
              <w:jc w:val="center"/>
              <w:ind w:left="6"/>
              <w:spacing w:after="0"/>
              <w:rPr>
                <w:sz w:val="20"/>
                <w:szCs w:val="20"/>
                <w:color w:val="auto"/>
              </w:rPr>
            </w:pPr>
            <w:r>
              <w:rPr>
                <w:rFonts w:ascii="Arial" w:cs="Arial" w:eastAsia="Arial" w:hAnsi="Arial"/>
                <w:sz w:val="18"/>
                <w:szCs w:val="18"/>
                <w:color w:val="0000FF"/>
                <w:w w:val="88"/>
              </w:rPr>
              <w:t>5,500</w:t>
            </w:r>
          </w:p>
        </w:tc>
        <w:tc>
          <w:tcPr>
            <w:tcW w:w="56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54.88</w:t>
            </w:r>
            <w:r>
              <w:rPr>
                <w:rFonts w:ascii="Arial" w:cs="Arial" w:eastAsia="Arial" w:hAnsi="Arial"/>
                <w:sz w:val="22"/>
                <w:szCs w:val="22"/>
                <w:color w:val="008000"/>
                <w:w w:val="84"/>
                <w:vertAlign w:val="superscript"/>
              </w:rPr>
              <w:t>(3)</w:t>
            </w:r>
          </w:p>
        </w:tc>
        <w:tc>
          <w:tcPr>
            <w:tcW w:w="11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18,976</w:t>
            </w:r>
          </w:p>
        </w:tc>
        <w:tc>
          <w:tcPr>
            <w:tcW w:w="9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12/10/2018</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(2)</w:t>
            </w:r>
          </w:p>
        </w:tc>
        <w:tc>
          <w:tcPr>
            <w:tcW w:w="760" w:type="dxa"/>
            <w:vAlign w:val="bottom"/>
            <w:tcBorders>
              <w:bottom w:val="single" w:sz="8" w:color="2C2C2C"/>
            </w:tcBorders>
          </w:tcPr>
          <w:p>
            <w:pPr>
              <w:jc w:val="center"/>
              <w:ind w:left="6"/>
              <w:spacing w:after="0"/>
              <w:rPr>
                <w:sz w:val="20"/>
                <w:szCs w:val="20"/>
                <w:color w:val="auto"/>
              </w:rPr>
            </w:pPr>
            <w:r>
              <w:rPr>
                <w:rFonts w:ascii="Arial" w:cs="Arial" w:eastAsia="Arial" w:hAnsi="Arial"/>
                <w:sz w:val="18"/>
                <w:szCs w:val="18"/>
                <w:color w:val="0000FF"/>
                <w:w w:val="93"/>
              </w:rPr>
              <w:t>130</w:t>
            </w:r>
          </w:p>
        </w:tc>
        <w:tc>
          <w:tcPr>
            <w:tcW w:w="56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55.54</w:t>
            </w:r>
            <w:r>
              <w:rPr>
                <w:rFonts w:ascii="Arial" w:cs="Arial" w:eastAsia="Arial" w:hAnsi="Arial"/>
                <w:sz w:val="22"/>
                <w:szCs w:val="22"/>
                <w:color w:val="008000"/>
                <w:w w:val="84"/>
                <w:vertAlign w:val="superscript"/>
              </w:rPr>
              <w:t>(4)</w:t>
            </w:r>
          </w:p>
        </w:tc>
        <w:tc>
          <w:tcPr>
            <w:tcW w:w="11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18,846</w:t>
            </w:r>
          </w:p>
        </w:tc>
        <w:tc>
          <w:tcPr>
            <w:tcW w:w="9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22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56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ind w:left="60"/>
              <w:spacing w:after="0"/>
              <w:rPr>
                <w:sz w:val="20"/>
                <w:szCs w:val="20"/>
                <w:color w:val="auto"/>
              </w:rPr>
            </w:pPr>
            <w:r>
              <w:rPr>
                <w:rFonts w:ascii="Arial" w:cs="Arial" w:eastAsia="Arial" w:hAnsi="Arial"/>
                <w:sz w:val="14"/>
                <w:szCs w:val="14"/>
                <w:color w:val="0000FF"/>
              </w:rPr>
              <w:t>Employee</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ind w:left="80"/>
              <w:spacing w:after="0"/>
              <w:rPr>
                <w:sz w:val="20"/>
                <w:szCs w:val="20"/>
                <w:color w:val="auto"/>
              </w:rPr>
            </w:pPr>
            <w:r>
              <w:rPr>
                <w:rFonts w:ascii="Arial" w:cs="Arial" w:eastAsia="Arial" w:hAnsi="Arial"/>
                <w:sz w:val="14"/>
                <w:szCs w:val="14"/>
                <w:color w:val="0000FF"/>
              </w:rPr>
              <w:t>Common</w:t>
            </w: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vMerge w:val="restart"/>
          </w:tcPr>
          <w:p>
            <w:pPr>
              <w:ind w:left="80"/>
              <w:spacing w:after="0" w:line="297" w:lineRule="exact"/>
              <w:rPr>
                <w:sz w:val="20"/>
                <w:szCs w:val="20"/>
                <w:color w:val="auto"/>
              </w:rPr>
            </w:pPr>
            <w:r>
              <w:rPr>
                <w:rFonts w:ascii="Arial" w:cs="Arial" w:eastAsia="Arial" w:hAnsi="Arial"/>
                <w:sz w:val="27"/>
                <w:szCs w:val="27"/>
                <w:color w:val="0000FF"/>
                <w:vertAlign w:val="subscript"/>
              </w:rPr>
              <w:t>M</w:t>
            </w:r>
            <w:r>
              <w:rPr>
                <w:rFonts w:ascii="Arial" w:cs="Arial" w:eastAsia="Arial" w:hAnsi="Arial"/>
                <w:sz w:val="11"/>
                <w:szCs w:val="11"/>
                <w:color w:val="008000"/>
              </w:rPr>
              <w:t>(1)</w:t>
            </w:r>
          </w:p>
        </w:tc>
        <w:tc>
          <w:tcPr>
            <w:tcW w:w="7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(5)</w:t>
            </w:r>
          </w:p>
        </w:tc>
        <w:tc>
          <w:tcPr>
            <w:tcW w:w="760" w:type="dxa"/>
            <w:vAlign w:val="bottom"/>
          </w:tcPr>
          <w:p>
            <w:pPr>
              <w:spacing w:after="0"/>
              <w:rPr>
                <w:sz w:val="12"/>
                <w:szCs w:val="12"/>
                <w:color w:val="auto"/>
              </w:rPr>
            </w:pPr>
          </w:p>
        </w:tc>
        <w:tc>
          <w:tcPr>
            <w:tcW w:w="70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5,630</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Options</w:t>
            </w:r>
          </w:p>
        </w:tc>
        <w:tc>
          <w:tcPr>
            <w:tcW w:w="82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8.505</w:t>
            </w:r>
          </w:p>
        </w:tc>
        <w:tc>
          <w:tcPr>
            <w:tcW w:w="1140" w:type="dxa"/>
            <w:vAlign w:val="bottom"/>
          </w:tcPr>
          <w:p>
            <w:pPr>
              <w:jc w:val="right"/>
              <w:ind w:right="198"/>
              <w:spacing w:after="0" w:line="149" w:lineRule="exact"/>
              <w:rPr>
                <w:sz w:val="20"/>
                <w:szCs w:val="20"/>
                <w:color w:val="auto"/>
              </w:rPr>
            </w:pPr>
            <w:r>
              <w:rPr>
                <w:rFonts w:ascii="Arial" w:cs="Arial" w:eastAsia="Arial" w:hAnsi="Arial"/>
                <w:sz w:val="14"/>
                <w:szCs w:val="14"/>
                <w:color w:val="0000FF"/>
              </w:rPr>
              <w:t>12/10/2018</w:t>
            </w:r>
          </w:p>
        </w:tc>
        <w:tc>
          <w:tcPr>
            <w:tcW w:w="114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780" w:type="dxa"/>
            <w:vAlign w:val="bottom"/>
          </w:tcPr>
          <w:p>
            <w:pPr>
              <w:ind w:left="400"/>
              <w:spacing w:after="0" w:line="149" w:lineRule="exact"/>
              <w:rPr>
                <w:sz w:val="20"/>
                <w:szCs w:val="20"/>
                <w:color w:val="auto"/>
              </w:rPr>
            </w:pPr>
            <w:r>
              <w:rPr>
                <w:rFonts w:ascii="Arial" w:cs="Arial" w:eastAsia="Arial" w:hAnsi="Arial"/>
                <w:sz w:val="14"/>
                <w:szCs w:val="14"/>
                <w:color w:val="0000FF"/>
              </w:rPr>
              <w:t>5,630</w:t>
            </w:r>
          </w:p>
        </w:tc>
        <w:tc>
          <w:tcPr>
            <w:tcW w:w="820" w:type="dxa"/>
            <w:vAlign w:val="bottom"/>
            <w:vMerge w:val="continue"/>
          </w:tcPr>
          <w:p>
            <w:pPr>
              <w:spacing w:after="0"/>
              <w:rPr>
                <w:sz w:val="12"/>
                <w:szCs w:val="12"/>
                <w:color w:val="auto"/>
              </w:rPr>
            </w:pPr>
          </w:p>
        </w:tc>
        <w:tc>
          <w:tcPr>
            <w:tcW w:w="760" w:type="dxa"/>
            <w:vAlign w:val="bottom"/>
          </w:tcPr>
          <w:p>
            <w:pPr>
              <w:ind w:left="80"/>
              <w:spacing w:after="0" w:line="149" w:lineRule="exact"/>
              <w:rPr>
                <w:sz w:val="20"/>
                <w:szCs w:val="20"/>
                <w:color w:val="auto"/>
              </w:rPr>
            </w:pPr>
            <w:r>
              <w:rPr>
                <w:rFonts w:ascii="Arial" w:cs="Arial" w:eastAsia="Arial" w:hAnsi="Arial"/>
                <w:sz w:val="14"/>
                <w:szCs w:val="14"/>
                <w:color w:val="0000FF"/>
                <w:w w:val="94"/>
              </w:rPr>
              <w:t>01/02/2019</w:t>
            </w:r>
          </w:p>
        </w:tc>
        <w:tc>
          <w:tcPr>
            <w:tcW w:w="70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60" w:type="dxa"/>
            <w:vAlign w:val="bottom"/>
            <w:vMerge w:val="continue"/>
          </w:tcPr>
          <w:p>
            <w:pPr>
              <w:spacing w:after="0"/>
              <w:rPr>
                <w:sz w:val="12"/>
                <w:szCs w:val="12"/>
                <w:color w:val="auto"/>
              </w:rPr>
            </w:pP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tcPr>
          <w:p>
            <w:pPr>
              <w:ind w:left="460"/>
              <w:spacing w:after="0" w:line="149" w:lineRule="exact"/>
              <w:rPr>
                <w:sz w:val="20"/>
                <w:szCs w:val="20"/>
                <w:color w:val="auto"/>
              </w:rPr>
            </w:pPr>
            <w:r>
              <w:rPr>
                <w:rFonts w:ascii="Arial" w:cs="Arial" w:eastAsia="Arial" w:hAnsi="Arial"/>
                <w:sz w:val="14"/>
                <w:szCs w:val="14"/>
                <w:color w:val="0000FF"/>
              </w:rPr>
              <w:t>0</w:t>
            </w:r>
          </w:p>
        </w:tc>
        <w:tc>
          <w:tcPr>
            <w:tcW w:w="76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(right to</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ind w:left="140"/>
              <w:spacing w:after="0" w:line="149" w:lineRule="exact"/>
              <w:rPr>
                <w:sz w:val="20"/>
                <w:szCs w:val="20"/>
                <w:color w:val="auto"/>
              </w:rPr>
            </w:pPr>
            <w:r>
              <w:rPr>
                <w:rFonts w:ascii="Arial" w:cs="Arial" w:eastAsia="Arial" w:hAnsi="Arial"/>
                <w:sz w:val="14"/>
                <w:szCs w:val="14"/>
                <w:color w:val="0000FF"/>
              </w:rPr>
              <w:t>$0.001</w:t>
            </w: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20" w:type="dxa"/>
            <w:vAlign w:val="bottom"/>
          </w:tcPr>
          <w:p>
            <w:pPr>
              <w:ind w:left="60"/>
              <w:spacing w:after="0"/>
              <w:rPr>
                <w:sz w:val="20"/>
                <w:szCs w:val="20"/>
                <w:color w:val="auto"/>
              </w:rPr>
            </w:pPr>
            <w:r>
              <w:rPr>
                <w:rFonts w:ascii="Arial" w:cs="Arial" w:eastAsia="Arial" w:hAnsi="Arial"/>
                <w:sz w:val="14"/>
                <w:szCs w:val="14"/>
                <w:color w:val="0000FF"/>
              </w:rPr>
              <w:t>buy)</w:t>
            </w: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December 10, 2018, the reporting person exercised previously issued options to purchase an aggregate of 5,630 shares of common stock of ExlService Holdings, Inc.</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sales was made pursuant to a 10b5-1 plan previously entered into by the reporting person.</w:t>
      </w:r>
    </w:p>
    <w:p>
      <w:pPr>
        <w:spacing w:after="0" w:line="41" w:lineRule="exact"/>
        <w:rPr>
          <w:rFonts w:ascii="Arial" w:cs="Arial" w:eastAsia="Arial" w:hAnsi="Arial"/>
          <w:sz w:val="14"/>
          <w:szCs w:val="14"/>
          <w:color w:val="008000"/>
        </w:rPr>
      </w:pPr>
    </w:p>
    <w:p>
      <w:pPr>
        <w:jc w:val="both"/>
        <w:ind w:left="40" w:right="1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$54.44 to $55.14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jc w:val="both"/>
        <w:ind w:left="40" w:right="1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$55.47 to $55.77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January 2, 2009, the reporting person was granted 16,892 stock options. 100 percent of these options became vested and exercisable on December 31, 2009.</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12/12/2018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1494"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2019-12-23T21:58:02Z</dcterms:created>
  <dcterms:modified xsi:type="dcterms:W3CDTF">2019-12-23T21:58:02Z</dcterms:modified>
</cp:coreProperties>
</file>