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87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8795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Kapoor Rohit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01/30/2023</w:t>
      </w:r>
    </w:p>
    <w:p>
      <w:pPr>
        <w:spacing w:after="0" w:line="20" w:lineRule="exact"/>
        <w:rPr>
          <w:sz w:val="24"/>
          <w:szCs w:val="24"/>
          <w:color w:val="auto"/>
        </w:rPr>
      </w:pPr>
      <w:r>
        <w:rPr>
          <w:sz w:val="24"/>
          <w:szCs w:val="24"/>
          <w:color w:val="auto"/>
        </w:rPr>
        <w:br w:type="column"/>
      </w: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CEO &amp; Vice Chairman</w:t>
      </w:r>
    </w:p>
    <w:p>
      <w:pPr>
        <w:spacing w:after="0" w:line="266"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6"/>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5"/>
            <w:vMerge w:val="continue"/>
          </w:tcPr>
          <w:p>
            <w:pPr>
              <w:spacing w:after="0"/>
              <w:rPr>
                <w:sz w:val="10"/>
                <w:szCs w:val="10"/>
                <w:color w:val="auto"/>
              </w:rPr>
            </w:pPr>
          </w:p>
        </w:tc>
        <w:tc>
          <w:tcPr>
            <w:tcW w:w="35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8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10022</w:t>
            </w: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580" w:type="dxa"/>
            <w:vAlign w:val="bottom"/>
            <w:gridSpan w:val="6"/>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12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01/30/2023</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63,990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right="50"/>
              <w:spacing w:after="0"/>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237,319</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12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01/31/2023</w:t>
            </w:r>
          </w:p>
        </w:tc>
        <w:tc>
          <w:tcPr>
            <w:tcW w:w="112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36,000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ind w:right="1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201,319</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ectPr>
          <w:pgSz w:w="11900" w:h="16838" w:orient="portrait"/>
          <w:cols w:equalWidth="0" w:num="1">
            <w:col w:w="11000"/>
          </w:cols>
          <w:pgMar w:left="460" w:top="219" w:right="43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20" w:type="dxa"/>
            <w:vAlign w:val="bottom"/>
            <w:vMerge w:val="restart"/>
          </w:tcPr>
          <w:p>
            <w:pPr>
              <w:jc w:val="center"/>
              <w:ind w:right="233"/>
              <w:spacing w:after="0"/>
              <w:rPr>
                <w:sz w:val="20"/>
                <w:szCs w:val="20"/>
                <w:color w:val="auto"/>
              </w:rPr>
            </w:pPr>
            <w:r>
              <w:rPr>
                <w:rFonts w:ascii="Times New Roman" w:cs="Times New Roman" w:eastAsia="Times New Roman" w:hAnsi="Times New Roman"/>
                <w:sz w:val="17"/>
                <w:szCs w:val="17"/>
                <w:color w:val="0000FF"/>
                <w:w w:val="96"/>
              </w:rPr>
              <w:t>133,185</w:t>
            </w:r>
            <w:r>
              <w:rPr>
                <w:rFonts w:ascii="Times New Roman" w:cs="Times New Roman" w:eastAsia="Times New Roman" w:hAnsi="Times New Roman"/>
                <w:sz w:val="22"/>
                <w:szCs w:val="22"/>
                <w:color w:val="008000"/>
                <w:w w:val="96"/>
                <w:vertAlign w:val="superscript"/>
              </w:rPr>
              <w:t>(2)</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10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(3)</w:t>
            </w:r>
          </w:p>
        </w:tc>
        <w:tc>
          <w:tcPr>
            <w:tcW w:w="0" w:type="dxa"/>
            <w:vAlign w:val="bottom"/>
          </w:tcPr>
          <w:p>
            <w:pPr>
              <w:spacing w:after="0"/>
              <w:rPr>
                <w:sz w:val="1"/>
                <w:szCs w:val="1"/>
                <w:color w:val="auto"/>
              </w:rPr>
            </w:pPr>
          </w:p>
        </w:tc>
      </w:tr>
      <w:tr>
        <w:trPr>
          <w:trHeight w:val="127"/>
        </w:trPr>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1020" w:type="dxa"/>
            <w:vAlign w:val="bottom"/>
            <w:vMerge w:val="restart"/>
          </w:tcPr>
          <w:p>
            <w:pPr>
              <w:jc w:val="center"/>
              <w:ind w:right="233"/>
              <w:spacing w:after="0"/>
              <w:rPr>
                <w:sz w:val="20"/>
                <w:szCs w:val="20"/>
                <w:color w:val="auto"/>
              </w:rPr>
            </w:pPr>
            <w:r>
              <w:rPr>
                <w:rFonts w:ascii="Times New Roman" w:cs="Times New Roman" w:eastAsia="Times New Roman" w:hAnsi="Times New Roman"/>
                <w:sz w:val="17"/>
                <w:szCs w:val="17"/>
                <w:color w:val="0000FF"/>
                <w:w w:val="98"/>
              </w:rPr>
              <w:t>40,219</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(4)</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020" w:type="dxa"/>
            <w:vAlign w:val="bottom"/>
            <w:vMerge w:val="restart"/>
          </w:tcPr>
          <w:p>
            <w:pPr>
              <w:jc w:val="center"/>
              <w:ind w:right="253"/>
              <w:spacing w:after="0"/>
              <w:rPr>
                <w:sz w:val="20"/>
                <w:szCs w:val="20"/>
                <w:color w:val="auto"/>
              </w:rPr>
            </w:pPr>
            <w:r>
              <w:rPr>
                <w:rFonts w:ascii="Times New Roman" w:cs="Times New Roman" w:eastAsia="Times New Roman" w:hAnsi="Times New Roman"/>
                <w:sz w:val="17"/>
                <w:szCs w:val="17"/>
                <w:color w:val="0000FF"/>
              </w:rPr>
              <w:t>177,134</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(5)</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020" w:type="dxa"/>
            <w:vAlign w:val="bottom"/>
            <w:vMerge w:val="restart"/>
          </w:tcPr>
          <w:p>
            <w:pPr>
              <w:jc w:val="center"/>
              <w:ind w:right="233"/>
              <w:spacing w:after="0"/>
              <w:rPr>
                <w:sz w:val="20"/>
                <w:szCs w:val="20"/>
                <w:color w:val="auto"/>
              </w:rPr>
            </w:pPr>
            <w:r>
              <w:rPr>
                <w:rFonts w:ascii="Times New Roman" w:cs="Times New Roman" w:eastAsia="Times New Roman" w:hAnsi="Times New Roman"/>
                <w:sz w:val="17"/>
                <w:szCs w:val="17"/>
                <w:color w:val="0000FF"/>
                <w:w w:val="98"/>
              </w:rPr>
              <w:t>84,000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(6)</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020" w:type="dxa"/>
            <w:vAlign w:val="bottom"/>
            <w:vMerge w:val="restart"/>
          </w:tcPr>
          <w:p>
            <w:pPr>
              <w:jc w:val="center"/>
              <w:ind w:right="233"/>
              <w:spacing w:after="0"/>
              <w:rPr>
                <w:sz w:val="20"/>
                <w:szCs w:val="20"/>
                <w:color w:val="auto"/>
              </w:rPr>
            </w:pPr>
            <w:r>
              <w:rPr>
                <w:rFonts w:ascii="Times New Roman" w:cs="Times New Roman" w:eastAsia="Times New Roman" w:hAnsi="Times New Roman"/>
                <w:sz w:val="17"/>
                <w:szCs w:val="17"/>
                <w:color w:val="0000FF"/>
                <w:w w:val="98"/>
              </w:rPr>
              <w:t>84,000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(7)</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38" w:orient="portrait"/>
          <w:cols w:equalWidth="0" w:num="2">
            <w:col w:w="7520" w:space="720"/>
            <w:col w:w="2760"/>
          </w:cols>
          <w:pgMar w:left="460" w:top="219"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20, 2020. Such shares of Common Stock were deemed earned on January 30, 2023 based on the Compensation Committee of the Board of Directors administering the award certifying the achievement of performance targets applicable to the PRSUs for the performance period ending on December 31, 2022.</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31, 2023, the reporting person deposited 36,000 shares of Common Stock to an irrevocable trust. In exchange for the shares, the reporting person received from the trust assets of equal value. The deposit of shares to the trust resulted in an increase in the number of shares the reporting person beneficially owns indirectly through such trust and a corresponding decrease in the number of shares the reporting person beneficially owns directly.</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2023-02-01T16:30:01Z</dcterms:created>
  <dcterms:modified xsi:type="dcterms:W3CDTF">2023-02-01T16:30:01Z</dcterms:modified>
</cp:coreProperties>
</file>