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333-162335</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January 20,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50165</wp:posOffset>
            </wp:positionV>
            <wp:extent cx="120078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78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2,000,000 Shares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65"/>
          <w:szCs w:val="65"/>
          <w:b w:val="1"/>
          <w:bCs w:val="1"/>
          <w:color w:val="auto"/>
        </w:rPr>
        <w:t>ExlService Holdings, Inc.</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123190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55"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The selling stockholders named in this prospectus supplement are selling 2,000,000 shares. We will not receive any proceeds from the sale of the shares by the selling stockholders.</w:t>
      </w:r>
    </w:p>
    <w:p>
      <w:pPr>
        <w:spacing w:after="0" w:line="37" w:lineRule="exact"/>
        <w:rPr>
          <w:sz w:val="24"/>
          <w:szCs w:val="24"/>
          <w:color w:val="auto"/>
        </w:rPr>
      </w:pPr>
    </w:p>
    <w:p>
      <w:pPr>
        <w:ind w:right="520" w:firstLine="456"/>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“EXLS.” The last reported sale price of our common stock on the Nasdaq Global Select Market on November 30, 2011 was $26.60 per share.</w:t>
      </w:r>
    </w:p>
    <w:p>
      <w:pPr>
        <w:spacing w:after="0" w:line="18" w:lineRule="exact"/>
        <w:rPr>
          <w:sz w:val="24"/>
          <w:szCs w:val="24"/>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122555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54" w:lineRule="exact"/>
        <w:rPr>
          <w:sz w:val="24"/>
          <w:szCs w:val="24"/>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67945</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68" w:lineRule="exact"/>
        <w:rPr>
          <w:sz w:val="24"/>
          <w:szCs w:val="24"/>
          <w:color w:val="auto"/>
        </w:rPr>
      </w:pPr>
    </w:p>
    <w:p>
      <w:pPr>
        <w:ind w:right="60" w:firstLine="456"/>
        <w:spacing w:after="0" w:line="294" w:lineRule="auto"/>
        <w:rPr>
          <w:sz w:val="20"/>
          <w:szCs w:val="20"/>
          <w:color w:val="auto"/>
        </w:rPr>
      </w:pPr>
      <w:r>
        <w:rPr>
          <w:rFonts w:ascii="Arial" w:cs="Arial" w:eastAsia="Arial" w:hAnsi="Arial"/>
          <w:sz w:val="16"/>
          <w:szCs w:val="16"/>
          <w:color w:val="auto"/>
        </w:rPr>
        <w:t>The underwriter has agreed to purchase the shares of common stock from the selling stockholders at a price of $25.00 per share, which will result in approximately $50,000,000 of gross proceeds to the selling stockholders. The underwriter proposes to offer the shares of common stock offered hereby from time to time for sale in one or more transactions on the Nasdaq Global Select Market, in the over-the-counter market, through negotiated transactions or otherwise at market prices prevailing at the time of sale, at prices related to prevailing market prices or at negotiated prices, subject to receipt and acceptance by the underwriter and its right to reject any order in whole or in part. See “Underwriting.”</w:t>
      </w:r>
    </w:p>
    <w:p>
      <w:pPr>
        <w:spacing w:after="0" w:line="102" w:lineRule="exact"/>
        <w:rPr>
          <w:sz w:val="24"/>
          <w:szCs w:val="24"/>
          <w:color w:val="auto"/>
        </w:rPr>
      </w:pPr>
    </w:p>
    <w:p>
      <w:pPr>
        <w:ind w:right="560" w:firstLine="456"/>
        <w:spacing w:after="0" w:line="268" w:lineRule="auto"/>
        <w:rPr>
          <w:sz w:val="20"/>
          <w:szCs w:val="20"/>
          <w:color w:val="auto"/>
        </w:rPr>
      </w:pPr>
      <w:r>
        <w:rPr>
          <w:rFonts w:ascii="Arial" w:cs="Arial" w:eastAsia="Arial" w:hAnsi="Arial"/>
          <w:sz w:val="18"/>
          <w:szCs w:val="18"/>
          <w:color w:val="auto"/>
        </w:rPr>
        <w:t>The underwriter expects to deliver the shares of common stock to purchasers on or about December 6, 2011 through the book-entry facilities of The Depository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149225</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Citigroup</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December 1, 2011</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We are responsible for the information contained in or incorporated by reference in this prospectus supplement and the accompanying prospectus and in any free-writing prospectus we prepare or authorize. We have not authorized anyone to provide you with different information, and we take no responsibility for any other information others may give you. We, the selling stockholders and the underwriter are not making an offer to sell these securities in any jurisdiction where the offer or sale is not permitted. You should not assume that the information contained in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137795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20" w:type="dxa"/>
            <w:vAlign w:val="bottom"/>
            <w:gridSpan w:val="4"/>
          </w:tcPr>
          <w:p>
            <w:pPr>
              <w:ind w:left="9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20" w:type="dxa"/>
            <w:vAlign w:val="bottom"/>
            <w:gridSpan w:val="4"/>
            <w:vMerge w:val="restart"/>
          </w:tcPr>
          <w:p>
            <w:pPr>
              <w:jc w:val="center"/>
              <w:ind w:right="3420"/>
              <w:spacing w:after="0"/>
              <w:rPr>
                <w:sz w:val="20"/>
                <w:szCs w:val="20"/>
                <w:color w:val="auto"/>
              </w:rPr>
            </w:pPr>
            <w:r>
              <w:rPr>
                <w:rFonts w:ascii="Arial" w:cs="Arial" w:eastAsia="Arial" w:hAnsi="Arial"/>
                <w:sz w:val="18"/>
                <w:szCs w:val="18"/>
                <w:b w:val="1"/>
                <w:bCs w:val="1"/>
                <w:color w:val="auto"/>
                <w:w w:val="85"/>
              </w:rPr>
              <w:t>Prospectus Supplement</w:t>
            </w: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2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00" w:type="dxa"/>
            <w:vAlign w:val="bottom"/>
            <w:tcBorders>
              <w:bottom w:val="single" w:sz="8" w:color="0000EE"/>
            </w:tcBorders>
            <w:gridSpan w:val="22"/>
          </w:tcPr>
          <w:p>
            <w:pPr>
              <w:spacing w:after="0" w:line="184"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020" w:type="dxa"/>
            <w:vAlign w:val="bottom"/>
            <w:gridSpan w:val="4"/>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10120" w:type="dxa"/>
            <w:vAlign w:val="bottom"/>
            <w:gridSpan w:val="2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992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Price Range of Common Stock</w:t>
              </w:r>
            </w:hyperlink>
          </w:p>
        </w:tc>
        <w:tc>
          <w:tcPr>
            <w:tcW w:w="862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Unaudited Pro Forma Financial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31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Selling Stockholders</w:t>
              </w:r>
            </w:hyperlink>
          </w:p>
        </w:tc>
        <w:tc>
          <w:tcPr>
            <w:tcW w:w="772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Material United States Federal Income Tax Consequences for Non-U.S. 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Underwriting</w:t>
              </w:r>
            </w:hyperlink>
          </w:p>
        </w:tc>
        <w:tc>
          <w:tcPr>
            <w:tcW w:w="4680" w:type="dxa"/>
            <w:vAlign w:val="bottom"/>
            <w:tcBorders>
              <w:top w:val="single" w:sz="8" w:color="0000EE"/>
            </w:tcBorders>
            <w:gridSpan w:val="20"/>
          </w:tcPr>
          <w:p>
            <w:pPr>
              <w:spacing w:after="0"/>
              <w:rPr>
                <w:sz w:val="17"/>
                <w:szCs w:val="17"/>
                <w:color w:val="auto"/>
              </w:rPr>
            </w:pPr>
          </w:p>
        </w:tc>
        <w:tc>
          <w:tcPr>
            <w:tcW w:w="51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S-17</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Validity of Securities</w:t>
              </w:r>
            </w:hyperlink>
          </w:p>
        </w:tc>
        <w:tc>
          <w:tcPr>
            <w:tcW w:w="932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Experts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S-22</w:t>
            </w:r>
          </w:p>
        </w:tc>
        <w:tc>
          <w:tcPr>
            <w:tcW w:w="0" w:type="dxa"/>
            <w:vAlign w:val="bottom"/>
          </w:tcPr>
          <w:p>
            <w:pPr>
              <w:spacing w:after="0"/>
              <w:rPr>
                <w:sz w:val="1"/>
                <w:szCs w:val="1"/>
                <w:color w:val="auto"/>
              </w:rPr>
            </w:pPr>
          </w:p>
        </w:tc>
      </w:tr>
      <w:tr>
        <w:trPr>
          <w:trHeight w:val="336"/>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8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83"/>
              </w:rPr>
              <w:t>Prospectus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820" w:type="dxa"/>
            <w:vAlign w:val="bottom"/>
            <w:gridSpan w:val="26"/>
          </w:tcPr>
          <w:p>
            <w:pPr>
              <w:spacing w:after="0" w:line="184" w:lineRule="exact"/>
              <w:rPr>
                <w:rFonts w:ascii="Arial" w:cs="Arial" w:eastAsia="Arial" w:hAnsi="Arial"/>
                <w:sz w:val="18"/>
                <w:szCs w:val="18"/>
                <w:color w:val="0000EE"/>
              </w:rPr>
            </w:pPr>
            <w:hyperlink w:anchor="page28">
              <w:r>
                <w:rPr>
                  <w:rFonts w:ascii="Arial" w:cs="Arial" w:eastAsia="Arial" w:hAnsi="Arial"/>
                  <w:sz w:val="18"/>
                  <w:szCs w:val="18"/>
                  <w:color w:val="0000EE"/>
                </w:rPr>
                <w:t>About This Prospectus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The Company</w:t>
              </w:r>
            </w:hyperlink>
          </w:p>
        </w:tc>
        <w:tc>
          <w:tcPr>
            <w:tcW w:w="922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Forward-Looking Statements</w:t>
              </w:r>
            </w:hyperlink>
          </w:p>
        </w:tc>
        <w:tc>
          <w:tcPr>
            <w:tcW w:w="87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Risk Factors</w:t>
              </w:r>
            </w:hyperlink>
          </w:p>
        </w:tc>
        <w:tc>
          <w:tcPr>
            <w:tcW w:w="992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Ratio of Earnings to Fixed Charges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Selling Stockholders</w:t>
              </w:r>
            </w:hyperlink>
          </w:p>
        </w:tc>
        <w:tc>
          <w:tcPr>
            <w:tcW w:w="834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Description of Capital Stock</w:t>
              </w:r>
            </w:hyperlink>
          </w:p>
        </w:tc>
        <w:tc>
          <w:tcPr>
            <w:tcW w:w="880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Description of the Debt Securities</w:t>
              </w:r>
            </w:hyperlink>
          </w:p>
        </w:tc>
        <w:tc>
          <w:tcPr>
            <w:tcW w:w="842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the Depositary Shares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the Warrants</w:t>
              </w:r>
            </w:hyperlink>
          </w:p>
        </w:tc>
        <w:tc>
          <w:tcPr>
            <w:tcW w:w="822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Description of the Rights</w:t>
              </w:r>
            </w:hyperlink>
          </w:p>
        </w:tc>
        <w:tc>
          <w:tcPr>
            <w:tcW w:w="160" w:type="dxa"/>
            <w:vAlign w:val="bottom"/>
            <w:tcBorders>
              <w:top w:val="single" w:sz="8" w:color="0000EE"/>
            </w:tcBorders>
          </w:tcPr>
          <w:p>
            <w:pPr>
              <w:spacing w:after="0"/>
              <w:rPr>
                <w:sz w:val="17"/>
                <w:szCs w:val="17"/>
                <w:color w:val="auto"/>
              </w:rPr>
            </w:pPr>
          </w:p>
        </w:tc>
        <w:tc>
          <w:tcPr>
            <w:tcW w:w="888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Description of the Purchase Contracts</w:t>
              </w:r>
            </w:hyperlink>
          </w:p>
        </w:tc>
        <w:tc>
          <w:tcPr>
            <w:tcW w:w="814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the Units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912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936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9820" w:type="dxa"/>
            <w:vAlign w:val="bottom"/>
            <w:gridSpan w:val="2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Incorporation by Reference</w:t>
              </w:r>
            </w:hyperlink>
          </w:p>
        </w:tc>
        <w:tc>
          <w:tcPr>
            <w:tcW w:w="80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7"/>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This prospectus supplement updates information in the prospectus dated January 20, 2010. You should read this prospectus supplement in conjunction with the prospectus.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prospectus supplement incorporates by reference important information. You should read the information incorporated by reference before deciding to invest in our common stock, and you may obtain this information incorporated by reference without charge by following the instructions under “Where You Can Find More Information” appearing below. In this prospectus supplement, the terms “ExlService,” “we,” “us,” “our” and the “Company” refer to ExlService Holdings, Inc.</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supplement, the accompanying prospectus and the information incorporated by reference contain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supplement, the accompanying prospectus and the information incorporated by reference,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33"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integrate acquisitions, including the recent acquisition of Business Process Outsourcing, Inc. (“OPI”);</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and other factors are more fully discussed elsewhere in this prospectus supplement and in the documents incorporated by reference herein.</w:t>
      </w:r>
    </w:p>
    <w:p>
      <w:pPr>
        <w:spacing w:after="0" w:line="18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should keep in mind that any forward-looking statement made by us in this prospectus supplement, the accompanying prospectus and in the documents incorporated by reference, or elsewhere, speaks only as of the date on which we make it. New risks and uncertainties may come up from time to time, and it is impossible for us to predict these events or how they may affect us. We have no obligation to update any forward-looking statements in this prospectus supplement after the date of this prospectus supplement, except as required by federal securities laws.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9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329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This summary highlights information contained or incorporated by reference in this prospectus supplement. This summary does not contain all of the information that you should consider before deciding to invest in our common stock. You should read this entire prospectus supplement carefully, including the information incorporated by reference in this prospectus supplement. See “Item 1A. Risk Factors” in our Annual Report on Form 10-K for the fiscal year ended December 31, 2010 and our Quarterly Reports on Form 10-Q for the quarters ended March 31, 2011, June 30, 2011 and September 30, 2011, incorporated by reference herein.</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ExlService Holdings, Inc.</w:t>
      </w:r>
    </w:p>
    <w:p>
      <w:pPr>
        <w:spacing w:after="0" w:line="164"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Our outsourcing services provide front-, middle- and back-office process outsourcing services for our primarily United States based and United Kingdom 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Fortune Global 500 and Fortune 1000 companies in the insurance, utilities, banking and financial services, transportation and logistics and travel sectors. Our 17,900 professionals service our clients from fifteen operations centers in India, three operations centers in the United States, two operations centers in Bulgaria and one operations center in each of the Philippines, Romania, the Czech Republic and Malaysia.</w:t>
      </w:r>
    </w:p>
    <w:p>
      <w:pPr>
        <w:spacing w:after="0" w:line="114"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ExlService is a Delaware corporation. Our principal executive offices are located at 280 Park Avenue, 38th Floor, New York, New York 10017, and our telephone number at that address is (212) 277-7100. Our website is www.exlservice.com. The information contained in, or that can be accessed through, our website is not part of, and is not incorporated by reference into, this prospectus supplement or the accompanying prospectus and should not be considered part of this prospectus supplement or the accompanying prospectus.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Acquisition of OPI</w:t>
      </w:r>
    </w:p>
    <w:p>
      <w:pPr>
        <w:spacing w:after="0" w:line="83" w:lineRule="exact"/>
        <w:rPr>
          <w:sz w:val="20"/>
          <w:szCs w:val="20"/>
          <w:color w:val="auto"/>
        </w:rPr>
      </w:pPr>
    </w:p>
    <w:p>
      <w:pPr>
        <w:jc w:val="both"/>
        <w:ind w:left="200" w:right="260" w:firstLine="443"/>
        <w:spacing w:after="0" w:line="306" w:lineRule="auto"/>
        <w:rPr>
          <w:sz w:val="20"/>
          <w:szCs w:val="20"/>
          <w:color w:val="auto"/>
        </w:rPr>
      </w:pPr>
      <w:r>
        <w:rPr>
          <w:rFonts w:ascii="Arial" w:cs="Arial" w:eastAsia="Arial" w:hAnsi="Arial"/>
          <w:sz w:val="16"/>
          <w:szCs w:val="16"/>
          <w:color w:val="auto"/>
        </w:rPr>
        <w:t>On May 31, 2011, we completed the acquisition of OPI, pursuant to a Merger Agreement, dated as of April 30, 2011 (the “OPI Acquisition”). The aggregate consideration paid to OPI’s former stockholders in the OPI Acquisition was $91 million in cash excluding adjustments based on OPI’s working capital, debt and certain expenses incurred by OPI in connection with the consummation of the OPI Acquisition.</w:t>
      </w:r>
    </w:p>
    <w:p>
      <w:pPr>
        <w:spacing w:after="0" w:line="93"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acquired OPI to further strengthen our position as a provider of finance and accounting outsourcing services. At the time of the OPI Acquisition, OPI had over 3,700 professionals globally and approximately 80 clients. By combining our existing finance and accounting outsourcing and transformation capabilities with OPI’s end-to-end finance and accounting outsourcing capabilities and proprietary platforms, we intend to provide a comprehensive set of finance and accounting services to our clients. The OPI Acquisition also furthers our strategic objective of leveraging technology and proprietary intellectual property in our services to our client offerings.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71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2971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18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ExlService Holdings, Inc.</w:t>
      </w:r>
    </w:p>
    <w:p>
      <w:pPr>
        <w:spacing w:after="0" w:line="194"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2,000,000 shares</w:t>
      </w:r>
    </w:p>
    <w:p>
      <w:pPr>
        <w:spacing w:after="0" w:line="205" w:lineRule="exact"/>
        <w:rPr>
          <w:sz w:val="20"/>
          <w:szCs w:val="20"/>
          <w:color w:val="auto"/>
        </w:rPr>
      </w:pPr>
    </w:p>
    <w:p>
      <w:pPr>
        <w:sectPr>
          <w:pgSz w:w="11900" w:h="16838" w:orient="portrait"/>
          <w:cols w:equalWidth="0" w:num="2">
            <w:col w:w="3740" w:space="66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31,151,039 shares</w:t>
      </w:r>
    </w:p>
    <w:p>
      <w:pPr>
        <w:spacing w:after="0" w:line="205"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will not receive any proceeds from the sale of common stock by the selling stockholders.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340"/>
        <w:spacing w:after="0" w:line="332" w:lineRule="auto"/>
        <w:rPr>
          <w:sz w:val="20"/>
          <w:szCs w:val="20"/>
          <w:color w:val="auto"/>
        </w:rPr>
      </w:pPr>
      <w:r>
        <w:rPr>
          <w:rFonts w:ascii="Arial" w:cs="Arial" w:eastAsia="Arial" w:hAnsi="Arial"/>
          <w:sz w:val="16"/>
          <w:szCs w:val="16"/>
          <w:color w:val="auto"/>
        </w:rPr>
        <w:t>You should read the “Risk Factors” section of this prospectus supplement for a discussion of factors that you should consider carefully before deciding to invest in our common stock.</w:t>
      </w:r>
    </w:p>
    <w:p>
      <w:pPr>
        <w:spacing w:after="0" w:line="72"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EXLS</w:t>
      </w:r>
    </w:p>
    <w:p>
      <w:pPr>
        <w:spacing w:after="0" w:line="11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firstLine="443"/>
        <w:spacing w:after="0" w:line="268" w:lineRule="auto"/>
        <w:rPr>
          <w:sz w:val="20"/>
          <w:szCs w:val="20"/>
          <w:color w:val="auto"/>
        </w:rPr>
      </w:pPr>
      <w:r>
        <w:rPr>
          <w:rFonts w:ascii="Arial" w:cs="Arial" w:eastAsia="Arial" w:hAnsi="Arial"/>
          <w:sz w:val="18"/>
          <w:szCs w:val="18"/>
          <w:color w:val="auto"/>
        </w:rPr>
        <w:t>Unless otherwise indicated, all information in this prospectus supplement relating to outstanding shares of our common stock is as of October 31, 2011 and excludes as of that date:</w:t>
      </w:r>
    </w:p>
    <w:p>
      <w:pPr>
        <w:spacing w:after="0" w:line="37" w:lineRule="exact"/>
        <w:rPr>
          <w:sz w:val="20"/>
          <w:szCs w:val="20"/>
          <w:color w:val="auto"/>
        </w:rPr>
      </w:pPr>
    </w:p>
    <w:p>
      <w:pPr>
        <w:ind w:left="840" w:hanging="21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323,397 shares of our common stock held in treasury;</w:t>
      </w:r>
    </w:p>
    <w:p>
      <w:pPr>
        <w:spacing w:after="0" w:line="103" w:lineRule="exact"/>
        <w:rPr>
          <w:rFonts w:ascii="Arial" w:cs="Arial" w:eastAsia="Arial" w:hAnsi="Arial"/>
          <w:sz w:val="18"/>
          <w:szCs w:val="18"/>
          <w:color w:val="auto"/>
        </w:rPr>
      </w:pPr>
    </w:p>
    <w:p>
      <w:pPr>
        <w:ind w:left="840" w:right="280" w:hanging="211"/>
        <w:spacing w:after="0" w:line="325" w:lineRule="auto"/>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3,034,403 shares of our common stock issuable upon the exercise of stock options outstanding with a weighted average exercise price of $13.00 and 1,014,061 restricted stock units (each of which represents the right to receive a share of our common stock upon vesting); and</w:t>
      </w:r>
    </w:p>
    <w:p>
      <w:pPr>
        <w:spacing w:after="0" w:line="1" w:lineRule="exact"/>
        <w:rPr>
          <w:rFonts w:ascii="Arial" w:cs="Arial" w:eastAsia="Arial" w:hAnsi="Arial"/>
          <w:sz w:val="16"/>
          <w:szCs w:val="16"/>
          <w:color w:val="auto"/>
        </w:rPr>
      </w:pPr>
    </w:p>
    <w:p>
      <w:pPr>
        <w:ind w:left="840" w:hanging="211"/>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2,752,552 shares of our common stock available as of that date for future grant or issuance pursuant to our stock plans.</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Investing in our common stock involves risk. You should carefully consider the specific risks discussed in this prospectus supplement and the accompanying prospectus, together with all the other information contained or incorporated by reference in this prospectus supplement and the accompanying prospectus. You should also consider the risks, uncertainties and assumptions discussed under the heading “Item 1A. Risk Factors” included in our Annual Report on Form 10-K for the fiscal year ended December 31, 2010 and our Quarterly Reports on Form 10-Q for the quarters ended March 31, 2011, June 30, 2011 and September 30, 2011, incorporated by reference herein. These risk factors may be amended, supplemented or superseded from time to time by other reports we file with the Securities and Exchange Commission (the “SEC”)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this Offering and our 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do not intend to pay dividends in the foreseeable future, and, because we are a holding company, we may be unable to pay dividends.</w:t>
      </w:r>
    </w:p>
    <w:p>
      <w:pPr>
        <w:spacing w:after="0" w:line="10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 holding company, any dividend payments would depend on the cash flow of our subsidiaries. Accordingly, we may not be able to pay dividends even if our board of directors would otherwise deem it appropriate. For the foregoing reasons, you will not be able to rely on dividends to receive a return on your investment.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charter documents and Delaware law may delay or prevent our acquisition by a third party.</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amended and restated certificate of incorporation and by-laws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common stock. The provisions include, among others:</w:t>
      </w:r>
    </w:p>
    <w:p>
      <w:pPr>
        <w:spacing w:after="0" w:line="49"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provisions relating to creating a board of directors that is divided into three classes with staggered terms;</w:t>
      </w:r>
    </w:p>
    <w:p>
      <w:pPr>
        <w:spacing w:after="0" w:line="103"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provisions relating to the number and election of directors, the appointment of directors upon an increase in the number of directors or vacancy and provisions permitting the removal of directors only for cause and with a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w:t>
      </w:r>
    </w:p>
    <w:p>
      <w:pPr>
        <w:spacing w:after="0" w:line="37" w:lineRule="exact"/>
        <w:rPr>
          <w:rFonts w:ascii="Arial" w:cs="Arial" w:eastAsia="Arial" w:hAnsi="Arial"/>
          <w:sz w:val="18"/>
          <w:szCs w:val="18"/>
          <w:color w:val="auto"/>
        </w:rPr>
      </w:pPr>
    </w:p>
    <w:p>
      <w:pPr>
        <w:ind w:left="660" w:right="6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provisions requiring a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 for the amendment of certain provisions of our certificate of incorporation and for the adoption, amendment and repeal of our by-laws;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provisions barring stockholders from calling a special meeting of stockholders or requiring one to be called;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elimination of the right of our stockholders to act by written consent; and</w:t>
      </w:r>
    </w:p>
    <w:p>
      <w:pPr>
        <w:spacing w:after="0" w:line="103" w:lineRule="exact"/>
        <w:rPr>
          <w:rFonts w:ascii="Arial" w:cs="Arial" w:eastAsia="Arial" w:hAnsi="Arial"/>
          <w:sz w:val="18"/>
          <w:szCs w:val="18"/>
          <w:color w:val="auto"/>
        </w:rPr>
      </w:pPr>
    </w:p>
    <w:p>
      <w:pPr>
        <w:ind w:left="660" w:right="8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provisions that set forth advance notice procedures for stockholders’ nominations of directors and proposals for consideration at meetings of stockholders.</w:t>
      </w:r>
    </w:p>
    <w:p>
      <w:pPr>
        <w:spacing w:after="0" w:line="11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Additionally, because we are incorporated in Delaware, we are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became an interested stockholder unless various conditions are satisfied. For more information, see “Description of Capital Stock” in the accompanying prospectus.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and you may lose all or part of your investment.</w:t>
      </w:r>
    </w:p>
    <w:p>
      <w:pPr>
        <w:spacing w:after="0" w:line="83" w:lineRule="exact"/>
        <w:rPr>
          <w:sz w:val="20"/>
          <w:szCs w:val="20"/>
          <w:color w:val="auto"/>
        </w:rPr>
      </w:pPr>
    </w:p>
    <w:p>
      <w:pPr>
        <w:jc w:val="both"/>
        <w:ind w:right="400" w:firstLine="456"/>
        <w:spacing w:after="0" w:line="347" w:lineRule="auto"/>
        <w:rPr>
          <w:sz w:val="20"/>
          <w:szCs w:val="20"/>
          <w:color w:val="auto"/>
        </w:rPr>
      </w:pPr>
      <w:r>
        <w:rPr>
          <w:rFonts w:ascii="Arial" w:cs="Arial" w:eastAsia="Arial" w:hAnsi="Arial"/>
          <w:sz w:val="15"/>
          <w:szCs w:val="15"/>
          <w:color w:val="auto"/>
        </w:rPr>
        <w:t>The market price of our common stock could fluctuate significantly, in which case you may not be able to resell your shares at or above your purchase price. The market price of our common stock may fluctuate based on a number of factors in addition to those listed in this prospectus supplement, including:</w:t>
      </w:r>
    </w:p>
    <w:p>
      <w:pPr>
        <w:spacing w:after="0" w:line="1"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our competitors and other similar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earnings estimates or recommendations by research analysts who track our common stock or the stocks of other companies in our industry;</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our publicly traded shares;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our current stockholders, including this offering;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arrival or departure of key personnel or personal matters affecting our principal stockholders;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strategic alliances or joint ventures involving us or our competitors;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developments affecting us, our industry or our competitors.</w:t>
      </w:r>
    </w:p>
    <w:p>
      <w:pPr>
        <w:spacing w:after="0" w:line="1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addition, in recent years the stock market has experienced significant price and volume fluctuations. These fluctuations are often unrelated to the operating performance of particular companies. These broad market fluctuations may cause declines in the market price of our common stock. The price of our common stock could fluctuate based upon factors that have little or nothing to do with our company or its performance, and these fluctuations could materially reduce our stock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shares could cause our stock price to decline.</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Sales of a substantial number of shares of our common stock, or the perception that a large number of shares will be sold, could cause the market price of our common stock to decline. As of October 31, 2011, we had 31,151,039 shares of our common stock outstanding. Of these, 8,597,497 shares will be restricted pursuant to Rule 144 under the Securities Act after giving effect to this offering. The holders of approximately 1,000,000 of these restricted shares of our common stock after giving effect to this offering have caused their shares to be registered under the registration statement of which this prospectus supplement and the accompanying prospectus are parts. In addition, the restricted shares may be sold under Rule 144 from time to time subject to the volume, manner of sale and other conditions of Rule 144. Although we and the selling stockholders, certain of our directors and our chief executive officer who beneficially own in the aggregate 8,642,912 shares of our common stock after giving effect to this offering have entered into 60-day underwriter lock-up agreements, the underwriter may waive the lock-up restrictions at its discretion.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receive any proceeds from the sale of common stock by the selling stockholders.</w:t>
      </w:r>
    </w:p>
    <w:p>
      <w:pPr>
        <w:spacing w:after="0" w:line="19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219"/>
          </w:cols>
          <w:pgMar w:left="240" w:top="45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common stock trades on the Nasdaq Global Select Market under the symbol “EXLS.” The following table sets forth the high and low sales prices per share of our common stock, as reported by the Nasdaq Global Select Market, for the periods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6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First Quarter</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11.40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Third Quarter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14.99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18.39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6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19.51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Second Quarter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19.00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Fourth Quarter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22.05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6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First Quarter</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22.49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24.75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Third Quarter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26.55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Fourth Quarter (through November 30, 2011)</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26.99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closing sale price of our common stock, as reported by the Nasdaq Global Select Market, on November 30, 2011 was $26.60. As of November 29, 2011, there were approximately 21 holders of record of our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May 31, 2011, we completed the OPI Acquisition pursuant to a Merger Agreement, dated as of April 30, 2011 (the “Merger Agreement”), with F&amp;A BPO Merger Sub, Inc., a Delaware corporation and wholly owned subsidiary of EXL (“Merger Sub”), OPI and Shareholder Representative Services LLC, a Colorado limited liability company. Under the terms of the Merger Agreement, Merger Sub merged with and into OPI and OPI survived as a wholly owned subsidiary of EXL (the “Merger”).</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aggregate consideration paid to OPI’s former stockholders in the Merger was $91 million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unaudited pro forma condensed combined statement of income for the nine months ended September 30, 2011 illustrates the effect of the acquisition of OPI had it occurred on January 1, 2010, and was derived from the unaudited historical consolidated statement of income of OPI for the five months ended</w:t>
      </w:r>
    </w:p>
    <w:p>
      <w:pPr>
        <w:ind w:right="260"/>
        <w:spacing w:after="0" w:line="261" w:lineRule="auto"/>
        <w:rPr>
          <w:sz w:val="20"/>
          <w:szCs w:val="20"/>
          <w:color w:val="auto"/>
        </w:rPr>
      </w:pPr>
      <w:r>
        <w:rPr>
          <w:rFonts w:ascii="Arial" w:cs="Arial" w:eastAsia="Arial" w:hAnsi="Arial"/>
          <w:sz w:val="18"/>
          <w:szCs w:val="18"/>
          <w:color w:val="auto"/>
        </w:rPr>
        <w:t>May 31, 2011, combined with the Company’s unaudited consolidated statement of income for the nine months ended September 30, 2011, with merger-related adjustments reflected in the period presented.</w:t>
      </w:r>
    </w:p>
    <w:p>
      <w:pPr>
        <w:spacing w:after="0" w:line="12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preliminary allocation of the purchase price for the acquisition of OPI used in the unaudited pro forma information set forth below is based upon preliminary estimates and assumptions. These preliminary estimates and assumptions are subject to change during the measurement period (up to one year from the acquisition date) as the Company finalizes the valuations of certain tangible and intangible assets acquired and liabilities assumed in connection with its acquisition of OPI.</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unaudited pro forma condensed combined financial statements, including the notes thereto, do not reflect any potential cost savings or other synergies that could result from the combined operations of the Company and OPI. The unaudited pro forma condensed combined financial statements are presented for illustrative purposes only and are not necessarily indicative of the combined financial position or results of operations for future periods or the results that would have been achieved if the Merger had been consummated on the date indicated.</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unaudited pro forma condensed combined financial information should be read in conjunction with the historical consolidated financial statements and notes thereto of the Company and other financial information pertaining to the Company contained in its Annual Report on Form 10-K for the fiscal year ended December 31, 2010, which was filed with the SEC on March 16, 2011, and its Quarterly Report on Form 10-Q for the quarter ended September 30, 2011, which was filed with the SEC on November 8, 2011, as well as OPI historical financial statements for the year ended December 31, 2010 and the quarters ended March 31, 2011 and 2010, included as Exhibit 99.2 in the Company’s Current Report on Form 8-K/A, which was filed with the SEC on August 1, 2011.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5"/>
          </w:tcPr>
          <w:p>
            <w:pPr>
              <w:ind w:left="40"/>
              <w:spacing w:after="0"/>
              <w:rPr>
                <w:sz w:val="20"/>
                <w:szCs w:val="20"/>
                <w:color w:val="auto"/>
              </w:rPr>
            </w:pPr>
            <w:r>
              <w:rPr>
                <w:rFonts w:ascii="Arial" w:cs="Arial" w:eastAsia="Arial" w:hAnsi="Arial"/>
                <w:sz w:val="14"/>
                <w:szCs w:val="14"/>
                <w:b w:val="1"/>
                <w:bCs w:val="1"/>
                <w:color w:val="auto"/>
              </w:rPr>
              <w:t>Pro Forma</w:t>
            </w: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7"/>
              </w:rPr>
              <w:t>Notes</w:t>
            </w:r>
            <w:r>
              <w:rPr>
                <w:rFonts w:ascii="Arial" w:cs="Arial" w:eastAsia="Arial" w:hAnsi="Arial"/>
                <w:sz w:val="22"/>
                <w:szCs w:val="22"/>
                <w:b w:val="1"/>
                <w:bCs w:val="1"/>
                <w:color w:val="auto"/>
                <w:w w:val="77"/>
                <w:vertAlign w:val="superscript"/>
              </w:rPr>
              <w:t>(1)</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ind w:left="200"/>
              <w:spacing w:after="0"/>
              <w:rPr>
                <w:sz w:val="20"/>
                <w:szCs w:val="20"/>
                <w:color w:val="auto"/>
              </w:rPr>
            </w:pPr>
            <w:r>
              <w:rPr>
                <w:rFonts w:ascii="Arial" w:cs="Arial" w:eastAsia="Arial" w:hAnsi="Arial"/>
                <w:sz w:val="14"/>
                <w:szCs w:val="14"/>
                <w:b w:val="1"/>
                <w:bCs w:val="1"/>
                <w:color w:val="auto"/>
              </w:rPr>
              <w:t>EXL</w:t>
            </w:r>
          </w:p>
        </w:tc>
        <w:tc>
          <w:tcPr>
            <w:tcW w:w="100" w:type="dxa"/>
            <w:vAlign w:val="bottom"/>
          </w:tcPr>
          <w:p>
            <w:pPr>
              <w:spacing w:after="0"/>
              <w:rPr>
                <w:sz w:val="23"/>
                <w:szCs w:val="23"/>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rPr>
              <w:t>OPI</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p>
        </w:tc>
        <w:tc>
          <w:tcPr>
            <w:tcW w:w="460" w:type="dxa"/>
            <w:vAlign w:val="bottom"/>
            <w:vMerge w:val="continue"/>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257,961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36,781</w:t>
            </w:r>
          </w:p>
        </w:tc>
        <w:tc>
          <w:tcPr>
            <w:tcW w:w="8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157,971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26,392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184,412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10,389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110,330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36,115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4,291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(3,041)</w:t>
            </w:r>
          </w:p>
        </w:tc>
        <w:tc>
          <w:tcPr>
            <w:tcW w:w="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37,365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18,894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16,405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71,414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(1,661)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1,344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2"/>
              </w:rPr>
              <w:t>(b)(c)</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8,639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1,036</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8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0.84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Weighted-average number of shares used in computing earnings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29,926,846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29,926,846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31,131,513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31,131,513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-1060450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-1060450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-1060450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-1060450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-1060450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-1060450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-1060450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-1060450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-1060450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-1060450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-1060450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-1060450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-1060450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-1060450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 to note 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Pro Forma Condensed Combined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PRO FORMA PRESENTATION</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unaudited pro forma condensed combined financial statements included herein have been prepared by the Company, without audit, pursuant to the rules and regulations of the Securities and Exchange Commission.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unaudited pro forma combined condensed statement of income for the nine months ended September 30, 2011 is based on the historical financial statements of the Company for the nine months ended September 30, 2011 and the historical financial statements of OPI for the five months ended May 31, 2011, after giving effect to the acquisition adjustments. The unaudited pro forma condensed combined statement of income is presented as if the acquisition of OPI had occurred on January 1, 2010 with merger-related adjustments reflected in the period presented.</w:t>
      </w:r>
    </w:p>
    <w:p>
      <w:pPr>
        <w:spacing w:after="0" w:line="9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Company accounts for business combinations pursuant to Financial Accounting Standards Board (“FASB”) Accounting Standards Codification (“ASC”) 805, Business Combinations. In accordance with ASC 805, the Company recognizes separately from goodwill, the identifiable assets acquired and the liabilities assumed, generally at the acquisition date fair value as defined by ASC 820, Fair Value Measurements and Disclosures. Goodwill as of the acquisition date is measured as the excess of consideration transferred, which is also generally measured at fair value, and the net of the acquisition date amounts of the identifiable assets acquired and the liabilities assumed. These allocations reflect various preliminary estimates and analyses, including preliminary work performed by third party valuation specialists, and are subject to change during the purchase price allocation period (generally one year from the acquisition date) as valuations are finalized.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OPI ACQUISITION</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May 31, 2011, EXL completed its acquisition of OPI, pursuant to the Merger Agreement, dated as of April 30, 2011, with Merger Sub, OPI and Shareholder Representative Services LLC, a Colorado limited liability company. Under the terms of the Merger Agreement, Merger Sub merged with and into OPI and OPI survived as a wholly owned subsidiary of EXL (the “Merger”).</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aggregate consideration paid to OPI’s former stockholders in the Merger was $91,000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8420" w:type="dxa"/>
            <w:vAlign w:val="bottom"/>
            <w:gridSpan w:val="2"/>
          </w:tcPr>
          <w:p>
            <w:pPr>
              <w:spacing w:after="0"/>
              <w:rPr>
                <w:sz w:val="20"/>
                <w:szCs w:val="20"/>
                <w:color w:val="auto"/>
              </w:rPr>
            </w:pPr>
            <w:r>
              <w:rPr>
                <w:rFonts w:ascii="Arial" w:cs="Arial" w:eastAsia="Arial" w:hAnsi="Arial"/>
                <w:sz w:val="18"/>
                <w:szCs w:val="18"/>
                <w:color w:val="auto"/>
              </w:rPr>
              <w:t>The total estimated purchase price of the acquisition is as follows: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40" w:type="dxa"/>
            <w:vAlign w:val="bottom"/>
            <w:vMerge w:val="restart"/>
          </w:tcPr>
          <w:p>
            <w:pPr>
              <w:spacing w:after="0"/>
              <w:rPr>
                <w:sz w:val="13"/>
                <w:szCs w:val="13"/>
                <w:color w:val="auto"/>
              </w:rPr>
            </w:pPr>
          </w:p>
        </w:tc>
        <w:tc>
          <w:tcPr>
            <w:tcW w:w="7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Less: OPI debt as of the acquisition date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Add: Estimated working capital baseline and other adjustments as of the acquisition date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4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purchase price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100,923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4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Purchase Price Allocation</w:t>
      </w:r>
    </w:p>
    <w:p>
      <w:pPr>
        <w:spacing w:after="0" w:line="8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Pursuant to the Company’s business combinations accounting policy, the total preliminary purchase price for OPI was allocated to the preliminary net tangible and intangible assets based upon their preliminary fair values as set forth below. The excess of the preliminary purchase price over the preliminary net tangible assets and preliminary intangible assets was recorded as goodwill. The Company acquired OPI to strengthen its position as a provider of finance and accounting services. The Company’s finance and accounting outsourcing and transformation capabilities complement OPI’s end-to-end finance and accounting outsourcing capabilities and proprietary platforms. The Merger also furthers the Company’s strategic objective of leveraging technology and proprietary intellectual property in its service offerings.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These factors contributed to a purchase price in excess of the fair value of the OPI net tangible and intangible assets acquired, and as a result, the Company has recorded goodwill in connection with this transaction.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0" w:type="dxa"/>
            <w:vAlign w:val="bottom"/>
            <w:gridSpan w:val="2"/>
          </w:tcPr>
          <w:p>
            <w:pPr>
              <w:ind w:left="460"/>
              <w:spacing w:after="0"/>
              <w:rPr>
                <w:sz w:val="20"/>
                <w:szCs w:val="20"/>
                <w:color w:val="auto"/>
              </w:rPr>
            </w:pPr>
            <w:r>
              <w:rPr>
                <w:rFonts w:ascii="Arial" w:cs="Arial" w:eastAsia="Arial" w:hAnsi="Arial"/>
                <w:sz w:val="18"/>
                <w:szCs w:val="18"/>
                <w:color w:val="auto"/>
              </w:rPr>
              <w:t>The Company’s preliminary purchase price allocation for OPI is as follows: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8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0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1"/>
              </w:rPr>
              <w:t>Adjustment to recognize assets and liabilities at fair value, except deferred income taxes which are recognized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in accordance with ASC 740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8040" w:type="dxa"/>
            <w:vAlign w:val="bottom"/>
            <w:tcBorders>
              <w:lef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Borders>
              <w:lef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Borders>
              <w:lef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Favorable lease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Borders>
              <w:lef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Trade name and trademarks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Non-compete agreements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8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0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100,923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60" w:type="dxa"/>
            <w:vAlign w:val="bottom"/>
            <w:tcBorders>
              <w:bottom w:val="single" w:sz="8" w:color="808080"/>
            </w:tcBorders>
          </w:tcPr>
          <w:p>
            <w:pPr>
              <w:spacing w:after="0"/>
              <w:rPr>
                <w:sz w:val="18"/>
                <w:szCs w:val="18"/>
                <w:color w:val="auto"/>
              </w:rPr>
            </w:pPr>
          </w:p>
        </w:tc>
        <w:tc>
          <w:tcPr>
            <w:tcW w:w="8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-172720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-172720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-172720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$14,000 deposited in an escrow account in connection with the acquisition.</w:t>
      </w:r>
    </w:p>
    <w:p>
      <w:pPr>
        <w:spacing w:after="0" w:line="158"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preliminary purchase price allocation is based on preliminary estimates and assumptions, and is subject to change during the purchase price measurement period as the Company finalizes the valuations of the tangible and intangible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 FORMA ADJUSTMENTS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unaudited pro forma condensed combined statement of income gives effect to the following pro forma adjustments:</w:t>
      </w:r>
    </w:p>
    <w:p>
      <w:pPr>
        <w:spacing w:after="0" w:line="7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Adjustments to:</w:t>
      </w:r>
    </w:p>
    <w:p>
      <w:pPr>
        <w:spacing w:after="0" w:line="76" w:lineRule="exact"/>
        <w:rPr>
          <w:rFonts w:ascii="Arial" w:cs="Arial" w:eastAsia="Arial" w:hAnsi="Arial"/>
          <w:sz w:val="18"/>
          <w:szCs w:val="18"/>
          <w:color w:val="auto"/>
        </w:rPr>
      </w:pPr>
    </w:p>
    <w:p>
      <w:pPr>
        <w:ind w:left="1460" w:right="80" w:hanging="547"/>
        <w:spacing w:after="0" w:line="268"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increase stock-based compensation expense as a result of the Company granting restricted stock to former OPI employees on their hire date, May 31, 2011;</w:t>
      </w:r>
    </w:p>
    <w:p>
      <w:pPr>
        <w:spacing w:after="0" w:line="37" w:lineRule="exact"/>
        <w:rPr>
          <w:rFonts w:ascii="Arial" w:cs="Arial" w:eastAsia="Arial" w:hAnsi="Arial"/>
          <w:sz w:val="18"/>
          <w:szCs w:val="18"/>
          <w:color w:val="auto"/>
        </w:rPr>
      </w:pPr>
    </w:p>
    <w:p>
      <w:pPr>
        <w:ind w:left="1460" w:right="540" w:hanging="547"/>
        <w:spacing w:after="0" w:line="268"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amortize identifiable intangible assets recognized from the acquisition of OPI. The pro forma adjustment assumes that the identifiable intangibles will be amortized on a straight-line basis over their estimated lives; and</w:t>
      </w:r>
    </w:p>
    <w:p>
      <w:pPr>
        <w:spacing w:after="0" w:line="37" w:lineRule="exact"/>
        <w:rPr>
          <w:rFonts w:ascii="Arial" w:cs="Arial" w:eastAsia="Arial" w:hAnsi="Arial"/>
          <w:sz w:val="18"/>
          <w:szCs w:val="18"/>
          <w:color w:val="auto"/>
        </w:rPr>
      </w:pPr>
    </w:p>
    <w:p>
      <w:pPr>
        <w:ind w:left="1460" w:hanging="547"/>
        <w:spacing w:after="0" w:line="332" w:lineRule="auto"/>
        <w:tabs>
          <w:tab w:leader="none" w:pos="1460" w:val="left"/>
        </w:tabs>
        <w:numPr>
          <w:ilvl w:val="1"/>
          <w:numId w:val="7"/>
        </w:numPr>
        <w:rPr>
          <w:rFonts w:ascii="Arial" w:cs="Arial" w:eastAsia="Arial" w:hAnsi="Arial"/>
          <w:sz w:val="16"/>
          <w:szCs w:val="16"/>
          <w:color w:val="auto"/>
        </w:rPr>
      </w:pPr>
      <w:r>
        <w:rPr>
          <w:rFonts w:ascii="Arial" w:cs="Arial" w:eastAsia="Arial" w:hAnsi="Arial"/>
          <w:sz w:val="16"/>
          <w:szCs w:val="16"/>
          <w:color w:val="auto"/>
        </w:rPr>
        <w:t>reflect merger-related transaction costs including advisory and legal fees incurred for the five months ended May 31, 2011, which are directly attributable to the Merger, but which are not expected to have a continuing impact on the combined entity’s results.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the summary of the adjustments specified above: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w w:val="86"/>
              </w:rPr>
              <w:t>Pro Forma Expense Adjustments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20" w:type="dxa"/>
            <w:vAlign w:val="bottom"/>
            <w:gridSpan w:val="9"/>
          </w:tcPr>
          <w:p>
            <w:pPr>
              <w:ind w:left="460"/>
              <w:spacing w:after="0"/>
              <w:rPr>
                <w:sz w:val="20"/>
                <w:szCs w:val="20"/>
                <w:color w:val="auto"/>
              </w:rPr>
            </w:pPr>
            <w:r>
              <w:rPr>
                <w:rFonts w:ascii="Arial" w:cs="Arial" w:eastAsia="Arial" w:hAnsi="Arial"/>
                <w:sz w:val="14"/>
                <w:szCs w:val="14"/>
                <w:b w:val="1"/>
                <w:bCs w:val="1"/>
                <w:color w:val="auto"/>
              </w:rPr>
              <w:t>For the Five Months Ended May 31, 2011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Stock-based</w:t>
            </w:r>
          </w:p>
        </w:tc>
        <w:tc>
          <w:tcPr>
            <w:tcW w:w="62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Amortization of</w:t>
            </w:r>
          </w:p>
        </w:tc>
        <w:tc>
          <w:tcPr>
            <w:tcW w:w="100" w:type="dxa"/>
            <w:vAlign w:val="bottom"/>
          </w:tcPr>
          <w:p>
            <w:pPr>
              <w:spacing w:after="0"/>
              <w:rPr>
                <w:sz w:val="20"/>
                <w:szCs w:val="20"/>
                <w:color w:val="auto"/>
              </w:rPr>
            </w:pPr>
          </w:p>
        </w:tc>
        <w:tc>
          <w:tcPr>
            <w:tcW w:w="12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9"/>
              </w:rPr>
              <w:t>Merger-</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2"/>
              </w:rPr>
              <w:t>compensation</w:t>
            </w:r>
          </w:p>
        </w:tc>
        <w:tc>
          <w:tcPr>
            <w:tcW w:w="620" w:type="dxa"/>
            <w:vAlign w:val="bottom"/>
          </w:tcPr>
          <w:p>
            <w:pPr>
              <w:spacing w:after="0"/>
              <w:rPr>
                <w:sz w:val="15"/>
                <w:szCs w:val="15"/>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intangible assets</w:t>
            </w: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related costs</w:t>
            </w:r>
          </w:p>
        </w:tc>
        <w:tc>
          <w:tcPr>
            <w:tcW w:w="80" w:type="dxa"/>
            <w:vAlign w:val="bottom"/>
          </w:tcPr>
          <w:p>
            <w:pPr>
              <w:spacing w:after="0"/>
              <w:rPr>
                <w:sz w:val="15"/>
                <w:szCs w:val="15"/>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8"/>
                <w:szCs w:val="18"/>
                <w:color w:val="auto"/>
              </w:rPr>
              <w:t>(3,090)</w:t>
            </w: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(1,612)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325"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 to record a reduction in estimated interest income earned of $140 for the five months ended May 31, 2011 at an assumed rate of approximately 0.55% on cash and cash equivalents as a result of the cash payments associated with the Company’s acquisition of OPI.</w:t>
      </w:r>
    </w:p>
    <w:p>
      <w:pPr>
        <w:spacing w:after="0" w:line="1" w:lineRule="exact"/>
        <w:rPr>
          <w:rFonts w:ascii="Arial" w:cs="Arial" w:eastAsia="Arial" w:hAnsi="Arial"/>
          <w:sz w:val="16"/>
          <w:szCs w:val="16"/>
          <w:color w:val="auto"/>
        </w:rPr>
      </w:pPr>
    </w:p>
    <w:p>
      <w:pPr>
        <w:jc w:val="both"/>
        <w:ind w:left="460" w:right="10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Adjustment to record an increase in estimated interest expense of $135 for the five months ended May 31, 2011 as a result of the short-term borrowings by the Company of $30,000 under the Company’s revolver credit facility in connection with the acquisition. The estimate is based on the assumption that the short-term borrowings are being repaid within a year.</w:t>
      </w:r>
    </w:p>
    <w:p>
      <w:pPr>
        <w:spacing w:after="0" w:line="45" w:lineRule="exact"/>
        <w:rPr>
          <w:rFonts w:ascii="Arial" w:cs="Arial" w:eastAsia="Arial" w:hAnsi="Arial"/>
          <w:sz w:val="18"/>
          <w:szCs w:val="18"/>
          <w:color w:val="auto"/>
        </w:rPr>
      </w:pPr>
    </w:p>
    <w:p>
      <w:pPr>
        <w:ind w:left="460" w:right="60" w:hanging="452"/>
        <w:spacing w:after="0" w:line="30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 represents changes to income tax expense as a result of the consummation of this transaction. Had the Company acquired OPI on January 1, 2011, the income-tax expense for the five months ended May 31, 2011 would have increased by approximately $1,036. The increase in income tax expense is primarily due to deferred tax expense on utilization of net operating loss in the period presented.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for each selling stockholder:</w:t>
      </w:r>
    </w:p>
    <w:p>
      <w:pPr>
        <w:spacing w:after="0" w:line="77"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selling stockholder’s name;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percentage of shares of common stock owned by the selling stockholder prior to the offering;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common stock to be offered for the selling stockholder’s account;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percentage of shares of common stock to be owned by the selling stockholder after completion of the offering.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Owned Before the</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Owned Immediately</w:t>
            </w:r>
          </w:p>
        </w:tc>
        <w:tc>
          <w:tcPr>
            <w:tcW w:w="0" w:type="dxa"/>
            <w:vAlign w:val="bottom"/>
          </w:tcPr>
          <w:p>
            <w:pPr>
              <w:spacing w:after="0"/>
              <w:rPr>
                <w:sz w:val="1"/>
                <w:szCs w:val="1"/>
                <w:color w:val="auto"/>
              </w:rPr>
            </w:pPr>
          </w:p>
        </w:tc>
      </w:tr>
      <w:tr>
        <w:trPr>
          <w:trHeight w:val="174"/>
        </w:trPr>
        <w:tc>
          <w:tcPr>
            <w:tcW w:w="7080" w:type="dxa"/>
            <w:vAlign w:val="bottom"/>
          </w:tcPr>
          <w:p>
            <w:pPr>
              <w:spacing w:after="0"/>
              <w:rPr>
                <w:sz w:val="15"/>
                <w:szCs w:val="15"/>
                <w:color w:val="auto"/>
              </w:rPr>
            </w:pPr>
          </w:p>
        </w:tc>
        <w:tc>
          <w:tcPr>
            <w:tcW w:w="1060" w:type="dxa"/>
            <w:vAlign w:val="bottom"/>
            <w:gridSpan w:val="2"/>
          </w:tcPr>
          <w:p>
            <w:pPr>
              <w:jc w:val="center"/>
              <w:ind w:left="246"/>
              <w:spacing w:after="0"/>
              <w:rPr>
                <w:sz w:val="20"/>
                <w:szCs w:val="20"/>
                <w:color w:val="auto"/>
              </w:rPr>
            </w:pPr>
            <w:r>
              <w:rPr>
                <w:rFonts w:ascii="Arial" w:cs="Arial" w:eastAsia="Arial" w:hAnsi="Arial"/>
                <w:sz w:val="14"/>
                <w:szCs w:val="14"/>
                <w:b w:val="1"/>
                <w:bCs w:val="1"/>
                <w:color w:val="auto"/>
                <w:w w:val="92"/>
              </w:rPr>
              <w:t>Offering(1)</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1"/>
              </w:rPr>
              <w:t>Shares</w:t>
            </w: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After the Closing</w:t>
            </w:r>
          </w:p>
        </w:tc>
        <w:tc>
          <w:tcPr>
            <w:tcW w:w="0" w:type="dxa"/>
            <w:vAlign w:val="bottom"/>
          </w:tcPr>
          <w:p>
            <w:pPr>
              <w:spacing w:after="0"/>
              <w:rPr>
                <w:sz w:val="1"/>
                <w:szCs w:val="1"/>
                <w:color w:val="auto"/>
              </w:rPr>
            </w:pPr>
          </w:p>
        </w:tc>
      </w:tr>
      <w:tr>
        <w:trPr>
          <w:trHeight w:val="55"/>
        </w:trPr>
        <w:tc>
          <w:tcPr>
            <w:tcW w:w="7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080" w:type="dxa"/>
            <w:vAlign w:val="bottom"/>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10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Offered</w:t>
            </w:r>
          </w:p>
        </w:tc>
        <w:tc>
          <w:tcPr>
            <w:tcW w:w="7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7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708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Hereby</w:t>
            </w:r>
          </w:p>
        </w:tc>
        <w:tc>
          <w:tcPr>
            <w:tcW w:w="760" w:type="dxa"/>
            <w:vAlign w:val="bottom"/>
          </w:tcPr>
          <w:p>
            <w:pPr>
              <w:jc w:val="right"/>
              <w:ind w:right="106"/>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7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Oak Hill Capital Partners, L.P.(2)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7,353,942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23.6</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1,950,000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5,403,942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Oak Hill Capital Management Partners, L.P.(2)</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188,562</w:t>
            </w: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50,000</w:t>
            </w:r>
          </w:p>
        </w:tc>
        <w:tc>
          <w:tcPr>
            <w:tcW w:w="760" w:type="dxa"/>
            <w:vAlign w:val="bottom"/>
          </w:tcPr>
          <w:p>
            <w:pPr>
              <w:jc w:val="right"/>
              <w:spacing w:after="0"/>
              <w:rPr>
                <w:sz w:val="20"/>
                <w:szCs w:val="20"/>
                <w:color w:val="auto"/>
              </w:rPr>
            </w:pPr>
            <w:r>
              <w:rPr>
                <w:rFonts w:ascii="Arial" w:cs="Arial" w:eastAsia="Arial" w:hAnsi="Arial"/>
                <w:sz w:val="18"/>
                <w:szCs w:val="18"/>
                <w:color w:val="auto"/>
              </w:rPr>
              <w:t>138,562</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Calculated pursuant to Rule 13(d)-l as of October 31, 2011, at which date there were 31,151,039 shares of common stock outstanding.</w:t>
      </w:r>
    </w:p>
    <w:p>
      <w:pPr>
        <w:spacing w:after="0" w:line="76" w:lineRule="exact"/>
        <w:rPr>
          <w:rFonts w:ascii="Arial" w:cs="Arial" w:eastAsia="Arial" w:hAnsi="Arial"/>
          <w:sz w:val="18"/>
          <w:szCs w:val="18"/>
          <w:color w:val="auto"/>
        </w:rPr>
      </w:pPr>
    </w:p>
    <w:p>
      <w:pPr>
        <w:ind w:left="460" w:right="60" w:hanging="452"/>
        <w:spacing w:after="0" w:line="290"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business address of each of Oak Hill Capital Partners, L.P. and Oak Hill Capital Management Partners, L.P. (together, the “Oak Hill Partnerships”) is 201 Main Street, Suite 1018, Fort Worth, TX 76102.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Investment and voting decisions with regard to the shares of the Company’s common stock owned by the Oak Hill Partnerships are made by an investment committee of OHCP MGP, LLC. The members of such committee are J. Taylor Crandall, Jonathan E. Friesel, Michael S. Green, Steven B. Gruber, Stratton R. Heath III, Robert L. Morse Jr. and Dennis J. Nayden. Each of these individuals disclaims beneficial ownership of the shares owned by the Oak Hill Partnerships.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Selling Stockholders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Oak Hill Partnerships are one of the Company’s significant stockholders. Steven B. Gruber, our Lead Director, is a Managing Partner of Oak Hill Capital Management, LLC, the investment advisor to Oak Hill Capital Partners, L.P., and Edward V. Dardani, one of our directors, is a partner of Oak Hill Capital Management,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UNITED STATES FEDERAL INCOME TAX</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CONSEQUENCES FOR NON-U.S. HOLDERS</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is a discussion of the material U.S. federal income tax consequences of the acquisition, ownership and disposition of our common stock by Non-U.S. Holders (as defined below) that acquire our common stock pursuant to this offering and that hold such shares as capital assets (generally, for investment). This discussion is not a complete analysis or listing of all of the possible tax consequences of such transactions and does not address all tax considerations that might be relevant to particular holders in light of their personal circumstances or to persons that are subject to special tax rules. In addition, this description of the material U.S. federal income tax consequences does not address the tax treatment of special classes of Non-U.S. Holders, such as:</w:t>
      </w:r>
    </w:p>
    <w:p>
      <w:pPr>
        <w:spacing w:after="0" w:line="2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holding the shares as part of a hedging, integrated or conversion transaction, constructive sale or “straddle;”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persons who acquired common stock through the exercise or cancellation of employee stock options or otherwise as compensation for their services;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subject to the alternative minimum tax;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summary does not address estate and gift tax consequences (except to the extent specifically provided herein) or tax consequences under any state, local or foreign laws.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this section, you are a “U.S. Holder” if you are: (1) an individual citizen of the United States or a resident alien of the United States as determined for U.S. federal income tax purposes; (2) a corporation (or other entity treated as a corporation for U.S. federal income tax purposes) created or organized under the laws of the United States or any state thereof or the District of Columbia; (3) an estate, the income of which is subject to U.S. federal income taxation regardless of its source; or (4) a trust (A) if a court within the United States is able to exercise primary jurisdiction over its administration and one or more U.S. persons have authority to control all substantial decisions of the trust or (B) that has a valid election in effect under applicable U.S. Department of Treasury (“Treasury”) regulations to be treated as a U.S. person.</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term “Non-U.S. Holder” means any Holder of our common stock that is neither a U.S. Holder nor a partnership (including for this purpose any entity that is treated as a partnership for U.S. federal income tax purposes).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 partnership or other pass-through entity is a beneficial owner of our common stock, the tax treatment of a partner or other owner will generally depend upon the status of the partner (or other owner) and the activities of the entity. If you are a partner (or other owner) of a pass-through entity that acquires our common stock, you should consult your tax advisor regarding the tax consequences of acquiring, owning and disposing of our common stock.</w:t>
      </w:r>
    </w:p>
    <w:p>
      <w:pPr>
        <w:spacing w:after="0" w:line="9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following discussion is based upon the Internal Revenue Code of 1986, as amended (the “Code”), U.S. judicial decisions, administrative pronouncements and existing and proposed Treasury regulations, all as in effect as of the date hereof. All of the preceding authorities are subject to change, possibly with retroactive effect,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which may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9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following discussion is for general information only and is not intended to be, nor should it be construed to be, legal or tax advice to any holder or prospective holder of our common stock and no opinion or representation with respect to the U.S. federal income tax consequences to any such holder or prospective holder is made. Prospective purchasers are urged to consult their tax advisors as to the particular consequences to them under U.S. federal, state and local, and applicable foreign tax laws of the acquisition, ownership and disposition of our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We do not presently anticipate paying dividends on shares of our common stock in the foreseeable future. For more information, please see “Risk Factors—Risks Related to this Offering and our Common Stock” above. Subject to the discussion of U.S. trade or business income below, distributions of cash and property that constitute dividends for U.S. federal income tax purposes generally will be subject to U.S. federal withholding at a thirty percent (30%) rate unless a reduced rate is prescribed by an applicable income tax treaty.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on the entire distribution, in which case you would be entitled to a refund from the IRS for the withholding tax on the portion of the distribution that exceeded our current and accumulated earnings and profits.</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discussion of FATCA below, in order to obtain a reduced rate of U.S. federal withholding tax under an applicable income tax treaty, you will be required to provide a properly executed IRS Form W-8BEN (or successor form) certifying your entitlement to benefits under the treaty.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income tax treaty.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Subject to the discussion below concerning backup withholding and FATCA, you generally will not be subject to U.S. federal income or withholding tax in respect of any gain on a sale, exchange or other disposition of our common stock unless:</w:t>
      </w:r>
    </w:p>
    <w:p>
      <w:pPr>
        <w:spacing w:after="0" w:line="37"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gain is U.S. trade or business income, in which case, such gain will be taxed as described in “U.S. Trade or Business Income,” below;</w:t>
      </w:r>
    </w:p>
    <w:p>
      <w:pPr>
        <w:spacing w:after="0" w:line="126" w:lineRule="exact"/>
        <w:rPr>
          <w:rFonts w:ascii="Arial" w:cs="Arial" w:eastAsia="Arial" w:hAnsi="Arial"/>
          <w:sz w:val="16"/>
          <w:szCs w:val="16"/>
          <w:color w:val="auto"/>
        </w:rPr>
      </w:pPr>
    </w:p>
    <w:p>
      <w:pPr>
        <w:ind w:left="660" w:right="60" w:hanging="206"/>
        <w:spacing w:after="0" w:line="30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tax treaty) on the amount by which certain capital gains allocable to U.S. sources exceed certain capital losses allocable to U.S. sources; or</w:t>
      </w:r>
    </w:p>
    <w:p>
      <w:pPr>
        <w:spacing w:after="0" w:line="12" w:lineRule="exact"/>
        <w:rPr>
          <w:rFonts w:ascii="Arial" w:cs="Arial" w:eastAsia="Arial" w:hAnsi="Arial"/>
          <w:sz w:val="16"/>
          <w:szCs w:val="16"/>
          <w:color w:val="auto"/>
        </w:rPr>
      </w:pPr>
    </w:p>
    <w:p>
      <w:pPr>
        <w:ind w:left="660" w:right="120" w:hanging="206"/>
        <w:spacing w:after="0" w:line="30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(a “USRPHC”) under 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in the same manner as U.S. trade or business income.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general, a corporation is a USRPHC if the fair market value of its “U.S. real property interests” equals or exceeds 50% of the sum of the fair market value of its worldwide real property interests and its other assets used or held for use in a trade or business. In the event that we are determined to be a USRPHC, gain will not be subject to tax as U.S. trade or business income if your holdings (direct and indirect) at all times during the applicable period constituted 5% or less of our common stock, provided that our common stock was regularly traded on an established securities market during such period. We believe that we are not currently, and we do not anticipate becoming in the future, a “U.S. real property holding corporation” for U.S. federal income tax purposes.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Trade or Business Income</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purposes of this discussion, dividend income and gain on the sale, exchange or other taxable disposition of our common stock will be considered to be “U.S. trade or business income” if (A) such income or gain is (i) effectively connected with your conduct of a trade or business within the United States and (ii) if you are eligible for the benefits of an income tax treaty with the United States, attributable to a permanent establishment (or, if you are an individual, a fixed base) that you maintain in the United States or (B) we are or have been a USRPHC at any time during the shorter of the five-year period ending on the date of the disposition of your interest and your holding period for the common stock (subject to the exception set forth above in the second paragraph of “Sale, Exchange or Other Taxable Disposition of Common Stock”). Generally, U.S. trade or business income is not subject to U.S. federal withholding tax, provided that you comply with applicable certification and disclosure requirements, including providing a properly executed IRS Form W-8ECI (or successor form); instead, you are subject to U.S. federal income tax on a net basis at regular U.S. federal income tax rates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you are an individual Non-U.S. Holder who is treated as the owner of or has made certain lifetime transfers of an interest in our common stock, you will be required to include the value thereof in your gross estate for U.S. federal estate tax purposes, and you may be subject to U.S. federal estate tax unless an applicable estate tax treaty provides otherwise.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successor form) or otherwise establish an exemption and we do not have actual knowledge or reason to know that you are a U.S. person or that the conditions of such other exemption are not, in fact, satisfied.</w:t>
      </w:r>
    </w:p>
    <w:p>
      <w:pPr>
        <w:spacing w:after="0" w:line="10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Treasury regulations require information reporting (but not backup withholding) on the payment unless the broker has documentary evidence in its files that the owner is a Non-U.S. Holder and the broker has no knowledge to the contrary. You are urged to consult your tax advisor on the application of information reporting and backup withholding in light of your particular circumstances.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you will be refunded or credited against your U.S. federal income tax liability, if any, provided that the required information is furnished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Pursuant to Code provisions commonly referred to as “FATCA,” certain Non-U.S. Holders, including foreign financial institutions (which include most hedge funds, private equity funds, mutual funds, securitization vehicles and any other investment vehicles regardless of their size) must comply with certain information reporting rules including, in the case of foreign financial institutions, with respect to their U.S. account holders and investors or be subject to a 30% withholding tax with respect to certain “withholdable payments.” For this purpose, withholdable payments are U.S.-source payments otherwise subject to nonresident withholding tax and also include the entire gross proceeds from the sale of any equity or debt instruments of U.S. issuers. The new FATCA withholding tax will apply even if the payment would otherwise not be subject to U.S. nonresident withholding tax (e.g., because it is capital gain treated as foreign source income under the Code). 2011 IRS guidance provides that regulations implementing this legislation will defer this withholding obligation until January 1, 2014 for payments of dividends on U.S. common stock and until January 1, 2015 for gross proceeds from dispositions of U.S. common stock. Treasury is authorized to provide rules for implementing the FATCA withholding regime and coordinating the FATCA withholding regime with the existing nonresident withholding tax rules.</w:t>
      </w:r>
    </w:p>
    <w:p>
      <w:pPr>
        <w:spacing w:after="0" w:line="10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FATCA withholding will not apply to withholdable payments made directly to foreign individuals or governments, international organizations, and foreign central banks of issue, and Treasury is authorized to provide additional exceptions.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Non-U.S. Holders are urged to consult with their own tax advisors regarding the effect, if any, of the FATCA provisions to them based on their particular circumstances.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 on Investment Income</w:t>
      </w:r>
    </w:p>
    <w:p>
      <w:pPr>
        <w:spacing w:after="0" w:line="8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For taxable years beginning after December 31, 2012, certain persons, including certain individuals, estates and trusts that do not qualify as “nonresident aliens” within the meaning of Section 1411 of the Code, will be required to pay a 3.8% Medicare surtax on “net investment income” including, among other things, dividends and net gain from disposition of property (other than property held in a trade or business). The term “nonresident alien” is not defined in Section 1411 or elsewhere in the Code, and it is unclear whether the term refers only to nonresident alien individuals or whether the term also includes foreign estates and trusts. Accordingly, Non-U.S. Holders are urged to consult with their own tax advisors regarding the effect, if any, of the Health Care and Education Reconciliation Act of 2010 on their ownership and disposition of our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Citigroup Global Markets Inc. (“Citigroup”) is acting as underwriter of the offering. Subject to the terms and conditions stated in the underwriting agreement dated as of the date of this prospectus supplement, Citigroup has agreed to purchase, and the selling stockholders have agreed to sell to it, 2,000,000 shares of common stock.</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 to purchase the shares included in this offering are subject to approval of legal matters by counsel and to other conditions. The underwriter is obligated to purchase all the shares if it purchases any of the shares.</w:t>
      </w:r>
    </w:p>
    <w:p>
      <w:pPr>
        <w:spacing w:after="0" w:line="7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underwriter proposes to offer the shares of common stock offered hereby from time to time for sale in one or more transactions on the Nasdaq Global Select Market, in the over-the-counter market, through negotiated transactions or otherwise at market prices prevailing at the time of sale, at prices related to prevailing market prices or at negotiated prices, subject to receipt and acceptance by the underwriter and its right to reject any order in whole or in part. The underwriter may effect such transactions by selling the common stock to or through dealers and such dealers may receive compensation in the form of discounts, concessions or commissions from the underwriter and/or purchasers of shares of common stock for whom they may act as agents or to whom they may sell as principal. The difference between the price at which the underwriter purchases shares and the price at which the underwriter resells such shares, which may include a commission equivalent of up to $0.05 per share, may be deemed underwriting compensation.</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We, certain of our directors, our chief executive officer and the selling stockholders have agreed that for a period of 60 days from the date of this prospectus supplement, we and they will not, without the prior written consent of Citigroup, dispose of any shares or any securities convertible into or exchangeable for our common stock. The lock-up agreements are subject to certain exceptions, including, among others, (i) sales of shares of our common stock disposed of pursuant to written trading plans meeting the requirements of Rule 10b5-1 under the Exchange Act, and (ii) distributions of shares of common stock or any security convertible into common stock to limited partners, members or stockholders of the person signing the agreement or to its affiliates or to any investment fund or other entity controlled or managed by it; </w:t>
      </w:r>
      <w:r>
        <w:rPr>
          <w:rFonts w:ascii="Arial" w:cs="Arial" w:eastAsia="Arial" w:hAnsi="Arial"/>
          <w:sz w:val="16"/>
          <w:szCs w:val="16"/>
          <w:i w:val="1"/>
          <w:iCs w:val="1"/>
          <w:color w:val="auto"/>
        </w:rPr>
        <w:t>provided</w:t>
      </w:r>
      <w:r>
        <w:rPr>
          <w:rFonts w:ascii="Arial" w:cs="Arial" w:eastAsia="Arial" w:hAnsi="Arial"/>
          <w:sz w:val="16"/>
          <w:szCs w:val="16"/>
          <w:color w:val="auto"/>
        </w:rPr>
        <w:t>, that, in each case, each distributee shall sign and deliver a lock-up agreement. Notwithstanding the foregoing, we shall be permitted to prepare and file a registration statement with the SEC before the expiration of the lock-up period, but not prior to January 1, 2012, and any of the persons subject to the lock-up agreements may cause us to file such a registration statement and/or include their shares of common stock in such a registration statement; provided however, no offers or sales of common stock shall be permitted under such registration statement until the expiration of the lock-up period. Citigroup in its sole discretion may release any of the securities subject to these lock-up agreements at any time without notice.</w:t>
      </w:r>
    </w:p>
    <w:p>
      <w:pPr>
        <w:spacing w:after="0" w:line="114" w:lineRule="exact"/>
        <w:rPr>
          <w:sz w:val="20"/>
          <w:szCs w:val="20"/>
          <w:color w:val="auto"/>
        </w:rPr>
      </w:pPr>
    </w:p>
    <w:p>
      <w:pPr>
        <w:ind w:left="460" w:right="4940"/>
        <w:spacing w:after="0" w:line="475" w:lineRule="auto"/>
        <w:rPr>
          <w:sz w:val="20"/>
          <w:szCs w:val="20"/>
          <w:color w:val="auto"/>
        </w:rPr>
      </w:pPr>
      <w:r>
        <w:rPr>
          <w:rFonts w:ascii="Arial" w:cs="Arial" w:eastAsia="Arial" w:hAnsi="Arial"/>
          <w:sz w:val="16"/>
          <w:szCs w:val="16"/>
          <w:color w:val="auto"/>
        </w:rPr>
        <w:t>The shares are listed on the Nasdaq Global Select Market under the symbol “EXLS.” We estimate that our total expenses of this offering will be $200,000.</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connection with the offering, the underwriter may purchase and sell shares in the open market. Purchases and sales in the open market may include short sales, purchases to cover short positions and stabilizing purchases.</w:t>
      </w:r>
    </w:p>
    <w:p>
      <w:pPr>
        <w:spacing w:after="0" w:line="37"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 of a greater number of shares than it is required to purchase in the offering.</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Covering transactions involve purchases of shares in the open market after the distribution has been completed in order to cover short positions.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shares so long as the stabilizing bids do not exceed a specified maximum.</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 for its own accounts, may have the effect of preventing or retarding a decline in the market price of the shares. They may also cause the price of the shares to be higher than the price that would otherwise exist in the open market in the absence of these transactions. The underwriter may conduct these transactions on the Nasdaq Global Select Market, in the over-the-counter market or otherwise. If the underwriter commences any of these transactions, it may discontinue them at any time.</w:t>
      </w:r>
    </w:p>
    <w:p>
      <w:pPr>
        <w:spacing w:after="0" w:line="9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underwriter is a full service financial institution engaged in various activities, which may include securities trading, commercial and investment banking, financial advisory, investment management, principal investment, hedging, financing and brokerage activities. The underwriter and its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addition, affiliates of Citigroup are lenders, and in some cases agents or managers for the lenders, under our revolving credit facility.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supplement may not be made to the public in that relevant member state other than:</w:t>
      </w:r>
    </w:p>
    <w:p>
      <w:pPr>
        <w:spacing w:after="0" w:line="93"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shares shall require us or the underwriter to publish a prospectus pursuant to Article 3 of the Prospectus Directive.</w:t>
      </w:r>
    </w:p>
    <w:p>
      <w:pPr>
        <w:spacing w:after="0" w:line="18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shares to be offered so as to enable an investor to decide to purchase or subscribe for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The sellers of the shares have not authorized and do not authorize the making of any offer of shares through any financial intermediary on their behalf, other than offers made by the underwriter with a view to the final placement of the shares as contemplated in this prospectus supplement. Accordingly, no purchaser of the shares, other than the underwriter, is authorized to make any further offer of the shares on behalf of the sellers or the underwriter.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are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shares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shares have not been offered or sold and will not be offered or sold, directly or indirectly, to the public in France. Neither this prospectus supplement nor any other offering material relating to the shares has been or will be:</w:t>
      </w:r>
    </w:p>
    <w:p>
      <w:pPr>
        <w:spacing w:after="0" w:line="18"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77" w:lineRule="exact"/>
        <w:rPr>
          <w:sz w:val="20"/>
          <w:szCs w:val="20"/>
          <w:color w:val="auto"/>
        </w:rPr>
      </w:pPr>
    </w:p>
    <w:p>
      <w:pPr>
        <w:ind w:left="660" w:right="6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300" w:hanging="206"/>
        <w:spacing w:after="0" w:line="33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 offered in this prospectus supplement have not been registered under the Securities and Exchange Law of Japan. The shares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right="780" w:firstLine="8"/>
        <w:spacing w:after="0" w:line="261" w:lineRule="auto"/>
        <w:tabs>
          <w:tab w:leader="none" w:pos="3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 w:lineRule="exact"/>
        <w:rPr>
          <w:sz w:val="20"/>
          <w:szCs w:val="20"/>
          <w:color w:val="auto"/>
        </w:rPr>
      </w:pPr>
    </w:p>
    <w:p>
      <w:pPr>
        <w:ind w:left="660" w:right="40" w:hanging="206"/>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VALIDITY OF SECURITIES</w:t>
      </w:r>
    </w:p>
    <w:p>
      <w:pPr>
        <w:spacing w:after="0" w:line="164"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Paul, Weiss, Rifkind, Wharton &amp; Garrison LLP, New York, New York, will pass upon the validity of the common stock offered by this prospectus supplement and the accompanying prospectus for us. Shearman &amp; Sterling LLP, New York, New York, is representing the underwriter in connection with this offering. Paul, Weiss, Rifkind, Wharton &amp; Garrison LLP has represented the Oak Hill Partnerships from time to time and certain members of Paul, Weiss, Rifkind, Wharton &amp; Garrison LLP own an indirect interest in Oak Hill Capital Management Partners, L.P.</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The consolidated financial statements of ExlService Holdings, Inc. appearing in ExlService Holdings Inc.’s Annual Report (Form 10-K) for the year ended December 31, 2010, and the effectiveness of ExlService Holdings, Inc.’s internal control over financial reporting as of December 31, 2010 have been audited by Ernst &amp; Young LLP, independent registered public accounting firm, as set forth in their reports thereon, included therein, and incorporated herein by reference.</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Such consolidated financial statements and ExlService Holdings Inc. management’s assessment of the effectiveness of internal control over financial reporting as of December 31, 2010 are incorporated herein by reference in reliance upon such reports given on the authority of such firm as experts in accounting and auditing.</w:t>
      </w:r>
    </w:p>
    <w:p>
      <w:pPr>
        <w:spacing w:after="0" w:line="13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consolidated financial statements of Business Process Outsourcing, Inc. as of December 31, 2010 and 2009, and for each of the three years in the period ended December 31, 2010 have been audited by Ernst &amp; Young, an independent registered public accounting firm, as set forth in their report thereon and incorporated herein by reference, and are included in reliance upon such report given on the authority of such firm as experts in accounting and auditing.</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http://www.exlservice.com. Our website is not a part of this prospectus supplement. You may also read and copy any document we file at the SEC’s public reference room, 100 F Street, N.E., Washington, D.C. 20549. Please call the SEC at 1-800-SEC-0330 for further information on the operation of the public reference room.</w:t>
      </w:r>
    </w:p>
    <w:p>
      <w:pPr>
        <w:spacing w:after="0" w:line="12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except for any information superseded by information that is included directly in this document or incorporated by reference subsequent to the date of this document. This prospectus supplement incorporates by reference the documents listed below (File No. 001-33089) and any future filings we make with the SEC under Sections 13(a), 13(c), 14 or 15(d) of the Securities Exchange Act of 1934, as amended (in each case, other than those documents or the portions of those documents not deemed to be filed) until all the securities offered under this prospectus supplement are sold:</w:t>
      </w:r>
    </w:p>
    <w:p>
      <w:pPr>
        <w:spacing w:after="0" w:line="26" w:lineRule="exact"/>
        <w:rPr>
          <w:sz w:val="20"/>
          <w:szCs w:val="20"/>
          <w:color w:val="auto"/>
        </w:rPr>
      </w:pPr>
    </w:p>
    <w:p>
      <w:pPr>
        <w:ind w:left="660" w:right="12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2010, including information specifically incorporated by reference into our Form 10-K from our definitive proxy statement for our 2011 Annual Meeting of Stockholders;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2011, June 30, 2011 and September 30, 2011;</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Current Reports on Form 8-K filed on May 2, 2011, June 2, 2011, June 6, 2011 (as amended on August 1, 2011), June 20, 2011, September 13, 2011 and September 19, 2011; and</w:t>
      </w:r>
    </w:p>
    <w:p>
      <w:pPr>
        <w:spacing w:after="0" w:line="37"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16, 2006, including any amendments or reports filed for the purpose of updating such description.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Phone: (212) 277-7109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220980</wp:posOffset>
            </wp:positionV>
            <wp:extent cx="1140460" cy="909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4046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offer and sell from time to time up to an aggregate of $200,000,000 of shares of our common stock, shares of our preferred stock, debt securities, depositary shares, warrants, rights, purchase contracts or units, or any combination thereof, in one or more offerings in amounts, at prices and on terms that we determine at the time of the offering. In addition, the selling stockholders to be named in a prospectus supplement may offer, from time to time and in one or more offerings, up to 6,000,000 shares of our common stock.</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time we or the selling stockholders offer securities, we will provide a prospectus supplement containing more information about the particular offering together with this prospectus. The prospectus supplement also may add, update or change information contained in this prospectus. This prospectus may not be used to offer and sell securities without a prospectus supplement.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Nasdaq Global Select Market under the symbol “EXLS.”</w:t>
      </w:r>
    </w:p>
    <w:p>
      <w:pPr>
        <w:spacing w:after="0" w:line="165" w:lineRule="exact"/>
        <w:rPr>
          <w:sz w:val="20"/>
          <w:szCs w:val="20"/>
          <w:color w:val="auto"/>
        </w:rPr>
      </w:pPr>
    </w:p>
    <w:p>
      <w:pPr>
        <w:ind w:right="200" w:firstLine="456"/>
        <w:spacing w:after="0" w:line="310"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these securities involves significant risks. We strongly recommend that you read carefully the risks we describe in this prospectus as well as in any accompanying prospectus supplement and the risk factors that are incorporated by reference in this prospectus from our filings made with the Securities and Exchange Commission. See “</w:t>
      </w:r>
      <w:hyperlink w:anchor="page3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79375</wp:posOffset>
            </wp:positionV>
            <wp:extent cx="15176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January 20, 2010</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54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780" w:type="dxa"/>
            <w:vAlign w:val="bottom"/>
            <w:gridSpan w:val="17"/>
            <w:vMerge w:val="restart"/>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About This Prospectus</w:t>
              </w:r>
            </w:hyperlink>
          </w:p>
        </w:tc>
        <w:tc>
          <w:tcPr>
            <w:tcW w:w="7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780" w:type="dxa"/>
            <w:vAlign w:val="bottom"/>
            <w:gridSpan w:val="17"/>
            <w:vMerge w:val="continue"/>
          </w:tcPr>
          <w:p>
            <w:pPr>
              <w:spacing w:after="0"/>
              <w:rPr>
                <w:sz w:val="14"/>
                <w:szCs w:val="14"/>
                <w:color w:val="auto"/>
              </w:rPr>
            </w:pPr>
          </w:p>
        </w:tc>
        <w:tc>
          <w:tcPr>
            <w:tcW w:w="726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The Company</w:t>
              </w:r>
            </w:hyperlink>
          </w:p>
        </w:tc>
        <w:tc>
          <w:tcPr>
            <w:tcW w:w="2180" w:type="dxa"/>
            <w:vAlign w:val="bottom"/>
            <w:gridSpan w:val="11"/>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Forward-Looking Statements</w:t>
              </w:r>
            </w:hyperlink>
          </w:p>
        </w:tc>
        <w:tc>
          <w:tcPr>
            <w:tcW w:w="1700" w:type="dxa"/>
            <w:vAlign w:val="bottom"/>
            <w:gridSpan w:val="6"/>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Risk Factors</w:t>
              </w:r>
            </w:hyperlink>
          </w:p>
        </w:tc>
        <w:tc>
          <w:tcPr>
            <w:tcW w:w="2880" w:type="dxa"/>
            <w:vAlign w:val="bottom"/>
            <w:gridSpan w:val="15"/>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Ratio of Earnings to Fixed Charges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Selling Stockholders</w:t>
              </w:r>
            </w:hyperlink>
          </w:p>
        </w:tc>
        <w:tc>
          <w:tcPr>
            <w:tcW w:w="1300" w:type="dxa"/>
            <w:vAlign w:val="bottom"/>
            <w:gridSpan w:val="4"/>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Description of Capital Stock</w:t>
              </w:r>
            </w:hyperlink>
          </w:p>
        </w:tc>
        <w:tc>
          <w:tcPr>
            <w:tcW w:w="1760" w:type="dxa"/>
            <w:vAlign w:val="bottom"/>
            <w:gridSpan w:val="7"/>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Description of the Debt Securities</w:t>
              </w:r>
            </w:hyperlink>
          </w:p>
        </w:tc>
        <w:tc>
          <w:tcPr>
            <w:tcW w:w="1380" w:type="dxa"/>
            <w:vAlign w:val="bottom"/>
            <w:gridSpan w:val="5"/>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the Depositary Shares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the Warrants</w:t>
              </w:r>
            </w:hyperlink>
          </w:p>
        </w:tc>
        <w:tc>
          <w:tcPr>
            <w:tcW w:w="1180" w:type="dxa"/>
            <w:vAlign w:val="bottom"/>
            <w:gridSpan w:val="3"/>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Description of the Rights</w:t>
              </w:r>
            </w:hyperlink>
          </w:p>
        </w:tc>
        <w:tc>
          <w:tcPr>
            <w:tcW w:w="160" w:type="dxa"/>
            <w:vAlign w:val="bottom"/>
            <w:tcBorders>
              <w:top w:val="single" w:sz="8" w:color="0000EE"/>
            </w:tcBorders>
          </w:tcPr>
          <w:p>
            <w:pPr>
              <w:spacing w:after="0"/>
              <w:rPr>
                <w:sz w:val="17"/>
                <w:szCs w:val="17"/>
                <w:color w:val="auto"/>
              </w:rPr>
            </w:pPr>
          </w:p>
        </w:tc>
        <w:tc>
          <w:tcPr>
            <w:tcW w:w="1840" w:type="dxa"/>
            <w:vAlign w:val="bottom"/>
            <w:gridSpan w:val="8"/>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Description of the Purchase Contracts</w:t>
              </w:r>
            </w:hyperlink>
          </w:p>
        </w:tc>
        <w:tc>
          <w:tcPr>
            <w:tcW w:w="1100" w:type="dxa"/>
            <w:vAlign w:val="bottom"/>
            <w:gridSpan w:val="2"/>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the Units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2080" w:type="dxa"/>
            <w:vAlign w:val="bottom"/>
            <w:gridSpan w:val="10"/>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2320" w:type="dxa"/>
            <w:vAlign w:val="bottom"/>
            <w:gridSpan w:val="12"/>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2780" w:type="dxa"/>
            <w:vAlign w:val="bottom"/>
            <w:gridSpan w:val="14"/>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Incorporation by Reference</w:t>
              </w:r>
            </w:hyperlink>
          </w:p>
        </w:tc>
        <w:tc>
          <w:tcPr>
            <w:tcW w:w="860" w:type="dxa"/>
            <w:vAlign w:val="bottom"/>
            <w:tcBorders>
              <w:top w:val="single" w:sz="8" w:color="0000EE"/>
            </w:tcBorders>
            <w:gridSpan w:val="7"/>
          </w:tcPr>
          <w:p>
            <w:pPr>
              <w:spacing w:after="0"/>
              <w:rPr>
                <w:sz w:val="17"/>
                <w:szCs w:val="17"/>
                <w:color w:val="auto"/>
              </w:rPr>
            </w:pPr>
          </w:p>
        </w:tc>
        <w:tc>
          <w:tcPr>
            <w:tcW w:w="980" w:type="dxa"/>
            <w:vAlign w:val="bottom"/>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process. Under this shelf registration process, we may offer and sell from time to time shares of our common stock, shares of our preferred stock,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depositary shares, warrants, rights, purchase contracts or units, or any combination thereof, in one or more offerings in amounts, at prices and on terms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 at the time of the offering, with an aggregate initial offering price of up to $200,000,000 and the selling stockholders may offer, from time to time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or more offerings, up to an aggregate of 6,000,000 shares of our common stock. This prospectus provides you with a general description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Each time we offer the securities or the selling stockholders sell shares of common stock, we will provide a prospectus supplement that describes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terms of the offering. The prospectus supplement also may add, update or change information contained in this prospectus. Before making an investment decision,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carefully both this prospectus and any prospectus supplement together with the documents incorporated by reference into this prospectus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 under the heading “Incorporation by Reference.”</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registration statement that contains this prospectus, including the exhibits to the registration statement and the information incorporated by reference, provides additional information about us and our securities. The registration statement can be read at the SEC web site (www.sec.gov) or at the SEC public reference room as discussed below under the heading “Where You Can Find More Information.”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provided in the registration statement, this prospectus and in any prospectus supplement, including the information incorporated by reference. Neither we nor the selling stockholders have authorized anyone to provide you with different information. You should not assume that the information in this prospectus or any supplement to this prospectus is accurate at any date other than the date indicated on the cover page of these documents. Neither we nor the selling stockholders are making an offer to sell the securities in any jurisdiction where the offer or sale is not permitted.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and the selling stockholders may sell the securities to or through underwriters, dealers or agents or directly to purchasers. The securities may be sold for U.S. dollars, foreign-denominated currency or currency units. Amounts payable with respect to any securities may be payable in U.S. dollars or foreign-denominated currency or currency units as specified in the applicable prospectus supplement. We, the selling stockholders and our and their agents reserve the sole right to accept or reject in whole or in part any proposed purchase of the securities. The prospectus supplement, which we will provide each time we or the selling stockholders offer the securities, will set forth the names of any underwriters, dealers or agents involved in the sale of the securities, and any related fee, commission or discount arrangements. See “Plan of Distribution.”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may also contain information about any material U.S. federal income tax considerations relating to the securities covered by the prospectus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the terms “ExlService,” “we,” “us,” “our” and the “Company” refer to ExlService Holdings, Inc.</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ExlService Holdings, Inc. is a leading provider of outsourcing and transformation services. Our outsourcing services include a full spectrum of business process outsourcing services from offshore delivery centers requiring ongoing process management skills. Transformation services enable continuous improvement of client processes by bringing together our capabilities in reengineering including decision analytics, risk and financial management and operations and process excellence services. Headquartered in New York, we primarily serves the needs of Global 1000 companies in the insurance, utilities, financial services and transportation and logistics sectors.</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ExlService, we refer you to our filings with the SEC incorporated by reference in this prospectus. For instructions on how to find copies of these documents, see “Where You Can Find More Information.” More information about us is also available through our website at www.exlservice.com. The information on our website is not incorporated by reference into this prospectus or any accompanying prospectus supplement.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280 Park Avenue, New York, New York 10017, telephone (212) 277-7100.</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and the documents incorporated by reference include forward-looking statements as defined in the Private Securities Litigation Reform Act of 1995. In addition, we may make other written and oral communications from time to time that contain such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the information contained and incorporated by reference herein, you should understand that these statements are not guarantees of performance or results. They involve known and unknown risks, uncertainties and assumptions. Although we believe that these forward looking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herein and in the documents incorporated by reference herein. These and other risks could cause actual results to differ materially from those implied by forward looking statements herein and therein.</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herein and in the documents incorporated by reference herein, or elsewhere, speaks only as of the date on which we make it. New risks and uncertainties come up from time to time, and it is impossible for us to predict these events or how they may affect us. We have no obligation to update any forward looking statements herein or therein after the date hereof or thereof, except as required by federal securities laws.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Investing in our securities involves risk. You should carefully consider the specific risks discussed or incorporated by reference in the applicable prospectus supplement, together with all the other information contained in the prospectus supplement or incorporated by reference in this prospectus and the applicable prospectus supplement. You should also consider the risks, uncertainties and assumptions discussed under the caption “Risk Factors” included in our Annual Report on Form 10-K for the year ended December 31, 2008, which is incorporated by reference in this prospectus. These risk factors may be amended, supplemented or superseded from time to time by other reports we file with the SEC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Unless we specify another use in the applicable prospectus supplement, we will use the net proceeds from the sale of the securities offered by us for general corporate purposes, which may include, among other things, debt repayment, working capital and/or capital expenditures.</w:t>
      </w:r>
    </w:p>
    <w:p>
      <w:pPr>
        <w:spacing w:after="0" w:line="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may also use such proceeds to fund acquisitions of businesses, technologies or product lines that complement our current business. We may set forth additional information on the use of net proceeds from the sale of the securities we offer under this prospectus in a prospectus supplement related to a specific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resale of shares of our common stock by the selling stockholders.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ratios of earnings to fixed charges are shown in the table below. For purposes of calculating the below ratios, earnings consist of income before taxes plus fixed charges plus amortization of capitalized interest less interest capitalized during the period. Fixed charges means the sum of the following: (a) interest expensed and capitalized, (b) amortized premiums, discounts and capitalized expenses related to indebtedness, (c) an estimate of the interest within rental expense, and (d) preference security dividend requirements of consolidated subsidiaries. Preferred dividends include pre-tax amounts required to pay dividends in respect of our previously-outstanding Series A Preferred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Nine Months Ended</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Year Ended</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September 30,</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2005(1)</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Ratio of earnings to fixed charges and preferred dividends</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6.2</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6.5</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were insufficient to cover fixed charges by $1.7 million and were insufficient to cover fixed charges and preferred dividends by $1.9 million in the year ended December 31, 2005.</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selling stockholders named in the table below may from time to time offer and sell pursuant to this prospectus and any applicable prospectus supplement up to 6,000,000 shares of our common stock. When we refer to “selling stockholders” in this prospectus, we mean those persons listed in the table below, as well as their transferees, pledgees or donees or their successors. The selling stockholders may sell all, a portion or none of their shares at any time. The information regarding shares beneficially owned after the offering assumes the sale of all shares offered by the selling stockholders. Except as otherwise indicated, each selling stockholder has sole voting and dispositive power with respect to such shares.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Maximum</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Shares Beneficially</w:t>
            </w:r>
          </w:p>
        </w:tc>
        <w:tc>
          <w:tcPr>
            <w:tcW w:w="2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Shares that</w:t>
            </w:r>
          </w:p>
        </w:tc>
        <w:tc>
          <w:tcPr>
            <w:tcW w:w="1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5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Owned Before the</w:t>
            </w: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5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Owned After the</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May be</w:t>
            </w:r>
          </w:p>
        </w:tc>
        <w:tc>
          <w:tcPr>
            <w:tcW w:w="1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60" w:type="dxa"/>
            <w:vAlign w:val="bottom"/>
            <w:gridSpan w:val="2"/>
            <w:vMerge w:val="restart"/>
          </w:tcPr>
          <w:p>
            <w:pPr>
              <w:jc w:val="center"/>
              <w:ind w:left="268"/>
              <w:spacing w:after="0"/>
              <w:rPr>
                <w:sz w:val="20"/>
                <w:szCs w:val="20"/>
                <w:color w:val="auto"/>
              </w:rPr>
            </w:pPr>
            <w:r>
              <w:rPr>
                <w:rFonts w:ascii="Arial" w:cs="Arial" w:eastAsia="Arial" w:hAnsi="Arial"/>
                <w:sz w:val="14"/>
                <w:szCs w:val="14"/>
                <w:b w:val="1"/>
                <w:bCs w:val="1"/>
                <w:color w:val="auto"/>
                <w:w w:val="89"/>
              </w:rPr>
              <w:t>Offering(1)</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60" w:type="dxa"/>
            <w:vAlign w:val="bottom"/>
            <w:gridSpan w:val="2"/>
            <w:vMerge w:val="restart"/>
          </w:tcPr>
          <w:p>
            <w:pPr>
              <w:jc w:val="center"/>
              <w:ind w:left="262"/>
              <w:spacing w:after="0"/>
              <w:rPr>
                <w:sz w:val="20"/>
                <w:szCs w:val="20"/>
                <w:color w:val="auto"/>
              </w:rPr>
            </w:pPr>
            <w:r>
              <w:rPr>
                <w:rFonts w:ascii="Arial" w:cs="Arial" w:eastAsia="Arial" w:hAnsi="Arial"/>
                <w:sz w:val="14"/>
                <w:szCs w:val="14"/>
                <w:b w:val="1"/>
                <w:bCs w:val="1"/>
                <w:color w:val="auto"/>
                <w:w w:val="91"/>
              </w:rPr>
              <w:t>Offering</w:t>
            </w: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6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60" w:type="dxa"/>
            <w:vAlign w:val="bottom"/>
            <w:tcBorders>
              <w:bottom w:val="single" w:sz="8" w:color="auto"/>
            </w:tcBorders>
            <w:gridSpan w:val="2"/>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Sold</w:t>
            </w:r>
          </w:p>
        </w:tc>
        <w:tc>
          <w:tcPr>
            <w:tcW w:w="1160" w:type="dxa"/>
            <w:vAlign w:val="bottom"/>
            <w:tcBorders>
              <w:bottom w:val="single" w:sz="8" w:color="auto"/>
            </w:tcBorders>
            <w:gridSpan w:val="2"/>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880" w:type="dxa"/>
            <w:vAlign w:val="bottom"/>
            <w:vMerge w:val="restart"/>
          </w:tcPr>
          <w:p>
            <w:pPr>
              <w:spacing w:after="0"/>
              <w:rPr>
                <w:sz w:val="5"/>
                <w:szCs w:val="5"/>
                <w:color w:val="auto"/>
              </w:rPr>
            </w:pPr>
          </w:p>
        </w:tc>
        <w:tc>
          <w:tcPr>
            <w:tcW w:w="2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Hereunder</w:t>
            </w:r>
          </w:p>
        </w:tc>
        <w:tc>
          <w:tcPr>
            <w:tcW w:w="116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jc w:val="right"/>
              <w:ind w:right="36"/>
              <w:spacing w:after="0" w:line="14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Oak Hill Capital Partners, L.P.(2)</w:t>
            </w:r>
          </w:p>
        </w:tc>
        <w:tc>
          <w:tcPr>
            <w:tcW w:w="24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10,278,942</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35.3</w:t>
            </w: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4,875,000</w:t>
            </w: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5,403,942</w:t>
            </w: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18.6</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Oak Hill Capital Management Partners, L.P.(2)</w:t>
            </w:r>
          </w:p>
        </w:tc>
        <w:tc>
          <w:tcPr>
            <w:tcW w:w="3700" w:type="dxa"/>
            <w:vAlign w:val="bottom"/>
            <w:gridSpan w:val="3"/>
          </w:tcPr>
          <w:p>
            <w:pPr>
              <w:jc w:val="right"/>
              <w:ind w:right="320"/>
              <w:spacing w:after="0"/>
              <w:rPr>
                <w:sz w:val="20"/>
                <w:szCs w:val="20"/>
                <w:color w:val="auto"/>
              </w:rPr>
            </w:pPr>
            <w:r>
              <w:rPr>
                <w:rFonts w:ascii="Arial" w:cs="Arial" w:eastAsia="Arial" w:hAnsi="Arial"/>
                <w:sz w:val="18"/>
                <w:szCs w:val="18"/>
                <w:color w:val="auto"/>
              </w:rPr>
              <w:t>263,562</w:t>
            </w:r>
          </w:p>
        </w:tc>
        <w:tc>
          <w:tcPr>
            <w:tcW w:w="3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138,562</w:t>
            </w:r>
          </w:p>
        </w:tc>
        <w:tc>
          <w:tcPr>
            <w:tcW w:w="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Talwar 1994 Trust(3)</w:t>
            </w:r>
          </w:p>
        </w:tc>
        <w:tc>
          <w:tcPr>
            <w:tcW w:w="3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920,229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420,229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Rohit Kapoor(4)</w:t>
            </w:r>
          </w:p>
        </w:tc>
        <w:tc>
          <w:tcPr>
            <w:tcW w:w="3700" w:type="dxa"/>
            <w:vAlign w:val="bottom"/>
            <w:gridSpan w:val="3"/>
          </w:tcPr>
          <w:p>
            <w:pPr>
              <w:jc w:val="right"/>
              <w:ind w:right="320"/>
              <w:spacing w:after="0"/>
              <w:rPr>
                <w:sz w:val="20"/>
                <w:szCs w:val="20"/>
                <w:color w:val="auto"/>
              </w:rPr>
            </w:pPr>
            <w:r>
              <w:rPr>
                <w:rFonts w:ascii="Arial" w:cs="Arial" w:eastAsia="Arial" w:hAnsi="Arial"/>
                <w:sz w:val="18"/>
                <w:szCs w:val="18"/>
                <w:color w:val="auto"/>
              </w:rPr>
              <w:t>2,104,605</w:t>
            </w: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1,604,605</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56"/>
        </w:trPr>
        <w:tc>
          <w:tcPr>
            <w:tcW w:w="1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40" w:type="dxa"/>
            <w:vAlign w:val="bottom"/>
          </w:tcPr>
          <w:p>
            <w:pPr>
              <w:jc w:val="right"/>
              <w:ind w:right="1092"/>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Calculated pursuant to Rule 13(d)-1 as of December 29, 2009, at which date there were 29,093,543 aggregate shares of common stock outstanding.</w:t>
      </w:r>
    </w:p>
    <w:p>
      <w:pPr>
        <w:spacing w:after="0" w:line="113" w:lineRule="exact"/>
        <w:rPr>
          <w:rFonts w:ascii="Arial" w:cs="Arial" w:eastAsia="Arial" w:hAnsi="Arial"/>
          <w:sz w:val="16"/>
          <w:szCs w:val="16"/>
          <w:color w:val="auto"/>
        </w:rPr>
      </w:pPr>
    </w:p>
    <w:p>
      <w:pPr>
        <w:ind w:left="460" w:right="40" w:hanging="452"/>
        <w:spacing w:after="0" w:line="287"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business address of each of Oak Hill Capital Partners, L.P. and Oak Hill Capital Management Partners, L.P. (together, the “Oak Hill Partnerships”) is 201 Main Street, Suite 2415, Fort Worth, TX 76102.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Investment and voting decisions with regard to the shares of the Company’s common stock owned by the Oak Hill Partnerships is made by an investment committee of OHCP MGP, LLC. The members of such committee are J. Taylor Crandall, Steven B. Gruber, Dennis J. Nayden and Mark A. Wolfson. Each of these individuals disclaims beneficial ownership of the shares owned by the Oak Hill Partnerships. The shares registered hereunder by the Oak Hill Partnerships consist of shares of common stock that were acquired in transactions completed in connection with the acquisition of the Company’s business from Conseco in 2002 (the “Conseco Acquisition”) and shares of common stock that were issued in connection with a share split of our common stock completed prior to the completion of our initial public offering in October 2006 (the “Share Split”).</w:t>
      </w:r>
    </w:p>
    <w:p>
      <w:pPr>
        <w:spacing w:after="0" w:line="41" w:lineRule="exact"/>
        <w:rPr>
          <w:rFonts w:ascii="Arial" w:cs="Arial" w:eastAsia="Arial" w:hAnsi="Arial"/>
          <w:sz w:val="16"/>
          <w:szCs w:val="16"/>
          <w:color w:val="auto"/>
        </w:rPr>
      </w:pPr>
    </w:p>
    <w:p>
      <w:pPr>
        <w:jc w:val="both"/>
        <w:ind w:left="460" w:right="24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Vikram Talwar, our Executive Chairman, and his spouse are the trustees of this trust and share dispositive and voting control over the shares in the trust. The shares registered hereunder by this trust consist of shares of common stock acquired by this trust from Mr. Talwar in transactions completed prior to October 5, 2009.</w:t>
      </w:r>
    </w:p>
    <w:p>
      <w:pPr>
        <w:spacing w:after="0" w:line="59" w:lineRule="exact"/>
        <w:rPr>
          <w:rFonts w:ascii="Arial" w:cs="Arial" w:eastAsia="Arial" w:hAnsi="Arial"/>
          <w:sz w:val="18"/>
          <w:szCs w:val="18"/>
          <w:color w:val="auto"/>
        </w:rPr>
      </w:pPr>
    </w:p>
    <w:p>
      <w:pPr>
        <w:ind w:left="460" w:hanging="452"/>
        <w:spacing w:after="0" w:line="283"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177,134 shares of our common stock owned indirectly by Mr. Kapoor through a three year grantor retained annuity trust. Mr. Kapoor is the sole trustee of this trust. This amount also includes 84,000 shares of our common stock owned indirectly by Mr. Kapoor through a spousal lifetime access trust for</w:t>
      </w:r>
    </w:p>
    <w:p>
      <w:pPr>
        <w:spacing w:after="0" w:line="2" w:lineRule="exact"/>
        <w:rPr>
          <w:rFonts w:ascii="Arial" w:cs="Arial" w:eastAsia="Arial" w:hAnsi="Arial"/>
          <w:sz w:val="16"/>
          <w:szCs w:val="16"/>
          <w:color w:val="auto"/>
        </w:rPr>
      </w:pPr>
    </w:p>
    <w:p>
      <w:pPr>
        <w:ind w:left="460" w:right="40"/>
        <w:spacing w:after="0" w:line="292" w:lineRule="auto"/>
        <w:rPr>
          <w:rFonts w:ascii="Arial" w:cs="Arial" w:eastAsia="Arial" w:hAnsi="Arial"/>
          <w:sz w:val="16"/>
          <w:szCs w:val="16"/>
          <w:color w:val="auto"/>
        </w:rPr>
      </w:pPr>
      <w:r>
        <w:rPr>
          <w:rFonts w:ascii="Arial" w:cs="Arial" w:eastAsia="Arial" w:hAnsi="Arial"/>
          <w:sz w:val="16"/>
          <w:szCs w:val="16"/>
          <w:color w:val="auto"/>
        </w:rPr>
        <w:t>Mr. Kapoor’s spouse. Mr. Kapoor and Mr. Kapoor’s sister-in-law are the trustees of this trust and share dispositive and voting control over the shares in the trust. This amount includes 292,850 shares of our common stock of which Mr. Kapoor has the right to acquire beneficial ownership within 60 days of December 29, 2009. The shares registered hereunder by Mr. Kapoor consist of shares of common stock that were acquired in transactions completed in connection with the Conseco Acquisition, shares of common stock that were issued in connection with the Share Split and shares of common stock acquired pursuant to our equity compensation plans to the extent such shares were received prior to October 5, 2009.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Selling Stockholders</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Vikram Talwar, one of the co-trustees of The Talwar 1994 Trust, one of the selling stockholders included in this prospectus, has served as our Executive Chairman since May 2008. Mr. Talwar served as our Chief Executive Officer and Vice Chairman of our board of directors from November 2002 to April 2008 and as Chief Executive Officer of EXL Inc. since April 1999.</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Rohit Kapoor has served as our President and Chief Executive Officer since May 2008 and as a director since November 2002. In addition, Mr. Kapoor served as our Chief Financial Officer from August 2006 to March 2007, as our Chief Operating Officer from June 2007 until April 2008 and as President and Chief Financial Officer of EXL Inc. since August 2000.</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Oak Hill Partnerships are one of the Company’s significant stockholders. Steven Gruber, our Chairman, is a Managing Partner of Oak Hill Capital Management, Inc., the investment advisor to Oak Hill Capital Partners, L.P., and Ted Dardani, one of our directors, is a partner of Oak Hill Capital Management, Inc.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Transactions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January 15, 2008, the Company acquired net assets for a consideration of $1,508,049 plus contingent consideration earned during the year ended December 31, 2008 of $460,467, for a total of $1,968,516, from a company controlled by entities related to the Oak Hill Partnerships. The Company recorded expenses of $0 for year ended December 31, 2008 for transition services performed by the seller prior to acquisition. As of December 31, 2008 the Company had a balance payable of $0 related to these services.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provide transformation services to Duane Reade Holdings, Inc., a New York City drugstore chain. Duane Reade Holdings, Inc. was indirectly owned by entities related to the Oak Hill Partnerships. We recognized revenue of approximately $628,090, $780,329 and $477,670 in the years ended December 31, 2008, 2007 and 2006, respectively, for fees and expense reimbursements from Duane Reade Holdings, Inc. At December 31, 2008, 2007 and 2006, we had accounts receivable of $88,790, $338,629 and $55,350, respectively, related to these services.</w:t>
      </w:r>
    </w:p>
    <w:p>
      <w:pPr>
        <w:spacing w:after="0" w:line="143"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We provided advisory services related primarily to compliance with the Sarbanes-Oxley Act of 2002 to Williams Scotsman, Inc., a provider of mobile and modular building solutions in North America. Williams Scotsman, Inc. was controlled by entities related to the Oak Hill Partnerships until October 31, 2007. We recognized $0, $424,423 and $574,877 in the years ended December 31, 2008, 2007 and 2006 respectively, in advisory fee revenue and expense reimbursements from Williams Scotsman, Inc. At December 31, 2008, 2007 and 2006, we had an account receivable of $0, $0 and $59,633, respectively, related to these services.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description of our capital stock summarizes certain terms and provisions of our common stock and preferred stock, par value $0.001 per share, to which any prospectus supplement may relate. This section also summarizes relevant provisions of Delaware law. The following description of our common stock and preferred stock does not purport to be complete and is subject to, and is qualified in its entirety by reference to, the applicable provisions of Delaware law and our Amended and Restated Certificate of Incorporation and our Second Amended and Restated Bylaws, copies of which have been filed with the SEC as exhibits to the registration statement of which this prospectus forms a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the date of this prospectus, our authorized capital stock consists of 100,000,000 shares of common stock and 15,000,000 of preferred stock. As of September 30, 2009, we had 28,931,983 outstanding shares of common stock, excluding 247,030 shares held in treasury and 405,380 shares of restricted stock, and no shares of preferred stock outstanding.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29, 2009, there were approximately 30 holders of record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authorized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certificate of incorporation provides that a director will not be personally liable to us or our stockholders for monetary damages for breach of fiduciary duty as a director, except:</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liability under Section 174 of the Delaware General Corporation Law (relating to unlawful dividends, stock repurchases, or stock redemptions);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7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do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59"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Our board is divided into three classes. The directors in each class serve for a three-year term, one class being elected each year by our stockholders. Our stockholders may only remove directors for cause and with the vote of at least 66 </w:t>
      </w:r>
      <w:r>
        <w:rPr>
          <w:rFonts w:ascii="Arial" w:cs="Arial" w:eastAsia="Arial" w:hAnsi="Arial"/>
          <w:sz w:val="11"/>
          <w:szCs w:val="11"/>
          <w:color w:val="auto"/>
        </w:rPr>
        <w:t>2</w:t>
      </w:r>
      <w:r>
        <w:rPr>
          <w:rFonts w:ascii="Arial" w:cs="Arial" w:eastAsia="Arial" w:hAnsi="Arial"/>
          <w:sz w:val="18"/>
          <w:szCs w:val="18"/>
          <w:color w:val="auto"/>
        </w:rPr>
        <w:t>/3% of the total voting power of our issued and outstanding capital stock entitled to vote in the election of directors. Our board of directors may elect a director to fill a vacancy, including vacancies created by the expansion of the board of directors.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do not provide for cumulative voting in the election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Our certificate of incorporation provides that the affirmative vote of the holders of at least 66 </w:t>
      </w:r>
      <w:r>
        <w:rPr>
          <w:rFonts w:ascii="Arial" w:cs="Arial" w:eastAsia="Arial" w:hAnsi="Arial"/>
          <w:sz w:val="10"/>
          <w:szCs w:val="10"/>
          <w:color w:val="auto"/>
        </w:rPr>
        <w:t>2</w:t>
      </w:r>
      <w:r>
        <w:rPr>
          <w:rFonts w:ascii="Arial" w:cs="Arial" w:eastAsia="Arial" w:hAnsi="Arial"/>
          <w:sz w:val="16"/>
          <w:szCs w:val="16"/>
          <w:color w:val="auto"/>
        </w:rPr>
        <w:t>/3% of the voting power of our issued and outstanding capital stock entitled to vote in the election of directors, is required to amend the following provisions of our certificate of incorporation:</w:t>
      </w:r>
    </w:p>
    <w:p>
      <w:pPr>
        <w:spacing w:after="0" w:line="4"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11"/>
          <w:szCs w:val="11"/>
          <w:color w:val="auto"/>
        </w:rPr>
        <w:t>2</w:t>
      </w:r>
      <w:r>
        <w:rPr>
          <w:rFonts w:ascii="Arial" w:cs="Arial" w:eastAsia="Arial" w:hAnsi="Arial"/>
          <w:sz w:val="18"/>
          <w:szCs w:val="18"/>
          <w:color w:val="auto"/>
        </w:rPr>
        <w:t>/3% stockholder vote for the amendment of certain provisions of our articles of incorporation and for the adoption, amendment or repeal of our by-laws;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addition, the board of directors is permitted to alter our by-laws without obtaining stockholder approval and the affirmative vote of holders of at least 66 </w:t>
      </w:r>
      <w:r>
        <w:rPr>
          <w:rFonts w:ascii="Arial" w:cs="Arial" w:eastAsia="Arial" w:hAnsi="Arial"/>
          <w:sz w:val="11"/>
          <w:szCs w:val="11"/>
          <w:color w:val="auto"/>
        </w:rPr>
        <w:t>2</w:t>
      </w:r>
      <w:r>
        <w:rPr>
          <w:rFonts w:ascii="Arial" w:cs="Arial" w:eastAsia="Arial" w:hAnsi="Arial"/>
          <w:sz w:val="18"/>
          <w:szCs w:val="18"/>
          <w:color w:val="auto"/>
        </w:rPr>
        <w:t>/3% of the voting power of our issued and outstanding capital stock entitled to vote in the election of directors will be required for any amendment to our by-laws by the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96" w:lineRule="exact"/>
        <w:rPr>
          <w:sz w:val="20"/>
          <w:szCs w:val="20"/>
          <w:color w:val="auto"/>
        </w:rPr>
      </w:pPr>
    </w:p>
    <w:p>
      <w:pPr>
        <w:ind w:right="480" w:firstLine="456"/>
        <w:spacing w:after="0" w:line="335" w:lineRule="auto"/>
        <w:rPr>
          <w:sz w:val="20"/>
          <w:szCs w:val="20"/>
          <w:color w:val="auto"/>
        </w:rPr>
      </w:pPr>
      <w:r>
        <w:rPr>
          <w:rFonts w:ascii="Arial" w:cs="Arial" w:eastAsia="Arial" w:hAnsi="Arial"/>
          <w:sz w:val="15"/>
          <w:szCs w:val="15"/>
          <w:color w:val="auto"/>
        </w:rPr>
        <w:t>We are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DEBT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description of the terms of our senior debt securities and subordinated debt securities (together, the “</w:t>
      </w:r>
      <w:r>
        <w:rPr>
          <w:rFonts w:ascii="Arial" w:cs="Arial" w:eastAsia="Arial" w:hAnsi="Arial"/>
          <w:sz w:val="16"/>
          <w:szCs w:val="16"/>
          <w:i w:val="1"/>
          <w:iCs w:val="1"/>
          <w:color w:val="auto"/>
        </w:rPr>
        <w:t>debt securities</w:t>
      </w:r>
      <w:r>
        <w:rPr>
          <w:rFonts w:ascii="Arial" w:cs="Arial" w:eastAsia="Arial" w:hAnsi="Arial"/>
          <w:sz w:val="16"/>
          <w:szCs w:val="16"/>
          <w:color w:val="auto"/>
        </w:rPr>
        <w:t>”) sets forth certain general terms and provisions of the debt securities to which any prospectus supplement may relate. Unless otherwise noted, the general terms and provisions of our debt securities discussed below apply to both our senior debt securities and our subordinated debt securities. Our debt securities may be issued from time to time in one or more series. The particular terms of any series of debt securities and the extent to which the general provisions may apply to a particular series of debt securities will be described in the prospectus supplement relating to that series.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senior debt securities will be issued under an indenture between us and U.S. Bank National Association, as Senior Indenture Trustee (the “</w:t>
      </w:r>
      <w:r>
        <w:rPr>
          <w:rFonts w:ascii="Arial" w:cs="Arial" w:eastAsia="Arial" w:hAnsi="Arial"/>
          <w:sz w:val="16"/>
          <w:szCs w:val="16"/>
          <w:i w:val="1"/>
          <w:iCs w:val="1"/>
          <w:color w:val="auto"/>
        </w:rPr>
        <w:t>senior</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The subordinated debt securities will be issued under an indenture between us and U.S. Bank National Association, as Subordinated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(the “</w:t>
      </w:r>
      <w:r>
        <w:rPr>
          <w:rFonts w:ascii="Arial" w:cs="Arial" w:eastAsia="Arial" w:hAnsi="Arial"/>
          <w:sz w:val="16"/>
          <w:szCs w:val="16"/>
          <w:i w:val="1"/>
          <w:iCs w:val="1"/>
          <w:color w:val="auto"/>
        </w:rPr>
        <w:t>subordinated indenture</w:t>
      </w:r>
      <w:r>
        <w:rPr>
          <w:rFonts w:ascii="Arial" w:cs="Arial" w:eastAsia="Arial" w:hAnsi="Arial"/>
          <w:sz w:val="16"/>
          <w:szCs w:val="16"/>
          <w:color w:val="auto"/>
        </w:rPr>
        <w:t>” and, together with the senior indenture, the “</w:t>
      </w:r>
      <w:r>
        <w:rPr>
          <w:rFonts w:ascii="Arial" w:cs="Arial" w:eastAsia="Arial" w:hAnsi="Arial"/>
          <w:sz w:val="16"/>
          <w:szCs w:val="16"/>
          <w:i w:val="1"/>
          <w:iCs w:val="1"/>
          <w:color w:val="auto"/>
        </w:rPr>
        <w:t>indentures</w:t>
      </w:r>
      <w:r>
        <w:rPr>
          <w:rFonts w:ascii="Arial" w:cs="Arial" w:eastAsia="Arial" w:hAnsi="Arial"/>
          <w:sz w:val="16"/>
          <w:szCs w:val="16"/>
          <w:color w:val="auto"/>
        </w:rPr>
        <w:t>”). The Senior Indenture Trustee and the Subordinated Indenture Trustee are both referred to, individually, as the “Trustee.” The senior debt securities will constitute our unsecured and unsubordinated obligations and the subordinated debt securities will constitute our unsecured and subordinated obligations. A detailed description of the subordination provisions is provided below under the caption “—Ranking and Subordination—Subordination.” In general, however, if we declare bankruptcy, holders of the senior debt securities will be paid in full before the holders of subordinated debt securities will receive anything.</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statements set forth below are brief summaries of certain provisions contained in the indentures, which summaries do not purport to be complete and are qualified in their entirety by reference to the indentures, which are incorporated by reference as exhibits or filed as exhibits to the registration statement of which this prospectus forms a part. Terms used herein that are otherwise not defined shall have the meanings given to them in the indentures. Such defined terms shall be incorporated herein by reference.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indentures will not limit the amount of debt securities that may be issued under the applicable indenture and debt securities may be issued under the applicable indenture up to the aggregate principal amount that may be authorized from time to time by us. Any such limit applicable to a particular series will be specified in the prospectus supplement relating to that series.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prospectus supplement relating to any series of debt securities in respect to which this prospectus is being delivered will contain the following terms, among others, for each such series of debt securities:</w:t>
      </w:r>
    </w:p>
    <w:p>
      <w:pPr>
        <w:spacing w:after="0" w:line="5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and issue date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on which the principal of the debt securities is payable;</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or rates (or manner of calculation thereof), if any, per annum at which the debt securities will bear interest, if any, the date or dates from which interest will accrue and the interest payment date or dates for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debt securities which may be authenticated and delivered under the applicable indenture;</w:t>
      </w:r>
    </w:p>
    <w:p>
      <w:pPr>
        <w:spacing w:after="0" w:line="113"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period or periods within which, the redemption price or prices or the repayment price or prices, as the case may be, at which, and the terms and conditions upon which, the debt securities may be redeemed at our option or the option of the holder of such debt securities;</w:t>
      </w:r>
    </w:p>
    <w:p>
      <w:pPr>
        <w:spacing w:after="0" w:line="4"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obligation, if any, of ExlService to purchase the debt securities pursuant to any sinking fund or analogous provisions or at the option of a holder of such debt securities and the period or periods within which, the price or prices at which and the terms and conditions upon which such debt securities will be purchased, in whole or in part, pursuant to such obligation;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debt securities will be issuable;</w:t>
      </w:r>
    </w:p>
    <w:p>
      <w:pPr>
        <w:spacing w:after="0" w:line="113" w:lineRule="exact"/>
        <w:rPr>
          <w:rFonts w:ascii="Arial" w:cs="Arial" w:eastAsia="Arial" w:hAnsi="Arial"/>
          <w:sz w:val="16"/>
          <w:szCs w:val="16"/>
          <w:color w:val="auto"/>
        </w:rPr>
      </w:pPr>
    </w:p>
    <w:p>
      <w:pPr>
        <w:ind w:left="900" w:right="680" w:hanging="325"/>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provisions, if any, with regard to the conversion or exchange of the debt securities, at the option of the holders of such debt securities or the Company, as the case may be, for or into new securities of a different series, our common stock or other securities;</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other than U.S. dollars, the currency or currencies or units based on or related to currencies in which the debt securities will be denominated and in which payments of principal of, and any premium and interest on, such debt securities shall or may be payable;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the debt securities are to be payable, at the election of the Company or a holder of such debt securities, in a currency (including a composite currency) other than that in which such debt securities are stated to be payable, the period or periods within which, and the terms and conditions upon which, such election may be made;</w:t>
      </w:r>
    </w:p>
    <w:p>
      <w:pPr>
        <w:spacing w:after="0" w:line="59"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if any, on the debt securities may be determined with reference to an index based on a currency (including a composite currency) other than that in which such debt securities are stated to be payable, the manner in which such amounts shall be determined;</w:t>
      </w:r>
    </w:p>
    <w:p>
      <w:pPr>
        <w:spacing w:after="0" w:line="59" w:lineRule="exact"/>
        <w:rPr>
          <w:rFonts w:ascii="Arial" w:cs="Arial" w:eastAsia="Arial" w:hAnsi="Arial"/>
          <w:sz w:val="18"/>
          <w:szCs w:val="18"/>
          <w:color w:val="auto"/>
        </w:rPr>
      </w:pPr>
    </w:p>
    <w:p>
      <w:pPr>
        <w:ind w:left="900" w:right="200" w:hanging="325"/>
        <w:spacing w:after="0" w:line="357"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provisions, if any, related to the exchange of the debt securities, at the option of the holders of such debt securities, for other securities of the same series of the same aggregate principal amount or of a different authorized series or different authorized denomination or denominations, or both;</w:t>
      </w:r>
    </w:p>
    <w:p>
      <w:pPr>
        <w:ind w:left="900" w:right="420" w:hanging="325"/>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portion of the principal amount of the debt securities, if other than the principal amount thereof, which shall be payable upon declaration of acceleration of the maturity thereof as more fully described under the section “—Events of Default, Notice and Waiver” below;</w:t>
      </w:r>
    </w:p>
    <w:p>
      <w:pPr>
        <w:spacing w:after="0" w:line="4"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 and, if so, the identity of the depositary with respect to such global securities;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subordinated debt securities only, the amendment or modification of the subordination provisions in the subordinated indenture with respect to the debt securities;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specific terms.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issue debt securities of any series at various times and we may reopen any series for further issuances from time to time without notice to existing holders of securities of that series.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Some of the debt securities may be issued as original issue discount debt securities. Original issue discount debt securities bear no interest or bear interest at below-market rates. These are sold at a discount below their stated principal amount. If we issue these securities, the prospectus supplement relating to such series of debt securities will describe any special tax, accounting or other information which we think is important. We encourage you to consult with your own competent tax and financial advisors on these important matters.</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Unless we specify otherwise in the applicable prospectus supplement relating to such series of debt securities, the covenants contained in the indentures will not provide special protection to holders of debt securities if we enter into a highly leveraged transaction, recapitalization or restructuring.</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Unless otherwise set forth in the prospectus supplement relating to such series of debt securities, interest on outstanding debt securities will be paid to holders of record on the date that is 15 days prior to the date such interest is to be paid or, if not a business day, the next preceding business day. Unless otherwise specified in the prospectus supplement, debt securities will be issued in fully registered form only. Unless otherwise specified in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prospectus supplement, the principal amount of the debt securities will be payable at the corporate trust office of the Trustee in New York, New York. The debt securities may be presented for transfer or exchange at such office unless otherwise specified in the prospectus supplement, subject to the limitations provided in the applicable indenture, without any service charge, but we may require payment of a sum sufficient to cover any tax or other governmental charges payable in connection therewith.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Subordination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debt securities will effectively rank junior in right of payment to any of our current or future secured obligations to the extent of the value of the assets securing such obligations. The debt securities will be effectively subordinated to all existing and future liabilities, including indebtedness and trade payables, of our subsidiaries. Unless otherwise set forth in the prospectus supplement relating to such series of debt securities, the indentures will not limit the amount of unsecured indebtedness or other liabilities that can be incurred by our subsidiaries.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Ranking of Debt Securities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senior debt securities described in this prospectus will be unsecured, senior obligations of the Company and will rank equally with our other unsecured and unsubordinated obligations. The subordinated debt securities will be unsecured, subordinated obligations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Subordination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issued, the indebtedness evidenced by the subordinated debt securities will be subordinate to the prior payment in full of all our Senior Indebtedness (as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Senior Indebtedness</w:t>
      </w:r>
      <w:r>
        <w:rPr>
          <w:rFonts w:ascii="Arial" w:cs="Arial" w:eastAsia="Arial" w:hAnsi="Arial"/>
          <w:sz w:val="16"/>
          <w:szCs w:val="16"/>
          <w:color w:val="auto"/>
        </w:rPr>
        <w:t>”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2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the indebtedness of that person for borrowed money,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of the indebtedness of that person evidenced by notes, debentures, bonds or other similar instruments sold by that person for money;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in each case, that the person, in any manner, assumes or guarantees or that the person in effect guarantees through an agreement to purchase, whether that agreement is contingent or otherwise;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the Company constitute Senior Indebtedness for purposes of the subordinated indenture.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subordinated indenture, the subordinated indenture may not be amended, at any time, to alter the subordination provisions of any outstanding subordinated debt securities without the consent of the requisite holders of each outstanding series or class of Senior Indebtedness (as determined in accordance with the instrument governing such Senior Indebtedness) that would be adversely affected thereby.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we specify otherwise in the applicable prospectus supplement, we may redeem any of the debt securities as a whole at any time or in part from time to time, at our option, on at least 15 days, but not more than 45 days, prior notice mailed to the registered address of each holder of the debt securities to be redeemed, at respective redemption prices equal to the greater of:</w:t>
      </w:r>
    </w:p>
    <w:p>
      <w:pPr>
        <w:spacing w:after="0" w:line="59"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of the principal amount of the debt securities to be redeemed,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as defined below, discounted to the redemption date, on a semi-annual basis, assuming a 360 day year consisting of twelve 30 day months, at the Treasury Rate, as defined below, plus the number, if any, of basis points specified in the applicable prospectus supplement;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to the date of redemption that has not been paid (such redemption price, the “Redemption Price”).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with respect to the debt securities, the United States Treasury security selected by an Independent Investment Banker as having a maturity comparable to the remaining term (“Remaining Life”) of the debt securities being redeemed that would be utilized, at the time of selection and in accordance with customary financial practice, in pricing new issues of corporate debt securities of comparable maturity to the Remaining Life of such debt securities.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for the debt securities: (1) the average of two Reference Treasury Dealer Quotations for that redemption date, after excluding the highest and lowest of four such Reference Treasury Dealer Quotations; or (2) if the Trustee obtains fewer than four Reference Treasury Dealer Quotations, the average of all quotations obtained by the Trustee.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to be appointed by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four primary U.S. Government securities dealers to be selected by us.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3:00 p.m., New York City time, on the third business day preceding such redemption date.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Scheduled Payments</w:t>
      </w:r>
      <w:r>
        <w:rPr>
          <w:rFonts w:ascii="Arial" w:cs="Arial" w:eastAsia="Arial" w:hAnsi="Arial"/>
          <w:sz w:val="18"/>
          <w:szCs w:val="18"/>
          <w:color w:val="auto"/>
        </w:rPr>
        <w:t>” means, with respect to each debt security to be redeemed, the remaining scheduled payments of the principal thereof and interest thereon that would be due after the related redemption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date but for such redemption; provided, however, that, if such redemption date is not an interest payment date with respect to such debt security, the amount of the next succeeding scheduled interest payment thereon will be deemed to be reduced by the amount of interest accrued thereon to such redemption date.</w:t>
      </w:r>
    </w:p>
    <w:p>
      <w:pPr>
        <w:spacing w:after="0" w:line="8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for the debt securities: (1)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debt securities adjusted to constant maturity under the caption “Treasury Constant Maturities,” for the maturity corresponding to the Comparable Treasury Issue; provided that if no maturity is within three months before or after the maturity date for the debt securities, yields for the two published maturities most closely corresponding to the Comparable Treasury Issue will be determined and the Treasury Rate will be interpolated or extrapolated from those yields on a straight line basis, rounding to the nearest month; or (2) if that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that redemption date. The Treasury Rate will be calculated on the third business day preceding the redemption date.</w:t>
      </w:r>
    </w:p>
    <w:p>
      <w:pPr>
        <w:spacing w:after="0" w:line="12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On and after the redemption date, interest will cease to accrue on the debt securities or any portion thereof called for redemption, unless we default in the payment of the Redemption Price, and accrued interest. On or before the redemption date, we shall deposit with a paying agent, or the applicable Trustee, money sufficient to pay the Redemption Price of and accrued interest on the debt securities to be redeemed on such date. If we elect to redeem less than all of the debt securities of a series, then the Trustee will select the particular debt securities of such series to be redeemed in a manner it deems appropriate and fair.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Conveyance or Transfer on Certain Terms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so long as any debt securities are outstanding, except as described in the applicable prospectus supplement relating to such debt securities, we will not consolidate with or merge into any other entity or convey or transfer its properties and assets substantially as an entirety to any entity, unless:</w:t>
      </w:r>
    </w:p>
    <w:p>
      <w:pPr>
        <w:spacing w:after="0" w:line="4" w:lineRule="exact"/>
        <w:rPr>
          <w:sz w:val="20"/>
          <w:szCs w:val="20"/>
          <w:color w:val="auto"/>
        </w:rPr>
      </w:pPr>
    </w:p>
    <w:p>
      <w:pPr>
        <w:ind w:left="900" w:right="40" w:hanging="325"/>
        <w:spacing w:after="0" w:line="25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entity formed by such consolidation or into which the Company is merged or the entity that acquires by conveyance or transfer the properties and assets of the Company substantially as an entirety will expressly assume, by supplemental indenture, executed and delivered to the Trustee, in form reasonably satisfactory to the Trustee, the due and punctual payment of the principal of (and premium, if any) and interest on all the debt securities and the performance of every covenant of the applicable indenture (as supplemented from time to time) on the part of the Company to be performed or observed;</w:t>
      </w:r>
    </w:p>
    <w:p>
      <w:pPr>
        <w:spacing w:after="0" w:line="61"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(as defined below), and no event which, after notice or lapse of time, or both, would become an Event of Default, shall have happened and be continuing;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or transfer and such supplemental indenture comply with this covenant and that all conditions precedent provided for relating to such transaction have been complied with.</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any consolidation or merger, or any conveyance or transfer of the properties and assets of the Company substantially as an entirety as set forth above, the successor person formed by such consolidation or into which we are merged or to which such conveyance or transfer is made shall succeed to, and be substituted for, and may exercise every right and power of the Company under the applicable indenture with the same effect as if such successor had been named as the Company in the applicable indenture. In the event of any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conveyance or transfer, the Company as the predecessor shall be discharged from all obligations and covenants under the applicable indenture and the debt securities issued under such indenture and may be dissolved, wound up or liquidated at any time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covenants of the Company pertaining to a series of debt securities will be set forth in a prospectus supplement relating to such series of debt securities.</w:t>
      </w:r>
    </w:p>
    <w:p>
      <w:pPr>
        <w:spacing w:after="0" w:line="20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Except as described in the prospectus and any applicable prospectus supplement relating to such series of debt securities, the indentures and the debt securities do not contain any covenants or other provisions designed to afford holders of debt securities protection in the event of a recapitalization or highly leveraged transaction involving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certain of the terms defined in the indentures: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as such principles are in effect in the United States as of the date of the applicable indenture.</w:t>
      </w:r>
    </w:p>
    <w:p>
      <w:pPr>
        <w:spacing w:after="0" w:line="194"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any Subsidiary which would be a “significant subsidiary” as defined in Article 1, Rule 1-02 of Regulation S-X, promulgated pursuant to the Securities Act of 1933, as amended, as in effect on the date of the applicable indenture.</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set forth in the prospectus supplement relating to the debt securities, each indenture will provide that we, at our option,</w:t>
      </w:r>
    </w:p>
    <w:p>
      <w:pPr>
        <w:spacing w:after="0" w:line="113" w:lineRule="exact"/>
        <w:rPr>
          <w:sz w:val="20"/>
          <w:szCs w:val="20"/>
          <w:color w:val="auto"/>
        </w:rPr>
      </w:pPr>
    </w:p>
    <w:p>
      <w:pPr>
        <w:ind w:left="900" w:right="24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will be discharged from any and all obligations in respect of any series of debt securities (except in each case for certain obligations to register the transfer or exchange of debt securities, replace stolen, lost or mutilated debt securities, maintain paying agencies and hold monies for payment in trust), or</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need not comply with any restrictive covenants described in a prospectus supplement relating to such series of debt securities and certain Events of Default (other than those arising out of the failure to pay interest or principal on the debt securities of a particular series and certain events of bankruptcy, insolvency and reorganization) will no longer constitute Events of Default with respect to such series of debt securities,</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each case, if we deposit with the Trustee, in trust, money or the equivalent in securities of the government which issued the currency in which the debt securities are denominated or government agencies backed by the full faith and credit of such government, or a combination thereof, which through the payment of interest thereon and principal thereof in accordance with their terms will provide money in an amount sufficient to pay all the principal (including any mandatory sinking fund payments) of, and interest on, such series on the dates such payments are due in accordance with the terms of such series.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 exercise any such option, we are required, among other things, to deliver to the Trustee an opinion of counsel to the effect that the deposit and related defeasance would not cause the holders of such series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recognize income, gain or loss for federal income tax purposes and, in the case of a discharge pursuant to clause (a) above, accompanied by a ruling to such effect received from or published by the U.S. Internal Revenue Service.</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we are required to deliver to the Trustee an officers’ certificate stating that such deposit was not made by us with the intent of preferring the holders over other creditors of ours or with the intent of defeating, hindering, delaying or defrauding creditors of ours or others.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Except as otherwise set forth in the prospectus supplement relating to such series of debt securities, each indenture will provide that, if an Event of Default specified therein with respect to any series of debt securities issued thereunder shall have happened and be continuing, either the Trustee thereunder or the holders of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in aggregate principal amount of the outstanding debt securities of such series (or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aggregate principal amount of all outstanding debt securities under such indenture, in the case of certain Events of Default affecting all series of debt securities issued under such indenture) may declare the principal of all the debt securities of such series to be due and payable.</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set forth in the prospectus supplement relating to such series of debt securities, an “Event of Default” in respect of any series will be defined in the indentures as being any one of the following events:</w:t>
      </w:r>
    </w:p>
    <w:p>
      <w:pPr>
        <w:spacing w:after="0" w:line="5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for 30 days in payment of any interest installment with respect to such series;</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default in payment of principal of, or premium, if any, on, or any sinking or purchase fund or analogous obligation with respect to, debt securities of such series when due at their stated maturity, by declaration or acceleration, when called for redemption or otherwise;</w:t>
      </w:r>
    </w:p>
    <w:p>
      <w:pPr>
        <w:spacing w:after="0" w:line="4"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default for 90 days after written notice to us by the Trustee thereunder or by holders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aggregate principal amount of the outstanding debt securities of such series in the performance, or breach, of any covenant or warranty pertaining to debt securities of such series; and</w:t>
      </w:r>
    </w:p>
    <w:p>
      <w:pPr>
        <w:spacing w:after="0" w:line="4" w:lineRule="exact"/>
        <w:rPr>
          <w:rFonts w:ascii="Arial" w:cs="Arial" w:eastAsia="Arial" w:hAnsi="Arial"/>
          <w:sz w:val="16"/>
          <w:szCs w:val="16"/>
          <w:color w:val="auto"/>
        </w:rPr>
      </w:pPr>
    </w:p>
    <w:p>
      <w:pPr>
        <w:ind w:left="900" w:right="34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certain events of bankruptcy, insolvency and reorganization with respect to us or any Significant Subsidiary of ours which is organized under the laws of the United States or any political sub-division thereof or the entry of an order ordering the winding up or liquidation of our affairs.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Each indenture will provide that the Trustee thereunder will, within 90 days after the occurrence of a default with respect to the debt securities of any series issued under such indenture, give to the holders of the debt securities of such series notice of all uncured and unwaived defaults known to it;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in the case of default in the payment of principal of, premium, if any, or interest, if any, on any of the debt securities of such series, the Trustee will be protected in withholding such notice if it in good faith determines that the withholding of such notice is in the interests of the holders of the debt securities of such series. The term “default” for the purpose of this provision means any event which is, or after notice or lapse of time or both would become, an Event of Default with respect to debt securities of such series.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indenture will contain provisions entitling the Trustee under such indenture, subject to the duty of the Trustee during an Event of Default to act with the required standard of care, to be indemnified to its reasonable satisfaction by the holders of the debt securities before proceeding to exercise any right or power under the applicable indenture at the request of holders of such debt securities.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indenture will provide that the holders of a majority in aggregate principal amount of the outstanding debt securities of any series issued under such indenture may direct the time, method and place of conducting proceedings for remedies available to the Trustee or exercising any trust or power conferred on the Trustee in respect of such series, subject to certain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Except as otherwise set forth in the prospectus supplement relating to the debt securities, in certain cases, the holders of a majority in principal amount of the outstanding debt securities of any series may waive, on behalf of the holders of all debt securities of such series, any past default or Event of Default with respect to the debt securities of such series except, among other things, a default not theretofore cured in payment of the principal of, or premium, if any, or interest, if any, on any of the senior debt securities of such series or payment of any sinking or purchase fund or analogous obligations with respect to such senior debt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include a covenant that we will file annually with the Trustee a certificate of no default or specifying any default that exists.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set forth in the prospectus supplement relating to the debt securities, we and the Trustee may, without the consent of the holders of the debt securities issued under the indenture governing such debt securities, enter into indentures supplemental to the applicable indenture for, among others, one or more of the following purposes:</w:t>
      </w:r>
    </w:p>
    <w:p>
      <w:pPr>
        <w:spacing w:after="0" w:line="59" w:lineRule="exact"/>
        <w:rPr>
          <w:sz w:val="20"/>
          <w:szCs w:val="20"/>
          <w:color w:val="auto"/>
        </w:rPr>
      </w:pPr>
    </w:p>
    <w:p>
      <w:pPr>
        <w:ind w:left="9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such successor of the Company’s obligations under the applicable indenture and the debt securities of any series;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to the covenants of the Company or to surrender any rights or powers of the Company for the benefit of the holders of debt securities of any or all series issued under such indenture;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in the applicable indenture which may be inconsistent with any other provision therein, or to make any other provisions with respect to matters or questions arising under such indenture;</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add to the applicable indenture any provisions that may be expressly permitted by the Trust Indenture Act of 1939, as amended (the “</w:t>
      </w:r>
      <w:r>
        <w:rPr>
          <w:rFonts w:ascii="Arial" w:cs="Arial" w:eastAsia="Arial" w:hAnsi="Arial"/>
          <w:sz w:val="18"/>
          <w:szCs w:val="18"/>
          <w:i w:val="1"/>
          <w:iCs w:val="1"/>
          <w:color w:val="auto"/>
        </w:rPr>
        <w:t>TIA</w:t>
      </w:r>
      <w:r>
        <w:rPr>
          <w:rFonts w:ascii="Arial" w:cs="Arial" w:eastAsia="Arial" w:hAnsi="Arial"/>
          <w:sz w:val="18"/>
          <w:szCs w:val="18"/>
          <w:color w:val="auto"/>
        </w:rPr>
        <w:t>”), excluding the provisions referred to in Section 316(a)(2) of the TIA as in effect at the date as of which the applicable indenture was executed or any corresponding provision in any similar federal statute hereafter enacted;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 to be issued under the applicable indenture, to provide for the issuance of any series of debt securities and/or to add to the rights of the holders of debt securities;</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one or more series of debt securities or to add or change any of the provisions of the applicable indenture as shall be necessary to facilitate the administration of the trusts thereunder by one or more trustees in accordance with the applicable indenture;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securities are issued in registered form for certain federal tax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provide for the terms and conditions of converting those debt securities that are convertible into common stock or another such similar security;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secure any series of debt securities;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make any change necessary to comply with any requirement of the SEC in connection with the qualification of the applicable indenture or any supplemental indenture under the TIA;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the holders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supplemental indenture for the purpose identified in clauses (2), (3) or (5) above may be entered into if to do so would adversely affect the rights of the holders of debt securities of any series issued under the same indenture in any material respect.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Except as set forth in the prospectus supplement relating to such series of debt securities, each indenture will contain provisions permitting us and the Trustee under such indenture, with the consent of the holders of a majority in principal amount of the outstanding debt securities of all series issued under such indenture to be affected voting as a single class, to execute supplemental indentures for the purpose of adding any provisions to or changing or eliminating any of the provisions of applicable indenture or modifying the rights of the holders of the debt securities of such series to be affected, except that no such supplemental indenture may, without the consent of the holders of affected debt securities, among other things:</w:t>
      </w:r>
    </w:p>
    <w:p>
      <w:pPr>
        <w:spacing w:after="0" w:line="35" w:lineRule="exact"/>
        <w:rPr>
          <w:sz w:val="20"/>
          <w:szCs w:val="20"/>
          <w:color w:val="auto"/>
        </w:rPr>
      </w:pPr>
    </w:p>
    <w:p>
      <w:pPr>
        <w:ind w:left="900" w:right="180" w:hanging="325"/>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the maturity of the principal of, or the maturity of any premium on, or any installment of interest on, any such debt security, or reduce the principal amount or the interest or any premium of any such debt securities, or change the method of computing the amount of principal or interest on any such debt securities on any date or change any place of payment where, or the currency in which, any debt securities or any premium or interest thereon is payable, or impair the right to institute suit for the enforcement of any such payment on or after the maturity of principal or premium, as the case may be;</w:t>
      </w:r>
    </w:p>
    <w:p>
      <w:pPr>
        <w:spacing w:after="0" w:line="61"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reduce the percentage in principal amount of any such debt securities the consent of whose holders is required for any supplemental indenture, waiver of compliance with certain provisions of the applicable indenture or certain defaults under the applicable indenture;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modify any of the provisions of applicable indenture related to (i) the requirement that the holders of debt securities issued under such indenture consent to certain amendments of the applicable indenture, (ii) the waiver of past defaults and (iii) the waiver of certain covenants, except to increase the percentage of holders required to make such amendments or grant such waivers; or</w:t>
      </w:r>
    </w:p>
    <w:p>
      <w:pPr>
        <w:spacing w:after="0" w:line="59"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 or adversely affect the right of any holder to institute suit for the enforcement of any payment on, or with respect to, such senior debt securities on or after the maturity of such debt securities.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subordinated indenture will provide that we may not make any change in the terms of the subordination of the subordinated debt securities of any series in a manner adverse in any material respect to the holders of any series of subordinated debt securities without the consent of each holder of subordinated debt securities that would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U.S. Bank National Association is the Trustee under each indenture. The Trustee and its affiliates may also provide banking, trustee and other services for us, and transact other banking business with us, in the normal course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indentures will be governed by, and construed in accordance with, the laws of the State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issue debt securities through global securities. A global security is a security, typically held by a depositary, that represents the beneficial interests of a number of purchasers of the security. If we do issue global securities, the following procedures will apply.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deposit global securities with the depositary identified in the prospectus supplement. After we issue a global security, the depositary will credit on its book-entry registration and transfer system the respective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principal amounts of the debt securities represented by the global security to the accounts of persons who have accounts with the depositary. These account holders are known as “participants.” The underwriters or agents participating in the distribution of the debt securities will designate the accounts to be credited. Only a participant or a person who holds an interest through a participant may be the beneficial owner of a global security. Ownership of beneficial interests in the global security will be shown on, and the transfer of that ownership will be effected only through, records maintained by the depositary and its participants.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and the Trustee will treat the depositary or its nominee as the sole owner or holder of the debt securities represented by a global security. Except as set forth below, owners of beneficial interests in a global security will not be entitled to have the debt securities represented by the global security registered in their names. They also will not receive or be entitled to receive physical delivery of the debt securities in definitive form and will not be considered the owners or holders of the debt securities.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Principal, any premium and any interest payments on debt securities represented by a global security registered in the name of a depositary or its nominee will be made to the depositary or its nominee as the registered owner of the global security. None of us, the Trustee or any paying agent will have any responsibility or liability for any aspect of the records relating to or payments made on account of beneficial ownership interests in the global security or maintaining, supervising or reviewing any records relating to the beneficial ownership interests.</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expect that the depositary, upon receipt of any payments, will immediately credit participants’ accounts with payments in amounts proportionate to their respective beneficial interests in the principal amount of the global security as shown on the depositary’s records. We also expect that payments by participants to owners of beneficial interests in the global security will be governed by standing instructions and customary practices, as is the case with the securities held for the accounts of customers registered in “street names,” and will be the responsibility of the participants.</w:t>
      </w:r>
    </w:p>
    <w:p>
      <w:pPr>
        <w:spacing w:after="0" w:line="11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If the depositary is at any time unwilling or unable to continue as depositary and a successor depositary is not appointed by us within 90 days, we will issue registered securities in exchange for the global security. In addition, we may at any time in our sole discretion determine not to have any of the debt securities of a series represented by global securities. In that event, we will issue debt securities of that series in definitive form in exchange for the global securities.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 this prospectus.</w:t>
      </w:r>
    </w:p>
    <w:p>
      <w:pPr>
        <w:spacing w:after="0" w:line="12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the event of a distribution other than in cash, the depositary will distribute property received by it to the record holders of depositary shares entitled thereto in proportion to the number of depositary shares owned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amount distributed in any of the foregoing cases will be reduced by any amounts required to be withheld by us or the depositary on account of taxes or other governmental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Underlying Preferred Stock</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96"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96" w:lineRule="exact"/>
        <w:rPr>
          <w:sz w:val="20"/>
          <w:szCs w:val="20"/>
          <w:color w:val="auto"/>
        </w:rPr>
      </w:pPr>
    </w:p>
    <w:p>
      <w:pPr>
        <w:jc w:val="both"/>
        <w:ind w:right="460" w:firstLine="456"/>
        <w:spacing w:after="0" w:line="256" w:lineRule="auto"/>
        <w:rPr>
          <w:sz w:val="20"/>
          <w:szCs w:val="20"/>
          <w:color w:val="auto"/>
        </w:rPr>
      </w:pPr>
      <w:r>
        <w:rPr>
          <w:rFonts w:ascii="Arial" w:cs="Arial" w:eastAsia="Arial" w:hAnsi="Arial"/>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depositary will forward to the holders of depositary shares all reports and communications from us that are delivered to the depositary and which we are required to furnish to the holders of the related preferred stock.</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description of the terms of the warrants sets forth certain general terms and provisions of the warrants to which any prospectus supplement may relate. We may issue warrants for the purchase of common stock, preferred stock, debt securities or depositary shares. Warrants may be issued independently or together with common stock, preferred stock, debt securities or depositary shares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 particular issue of debt warrants will describe the terms of such debt warrants, including the following:</w:t>
      </w:r>
    </w:p>
    <w:p>
      <w:pPr>
        <w:spacing w:after="0" w:line="113"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offering price for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number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such debt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with which such debt warrants are issued and the number of such debt warrants issued with each such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applicable, the date from and after which such debt warrants and any debt securities issued therewith will be separately transferable;</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a debt warrant and the price at which such principal amount of debt securities may be purchased upon exercise (which price may be payable in cash, securities or other property);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on which the right to exercise such debt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debt warrants that may be exercised at any one time;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antidilution or adjustment provisions of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debt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any additional terms of such debt warrants, including terms, procedures, and limitations relating to the exchange and exercise of such debt warrants.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relating to any particular issue of common stock warrants, preferred stock warrants or depositary share warrants will describe the terms of such warrants, including the following:</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offering price for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purchasable upon exercise of such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applicable, the designation and terms of the offered securities with which such warrants are issued and the number of such warrants issued with each such offered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applicable, the date from and after which such warrants and any offered securities issued therewith will be separately transferable;</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such shares may be purchased upon exercise;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that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additional terms of such warrants, including terms, procedures and limitations relating to the exchange and exercise of such warrants.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RIGHTS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13"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aggregate number of rights issued and the aggregate number of shares of common stock purchasable upon exercise of the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Each right would entitle the holder of the rights to purchase for cash the principal amount of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PURCHASE CONTRACTS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issue, from time to time, purchase contracts, including contracts obligating holders to purchase from us and us to sell to the holders, a specified principal amount of senior debt securities, subordinated debt securities, shares of common stock or preferred stock, depositary shares, government securities, or any of the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prospectus supplement related to any particular purchase contracts will describe, among other things, the material terms of the purchase contracts and of the securities being sold pursuant to such purchase contracts, a discussion, if appropriate, of any special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THE UNITS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prospectus supplement related to any particular units will describe, among other things:</w:t>
      </w:r>
    </w:p>
    <w:p>
      <w:pPr>
        <w:spacing w:after="0" w:line="90" w:lineRule="exact"/>
        <w:rPr>
          <w:sz w:val="20"/>
          <w:szCs w:val="20"/>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of the securities comprising the units;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appropriate, any special United States federal income tax considerations applicable to the units;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240" w:top="459"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the selling stockholders may offer and sell the securities in any one or more of the following ways:</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directly to one or more other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exercise of rights distributed or issued to our security holders;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agents on a best-efforts basis;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otherwise through a combination of any of the above methods of sale.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we or the selling stockholders may enter into option, share lending or other types of transactions that require us or such selling stockholders, as applicable, to deliver shares of common stock to an underwriter, broker or dealer, who will then resell or transfer the shares of common stock under this prospectus. We or the selling stockholders may also enter into hedging transactions with respect to our securities or the securities of such selling stockholders, as applicable. For example, we or the selling stockholders may:</w:t>
      </w:r>
    </w:p>
    <w:p>
      <w:pPr>
        <w:spacing w:after="0" w:line="62"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shares of common stock by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 shares of common stock short and deliver the shares to close out short positions;</w:t>
      </w:r>
    </w:p>
    <w:p>
      <w:pPr>
        <w:spacing w:after="0" w:line="9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enter into option or other types of transactions that require us or the selling stockholders, as applicable, to deliver shares of common stock to an underwriter, broker or dealer, who will then resell or transfer the shares of common stock under this prospectus; or</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loan or pledge the shares of common stock to an underwriter, broker or dealer, who may sell the loaned shares or, in the event of default, sell the pledged shares.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selling stockholder will act independently of us in making decisions with respect to the timing, manner and size of each sale of shares of common stock covered by this prospectus.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such selling stockholders, as applicable, or borrowed from us, such selling stockholders or others to settle those sales or to close out any related open borrowings of stock, and may use securities received from us or selling stockholders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or the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the securities of such selling stockholders, as applicable, or in connection with a concurrent offering of other securities.</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Shares of common stock may also be exchanged for satisfaction of the selling stockholders’ obligations or other liabilities to their creditors. Such transactions may or may not involve brokers or dealers.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Each time we or the selling stockholders sell securities, we will provide a prospectus supplement that will name any underwriter, dealer or agent involved in the offer and sale of the securities. The prospectus supplement will also set forth the terms of the offering, including:</w:t>
      </w:r>
    </w:p>
    <w:p>
      <w:pPr>
        <w:spacing w:after="0" w:line="5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and/or such selling stockholders, as applicable, will receive from the sale of the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public offering or purchase price and any discounts or commissions allowed or re-allowed or paid to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commissions allowed or paid to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offering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method of distribution of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of any agreement, arrangement or understanding entered into with the underwriters, brokers or dealers;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information we think is important.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underwriters or dealers are used in the sale, the securities will be acquired by the underwriters or dealers for their own account. The securities may be sold from time to time by us or the selling stockholders in one or more transactions:</w:t>
      </w:r>
    </w:p>
    <w:p>
      <w:pPr>
        <w:spacing w:after="0" w:line="5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sales may be effected:</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transactions on any national securities exchange or quotation service on which the securities may be listed or quoted at the time of sale;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transactions in the over-the-counter market;</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the writing of options;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other types of transactions.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firstLine="456"/>
        <w:spacing w:after="0" w:line="370" w:lineRule="auto"/>
        <w:rPr>
          <w:sz w:val="20"/>
          <w:szCs w:val="20"/>
          <w:color w:val="auto"/>
        </w:rPr>
      </w:pPr>
      <w:r>
        <w:rPr>
          <w:rFonts w:ascii="Arial" w:cs="Arial" w:eastAsia="Arial" w:hAnsi="Arial"/>
          <w:sz w:val="15"/>
          <w:szCs w:val="15"/>
          <w:color w:val="auto"/>
        </w:rPr>
        <w:t>The selling stockholders might not sell any shares of common stock under this prospectus. In addition, any shares of common stock covered by this prospectus that qualify for sale pursuant to Rule 144 under the Securities Act of 1933 may be sold under Rule 144 rather than pursuant to this prospectus.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sold directly by us or the selling stockholders or through agents designated by us or such selling stockholders, as applicable, from time to time. Any agent involved in the offer or sale of the securities in respect of which this prospectus is delivered will be named, and any commissions payable by us or such selling stockholders, as applicable, to such agent will be set forth in, the prospectus supplement. Unless otherwise indicated in the prospectus supplement, any such agent will be acting on a best efforts basis for the period of its appointment.</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Offers to purchase the securities offered by this prospectus may be solicited, and sales of the securities may be made by us or by selling stockholders directly to institutional investors or others, who may be deemed to be underwriters within the meaning of the Securities Act of 1933 with respect to any resale of the securities. The terms of any offer made in this manner will be included in the prospectus supplement relating to the offer.</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59"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educational and charitable institutions.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all cases, these purchasers must be approved by us or the selling stockholders, as applicable.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or the selling stockholders, as applicable, must have sold to these underwriters the securities not subject to delayed delivery. Underwriters and other agents will not have any responsibility in respect of the validity or performance of these contracts.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Some of the underwriters, dealers or agents used by us or the selling stockholders in any offering of securities under this prospectus may be customers of, engage in transactions with, and perform services for us and/or such selling stockholders, as applicable, or affiliates of ours and/or theirs, as applicable, in the ordinary course of business. Underwriters, dealers, agents and other persons may be entitled under agreements which may be entered into with us and/or the selling stockholders to indemnification against and contribution toward certain civil liabilities, including liabilities under the Securities Act of 1933, and to be reimbursed by us and/or such selling stockholders for certain expenses.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any restrictions relating to debt securities in bearer form, any securities initially sold outside the United States may be resold in the United States through underwriters, dealers or otherwise.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underwriters to which offered securities are sold by us or the selling stockholders for public offering and sale may make a market in such securities, but those underwriters will not be obligated to do so and may discontinue any market making at any time.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anticipated date of delivery of the securities offered by this prospectus will be described in the applicable prospectus supplement relating to the offering.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more than 10 percent of the net proceeds of any offering of securities made under this prospectus will be received by members of the Financial Industry Regulatory Authority, or FINRA, participating in the offering or by affiliates or associated persons of such FINRA members, the offering will be conducted in accordance with NASD Conduct Rule 2710(h). The maximum compensation we will pay to underwriters in connection with any offering of the securities will not exceed 8% of the maximum proceeds of such offering.</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Unless otherwise indicated in the applicable prospectus supplement, certain legal matters will be passed upon for us by Paul, Weiss, Rifkind, Wharton &amp; Garrison LLP, New York, New York. If legal matters in connection with offerings made pursuant to this prospectus are passed upon by counsel for underwriters, dealers or agents, if any, such counsel will be named in the prospectus supplement relating to such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of ExlService Holdings, Inc. appearing in ExlService Holdings, Inc.’s Annual Report (Form 10-K) for the year ended December 31, 2008, and the effectiveness of ExlService Holdings, Inc. internal control over financial reporting as of December 31, 2008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required by the Securities Act of 1933, as amended, ExlService filed a registration statement relating to the securities offered by this prospectus with the SEC. This prospectus is a part of that registration statement, which includes additional information.</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 under the Securities Exchange Act of 1934, as amended. These filings are available to the public on the SEC’s website at www.sec.gov. You may also read and copy any document the Company files at the SEC’s public reference room at 100 F Street, N.E., Washington, D.C. Please call the SEC at 1-800-SEC-0330 for further information on the public reference room. ExlService maintains a website at www.exlservice.com where the Annual Report on Form 10-K, Quarterly Reports on Form 10-Q, Current Reports on Form 8-K and all amendments to those reports are available without charge, as soon as reasonably practicable after those reports are filed with or furnished to the SEC.</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 or at its public reference room.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 SEC, which means that we can disclose important information to you by referring you to those documents. The information incorporated by reference is considered to be part of this prospectus. Information that we file later with the SEC will automatically update information in this prospectus. In all cases, you should rely on the later information over different information included in this prospectus or the prospectus supplement. We incorporate by reference the following documents which have been filed with the SEC:</w:t>
      </w:r>
    </w:p>
    <w:p>
      <w:pPr>
        <w:spacing w:after="0" w:line="32" w:lineRule="exact"/>
        <w:rPr>
          <w:sz w:val="20"/>
          <w:szCs w:val="20"/>
          <w:color w:val="auto"/>
        </w:rPr>
      </w:pPr>
    </w:p>
    <w:p>
      <w:pPr>
        <w:ind w:left="90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2008, including portions of our Proxy Statement for the 2009 Annual Meeting of Stockholders (filed on April 30, 2009) to the extent specifically incorporated by reference therein;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2009, June 30, 2009 and September 30, 2009;</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Current Reports on Form 8-K filed on January 30, 2009, March 11, 2009 (with regard to Item 5.02 thereof only), April 7, 2009 and January 5, 2010;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description of the Company’s common stock set forth in the Company’s Registration Statement on Form 8-A filed on October 17, 2006.</w:t>
      </w:r>
    </w:p>
    <w:p>
      <w:pPr>
        <w:spacing w:after="0" w:line="19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All documents and reports that we file with the SEC (other than any portion of such filings that are furnished under applicable SEC rules rather than filed) pursuant to Section 13(a), 13(c), 14 or 15(d) of the Securities Exchange Act of 1934, as amended after the date of this prospectus and before the later of (1) the completion of the offering of the securities described in this prospectus and (2) the date we stop offering securities pursuant to this prospectus, shall be incorporated by reference in this prospectus from the date of filing of such documents. The information contained on our website (www.exlservice.com) is not incorporated into this prospectus.</w:t>
      </w:r>
    </w:p>
    <w:p>
      <w:pPr>
        <w:spacing w:after="0" w:line="14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You should not assume that the information in this prospectus, the prospectus supplement, any applicable pricing supplement or any documents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2,000,000 Shares</w:t>
      </w:r>
    </w:p>
    <w:p>
      <w:pPr>
        <w:spacing w:after="0" w:line="129" w:lineRule="exact"/>
        <w:rPr>
          <w:sz w:val="20"/>
          <w:szCs w:val="20"/>
          <w:color w:val="auto"/>
        </w:rPr>
      </w:pPr>
    </w:p>
    <w:p>
      <w:pPr>
        <w:jc w:val="center"/>
        <w:ind w:right="-1200"/>
        <w:spacing w:after="0"/>
        <w:rPr>
          <w:sz w:val="20"/>
          <w:szCs w:val="20"/>
          <w:color w:val="auto"/>
        </w:rPr>
      </w:pPr>
      <w:r>
        <w:rPr>
          <w:rFonts w:ascii="Arial" w:cs="Arial" w:eastAsia="Arial" w:hAnsi="Arial"/>
          <w:sz w:val="58"/>
          <w:szCs w:val="58"/>
          <w:b w:val="1"/>
          <w:bCs w:val="1"/>
          <w:color w:val="auto"/>
        </w:rPr>
        <w:t>ExlService Holdings, Inc.</w:t>
      </w:r>
    </w:p>
    <w:p>
      <w:pPr>
        <w:spacing w:after="0" w:line="241"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1087755</wp:posOffset>
            </wp:positionV>
            <wp:extent cx="11061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118110</wp:posOffset>
            </wp:positionV>
            <wp:extent cx="1200785" cy="8058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78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December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177800</wp:posOffset>
            </wp:positionV>
            <wp:extent cx="11061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43"/>
          <w:szCs w:val="43"/>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lowerLetter"/>
      <w:start w:val="1"/>
    </w:lvl>
    <w:lvl w:ilvl="1">
      <w:lvlJc w:val="left"/>
      <w:lvlText w:val="•"/>
      <w:numFmt w:val="bullet"/>
      <w:start w:val="1"/>
    </w:lvl>
  </w:abstractNum>
  <w:abstractNum w:abstractNumId="7">
    <w:nsid w:val="836C40E"/>
    <w:multiLevelType w:val="hybridMultilevel"/>
    <w:lvl w:ilvl="0">
      <w:lvlJc w:val="left"/>
      <w:lvlText w:val="%1."/>
      <w:numFmt w:val="lowerLetter"/>
      <w:start w:val="2"/>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lowerRoman"/>
      <w:start w:val="3"/>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2019-12-11T00:35:03Z</dcterms:created>
  <dcterms:modified xsi:type="dcterms:W3CDTF">2019-12-11T00:35:03Z</dcterms:modified>
</cp:coreProperties>
</file>