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18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54"/>
        <w:spacing w:after="0"/>
        <w:rPr>
          <w:sz w:val="20"/>
          <w:szCs w:val="20"/>
          <w:color w:val="auto"/>
        </w:rPr>
      </w:pPr>
      <w:r>
        <w:rPr>
          <w:rFonts w:ascii="Times New Roman" w:cs="Times New Roman" w:eastAsia="Times New Roman" w:hAnsi="Times New Roman"/>
          <w:sz w:val="17"/>
          <w:szCs w:val="17"/>
          <w:color w:val="0000FF"/>
        </w:rPr>
        <w:t>President &amp; Head of Analytics</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7,445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382,217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4,118</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378,099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5,050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383,149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2,793</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380,356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384,756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2,434</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382,322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8,800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5,050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5,050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7,445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7,445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3,520 (pre-split) restricted stock units, vesting in four annual installments beginning on the first anniversary of the grant date. 25 percent of the restricted stock units became vested on February 15, 2024, an additional twenty-five percent of the restricted stock units became vested on February 15, 2025, an additional twenty-five percent of the restricted stock units will vest on February 15, 2026; and the remaining balance of twenty-five percent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4,040 (pre-split) restricted stock units, vesting in four annual installments beginning on the first anniversary of the grant date. 25 percent of the restricted stock units became vested on February 16, 2023, an additional twenty-five percent of the restricted stock units became vested on February 16, 2024, an additional twenty-five percent of the restricted stock units became vested on February 16, 2025; and the remaining balance of twenty-five percent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5,955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became vested on February 17, 2025.</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2025-02-20T17:01:32Z</dcterms:created>
  <dcterms:modified xsi:type="dcterms:W3CDTF">2025-02-20T17:01:32Z</dcterms:modified>
</cp:coreProperties>
</file>