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60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0387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BAGAI PAVAN</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10/30/2014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President &amp; COO</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ind w:left="500"/>
              <w:spacing w:after="0" w:line="132"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ind w:left="50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10/30/2014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19,500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19.76</w:t>
            </w:r>
          </w:p>
        </w:tc>
        <w:tc>
          <w:tcPr>
            <w:tcW w:w="180" w:type="dxa"/>
            <w:vAlign w:val="bottom"/>
          </w:tcPr>
          <w:p>
            <w:pPr>
              <w:spacing w:after="0"/>
              <w:rPr>
                <w:sz w:val="22"/>
                <w:szCs w:val="22"/>
                <w:color w:val="auto"/>
              </w:rPr>
            </w:pPr>
          </w:p>
        </w:tc>
        <w:tc>
          <w:tcPr>
            <w:tcW w:w="12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127,071</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Arial" w:cs="Arial" w:eastAsia="Arial" w:hAnsi="Arial"/>
                <w:sz w:val="17"/>
                <w:szCs w:val="17"/>
                <w:color w:val="0000FF"/>
                <w:w w:val="93"/>
              </w:rPr>
              <w:t>Common Stock, par value $0.001 per</w:t>
            </w:r>
          </w:p>
        </w:tc>
        <w:tc>
          <w:tcPr>
            <w:tcW w:w="1540" w:type="dxa"/>
            <w:vAlign w:val="bottom"/>
            <w:gridSpan w:val="2"/>
            <w:vMerge w:val="restart"/>
          </w:tcPr>
          <w:p>
            <w:pPr>
              <w:ind w:left="600"/>
              <w:spacing w:after="0"/>
              <w:rPr>
                <w:sz w:val="20"/>
                <w:szCs w:val="20"/>
                <w:color w:val="auto"/>
              </w:rPr>
            </w:pPr>
            <w:r>
              <w:rPr>
                <w:rFonts w:ascii="Arial" w:cs="Arial" w:eastAsia="Arial" w:hAnsi="Arial"/>
                <w:sz w:val="17"/>
                <w:szCs w:val="17"/>
                <w:color w:val="0000FF"/>
              </w:rPr>
              <w:t>10/30/2014</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7"/>
                <w:szCs w:val="17"/>
                <w:color w:val="0000FF"/>
                <w:w w:val="92"/>
              </w:rPr>
              <w:t>19,500</w:t>
            </w:r>
          </w:p>
        </w:tc>
        <w:tc>
          <w:tcPr>
            <w:tcW w:w="56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28.1802</w:t>
            </w:r>
            <w:r>
              <w:rPr>
                <w:rFonts w:ascii="Arial" w:cs="Arial" w:eastAsia="Arial" w:hAnsi="Arial"/>
                <w:sz w:val="22"/>
                <w:szCs w:val="22"/>
                <w:color w:val="008000"/>
                <w:w w:val="90"/>
                <w:vertAlign w:val="superscript"/>
              </w:rPr>
              <w:t>(3)</w:t>
            </w:r>
          </w:p>
        </w:tc>
        <w:tc>
          <w:tcPr>
            <w:tcW w:w="1220" w:type="dxa"/>
            <w:vAlign w:val="bottom"/>
            <w:gridSpan w:val="2"/>
            <w:vMerge w:val="restart"/>
          </w:tcPr>
          <w:p>
            <w:pPr>
              <w:ind w:left="320"/>
              <w:spacing w:after="0"/>
              <w:rPr>
                <w:sz w:val="20"/>
                <w:szCs w:val="20"/>
                <w:color w:val="auto"/>
              </w:rPr>
            </w:pPr>
            <w:r>
              <w:rPr>
                <w:rFonts w:ascii="Arial" w:cs="Arial" w:eastAsia="Arial" w:hAnsi="Arial"/>
                <w:sz w:val="17"/>
                <w:szCs w:val="17"/>
                <w:color w:val="0000FF"/>
              </w:rPr>
              <w:t>107,571</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54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1"/>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5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w w:val="90"/>
              </w:rPr>
              <w:t>Common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19,500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19.76</w:t>
            </w:r>
          </w:p>
        </w:tc>
        <w:tc>
          <w:tcPr>
            <w:tcW w:w="1180" w:type="dxa"/>
            <w:vAlign w:val="bottom"/>
          </w:tcPr>
          <w:p>
            <w:pPr>
              <w:ind w:left="260"/>
              <w:spacing w:after="0" w:line="148" w:lineRule="exact"/>
              <w:rPr>
                <w:sz w:val="20"/>
                <w:szCs w:val="20"/>
                <w:color w:val="auto"/>
              </w:rPr>
            </w:pPr>
            <w:r>
              <w:rPr>
                <w:rFonts w:ascii="Arial" w:cs="Arial" w:eastAsia="Arial" w:hAnsi="Arial"/>
                <w:sz w:val="13"/>
                <w:szCs w:val="13"/>
                <w:color w:val="0000FF"/>
              </w:rPr>
              <w:t>10/30/2014</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ind w:left="320"/>
              <w:spacing w:after="0" w:line="148" w:lineRule="exact"/>
              <w:rPr>
                <w:sz w:val="20"/>
                <w:szCs w:val="20"/>
                <w:color w:val="auto"/>
              </w:rPr>
            </w:pPr>
            <w:r>
              <w:rPr>
                <w:rFonts w:ascii="Arial" w:cs="Arial" w:eastAsia="Arial" w:hAnsi="Arial"/>
                <w:sz w:val="13"/>
                <w:szCs w:val="13"/>
                <w:color w:val="0000FF"/>
                <w:w w:val="95"/>
              </w:rPr>
              <w:t>19,500</w:t>
            </w:r>
          </w:p>
        </w:tc>
        <w:tc>
          <w:tcPr>
            <w:tcW w:w="820" w:type="dxa"/>
            <w:vAlign w:val="bottom"/>
            <w:vMerge w:val="continue"/>
          </w:tcPr>
          <w:p>
            <w:pPr>
              <w:spacing w:after="0"/>
              <w:rPr>
                <w:sz w:val="12"/>
                <w:szCs w:val="12"/>
                <w:color w:val="auto"/>
              </w:rPr>
            </w:pPr>
          </w:p>
        </w:tc>
        <w:tc>
          <w:tcPr>
            <w:tcW w:w="800" w:type="dxa"/>
            <w:vAlign w:val="bottom"/>
          </w:tcPr>
          <w:p>
            <w:pPr>
              <w:jc w:val="center"/>
              <w:spacing w:after="0" w:line="148" w:lineRule="exact"/>
              <w:rPr>
                <w:sz w:val="20"/>
                <w:szCs w:val="20"/>
                <w:color w:val="auto"/>
              </w:rPr>
            </w:pPr>
            <w:r>
              <w:rPr>
                <w:rFonts w:ascii="Arial" w:cs="Arial" w:eastAsia="Arial" w:hAnsi="Arial"/>
                <w:sz w:val="13"/>
                <w:szCs w:val="13"/>
                <w:color w:val="0000FF"/>
                <w:w w:val="92"/>
              </w:rPr>
              <w:t>02/03/2021</w:t>
            </w:r>
          </w:p>
        </w:tc>
        <w:tc>
          <w:tcPr>
            <w:tcW w:w="560" w:type="dxa"/>
            <w:vAlign w:val="bottom"/>
          </w:tcPr>
          <w:p>
            <w:pPr>
              <w:ind w:left="60"/>
              <w:spacing w:after="0" w:line="148" w:lineRule="exact"/>
              <w:rPr>
                <w:sz w:val="20"/>
                <w:szCs w:val="20"/>
                <w:color w:val="auto"/>
              </w:rPr>
            </w:pPr>
            <w:r>
              <w:rPr>
                <w:rFonts w:ascii="Arial" w:cs="Arial" w:eastAsia="Arial" w:hAnsi="Arial"/>
                <w:sz w:val="13"/>
                <w:szCs w:val="13"/>
                <w:color w:val="0000FF"/>
                <w:w w:val="89"/>
              </w:rPr>
              <w:t>par value</w:t>
            </w: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w w:val="83"/>
              </w:rPr>
              <w:t>per share</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October 30, 2014 the reporting person exercised previously issued options to purchase an aggregate of 19,500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$28.00 to $28.74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19,500 of these options were fully vested and exercised.</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11/03/2014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2019-12-16T15:26:14Z</dcterms:created>
  <dcterms:modified xsi:type="dcterms:W3CDTF">2019-12-16T15:26:14Z</dcterms:modified>
</cp:coreProperties>
</file>