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5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3922395</wp:posOffset>
            </wp:positionH>
            <wp:positionV relativeFrom="paragraph">
              <wp:posOffset>-4445</wp:posOffset>
            </wp:positionV>
            <wp:extent cx="1226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3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42" w:lineRule="exact"/>
        <w:rPr>
          <w:sz w:val="24"/>
          <w:szCs w:val="24"/>
          <w:color w:val="auto"/>
        </w:rPr>
      </w:pPr>
    </w:p>
    <w:tbl>
      <w:tblPr>
        <w:tblLayout w:type="fixed"/>
        <w:tblInd w:w="35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jc w:val="right"/>
              <w:ind w:right="2045"/>
              <w:spacing w:after="0"/>
              <w:rPr>
                <w:sz w:val="20"/>
                <w:szCs w:val="20"/>
                <w:color w:val="auto"/>
              </w:rPr>
            </w:pPr>
            <w:r>
              <w:rPr>
                <w:rFonts w:ascii="Arial" w:cs="Arial" w:eastAsia="Arial" w:hAnsi="Arial"/>
                <w:sz w:val="16"/>
                <w:szCs w:val="16"/>
                <w:b w:val="1"/>
                <w:bCs w:val="1"/>
                <w:color w:val="auto"/>
              </w:rPr>
              <w:t>82-0572194</w:t>
            </w:r>
          </w:p>
        </w:tc>
        <w:tc>
          <w:tcPr>
            <w:tcW w:w="540" w:type="dxa"/>
            <w:vAlign w:val="bottom"/>
          </w:tcPr>
          <w:p>
            <w:pPr>
              <w:spacing w:after="0"/>
              <w:rPr>
                <w:sz w:val="18"/>
                <w:szCs w:val="18"/>
                <w:color w:val="auto"/>
              </w:rPr>
            </w:pPr>
          </w:p>
        </w:tc>
      </w:tr>
      <w:tr>
        <w:trPr>
          <w:trHeight w:val="186"/>
        </w:trPr>
        <w:tc>
          <w:tcPr>
            <w:tcW w:w="1320" w:type="dxa"/>
            <w:vAlign w:val="bottom"/>
          </w:tcPr>
          <w:p>
            <w:pPr>
              <w:spacing w:after="0"/>
              <w:rPr>
                <w:sz w:val="16"/>
                <w:szCs w:val="16"/>
                <w:color w:val="auto"/>
              </w:rPr>
            </w:pPr>
          </w:p>
        </w:tc>
        <w:tc>
          <w:tcPr>
            <w:tcW w:w="3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320" w:type="dxa"/>
            <w:vAlign w:val="bottom"/>
          </w:tcPr>
          <w:p>
            <w:pPr>
              <w:spacing w:after="0"/>
              <w:rPr>
                <w:sz w:val="16"/>
                <w:szCs w:val="16"/>
                <w:color w:val="auto"/>
              </w:rPr>
            </w:pPr>
          </w:p>
        </w:tc>
        <w:tc>
          <w:tcPr>
            <w:tcW w:w="3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94"/>
              </w:rPr>
              <w:t>Identification No.)</w:t>
            </w:r>
          </w:p>
        </w:tc>
      </w:tr>
      <w:tr>
        <w:trPr>
          <w:trHeight w:val="290"/>
        </w:trPr>
        <w:tc>
          <w:tcPr>
            <w:tcW w:w="1320" w:type="dxa"/>
            <w:vAlign w:val="bottom"/>
          </w:tcPr>
          <w:p>
            <w:pPr>
              <w:spacing w:after="0"/>
              <w:rPr>
                <w:sz w:val="24"/>
                <w:szCs w:val="24"/>
                <w:color w:val="auto"/>
              </w:rPr>
            </w:pPr>
          </w:p>
        </w:tc>
        <w:tc>
          <w:tcPr>
            <w:tcW w:w="3300" w:type="dxa"/>
            <w:vAlign w:val="bottom"/>
            <w:gridSpan w:val="3"/>
          </w:tcPr>
          <w:p>
            <w:pPr>
              <w:ind w:left="620"/>
              <w:spacing w:after="0"/>
              <w:rPr>
                <w:sz w:val="20"/>
                <w:szCs w:val="20"/>
                <w:color w:val="auto"/>
              </w:rPr>
            </w:pPr>
            <w:r>
              <w:rPr>
                <w:rFonts w:ascii="Arial" w:cs="Arial" w:eastAsia="Arial" w:hAnsi="Arial"/>
                <w:sz w:val="16"/>
                <w:szCs w:val="16"/>
                <w:b w:val="1"/>
                <w:bCs w:val="1"/>
                <w:color w:val="auto"/>
              </w:rPr>
              <w:t>320 Park Avenue, 29th Floor,</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7"/>
        </w:trPr>
        <w:tc>
          <w:tcPr>
            <w:tcW w:w="1320" w:type="dxa"/>
            <w:vAlign w:val="bottom"/>
          </w:tcPr>
          <w:p>
            <w:pPr>
              <w:spacing w:after="0"/>
              <w:rPr>
                <w:sz w:val="22"/>
                <w:szCs w:val="22"/>
                <w:color w:val="auto"/>
              </w:rPr>
            </w:pPr>
          </w:p>
        </w:tc>
        <w:tc>
          <w:tcPr>
            <w:tcW w:w="3300" w:type="dxa"/>
            <w:vAlign w:val="bottom"/>
            <w:gridSpan w:val="3"/>
          </w:tcPr>
          <w:p>
            <w:pPr>
              <w:ind w:left="1100"/>
              <w:spacing w:after="0"/>
              <w:rPr>
                <w:sz w:val="20"/>
                <w:szCs w:val="20"/>
                <w:color w:val="auto"/>
              </w:rPr>
            </w:pPr>
            <w:r>
              <w:rPr>
                <w:rFonts w:ascii="Arial" w:cs="Arial" w:eastAsia="Arial" w:hAnsi="Arial"/>
                <w:sz w:val="16"/>
                <w:szCs w:val="16"/>
                <w:b w:val="1"/>
                <w:bCs w:val="1"/>
                <w:color w:val="auto"/>
              </w:rPr>
              <w:t>New York, New York</w:t>
            </w: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20" w:type="dxa"/>
            <w:vAlign w:val="bottom"/>
            <w:gridSpan w:val="2"/>
          </w:tcPr>
          <w:p>
            <w:pPr>
              <w:jc w:val="right"/>
              <w:ind w:right="2245"/>
              <w:spacing w:after="0"/>
              <w:rPr>
                <w:sz w:val="20"/>
                <w:szCs w:val="20"/>
                <w:color w:val="auto"/>
              </w:rPr>
            </w:pPr>
            <w:r>
              <w:rPr>
                <w:rFonts w:ascii="Arial" w:cs="Arial" w:eastAsia="Arial" w:hAnsi="Arial"/>
                <w:sz w:val="16"/>
                <w:szCs w:val="16"/>
                <w:b w:val="1"/>
                <w:bCs w:val="1"/>
                <w:color w:val="auto"/>
              </w:rPr>
              <w:t>10022</w:t>
            </w:r>
          </w:p>
        </w:tc>
        <w:tc>
          <w:tcPr>
            <w:tcW w:w="540" w:type="dxa"/>
            <w:vAlign w:val="bottom"/>
          </w:tcPr>
          <w:p>
            <w:pPr>
              <w:spacing w:after="0"/>
              <w:rPr>
                <w:sz w:val="22"/>
                <w:szCs w:val="22"/>
                <w:color w:val="auto"/>
              </w:rPr>
            </w:pPr>
          </w:p>
        </w:tc>
      </w:tr>
      <w:tr>
        <w:trPr>
          <w:trHeight w:val="224"/>
        </w:trPr>
        <w:tc>
          <w:tcPr>
            <w:tcW w:w="1320" w:type="dxa"/>
            <w:vAlign w:val="bottom"/>
          </w:tcPr>
          <w:p>
            <w:pPr>
              <w:spacing w:after="0"/>
              <w:rPr>
                <w:sz w:val="19"/>
                <w:szCs w:val="19"/>
                <w:color w:val="auto"/>
              </w:rPr>
            </w:pPr>
          </w:p>
        </w:tc>
        <w:tc>
          <w:tcPr>
            <w:tcW w:w="3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92"/>
              </w:rPr>
              <w:t>(Zip code)</w:t>
            </w:r>
          </w:p>
        </w:tc>
      </w:tr>
      <w:tr>
        <w:trPr>
          <w:trHeight w:val="289"/>
        </w:trPr>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center"/>
              <w:ind w:left="2"/>
              <w:spacing w:after="0"/>
              <w:rPr>
                <w:sz w:val="20"/>
                <w:szCs w:val="20"/>
                <w:color w:val="auto"/>
              </w:rPr>
            </w:pPr>
            <w:r>
              <w:rPr>
                <w:rFonts w:ascii="Arial" w:cs="Arial" w:eastAsia="Arial" w:hAnsi="Arial"/>
                <w:sz w:val="16"/>
                <w:szCs w:val="16"/>
                <w:b w:val="1"/>
                <w:bCs w:val="1"/>
                <w:color w:val="auto"/>
                <w:w w:val="93"/>
              </w:rPr>
              <w:t>(212) 277-7100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20" w:type="dxa"/>
            <w:vAlign w:val="bottom"/>
            <w:gridSpan w:val="5"/>
          </w:tcPr>
          <w:p>
            <w:pPr>
              <w:jc w:val="center"/>
              <w:ind w:left="102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20"/>
        </w:trPr>
        <w:tc>
          <w:tcPr>
            <w:tcW w:w="1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gridSpan w:val="3"/>
          </w:tcPr>
          <w:p>
            <w:pPr>
              <w:spacing w:after="0"/>
              <w:rPr>
                <w:sz w:val="10"/>
                <w:szCs w:val="10"/>
                <w:color w:val="auto"/>
              </w:rPr>
            </w:pPr>
          </w:p>
        </w:tc>
        <w:tc>
          <w:tcPr>
            <w:tcW w:w="1300" w:type="dxa"/>
            <w:vAlign w:val="bottom"/>
            <w:tcBorders>
              <w:bottom w:val="single" w:sz="8" w:color="auto"/>
            </w:tcBorders>
            <w:gridSpan w:val="3"/>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217"/>
        </w:trPr>
        <w:tc>
          <w:tcPr>
            <w:tcW w:w="132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8080" w:type="dxa"/>
            <w:vAlign w:val="bottom"/>
            <w:tcBorders>
              <w:right w:val="single" w:sz="8" w:color="auto"/>
            </w:tcBorders>
            <w:gridSpan w:val="8"/>
          </w:tcPr>
          <w:p>
            <w:pPr>
              <w:jc w:val="center"/>
              <w:ind w:right="254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3"/>
        </w:trPr>
        <w:tc>
          <w:tcPr>
            <w:tcW w:w="13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183"/>
        </w:trPr>
        <w:tc>
          <w:tcPr>
            <w:tcW w:w="3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78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0"/>
              </w:rPr>
              <w:t>Trading symbol(s)</w:t>
            </w:r>
          </w:p>
        </w:tc>
        <w:tc>
          <w:tcPr>
            <w:tcW w:w="7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320" w:type="dxa"/>
            <w:vAlign w:val="bottom"/>
            <w:tcBorders>
              <w:lef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7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rPr>
              <w:t>EXLS</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2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16"/>
                <w:szCs w:val="16"/>
                <w:color w:val="auto"/>
              </w:rPr>
              <w:t>NASDAQ</w:t>
            </w:r>
          </w:p>
        </w:tc>
      </w:tr>
    </w:tbl>
    <w:p>
      <w:pPr>
        <w:spacing w:after="0" w:line="8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None</w:t>
      </w:r>
    </w:p>
    <w:p>
      <w:pPr>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214" w:lineRule="exact"/>
        <w:rPr>
          <w:sz w:val="24"/>
          <w:szCs w:val="24"/>
          <w:color w:val="auto"/>
        </w:rPr>
      </w:pPr>
    </w:p>
    <w:p>
      <w:pPr>
        <w:ind w:right="100" w:firstLine="324"/>
        <w:spacing w:after="0" w:line="24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1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right="240" w:firstLine="324"/>
        <w:spacing w:after="0" w:line="24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w:t>
      </w:r>
    </w:p>
    <w:p>
      <w:pPr>
        <w:spacing w:after="0" w:line="1" w:lineRule="exact"/>
        <w:rPr>
          <w:sz w:val="24"/>
          <w:szCs w:val="24"/>
          <w:color w:val="auto"/>
        </w:rPr>
      </w:pPr>
    </w:p>
    <w:p>
      <w:pPr>
        <w:spacing w:after="0" w:line="219" w:lineRule="exact"/>
        <w:tabs>
          <w:tab w:leader="none" w:pos="7000" w:val="left"/>
        </w:tabs>
        <w:rPr>
          <w:sz w:val="20"/>
          <w:szCs w:val="20"/>
          <w:color w:val="auto"/>
        </w:rPr>
      </w:pPr>
      <w:r>
        <w:rPr>
          <w:rFonts w:ascii="Arial" w:cs="Arial" w:eastAsia="Arial" w:hAnsi="Arial"/>
          <w:sz w:val="16"/>
          <w:szCs w:val="16"/>
          <w:color w:val="auto"/>
        </w:rPr>
        <w:t xml:space="preserve">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5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5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00"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219" w:lineRule="exact"/>
        <w:tabs>
          <w:tab w:leader="none" w:pos="80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3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July 31, 2020, there were 34,176,255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472" w:right="599" w:bottom="1440" w:gutter="0" w:footer="0" w:header="0"/>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104" w:lineRule="exact"/>
        <w:rPr>
          <w:sz w:val="20"/>
          <w:szCs w:val="20"/>
          <w:color w:val="auto"/>
        </w:rPr>
      </w:pPr>
    </w:p>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86"/>
        </w:trPr>
        <w:tc>
          <w:tcPr>
            <w:tcW w:w="9020" w:type="dxa"/>
            <w:vAlign w:val="bottom"/>
            <w:gridSpan w:val="4"/>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620" w:type="dxa"/>
            <w:vAlign w:val="bottom"/>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323"/>
        </w:trPr>
        <w:tc>
          <w:tcPr>
            <w:tcW w:w="9020" w:type="dxa"/>
            <w:vAlign w:val="bottom"/>
            <w:gridSpan w:val="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8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June 30, 2020 (Unaudited) and December 31, 2019</w:t>
              </w:r>
            </w:hyperlink>
          </w:p>
        </w:tc>
        <w:tc>
          <w:tcPr>
            <w:tcW w:w="62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8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Income (Unaudited) for the Three and Six months ended June 30, 2020 and 2019</w:t>
              </w:r>
            </w:hyperlink>
          </w:p>
        </w:tc>
        <w:tc>
          <w:tcPr>
            <w:tcW w:w="62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8820" w:type="dxa"/>
            <w:vAlign w:val="bottom"/>
            <w:gridSpan w:val="3"/>
          </w:tcPr>
          <w:p>
            <w:pPr>
              <w:spacing w:after="0" w:line="190"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Consolidated Statements of Comprehensive (Loss)/Income (Unaudited) for the Three and Six months ended June 30,</w:t>
              </w:r>
            </w:hyperlink>
          </w:p>
        </w:tc>
        <w:tc>
          <w:tcPr>
            <w:tcW w:w="620" w:type="dxa"/>
            <w:vAlign w:val="bottom"/>
            <w:vMerge w:val="restart"/>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2020 and 2019</w:t>
              </w:r>
            </w:hyperlink>
          </w:p>
        </w:tc>
        <w:tc>
          <w:tcPr>
            <w:tcW w:w="77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882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Equity (Unaudited) for the Three and Six months ended June 30, 2020 and 2019</w:t>
              </w:r>
            </w:hyperlink>
          </w:p>
        </w:tc>
        <w:tc>
          <w:tcPr>
            <w:tcW w:w="620" w:type="dxa"/>
            <w:vAlign w:val="bottom"/>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820" w:type="dxa"/>
            <w:vAlign w:val="bottom"/>
            <w:gridSpan w:val="3"/>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Cash Flows (Unaudited) for the Six months ended June 30, 2020 and 2019</w:t>
              </w:r>
            </w:hyperlink>
          </w:p>
        </w:tc>
        <w:tc>
          <w:tcPr>
            <w:tcW w:w="620" w:type="dxa"/>
            <w:vAlign w:val="bottom"/>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82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 (Unaudited)</w:t>
              </w:r>
            </w:hyperlink>
          </w:p>
        </w:tc>
        <w:tc>
          <w:tcPr>
            <w:tcW w:w="62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Management’s Discussion and Analysis of Financial Condition and Results of Operations</w:t>
              </w:r>
            </w:hyperlink>
          </w:p>
        </w:tc>
        <w:tc>
          <w:tcPr>
            <w:tcW w:w="620" w:type="dxa"/>
            <w:vAlign w:val="bottom"/>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Quantitative and Qualitative Disclosures About Market Risk</w:t>
              </w:r>
            </w:hyperlink>
          </w:p>
        </w:tc>
        <w:tc>
          <w:tcPr>
            <w:tcW w:w="620" w:type="dxa"/>
            <w:vAlign w:val="bottom"/>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Controls and Procedures</w:t>
              </w:r>
            </w:hyperlink>
          </w:p>
        </w:tc>
        <w:tc>
          <w:tcPr>
            <w:tcW w:w="62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83"/>
        </w:trPr>
        <w:tc>
          <w:tcPr>
            <w:tcW w:w="902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Part II. Other Information</w:t>
              </w:r>
            </w:hyperlink>
          </w:p>
        </w:tc>
        <w:tc>
          <w:tcPr>
            <w:tcW w:w="62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62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Risk Factors</w:t>
              </w:r>
            </w:hyperlink>
          </w:p>
        </w:tc>
        <w:tc>
          <w:tcPr>
            <w:tcW w:w="620" w:type="dxa"/>
            <w:vAlign w:val="bottom"/>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Unregistered Sales of Equity Securities and Use of Proceeds</w:t>
              </w:r>
            </w:hyperlink>
          </w:p>
        </w:tc>
        <w:tc>
          <w:tcPr>
            <w:tcW w:w="62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Defaults Upon Senior Securities</w:t>
              </w:r>
            </w:hyperlink>
          </w:p>
        </w:tc>
        <w:tc>
          <w:tcPr>
            <w:tcW w:w="62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Mine Safety Disclosures</w:t>
              </w:r>
            </w:hyperlink>
          </w:p>
        </w:tc>
        <w:tc>
          <w:tcPr>
            <w:tcW w:w="62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Other Information</w:t>
              </w:r>
            </w:hyperlink>
          </w:p>
        </w:tc>
        <w:tc>
          <w:tcPr>
            <w:tcW w:w="62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324"/>
        </w:trPr>
        <w:tc>
          <w:tcPr>
            <w:tcW w:w="9020" w:type="dxa"/>
            <w:vAlign w:val="bottom"/>
            <w:gridSpan w:val="4"/>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Exhibits</w:t>
              </w:r>
            </w:hyperlink>
          </w:p>
        </w:tc>
        <w:tc>
          <w:tcPr>
            <w:tcW w:w="62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891"/>
        </w:trPr>
        <w:tc>
          <w:tcPr>
            <w:tcW w:w="8980" w:type="dxa"/>
            <w:vAlign w:val="bottom"/>
            <w:gridSpan w:val="3"/>
          </w:tcPr>
          <w:p>
            <w:pPr>
              <w:ind w:left="39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360" w:space="240"/>
            <w:col w:w="9640"/>
          </w:cols>
          <w:pgMar w:left="320" w:top="364"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As of</w:t>
            </w: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b w:val="1"/>
                <w:bCs w:val="1"/>
                <w:color w:val="auto"/>
                <w:w w:val="90"/>
              </w:rPr>
              <w:t>June 30, 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December 31, 2019</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5"/>
              </w:rPr>
              <w:t>(Unaudited)</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163,619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119,165</w:t>
            </w: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Short-term investments</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171,962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202,238</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Restricted cash</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5,453</w:t>
            </w: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157,505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171,864</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 expenses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13,246</w:t>
            </w: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Advance income tax, net</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1,003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4,698</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current assets</w:t>
            </w:r>
          </w:p>
        </w:tc>
        <w:tc>
          <w:tcPr>
            <w:tcW w:w="3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27,472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24,594</w:t>
            </w:r>
          </w:p>
        </w:tc>
        <w:tc>
          <w:tcPr>
            <w:tcW w:w="0" w:type="dxa"/>
            <w:vAlign w:val="bottom"/>
          </w:tcPr>
          <w:p>
            <w:pPr>
              <w:spacing w:after="0"/>
              <w:rPr>
                <w:sz w:val="1"/>
                <w:szCs w:val="1"/>
                <w:color w:val="auto"/>
              </w:rPr>
            </w:pPr>
          </w:p>
        </w:tc>
      </w:tr>
      <w:tr>
        <w:trPr>
          <w:trHeight w:val="20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536,540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541,258</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91,848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79,142</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96,789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86,396</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2,426</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17,070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11,855</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66,296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73,982</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348,110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349,529</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31,599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36,016</w:t>
            </w:r>
          </w:p>
        </w:tc>
        <w:tc>
          <w:tcPr>
            <w:tcW w:w="0" w:type="dxa"/>
            <w:vAlign w:val="bottom"/>
          </w:tcPr>
          <w:p>
            <w:pPr>
              <w:spacing w:after="0"/>
              <w:rPr>
                <w:sz w:val="1"/>
                <w:szCs w:val="1"/>
                <w:color w:val="auto"/>
              </w:rPr>
            </w:pPr>
          </w:p>
        </w:tc>
      </w:tr>
      <w:tr>
        <w:trPr>
          <w:trHeight w:val="212"/>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Investment in equity affiliate</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3,063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2,484</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1,193,613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9,048</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6,564</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long-term borrowings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20,657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40,867</w:t>
            </w: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16,752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13,436</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employee costs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42,376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68,885</w:t>
            </w: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74,772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74,017</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operating lease liabilities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18,199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24,148</w:t>
            </w:r>
          </w:p>
        </w:tc>
        <w:tc>
          <w:tcPr>
            <w:tcW w:w="0" w:type="dxa"/>
            <w:vAlign w:val="bottom"/>
          </w:tcPr>
          <w:p>
            <w:pPr>
              <w:spacing w:after="0"/>
              <w:rPr>
                <w:sz w:val="1"/>
                <w:szCs w:val="1"/>
                <w:color w:val="auto"/>
              </w:rPr>
            </w:pPr>
          </w:p>
        </w:tc>
      </w:tr>
      <w:tr>
        <w:trPr>
          <w:trHeight w:val="212"/>
        </w:trPr>
        <w:tc>
          <w:tcPr>
            <w:tcW w:w="7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Income taxes payable, net</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2,359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1,432</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184,163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229,349</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color w:val="auto"/>
              </w:rPr>
              <w:t>Long-term borrowings, less current portion</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215,527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194,131</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90,934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74,709</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color w:val="auto"/>
              </w:rPr>
              <w:t>Income taxes payable</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1,790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1,790</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 net</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966</w:t>
            </w:r>
          </w:p>
        </w:tc>
        <w:tc>
          <w:tcPr>
            <w:tcW w:w="0" w:type="dxa"/>
            <w:vAlign w:val="bottom"/>
          </w:tcPr>
          <w:p>
            <w:pPr>
              <w:spacing w:after="0"/>
              <w:rPr>
                <w:sz w:val="1"/>
                <w:szCs w:val="1"/>
                <w:color w:val="auto"/>
              </w:rPr>
            </w:pPr>
          </w:p>
        </w:tc>
      </w:tr>
      <w:tr>
        <w:trPr>
          <w:trHeight w:val="212"/>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19,566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12,142</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512,685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513,087</w:t>
            </w:r>
          </w:p>
        </w:tc>
        <w:tc>
          <w:tcPr>
            <w:tcW w:w="0" w:type="dxa"/>
            <w:vAlign w:val="bottom"/>
          </w:tcPr>
          <w:p>
            <w:pPr>
              <w:spacing w:after="0"/>
              <w:rPr>
                <w:sz w:val="1"/>
                <w:szCs w:val="1"/>
                <w:color w:val="auto"/>
              </w:rPr>
            </w:pPr>
          </w:p>
        </w:tc>
      </w:tr>
      <w:tr>
        <w:trPr>
          <w:trHeight w:val="192"/>
        </w:trPr>
        <w:tc>
          <w:tcPr>
            <w:tcW w:w="7440" w:type="dxa"/>
            <w:vAlign w:val="bottom"/>
          </w:tcPr>
          <w:p>
            <w:pPr>
              <w:ind w:left="20"/>
              <w:spacing w:after="0"/>
              <w:rPr>
                <w:sz w:val="20"/>
                <w:szCs w:val="20"/>
                <w:color w:val="auto"/>
              </w:rPr>
            </w:pPr>
            <w:r>
              <w:rPr>
                <w:rFonts w:ascii="Arial" w:cs="Arial" w:eastAsia="Arial" w:hAnsi="Arial"/>
                <w:sz w:val="15"/>
                <w:szCs w:val="15"/>
                <w:color w:val="auto"/>
              </w:rPr>
              <w:t>Commitments and contingencies (Refer to Note 24)</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440" w:type="dxa"/>
            <w:vAlign w:val="bottom"/>
            <w:shd w:val="clear" w:color="auto" w:fill="CCEEFF"/>
          </w:tcPr>
          <w:p>
            <w:pPr>
              <w:ind w:left="340"/>
              <w:spacing w:after="0" w:line="153" w:lineRule="exact"/>
              <w:rPr>
                <w:sz w:val="20"/>
                <w:szCs w:val="20"/>
                <w:color w:val="auto"/>
              </w:rPr>
            </w:pPr>
            <w:r>
              <w:rPr>
                <w:rFonts w:ascii="Arial" w:cs="Arial" w:eastAsia="Arial" w:hAnsi="Arial"/>
                <w:sz w:val="15"/>
                <w:szCs w:val="15"/>
                <w:color w:val="auto"/>
                <w:w w:val="97"/>
              </w:rPr>
              <w:t>Common stock, $0.001 par value; 100,000,000 shares authorized, 38,818,365 shares issued and 34,320,586</w:t>
            </w:r>
          </w:p>
        </w:tc>
        <w:tc>
          <w:tcPr>
            <w:tcW w:w="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5"/>
                <w:szCs w:val="15"/>
                <w:color w:val="auto"/>
                <w:w w:val="95"/>
              </w:rPr>
              <w:t>shares outstanding as of June 30, 2020 and 38,480,654 shares issued and 34,185,241 shares outstanding as of</w:t>
            </w:r>
          </w:p>
        </w:tc>
        <w:tc>
          <w:tcPr>
            <w:tcW w:w="30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December 31, 2019</w:t>
            </w:r>
          </w:p>
        </w:tc>
        <w:tc>
          <w:tcPr>
            <w:tcW w:w="30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8"/>
                <w:szCs w:val="18"/>
                <w:color w:val="auto"/>
              </w:rPr>
            </w:pPr>
          </w:p>
        </w:tc>
        <w:tc>
          <w:tcPr>
            <w:tcW w:w="1580" w:type="dxa"/>
            <w:vAlign w:val="bottom"/>
          </w:tcPr>
          <w:p>
            <w:pPr>
              <w:jc w:val="right"/>
              <w:ind w:right="63"/>
              <w:spacing w:after="0"/>
              <w:rPr>
                <w:sz w:val="20"/>
                <w:szCs w:val="20"/>
                <w:color w:val="auto"/>
              </w:rPr>
            </w:pPr>
            <w:r>
              <w:rPr>
                <w:rFonts w:ascii="Arial" w:cs="Arial" w:eastAsia="Arial" w:hAnsi="Arial"/>
                <w:sz w:val="15"/>
                <w:szCs w:val="15"/>
                <w:color w:val="auto"/>
              </w:rPr>
              <w:t>404,704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391,240</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582,743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551,903</w:t>
            </w:r>
          </w:p>
        </w:tc>
        <w:tc>
          <w:tcPr>
            <w:tcW w:w="0" w:type="dxa"/>
            <w:vAlign w:val="bottom"/>
          </w:tcPr>
          <w:p>
            <w:pPr>
              <w:spacing w:after="0"/>
              <w:rPr>
                <w:sz w:val="1"/>
                <w:szCs w:val="1"/>
                <w:color w:val="auto"/>
              </w:rPr>
            </w:pPr>
          </w:p>
        </w:tc>
      </w:tr>
      <w:tr>
        <w:trPr>
          <w:trHeight w:val="212"/>
        </w:trPr>
        <w:tc>
          <w:tcPr>
            <w:tcW w:w="7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(104,274)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(84,892)</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883,212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858,290</w:t>
            </w:r>
          </w:p>
        </w:tc>
        <w:tc>
          <w:tcPr>
            <w:tcW w:w="0" w:type="dxa"/>
            <w:vAlign w:val="bottom"/>
          </w:tcPr>
          <w:p>
            <w:pPr>
              <w:spacing w:after="0"/>
              <w:rPr>
                <w:sz w:val="1"/>
                <w:szCs w:val="1"/>
                <w:color w:val="auto"/>
              </w:rPr>
            </w:pPr>
          </w:p>
        </w:tc>
      </w:tr>
      <w:tr>
        <w:trPr>
          <w:trHeight w:val="20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w w:val="95"/>
              </w:rPr>
              <w:t>Less: 4,497,779 shares as of June 30, 2020 and 4,295,413 shares as of December 31, 2019, held in treasury, at cost</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(202,284)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(188,289)</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680,928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680,928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1,193,613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468,463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483,082</w:t>
            </w: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158,401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162,446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321,057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319,686</w:t>
            </w:r>
          </w:p>
        </w:tc>
      </w:tr>
      <w:tr>
        <w:trPr>
          <w:trHeight w:val="26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64,072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81,063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147,406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163,396</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63,759</w:t>
            </w:r>
          </w:p>
        </w:tc>
      </w:tr>
      <w:tr>
        <w:trPr>
          <w:trHeight w:val="243"/>
        </w:trPr>
        <w:tc>
          <w:tcPr>
            <w:tcW w:w="548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13,051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17,647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35,694</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26,419</w:t>
            </w:r>
          </w:p>
        </w:tc>
      </w:tr>
      <w:tr>
        <w:trPr>
          <w:trHeight w:val="243"/>
        </w:trPr>
        <w:tc>
          <w:tcPr>
            <w:tcW w:w="5480" w:type="dxa"/>
            <w:vAlign w:val="bottom"/>
          </w:tcPr>
          <w:p>
            <w:pPr>
              <w:ind w:left="340"/>
              <w:spacing w:after="0"/>
              <w:rPr>
                <w:sz w:val="20"/>
                <w:szCs w:val="20"/>
                <w:color w:val="auto"/>
              </w:rPr>
            </w:pPr>
            <w:r>
              <w:rPr>
                <w:rFonts w:ascii="Arial" w:cs="Arial" w:eastAsia="Arial" w:hAnsi="Arial"/>
                <w:sz w:val="18"/>
                <w:szCs w:val="18"/>
                <w:color w:val="auto"/>
              </w:rPr>
              <w:t>Impairment and restructuring charges</w:t>
            </w:r>
          </w:p>
        </w:tc>
        <w:tc>
          <w:tcPr>
            <w:tcW w:w="2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6,807</w:t>
            </w: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54,206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110,053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132,679</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9,866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13,856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37,353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30,717</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2,462</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(7,446)</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8,525</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w w:val="91"/>
              </w:rPr>
              <w:t>Income before income tax expense and earnings from equity affiliates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12,567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15,296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40,888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34,258</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6,870</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8,495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12,626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30,961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27,388</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w w:val="97"/>
              </w:rPr>
              <w:t>Net income attributable to ExlService Holdings, Inc. stockholders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8,429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12,564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30,840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27,259</w:t>
            </w:r>
          </w:p>
        </w:tc>
      </w:tr>
      <w:tr>
        <w:trPr>
          <w:trHeight w:val="27"/>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Earnings per share attributable to ExlService Holdings, Inc. stockholders:</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4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0.79</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0.78</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34,486,202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0"/>
              </w:rPr>
              <w:t>34,451,671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34,443,884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8"/>
              </w:rPr>
              <w:t>34,413,455</w:t>
            </w:r>
          </w:p>
        </w:tc>
      </w:tr>
      <w:tr>
        <w:trPr>
          <w:trHeight w:val="243"/>
        </w:trPr>
        <w:tc>
          <w:tcPr>
            <w:tcW w:w="5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34,597,688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w w:val="90"/>
              </w:rPr>
              <w:t>34,702,547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34,659,146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w w:val="88"/>
              </w:rPr>
              <w:t>34,768,203</w:t>
            </w:r>
          </w:p>
        </w:tc>
      </w:tr>
    </w:tbl>
    <w:p>
      <w:pPr>
        <w:spacing w:after="0" w:line="34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CONSOLIDATED STATEMENTS OF COMPREHENSIVE (LOSS)/INCOME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30,840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27,259</w:t>
            </w:r>
          </w:p>
        </w:tc>
      </w:tr>
      <w:tr>
        <w:trPr>
          <w:trHeight w:val="223"/>
        </w:trPr>
        <w:tc>
          <w:tcPr>
            <w:tcW w:w="5440" w:type="dxa"/>
            <w:vAlign w:val="bottom"/>
          </w:tcPr>
          <w:p>
            <w:pPr>
              <w:ind w:left="60"/>
              <w:spacing w:after="0"/>
              <w:rPr>
                <w:sz w:val="20"/>
                <w:szCs w:val="20"/>
                <w:color w:val="auto"/>
              </w:rPr>
            </w:pPr>
            <w:r>
              <w:rPr>
                <w:rFonts w:ascii="Arial" w:cs="Arial" w:eastAsia="Arial" w:hAnsi="Arial"/>
                <w:sz w:val="16"/>
                <w:szCs w:val="16"/>
                <w:b w:val="1"/>
                <w:bCs w:val="1"/>
                <w:color w:val="auto"/>
              </w:rPr>
              <w:t>Other comprehensive (loss)/income: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Unrealized gain/(loss) on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9,205</w:t>
            </w:r>
          </w:p>
        </w:tc>
      </w:tr>
      <w:tr>
        <w:trPr>
          <w:trHeight w:val="243"/>
        </w:trPr>
        <w:tc>
          <w:tcPr>
            <w:tcW w:w="5440" w:type="dxa"/>
            <w:vAlign w:val="bottom"/>
          </w:tcPr>
          <w:p>
            <w:pPr>
              <w:ind w:left="340"/>
              <w:spacing w:after="0"/>
              <w:rPr>
                <w:sz w:val="20"/>
                <w:szCs w:val="20"/>
                <w:color w:val="auto"/>
              </w:rPr>
            </w:pPr>
            <w:r>
              <w:rPr>
                <w:rFonts w:ascii="Arial" w:cs="Arial" w:eastAsia="Arial" w:hAnsi="Arial"/>
                <w:sz w:val="16"/>
                <w:szCs w:val="16"/>
                <w:color w:val="auto"/>
              </w:rPr>
              <w:t>Foreign currency translation gain/(loss)</w:t>
            </w: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(10,803)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4,403</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Reclassification adjustments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5440" w:type="dxa"/>
            <w:vAlign w:val="bottom"/>
          </w:tcPr>
          <w:p>
            <w:pPr>
              <w:ind w:left="360"/>
              <w:spacing w:after="0"/>
              <w:rPr>
                <w:sz w:val="20"/>
                <w:szCs w:val="20"/>
                <w:color w:val="auto"/>
              </w:rPr>
            </w:pPr>
            <w:r>
              <w:rPr>
                <w:rFonts w:ascii="Arial" w:cs="Arial" w:eastAsia="Arial" w:hAnsi="Arial"/>
                <w:sz w:val="16"/>
                <w:szCs w:val="16"/>
                <w:color w:val="auto"/>
              </w:rPr>
              <w:t>Loss/(Gain) on cash flow hedges</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(1,555)</w:t>
            </w:r>
          </w:p>
        </w:tc>
      </w:tr>
      <w:tr>
        <w:trPr>
          <w:trHeight w:val="270"/>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 benefits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7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Income tax expense relating to above</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(1,850)</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(2,865)</w:t>
            </w:r>
          </w:p>
        </w:tc>
      </w:tr>
      <w:tr>
        <w:trPr>
          <w:trHeight w:val="263"/>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comprehensive income/(loss)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8,830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2,854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(19,382)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9,109</w:t>
            </w: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17,259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15,418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11,458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36,368</w:t>
            </w:r>
          </w:p>
        </w:tc>
      </w:tr>
      <w:tr>
        <w:trPr>
          <w:trHeight w:val="27"/>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80" w:hanging="572"/>
        <w:spacing w:after="0" w:line="275"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unaudited consolidated statements of income. Refer to Note 16 - Derivatives and Hedge Accounting to the unaudited consolidated financial statements.</w:t>
      </w:r>
    </w:p>
    <w:p>
      <w:pPr>
        <w:spacing w:after="0" w:line="199" w:lineRule="exact"/>
        <w:rPr>
          <w:rFonts w:ascii="Arial" w:cs="Arial" w:eastAsia="Arial" w:hAnsi="Arial"/>
          <w:sz w:val="16"/>
          <w:szCs w:val="16"/>
          <w:i w:val="1"/>
          <w:iCs w:val="1"/>
          <w:color w:val="auto"/>
        </w:rPr>
      </w:pPr>
    </w:p>
    <w:p>
      <w:pPr>
        <w:ind w:left="580" w:right="20" w:hanging="572"/>
        <w:spacing w:after="0" w:line="275"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19 - Employee Benefit Plans to the unaudited consolidated financial statements.</w:t>
      </w:r>
    </w:p>
    <w:p>
      <w:pPr>
        <w:spacing w:after="0" w:line="199" w:lineRule="exact"/>
        <w:rPr>
          <w:rFonts w:ascii="Arial" w:cs="Arial" w:eastAsia="Arial" w:hAnsi="Arial"/>
          <w:sz w:val="16"/>
          <w:szCs w:val="16"/>
          <w:i w:val="1"/>
          <w:iCs w:val="1"/>
          <w:color w:val="auto"/>
        </w:rPr>
      </w:pPr>
    </w:p>
    <w:p>
      <w:pPr>
        <w:ind w:left="580" w:hanging="572"/>
        <w:spacing w:after="0" w:line="275"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income tax (expense)/benefit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three months ended June 30, 2020 and 2019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202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202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right"/>
              <w:ind w:right="100"/>
              <w:spacing w:after="0" w:line="72"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right"/>
              <w:ind w:right="220"/>
              <w:spacing w:after="0" w:line="153" w:lineRule="exact"/>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5"/>
            <w:vMerge w:val="restart"/>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4"/>
                <w:szCs w:val="4"/>
                <w:color w:val="auto"/>
              </w:rPr>
            </w:pP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3"/>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gridSpan w:val="3"/>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38,813,775</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396,939</w:t>
            </w: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574,314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(113,104)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7"/>
              </w:rPr>
              <w:t>(4,497,779)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(202,284)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655,904</w:t>
            </w:r>
          </w:p>
        </w:tc>
        <w:tc>
          <w:tcPr>
            <w:tcW w:w="0" w:type="dxa"/>
            <w:vAlign w:val="bottom"/>
          </w:tcPr>
          <w:p>
            <w:pPr>
              <w:spacing w:after="0"/>
              <w:rPr>
                <w:sz w:val="1"/>
                <w:szCs w:val="1"/>
                <w:color w:val="auto"/>
              </w:rPr>
            </w:pPr>
          </w:p>
        </w:tc>
      </w:tr>
      <w:tr>
        <w:trPr>
          <w:trHeight w:val="196"/>
        </w:trPr>
        <w:tc>
          <w:tcPr>
            <w:tcW w:w="3080" w:type="dxa"/>
            <w:vAlign w:val="bottom"/>
            <w:gridSpan w:val="3"/>
          </w:tcPr>
          <w:p>
            <w:pPr>
              <w:ind w:left="20"/>
              <w:spacing w:after="0"/>
              <w:rPr>
                <w:sz w:val="20"/>
                <w:szCs w:val="20"/>
                <w:color w:val="auto"/>
              </w:rPr>
            </w:pPr>
            <w:r>
              <w:rPr>
                <w:rFonts w:ascii="Arial" w:cs="Arial" w:eastAsia="Arial" w:hAnsi="Arial"/>
                <w:sz w:val="14"/>
                <w:szCs w:val="14"/>
                <w:color w:val="auto"/>
                <w:w w:val="90"/>
              </w:rPr>
              <w:t>Stock issued against stock-based compensation plans</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jc w:val="right"/>
              <w:ind w:right="68"/>
              <w:spacing w:after="0"/>
              <w:rPr>
                <w:sz w:val="20"/>
                <w:szCs w:val="20"/>
                <w:color w:val="auto"/>
              </w:rPr>
            </w:pPr>
            <w:r>
              <w:rPr>
                <w:rFonts w:ascii="Arial" w:cs="Arial" w:eastAsia="Arial" w:hAnsi="Arial"/>
                <w:sz w:val="14"/>
                <w:szCs w:val="14"/>
                <w:color w:val="auto"/>
              </w:rPr>
              <w:t>4,590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7,726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7,726</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8,830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8,830</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8,429</w:t>
            </w:r>
          </w:p>
        </w:tc>
        <w:tc>
          <w:tcPr>
            <w:tcW w:w="0" w:type="dxa"/>
            <w:vAlign w:val="bottom"/>
          </w:tcPr>
          <w:p>
            <w:pPr>
              <w:spacing w:after="0"/>
              <w:rPr>
                <w:sz w:val="1"/>
                <w:szCs w:val="1"/>
                <w:color w:val="auto"/>
              </w:rPr>
            </w:pPr>
          </w:p>
        </w:tc>
      </w:tr>
      <w:tr>
        <w:trPr>
          <w:trHeight w:val="22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38,818,365</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404,704</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582,743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(104,274)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7"/>
              </w:rPr>
              <w:t>(4,497,779)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(202,284)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680,928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2120" w:type="dxa"/>
            <w:vAlign w:val="bottom"/>
          </w:tcPr>
          <w:p>
            <w:pPr>
              <w:spacing w:after="0"/>
              <w:rPr>
                <w:sz w:val="24"/>
                <w:szCs w:val="24"/>
                <w:color w:val="auto"/>
              </w:rPr>
            </w:pPr>
          </w:p>
        </w:tc>
        <w:tc>
          <w:tcPr>
            <w:tcW w:w="13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7"/>
            <w:vMerge w:val="restart"/>
          </w:tcPr>
          <w:p>
            <w:pPr>
              <w:ind w:lef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 -</w:t>
            </w:r>
          </w:p>
        </w:tc>
        <w:tc>
          <w:tcPr>
            <w:tcW w:w="140" w:type="dxa"/>
            <w:vAlign w:val="bottom"/>
          </w:tcPr>
          <w:p>
            <w:pPr>
              <w:spacing w:after="0"/>
              <w:rPr>
                <w:sz w:val="24"/>
                <w:szCs w:val="24"/>
                <w:color w:val="auto"/>
              </w:rPr>
            </w:pPr>
          </w:p>
        </w:tc>
        <w:tc>
          <w:tcPr>
            <w:tcW w:w="6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5"/>
            <w:vMerge w:val="restart"/>
          </w:tcPr>
          <w:p>
            <w:pPr>
              <w:jc w:val="right"/>
              <w:ind w:right="160"/>
              <w:spacing w:after="0" w:line="153"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6"/>
                <w:szCs w:val="6"/>
                <w:color w:val="auto"/>
              </w:rPr>
            </w:pPr>
          </w:p>
        </w:tc>
        <w:tc>
          <w:tcPr>
            <w:tcW w:w="860" w:type="dxa"/>
            <w:vAlign w:val="bottom"/>
            <w:gridSpan w:val="4"/>
            <w:vMerge w:val="restart"/>
          </w:tcPr>
          <w:p>
            <w:pPr>
              <w:jc w:val="right"/>
              <w:ind w:right="260"/>
              <w:spacing w:after="0" w:line="153"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6"/>
                <w:szCs w:val="6"/>
                <w:color w:val="auto"/>
              </w:rPr>
            </w:pPr>
          </w:p>
        </w:tc>
        <w:tc>
          <w:tcPr>
            <w:tcW w:w="1040" w:type="dxa"/>
            <w:vAlign w:val="bottom"/>
            <w:gridSpan w:val="5"/>
            <w:vMerge w:val="restart"/>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tcPr>
          <w:p>
            <w:pPr>
              <w:jc w:val="center"/>
              <w:ind w:right="220"/>
              <w:spacing w:after="0" w:line="72" w:lineRule="exact"/>
              <w:rPr>
                <w:sz w:val="20"/>
                <w:szCs w:val="20"/>
                <w:color w:val="auto"/>
              </w:rPr>
            </w:pPr>
            <w:r>
              <w:rPr>
                <w:rFonts w:ascii="Arial" w:cs="Arial" w:eastAsia="Arial" w:hAnsi="Arial"/>
                <w:sz w:val="8"/>
                <w:szCs w:val="8"/>
                <w:b w:val="1"/>
                <w:bCs w:val="1"/>
                <w:color w:val="auto"/>
              </w:rPr>
              <w:t>Controlling</w:t>
            </w:r>
          </w:p>
        </w:tc>
        <w:tc>
          <w:tcPr>
            <w:tcW w:w="140" w:type="dxa"/>
            <w:vAlign w:val="bottom"/>
          </w:tcPr>
          <w:p>
            <w:pPr>
              <w:spacing w:after="0"/>
              <w:rPr>
                <w:sz w:val="6"/>
                <w:szCs w:val="6"/>
                <w:color w:val="auto"/>
              </w:rPr>
            </w:pPr>
          </w:p>
        </w:tc>
        <w:tc>
          <w:tcPr>
            <w:tcW w:w="660" w:type="dxa"/>
            <w:vAlign w:val="bottom"/>
            <w:vMerge w:val="restart"/>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2120" w:type="dxa"/>
            <w:vAlign w:val="bottom"/>
          </w:tcPr>
          <w:p>
            <w:pPr>
              <w:spacing w:after="0"/>
              <w:rPr>
                <w:sz w:val="4"/>
                <w:szCs w:val="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7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4"/>
                <w:szCs w:val="4"/>
                <w:color w:val="auto"/>
              </w:rPr>
            </w:pPr>
          </w:p>
        </w:tc>
        <w:tc>
          <w:tcPr>
            <w:tcW w:w="4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vMerge w:val="restart"/>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1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70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CCEEFF"/>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2019</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9"/>
              </w:rPr>
              <w:t>38,256,036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76"/>
              </w:rPr>
              <w:t>38</w:t>
            </w:r>
          </w:p>
        </w:tc>
        <w:tc>
          <w:tcPr>
            <w:tcW w:w="64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371,144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498,939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(77,212)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(3,890,599)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(162,333)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630,835</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Stock issued against stock-based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39,047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7,155</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(198,160)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(12,130)</w:t>
            </w: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2,854</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93"/>
              </w:rPr>
              <w:t>12,564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38,295,083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76"/>
              </w:rPr>
              <w:t>38</w:t>
            </w:r>
          </w:p>
        </w:tc>
        <w:tc>
          <w:tcPr>
            <w:tcW w:w="6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378,633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511,503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(74,358)</w:t>
            </w:r>
          </w:p>
        </w:tc>
        <w:tc>
          <w:tcPr>
            <w:tcW w:w="100" w:type="dxa"/>
            <w:vAlign w:val="bottom"/>
          </w:tcPr>
          <w:p>
            <w:pPr>
              <w:spacing w:after="0"/>
              <w:rPr>
                <w:sz w:val="17"/>
                <w:szCs w:val="17"/>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(4,088,759)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(174,463)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641,353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91"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900" w:type="dxa"/>
            <w:vAlign w:val="bottom"/>
            <w:gridSpan w:val="4"/>
          </w:tcPr>
          <w:p>
            <w:pPr>
              <w:ind w:left="420"/>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7"/>
                <w:szCs w:val="7"/>
                <w:color w:val="auto"/>
              </w:rPr>
            </w:pPr>
          </w:p>
        </w:tc>
        <w:tc>
          <w:tcPr>
            <w:tcW w:w="128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Comprehensive</w:t>
            </w: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7"/>
                <w:szCs w:val="7"/>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7"/>
                <w:szCs w:val="7"/>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Loss</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38,480,654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391,240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551,903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(84,892)</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(4,295,413)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4"/>
              </w:rPr>
              <w:t>$ (188,289)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670,001</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color w:val="auto"/>
                <w:w w:val="92"/>
              </w:rPr>
              <w:t>Stock issued against stock-based compensation plans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337,711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12,504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12,504</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(202,366)</w:t>
            </w:r>
          </w:p>
        </w:tc>
        <w:tc>
          <w:tcPr>
            <w:tcW w:w="1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(13,995)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(13,995)</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(19,382)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(19,382)</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30,840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30,840</w:t>
            </w:r>
          </w:p>
        </w:tc>
        <w:tc>
          <w:tcPr>
            <w:tcW w:w="0" w:type="dxa"/>
            <w:vAlign w:val="bottom"/>
          </w:tcPr>
          <w:p>
            <w:pPr>
              <w:spacing w:after="0"/>
              <w:rPr>
                <w:sz w:val="1"/>
                <w:szCs w:val="1"/>
                <w:color w:val="auto"/>
              </w:rPr>
            </w:pPr>
          </w:p>
        </w:tc>
      </w:tr>
      <w:tr>
        <w:trPr>
          <w:trHeight w:val="227"/>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38,818,365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404,704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582,743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(104,274)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(4,497,779)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4"/>
              </w:rPr>
              <w:t>$ (202,284)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680,928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20" w:type="dxa"/>
            <w:vAlign w:val="bottom"/>
          </w:tcPr>
          <w:p>
            <w:pPr>
              <w:spacing w:after="0"/>
              <w:rPr>
                <w:sz w:val="19"/>
                <w:szCs w:val="19"/>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90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7"/>
                <w:szCs w:val="7"/>
                <w:color w:val="auto"/>
              </w:rPr>
            </w:pPr>
          </w:p>
        </w:tc>
        <w:tc>
          <w:tcPr>
            <w:tcW w:w="126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Comprehensive</w:t>
            </w: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Controlling</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220" w:type="dxa"/>
            <w:vAlign w:val="bottom"/>
          </w:tcPr>
          <w:p>
            <w:pPr>
              <w:spacing w:after="0"/>
              <w:rPr>
                <w:sz w:val="7"/>
                <w:szCs w:val="7"/>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7"/>
                <w:szCs w:val="7"/>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(Loss)/Income</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2019</w:t>
            </w: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37,850,544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364,179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484,244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(83,467)</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(3,628,068)</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2"/>
              </w:rPr>
              <w:t>$ (146,925)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250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618,319</w:t>
            </w:r>
          </w:p>
        </w:tc>
        <w:tc>
          <w:tcPr>
            <w:tcW w:w="0" w:type="dxa"/>
            <w:vAlign w:val="bottom"/>
          </w:tcPr>
          <w:p>
            <w:pPr>
              <w:spacing w:after="0"/>
              <w:rPr>
                <w:sz w:val="1"/>
                <w:szCs w:val="1"/>
                <w:color w:val="auto"/>
              </w:rPr>
            </w:pPr>
          </w:p>
        </w:tc>
      </w:tr>
      <w:tr>
        <w:trPr>
          <w:trHeight w:val="157"/>
        </w:trPr>
        <w:tc>
          <w:tcPr>
            <w:tcW w:w="2220" w:type="dxa"/>
            <w:vAlign w:val="bottom"/>
          </w:tcPr>
          <w:p>
            <w:pPr>
              <w:ind w:left="20"/>
              <w:spacing w:after="0" w:line="157" w:lineRule="exact"/>
              <w:rPr>
                <w:sz w:val="20"/>
                <w:szCs w:val="20"/>
                <w:color w:val="auto"/>
              </w:rPr>
            </w:pPr>
            <w:r>
              <w:rPr>
                <w:rFonts w:ascii="Arial" w:cs="Arial" w:eastAsia="Arial" w:hAnsi="Arial"/>
                <w:sz w:val="14"/>
                <w:szCs w:val="14"/>
                <w:color w:val="auto"/>
              </w:rPr>
              <w:t>Stock issued against stock-based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444,539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14,111</w:t>
            </w:r>
          </w:p>
        </w:tc>
        <w:tc>
          <w:tcPr>
            <w:tcW w:w="0" w:type="dxa"/>
            <w:vAlign w:val="bottom"/>
          </w:tcPr>
          <w:p>
            <w:pPr>
              <w:spacing w:after="0"/>
              <w:rPr>
                <w:sz w:val="1"/>
                <w:szCs w:val="1"/>
                <w:color w:val="auto"/>
              </w:rPr>
            </w:pPr>
          </w:p>
        </w:tc>
      </w:tr>
      <w:tr>
        <w:trPr>
          <w:trHeight w:val="196"/>
        </w:trPr>
        <w:tc>
          <w:tcPr>
            <w:tcW w:w="22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(460,691)</w:t>
            </w:r>
          </w:p>
        </w:tc>
        <w:tc>
          <w:tcPr>
            <w:tcW w:w="1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(27,538)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(27,538)</w:t>
            </w: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Allocation of equity component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related to issuance costs on</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22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9,109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197"/>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27,259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27,259</w:t>
            </w:r>
          </w:p>
        </w:tc>
        <w:tc>
          <w:tcPr>
            <w:tcW w:w="0" w:type="dxa"/>
            <w:vAlign w:val="bottom"/>
          </w:tcPr>
          <w:p>
            <w:pPr>
              <w:spacing w:after="0"/>
              <w:rPr>
                <w:sz w:val="1"/>
                <w:szCs w:val="1"/>
                <w:color w:val="auto"/>
              </w:rPr>
            </w:pPr>
          </w:p>
        </w:tc>
      </w:tr>
      <w:tr>
        <w:trPr>
          <w:trHeight w:val="22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38,295,083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378,633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511,503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(74,358)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(4,088,759)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2"/>
              </w:rPr>
              <w:t>$ (174,463)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641,353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30,840</w:t>
            </w:r>
          </w:p>
        </w:tc>
        <w:tc>
          <w:tcPr>
            <w:tcW w:w="10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27,259</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6"/>
        </w:trPr>
        <w:tc>
          <w:tcPr>
            <w:tcW w:w="7720" w:type="dxa"/>
            <w:vAlign w:val="bottom"/>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24,806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26,532</w:t>
            </w:r>
          </w:p>
        </w:tc>
      </w:tr>
      <w:tr>
        <w:trPr>
          <w:trHeight w:val="209"/>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12,504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14,111</w:t>
            </w:r>
          </w:p>
        </w:tc>
      </w:tr>
      <w:tr>
        <w:trPr>
          <w:trHeight w:val="196"/>
        </w:trPr>
        <w:tc>
          <w:tcPr>
            <w:tcW w:w="7720" w:type="dxa"/>
            <w:vAlign w:val="bottom"/>
          </w:tcPr>
          <w:p>
            <w:pPr>
              <w:ind w:left="340"/>
              <w:spacing w:after="0"/>
              <w:rPr>
                <w:sz w:val="20"/>
                <w:szCs w:val="20"/>
                <w:color w:val="auto"/>
              </w:rPr>
            </w:pPr>
            <w:r>
              <w:rPr>
                <w:rFonts w:ascii="Arial" w:cs="Arial" w:eastAsia="Arial" w:hAnsi="Arial"/>
                <w:sz w:val="14"/>
                <w:szCs w:val="14"/>
                <w:color w:val="auto"/>
              </w:rPr>
              <w:t>Amortization of operating lease right-of-use assets</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13,703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13,701</w:t>
            </w:r>
          </w:p>
        </w:tc>
      </w:tr>
      <w:tr>
        <w:trPr>
          <w:trHeight w:val="209"/>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gain on short term investments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w:t>
            </w:r>
          </w:p>
        </w:tc>
      </w:tr>
      <w:tr>
        <w:trPr>
          <w:trHeight w:val="196"/>
        </w:trPr>
        <w:tc>
          <w:tcPr>
            <w:tcW w:w="7720" w:type="dxa"/>
            <w:vAlign w:val="bottom"/>
          </w:tcPr>
          <w:p>
            <w:pPr>
              <w:ind w:left="340"/>
              <w:spacing w:after="0"/>
              <w:rPr>
                <w:sz w:val="20"/>
                <w:szCs w:val="20"/>
                <w:color w:val="auto"/>
              </w:rPr>
            </w:pPr>
            <w:r>
              <w:rPr>
                <w:rFonts w:ascii="Arial" w:cs="Arial" w:eastAsia="Arial" w:hAnsi="Arial"/>
                <w:sz w:val="14"/>
                <w:szCs w:val="14"/>
                <w:color w:val="auto"/>
              </w:rPr>
              <w:t>Unrealized foreign exchange (gain)/loss, net</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(3,316)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1,967</w:t>
            </w:r>
          </w:p>
        </w:tc>
      </w:tr>
      <w:tr>
        <w:trPr>
          <w:trHeight w:val="209"/>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 expense/(benefit)</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(2,631)</w:t>
            </w:r>
          </w:p>
        </w:tc>
      </w:tr>
      <w:tr>
        <w:trPr>
          <w:trHeight w:val="196"/>
        </w:trPr>
        <w:tc>
          <w:tcPr>
            <w:tcW w:w="7720" w:type="dxa"/>
            <w:vAlign w:val="bottom"/>
          </w:tcPr>
          <w:p>
            <w:pPr>
              <w:ind w:left="340"/>
              <w:spacing w:after="0"/>
              <w:rPr>
                <w:sz w:val="20"/>
                <w:szCs w:val="20"/>
                <w:color w:val="auto"/>
              </w:rPr>
            </w:pPr>
            <w:r>
              <w:rPr>
                <w:rFonts w:ascii="Arial" w:cs="Arial" w:eastAsia="Arial" w:hAnsi="Arial"/>
                <w:sz w:val="14"/>
                <w:szCs w:val="14"/>
                <w:color w:val="auto"/>
              </w:rPr>
              <w:t>Allowance for expected credit losses</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281</w:t>
            </w:r>
          </w:p>
        </w:tc>
      </w:tr>
      <w:tr>
        <w:trPr>
          <w:trHeight w:val="209"/>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from equity-method investment</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r>
      <w:tr>
        <w:trPr>
          <w:trHeight w:val="196"/>
        </w:trPr>
        <w:tc>
          <w:tcPr>
            <w:tcW w:w="7720" w:type="dxa"/>
            <w:vAlign w:val="bottom"/>
          </w:tcPr>
          <w:p>
            <w:pPr>
              <w:ind w:left="340"/>
              <w:spacing w:after="0"/>
              <w:rPr>
                <w:sz w:val="20"/>
                <w:szCs w:val="20"/>
                <w:color w:val="auto"/>
              </w:rPr>
            </w:pPr>
            <w:r>
              <w:rPr>
                <w:rFonts w:ascii="Arial" w:cs="Arial" w:eastAsia="Arial" w:hAnsi="Arial"/>
                <w:sz w:val="14"/>
                <w:szCs w:val="14"/>
                <w:color w:val="auto"/>
              </w:rPr>
              <w:t>Amortization of non-cash interest expense related to convertible senior notes</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1,218</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charges</w:t>
            </w:r>
          </w:p>
        </w:tc>
        <w:tc>
          <w:tcPr>
            <w:tcW w:w="1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3,167</w:t>
            </w: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Others, net</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961</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12,380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(16,478)</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(2,033)</w:t>
            </w: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Advance income tax, net</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1,345</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w:t>
            </w: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0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(2,114)</w:t>
            </w:r>
          </w:p>
        </w:tc>
      </w:tr>
      <w:tr>
        <w:trPr>
          <w:trHeight w:val="209"/>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5,654</w:t>
            </w:r>
          </w:p>
        </w:tc>
      </w:tr>
      <w:tr>
        <w:trPr>
          <w:trHeight w:val="196"/>
        </w:trPr>
        <w:tc>
          <w:tcPr>
            <w:tcW w:w="7720" w:type="dxa"/>
            <w:vAlign w:val="bottom"/>
          </w:tcPr>
          <w:p>
            <w:pPr>
              <w:ind w:left="340"/>
              <w:spacing w:after="0"/>
              <w:rPr>
                <w:sz w:val="20"/>
                <w:szCs w:val="20"/>
                <w:color w:val="auto"/>
              </w:rPr>
            </w:pPr>
            <w:r>
              <w:rPr>
                <w:rFonts w:ascii="Arial" w:cs="Arial" w:eastAsia="Arial" w:hAnsi="Arial"/>
                <w:sz w:val="14"/>
                <w:szCs w:val="14"/>
                <w:color w:val="auto"/>
              </w:rPr>
              <w:t>Accrued employee costs</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(23,497)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(12,567)</w:t>
            </w:r>
          </w:p>
        </w:tc>
      </w:tr>
      <w:tr>
        <w:trPr>
          <w:trHeight w:val="209"/>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5,200</w:t>
            </w:r>
          </w:p>
        </w:tc>
      </w:tr>
      <w:tr>
        <w:trPr>
          <w:trHeight w:val="196"/>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lease liabilities</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(12,831)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(13,749)</w:t>
            </w:r>
          </w:p>
        </w:tc>
      </w:tr>
      <w:tr>
        <w:trPr>
          <w:trHeight w:val="19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58,907</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47,717</w:t>
            </w:r>
          </w:p>
        </w:tc>
      </w:tr>
      <w:tr>
        <w:trPr>
          <w:trHeight w:val="94"/>
        </w:trPr>
        <w:tc>
          <w:tcPr>
            <w:tcW w:w="7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(22,051)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(22,287)</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 equity affiliate</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Purchase of non-controlling interest</w:t>
            </w:r>
          </w:p>
        </w:tc>
        <w:tc>
          <w:tcPr>
            <w:tcW w:w="10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(241)</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investments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(49,027)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(68,188)</w:t>
            </w:r>
          </w:p>
        </w:tc>
      </w:tr>
      <w:tr>
        <w:trPr>
          <w:trHeight w:val="197"/>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redemption of investments</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72,844</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91,669</w:t>
            </w:r>
          </w:p>
        </w:tc>
      </w:tr>
      <w:tr>
        <w:trPr>
          <w:trHeight w:val="19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953</w:t>
            </w:r>
          </w:p>
        </w:tc>
      </w:tr>
      <w:tr>
        <w:trPr>
          <w:trHeight w:val="94"/>
        </w:trPr>
        <w:tc>
          <w:tcPr>
            <w:tcW w:w="7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Principal payments of finance lease liabilities</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(207)</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borrowings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46,000</w:t>
            </w: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Repayments of borrowings</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3"/>
              </w:rPr>
              <w:t>(110,210)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(79,590)</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 of debt issuance costs</w:t>
            </w:r>
          </w:p>
        </w:tc>
        <w:tc>
          <w:tcPr>
            <w:tcW w:w="1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197"/>
        </w:trPr>
        <w:tc>
          <w:tcPr>
            <w:tcW w:w="7720" w:type="dxa"/>
            <w:vAlign w:val="bottom"/>
          </w:tcPr>
          <w:p>
            <w:pPr>
              <w:ind w:left="340"/>
              <w:spacing w:after="0"/>
              <w:rPr>
                <w:sz w:val="20"/>
                <w:szCs w:val="20"/>
                <w:color w:val="auto"/>
              </w:rPr>
            </w:pPr>
            <w:r>
              <w:rPr>
                <w:rFonts w:ascii="Arial" w:cs="Arial" w:eastAsia="Arial" w:hAnsi="Arial"/>
                <w:sz w:val="14"/>
                <w:szCs w:val="14"/>
                <w:color w:val="auto"/>
              </w:rPr>
              <w:t>Acquisition of treasury stock</w:t>
            </w:r>
          </w:p>
        </w:tc>
        <w:tc>
          <w:tcPr>
            <w:tcW w:w="10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(13,995)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(27,538)</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exercise of stock options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338</w:t>
            </w:r>
          </w:p>
        </w:tc>
      </w:tr>
      <w:tr>
        <w:trPr>
          <w:trHeight w:val="19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(13,369)</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(61,114)</w:t>
            </w:r>
          </w:p>
        </w:tc>
      </w:tr>
      <w:tr>
        <w:trPr>
          <w:trHeight w:val="20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0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Net increase/(decrease) in cash, cash equivalents and restricted cash</w:t>
            </w:r>
          </w:p>
        </w:tc>
        <w:tc>
          <w:tcPr>
            <w:tcW w:w="10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43,731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(12,684)</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127,044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104,131</w:t>
            </w:r>
          </w:p>
        </w:tc>
      </w:tr>
      <w:tr>
        <w:trPr>
          <w:trHeight w:val="19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170,775</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91,447</w:t>
            </w:r>
          </w:p>
        </w:tc>
      </w:tr>
      <w:tr>
        <w:trPr>
          <w:trHeight w:val="94"/>
        </w:trPr>
        <w:tc>
          <w:tcPr>
            <w:tcW w:w="77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2019.</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those financial statements.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211"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Effective January 1, 2020, the Company made certain operational and structural changes to more closely integrate the Company’s businesses and to simplify its organizational structure. Under the new structure, the Company reports its financial performance based on new segments described in Note 3 - Segment and Geographical Information to the unaudited consolidated financial statements. In conjunction with the new reporting structure, the Company has recast certain prior period amounts, wherever applicable, to conform to the way the Company internally manages and monitors segment performance. This change primarily impacted Note 3 - Segment and Geographical Information and Note 9 - Goodwill and Intangible Assets to the unaudited consolidated financial statements, with no impact on the unaudited consolidated balance sheets, statements of income, comprehensive (loss)/income, equity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36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allowance for expected credit losses,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lease cost, depreciation and amortization periods, purchase price allocation, recoverability of long-lived assets including goodwill and intangibles, and estimated costs to complete fixed price contracts.</w:t>
      </w:r>
    </w:p>
    <w:p>
      <w:pPr>
        <w:spacing w:after="0" w:line="207"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As of June 30, 2020,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Leases</w:t>
      </w:r>
    </w:p>
    <w:p>
      <w:pPr>
        <w:spacing w:after="0" w:line="252"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Company determines if an arrangement is a lease at inception of the contract. Operating leases are recorded in "operating lease right-of-use assets", "current portion of operating lease liabilities" and "operating lease liabilities, less current portion" in the Company's unaudited consolidated balance sheets. Finance leases are recorded in "property and equipment", and current and non-current portion of finance lease liabilities are presented within “accrued expenses and other current liabilities” and “other non-current liabilities,” respectively in the Company's unaudited consolidated balance sheets.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ROU assets represent the Company’s right to use an underlying asset during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for determining the present value of lease payments. Lease terms includes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The Company accounts for lease-related concessions to mitigate the economic effects of COVID-19 on lessees in accordance with guidance in Topic 842, </w:t>
      </w:r>
      <w:r>
        <w:rPr>
          <w:rFonts w:ascii="Arial" w:cs="Arial" w:eastAsia="Arial" w:hAnsi="Arial"/>
          <w:sz w:val="17"/>
          <w:szCs w:val="17"/>
          <w:i w:val="1"/>
          <w:iCs w:val="1"/>
          <w:color w:val="auto"/>
        </w:rPr>
        <w:t>Leases</w:t>
      </w:r>
      <w:r>
        <w:rPr>
          <w:rFonts w:ascii="Arial" w:cs="Arial" w:eastAsia="Arial" w:hAnsi="Arial"/>
          <w:sz w:val="17"/>
          <w:szCs w:val="17"/>
          <w:color w:val="auto"/>
        </w:rPr>
        <w:t>, to determine, on a lease-by-lease basis, whether the concession provided by lessor should be accounted for as a lease modification.</w:t>
      </w:r>
    </w:p>
    <w:p>
      <w:pPr>
        <w:spacing w:after="0" w:line="17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w:t>
      </w:r>
    </w:p>
    <w:p>
      <w:pPr>
        <w:spacing w:after="0" w:line="21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On January 1, 2019, the date of initial application, the Company adopted Topic 842, </w:t>
      </w:r>
      <w:r>
        <w:rPr>
          <w:rFonts w:ascii="Arial" w:cs="Arial" w:eastAsia="Arial" w:hAnsi="Arial"/>
          <w:sz w:val="17"/>
          <w:szCs w:val="17"/>
          <w:i w:val="1"/>
          <w:iCs w:val="1"/>
          <w:color w:val="auto"/>
        </w:rPr>
        <w:t>Leases</w:t>
      </w:r>
      <w:r>
        <w:rPr>
          <w:rFonts w:ascii="Arial" w:cs="Arial" w:eastAsia="Arial" w:hAnsi="Arial"/>
          <w:sz w:val="17"/>
          <w:szCs w:val="17"/>
          <w:color w:val="auto"/>
        </w:rPr>
        <w:t>, using the modified retrospective method. The modified retrospective method provides a method of recognizing those leases which had not expired as of the date of adoption of January 1, 2019.</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adoption resulted in the recognition of ROU assets of $80,328 (net of deferred rent of $8,626) and lease liabilities of $88,954 for operating leases as of January 1, 2019. The Company's accounting for finance leases remained substantially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unchanged. The adoption had no impact on opening balance of retained earnings. Refer to Note 20 - Leases to the unaudited consolidated financial statements for details.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 Accounting Pronouncements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 Update (“ASU”) No. 2018-14, </w:t>
      </w:r>
      <w:r>
        <w:rPr>
          <w:rFonts w:ascii="Arial" w:cs="Arial" w:eastAsia="Arial" w:hAnsi="Arial"/>
          <w:sz w:val="17"/>
          <w:szCs w:val="17"/>
          <w:i w:val="1"/>
          <w:iCs w:val="1"/>
          <w:color w:val="auto"/>
        </w:rPr>
        <w:t xml:space="preserve">Compensation-Retirement Benefits-Defined Benefit Plans-General </w:t>
      </w:r>
      <w:r>
        <w:rPr>
          <w:rFonts w:ascii="Arial" w:cs="Arial" w:eastAsia="Arial" w:hAnsi="Arial"/>
          <w:sz w:val="17"/>
          <w:szCs w:val="17"/>
          <w:color w:val="auto"/>
        </w:rPr>
        <w:t>(("Subtopic 715-20")): Changes to the Disclosure Requirements for Defined Benefit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ASU remove disclosures that no longer are considered cost beneficial, clarify the specific requirements of disclosures, and add disclosure requirements identified as relevant. The amendments in this ASU are effective for fiscal years beginning after December 15, 2020. Early adoption is permitted. The adoption of this ASU is not expected to have any material effect on the Company’s consolidated financial statements.</w:t>
      </w:r>
    </w:p>
    <w:p>
      <w:pPr>
        <w:spacing w:after="0" w:line="2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2020, FASB issued ASU No.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w:t>
      </w:r>
      <w:r>
        <w:rPr>
          <w:rFonts w:ascii="Arial" w:cs="Arial" w:eastAsia="Arial" w:hAnsi="Arial"/>
          <w:sz w:val="18"/>
          <w:szCs w:val="18"/>
          <w:i w:val="1"/>
          <w:iCs w:val="1"/>
          <w:color w:val="auto"/>
        </w:rPr>
        <w:t>: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This ASU provides optional guidance for a limited period of time to ease potential accounting impacts associated with transitioning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reference rates that are expected to be discontinued, such as interbank offered rates and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Recently Adopted Accounting Pronouncements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 xml:space="preserve">In June 2016, FASB issued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which requires a financial asset (or a group of financial assets) measured at amortized cost basis to be presented at the net amount expected to be collected based on historical experience, current conditions, and reasonable and supportable forecasts that affect the collectability of the reported amount. The new guidance replaces the existing incurred loss impairment model with an expected loss model which requires the use of forward-looking information to calculate credit loss estimates. These changes will result in earlier recognition of credit losses. The allowance for credit losses is a valuation account that is to be deducted from the amortized cost of the financial asset(s) so as to present the net carrying value at the amount expected to be collected on the financial asset. The Company adopted Topic 326 as of January 1, 2020 using a modified retrospective approach through a cumulative-effect adjustment to its retained earnings. The adoption of the ASU had no impact to equity as of January 1, 2020 with a corresponding offset to accounts receivable. Further, the impact of adoption of this guidance did not have a material effect on the Company's accounting policies, processes, and systems. Refer to Note 4 - Revenues, net to the unaudited consolidated financial statements for details.</w:t>
      </w:r>
    </w:p>
    <w:p>
      <w:pPr>
        <w:spacing w:after="0" w:line="2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August 2018, FASB issued ASU No.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Changes to the Disclosure Requirements for Fair Value Measurement. The amendments in this ASU modify the disclosure requirements on fair value measurements in Topic 820, by prescribing new disclosure requirements, and the elimination and modification of disclosure requirements based on the concepts in the Concepts Statement, including the consideration of costs and benefits. The amendments in this ASU are effective for fiscal years beginning after December 15, 2019, including interim periods within those fiscal years. An entity was permitted to early adopt either the entire standard or only the provisions that eliminate or modify requirements. The early adoption of this ASU, effective January 1, 2020, did not have any material effect on the Company’s disclosures in the unaudited consolidated financial statements.</w:t>
      </w:r>
    </w:p>
    <w:p>
      <w:pPr>
        <w:spacing w:after="0" w:line="22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August 2018,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and adoption was allowed prospectively. The adoption of this ASU effective January 1, 2020 did not have any material effect on the Company’s unaudited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April 2019, FASB issued ASU No. 2019-04, </w:t>
      </w:r>
      <w:r>
        <w:rPr>
          <w:rFonts w:ascii="Arial" w:cs="Arial" w:eastAsia="Arial" w:hAnsi="Arial"/>
          <w:sz w:val="17"/>
          <w:szCs w:val="17"/>
          <w:i w:val="1"/>
          <w:iCs w:val="1"/>
          <w:color w:val="auto"/>
        </w:rPr>
        <w:t>Codification Improvements to Financial Instruments-Credit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(Topic 815), and</w:t>
      </w:r>
      <w:r>
        <w:rPr>
          <w:rFonts w:ascii="Arial" w:cs="Arial" w:eastAsia="Arial" w:hAnsi="Arial"/>
          <w:sz w:val="17"/>
          <w:szCs w:val="17"/>
          <w:i w:val="1"/>
          <w:iCs w:val="1"/>
          <w:color w:val="auto"/>
        </w:rPr>
        <w:t xml:space="preserve"> Financial Instruments: Targeted Transition Relief </w:t>
      </w:r>
      <w:r>
        <w:rPr>
          <w:rFonts w:ascii="Arial" w:cs="Arial" w:eastAsia="Arial" w:hAnsi="Arial"/>
          <w:sz w:val="17"/>
          <w:szCs w:val="17"/>
          <w:color w:val="auto"/>
        </w:rPr>
        <w:t>(Topic 825). The amendments clarify the scope of the credit losses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and 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the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was permitted. The adoption of this ASU did not have any material effect on the Company’s unaudited consolidated financial statements.</w:t>
      </w:r>
    </w:p>
    <w:p>
      <w:pPr>
        <w:spacing w:after="0" w:line="2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May 2019, FASB issued ASU No. 2019-05,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Targeted Transition Relief. This ASU provides entities with the option to irrevocably elect the fair value option, on an instrument-by-instrument basis in accordance with Subtopic 825-10, for certain financial instruments that are within the scope of Subtopic 326-20, upon adopting Topic 326. The fair value option election does not apply to held-to-maturity debt securities. The amendments in this ASU provide entities with targeted transition relief that is intended to increase comparability of financial statement information for some entities that otherwise would have measured similar financial instruments using different measurement methodologies. The Company adopted Topic 326 as of January 1, 2020, whereby no such fair value election was made, accordingly, the adoption of this ASU did not have any material effect on the Company’s unaudited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operates in the BPM industry and is a provider of operations management and analytics services.</w:t>
      </w:r>
    </w:p>
    <w:p>
      <w:pPr>
        <w:spacing w:after="0" w:line="25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Effective January 1, 2020, the Company made certain operational and structural changes to more closely integrate its businesses and to simplify its organizational structure. The Company now manages and reports financial information through its four strategic business units: Insurance, Healthcare, Analytics and Emerging Business, which reflects how management will review financial information and make operating decisions. These business units will develop client-specific solutions, build capabilities, maintain a unified go-to-market approach and be integrally responsible for service delivery, customer satisfaction, growth and profitability. In line with the Company’s strategy of vertical integration and focus on domain expertise, the Company has integrated its Finance &amp; Accounting and Consulting operating segments within each of the Insurance and Healthcare operating segments based on the corresponding industry-specific clients to whom those services are provided. Finance &amp; Accounting and Consulting services to clients outside of the Insurance and Healthcare industries will now be part of the Company’s newly formed business unit and reportable segment Emerging Business. In addition, the Company integrated its former Travel, Transportation and Logistics, Banking and Financial Services, and Utilities operating segments under the Emerging Business unit to further leverage and optimize the operating scale in providing operations management services.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new reportable segments effective January 1, 2020 are as follows:</w:t>
      </w:r>
    </w:p>
    <w:p>
      <w:pPr>
        <w:spacing w:after="0" w:line="252"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Business, and</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23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conjunction with the new reporting structure, the Company has recasted its segment disclosures for prior periods presented to conform to the way the Company internally manages and monitors segment performance.</w:t>
      </w:r>
    </w:p>
    <w:p>
      <w:pPr>
        <w:spacing w:after="0" w:line="19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three months ended June 30, 2020 and 2019,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175260</wp:posOffset>
            </wp:positionV>
            <wp:extent cx="4097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12"/>
          </w:tcPr>
          <w:p>
            <w:pPr>
              <w:jc w:val="center"/>
              <w:ind w:right="380"/>
              <w:spacing w:after="0"/>
              <w:rPr>
                <w:sz w:val="20"/>
                <w:szCs w:val="20"/>
                <w:color w:val="auto"/>
              </w:rPr>
            </w:pPr>
            <w:r>
              <w:rPr>
                <w:rFonts w:ascii="Arial" w:cs="Arial" w:eastAsia="Arial" w:hAnsi="Arial"/>
                <w:sz w:val="14"/>
                <w:szCs w:val="14"/>
                <w:b w:val="1"/>
                <w:bCs w:val="1"/>
                <w:color w:val="auto"/>
                <w:w w:val="91"/>
              </w:rPr>
              <w:t>Three months ended June 30, 2020</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Emerging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Insurance</w:t>
            </w:r>
          </w:p>
        </w:tc>
        <w:tc>
          <w:tcPr>
            <w:tcW w:w="1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rPr>
              <w:t>Healthcare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Analytics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222,473</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59,113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19,640</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22,416</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57,232</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158,401</w:t>
            </w: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22,168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5,338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24,447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64,072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54,206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Foreign exchange gain, interest expense and 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21"/>
        </w:trPr>
        <w:tc>
          <w:tcPr>
            <w:tcW w:w="4740" w:type="dxa"/>
            <w:vAlign w:val="bottom"/>
            <w:gridSpan w:val="2"/>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Exclusive of depreciation and amortization expense.</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5"/>
        </w:trPr>
        <w:tc>
          <w:tcPr>
            <w:tcW w:w="4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gridSpan w:val="1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12"/>
          </w:tcPr>
          <w:p>
            <w:pPr>
              <w:ind w:left="700"/>
              <w:spacing w:after="0"/>
              <w:rPr>
                <w:sz w:val="20"/>
                <w:szCs w:val="20"/>
                <w:color w:val="auto"/>
              </w:rPr>
            </w:pPr>
            <w:r>
              <w:rPr>
                <w:rFonts w:ascii="Arial" w:cs="Arial" w:eastAsia="Arial" w:hAnsi="Arial"/>
                <w:sz w:val="14"/>
                <w:szCs w:val="14"/>
                <w:b w:val="1"/>
                <w:bCs w:val="1"/>
                <w:color w:val="auto"/>
              </w:rPr>
              <w:t>Three months ended June 30, 2019</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Emerging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Business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Analytics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87,871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243,509</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59,414</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27,852</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57,431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162,446</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30,440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81,063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67,207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Foreign exchange gain, interest expense and 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right="2160" w:firstLine="405"/>
        <w:spacing w:after="0" w:line="277" w:lineRule="auto"/>
        <w:rPr>
          <w:sz w:val="20"/>
          <w:szCs w:val="20"/>
          <w:color w:val="auto"/>
        </w:rPr>
      </w:pPr>
      <w:r>
        <w:rPr>
          <w:rFonts w:ascii="Arial" w:cs="Arial" w:eastAsia="Arial" w:hAnsi="Arial"/>
          <w:sz w:val="18"/>
          <w:szCs w:val="18"/>
          <w:color w:val="auto"/>
        </w:rPr>
        <w:t>Revenues and cost of revenues for the six months ended June 30, 2020 and 2019,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42773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Six months ended June 30, 2020</w:t>
            </w: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Emerging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Insurance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Healthcare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165,020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52,007</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77,326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174,110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468,463</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118,078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39,233</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47,898</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115,848</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321,057</w:t>
            </w:r>
          </w:p>
        </w:tc>
        <w:tc>
          <w:tcPr>
            <w:tcW w:w="0" w:type="dxa"/>
            <w:vAlign w:val="bottom"/>
          </w:tcPr>
          <w:p>
            <w:pPr>
              <w:spacing w:after="0"/>
              <w:rPr>
                <w:sz w:val="1"/>
                <w:szCs w:val="1"/>
                <w:color w:val="auto"/>
              </w:rPr>
            </w:pPr>
          </w:p>
        </w:tc>
      </w:tr>
      <w:tr>
        <w:trPr>
          <w:trHeight w:val="28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46,942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12,774</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29,428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58,262</w:t>
            </w:r>
          </w:p>
        </w:tc>
        <w:tc>
          <w:tcPr>
            <w:tcW w:w="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147,406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110,053</w:t>
            </w:r>
          </w:p>
        </w:tc>
        <w:tc>
          <w:tcPr>
            <w:tcW w:w="0" w:type="dxa"/>
            <w:vAlign w:val="bottom"/>
          </w:tcPr>
          <w:p>
            <w:pPr>
              <w:spacing w:after="0"/>
              <w:rPr>
                <w:sz w:val="1"/>
                <w:szCs w:val="1"/>
                <w:color w:val="auto"/>
              </w:rPr>
            </w:pPr>
          </w:p>
        </w:tc>
      </w:tr>
      <w:tr>
        <w:trPr>
          <w:trHeight w:val="27"/>
        </w:trPr>
        <w:tc>
          <w:tcPr>
            <w:tcW w:w="4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Foreign exchange gain, interest expense and other income,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30,840</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25"/>
                <w:szCs w:val="25"/>
                <w:color w:val="auto"/>
                <w:w w:val="94"/>
                <w:vertAlign w:val="superscript"/>
              </w:rPr>
              <w:t>(1)</w:t>
            </w:r>
            <w:r>
              <w:rPr>
                <w:rFonts w:ascii="Arial" w:cs="Arial" w:eastAsia="Arial" w:hAnsi="Arial"/>
                <w:sz w:val="18"/>
                <w:szCs w:val="18"/>
                <w:color w:val="auto"/>
                <w:w w:val="94"/>
              </w:rPr>
              <w:t xml:space="preserve"> Exclusive of depreciation and amortization expense.</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4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4"/>
                <w:szCs w:val="14"/>
                <w:b w:val="1"/>
                <w:bCs w:val="1"/>
                <w:color w:val="auto"/>
              </w:rPr>
              <w:t>Six months ended June 30, 2019</w:t>
            </w: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rPr>
              <w:t>Insurance</w:t>
            </w:r>
          </w:p>
        </w:tc>
        <w:tc>
          <w:tcPr>
            <w:tcW w:w="200" w:type="dxa"/>
            <w:vAlign w:val="bottom"/>
          </w:tcPr>
          <w:p>
            <w:pPr>
              <w:spacing w:after="0"/>
              <w:rPr>
                <w:sz w:val="21"/>
                <w:szCs w:val="21"/>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5"/>
              </w:rPr>
              <w:t>Healthcare</w:t>
            </w: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Emerging Business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166,867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174,832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483,082</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114,657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35,551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55,145</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114,333</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319,686</w:t>
            </w:r>
          </w:p>
        </w:tc>
        <w:tc>
          <w:tcPr>
            <w:tcW w:w="0" w:type="dxa"/>
            <w:vAlign w:val="bottom"/>
          </w:tcPr>
          <w:p>
            <w:pPr>
              <w:spacing w:after="0"/>
              <w:rPr>
                <w:sz w:val="1"/>
                <w:szCs w:val="1"/>
                <w:color w:val="auto"/>
              </w:rPr>
            </w:pPr>
          </w:p>
        </w:tc>
      </w:tr>
      <w:tr>
        <w:trPr>
          <w:trHeight w:val="28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52,210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8,427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42,260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60,499</w:t>
            </w:r>
          </w:p>
        </w:tc>
        <w:tc>
          <w:tcPr>
            <w:tcW w:w="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163,396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132,679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interest expense and other</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net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27,259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7280" w:hanging="412"/>
        <w:spacing w:after="0" w:line="445" w:lineRule="auto"/>
        <w:tabs>
          <w:tab w:leader="none" w:pos="21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Exclusive of depreciation and amortization expense. Revenues, net by service type, were as follows: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60" w:type="dxa"/>
            <w:vAlign w:val="bottom"/>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shd w:val="clear" w:color="auto" w:fill="CCEEFF"/>
          </w:tcPr>
          <w:p>
            <w:pPr>
              <w:spacing w:after="0"/>
              <w:rPr>
                <w:sz w:val="17"/>
                <w:szCs w:val="17"/>
                <w:color w:val="auto"/>
              </w:rPr>
            </w:pPr>
          </w:p>
        </w:tc>
        <w:tc>
          <w:tcPr>
            <w:tcW w:w="2440" w:type="dxa"/>
            <w:vAlign w:val="bottom"/>
            <w:gridSpan w:val="4"/>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r>
      <w:tr>
        <w:trPr>
          <w:trHeight w:val="190"/>
        </w:trPr>
        <w:tc>
          <w:tcPr>
            <w:tcW w:w="42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BPM and related services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140,794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155,638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294,353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308,250</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32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81,679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87,871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174,110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174,832</w:t>
            </w:r>
          </w:p>
        </w:tc>
      </w:tr>
      <w:tr>
        <w:trPr>
          <w:trHeight w:val="27"/>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222,473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243,509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468,463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483,082</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13"/>
        <w:spacing w:after="0" w:line="211" w:lineRule="auto"/>
        <w:tabs>
          <w:tab w:leader="none" w:pos="625" w:val="left"/>
        </w:tabs>
        <w:numPr>
          <w:ilvl w:val="0"/>
          <w:numId w:val="6"/>
        </w:numPr>
        <w:rPr>
          <w:rFonts w:ascii="Arial" w:cs="Arial" w:eastAsia="Arial" w:hAnsi="Arial"/>
          <w:sz w:val="26"/>
          <w:szCs w:val="26"/>
          <w:color w:val="auto"/>
          <w:vertAlign w:val="superscript"/>
        </w:rPr>
      </w:pPr>
      <w:r>
        <w:rPr>
          <w:rFonts w:ascii="Arial" w:cs="Arial" w:eastAsia="Arial" w:hAnsi="Arial"/>
          <w:sz w:val="18"/>
          <w:szCs w:val="18"/>
          <w:color w:val="auto"/>
        </w:rPr>
        <w:t>BPM and related services include revenues of the Company's Insurance, Healthcare and Emerging Business operating segments. Refer to the reportable segment disclosure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4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189,032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197,901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396,912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394,005</w:t>
            </w: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18,830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42,108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59,256</w:t>
            </w: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14,611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15,453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29,821</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33,441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45,608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71,551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89,077</w:t>
            </w:r>
          </w:p>
        </w:tc>
      </w:tr>
      <w:tr>
        <w:trPr>
          <w:trHeight w:val="27"/>
        </w:trPr>
        <w:tc>
          <w:tcPr>
            <w:tcW w:w="4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222,473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243,509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468,463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483,082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 2019</w:t>
            </w:r>
          </w:p>
        </w:tc>
      </w:tr>
      <w:tr>
        <w:trPr>
          <w:trHeight w:val="236"/>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India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101,073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78,244</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52,375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280" w:type="dxa"/>
            <w:vAlign w:val="bottom"/>
          </w:tcPr>
          <w:p>
            <w:pPr>
              <w:spacing w:after="0"/>
              <w:rPr>
                <w:sz w:val="21"/>
                <w:szCs w:val="21"/>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28,558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26,006</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8,885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8,913</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188,637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165,538</w:t>
            </w:r>
          </w:p>
        </w:tc>
      </w:tr>
      <w:tr>
        <w:trPr>
          <w:trHeight w:val="27"/>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net</w:t>
      </w:r>
    </w:p>
    <w:p>
      <w:pPr>
        <w:spacing w:after="0" w:line="25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Refer to Note 3 - Segment and Geographical Information to the unaudited consolidated financial statements for revenues disaggregated by reportable segments and geography.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156"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60" w:type="dxa"/>
            <w:vAlign w:val="bottom"/>
          </w:tcPr>
          <w:p>
            <w:pPr>
              <w:spacing w:after="0"/>
              <w:rPr>
                <w:sz w:val="18"/>
                <w:szCs w:val="18"/>
                <w:color w:val="auto"/>
              </w:rPr>
            </w:pPr>
          </w:p>
        </w:tc>
      </w:tr>
      <w:tr>
        <w:trPr>
          <w:trHeight w:val="33"/>
        </w:trPr>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6"/>
                <w:szCs w:val="16"/>
                <w:b w:val="1"/>
                <w:bCs w:val="1"/>
                <w:color w:val="auto"/>
                <w:w w:val="95"/>
              </w:rPr>
              <w:t>December 31, 2019</w:t>
            </w: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157,505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171,864</w:t>
            </w:r>
          </w:p>
        </w:tc>
      </w:tr>
      <w:tr>
        <w:trPr>
          <w:trHeight w:val="27"/>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5,391</w:t>
            </w: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revenue (consideration received in advance)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11,259</w:t>
            </w:r>
          </w:p>
        </w:tc>
      </w:tr>
      <w:tr>
        <w:trPr>
          <w:trHeight w:val="243"/>
        </w:trPr>
        <w:tc>
          <w:tcPr>
            <w:tcW w:w="6920" w:type="dxa"/>
            <w:vAlign w:val="bottom"/>
          </w:tcPr>
          <w:p>
            <w:pPr>
              <w:ind w:left="300"/>
              <w:spacing w:after="0"/>
              <w:rPr>
                <w:sz w:val="20"/>
                <w:szCs w:val="20"/>
                <w:color w:val="auto"/>
              </w:rPr>
            </w:pPr>
            <w:r>
              <w:rPr>
                <w:rFonts w:ascii="Arial" w:cs="Arial" w:eastAsia="Arial" w:hAnsi="Arial"/>
                <w:sz w:val="18"/>
                <w:szCs w:val="18"/>
                <w:color w:val="auto"/>
              </w:rPr>
              <w:t>Consideration received for process transition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3,036</w:t>
            </w:r>
          </w:p>
        </w:tc>
      </w:tr>
    </w:tbl>
    <w:p>
      <w:pPr>
        <w:spacing w:after="0" w:line="337"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Accounts receivable includes $71,489 and $73,920 as of June 30, 2020 and December 31, 2019, respectively, representing unbilled receivables. The Company has accrued the unbilled receivables for work performed in accordance with the terms of contracts with customers and considers no significant performance risk associated with its unbilled receivables.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75"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15"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Contract liabilities represent that portion of deferred revenue for which payments have been received in advance from customers. This may also include revenues deferred for certain contracts where services have been rendered but other conditions for revenue recognition have not been met for example, where a legally enforceable contract is not executed.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7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Revenue recognized during the three and six months ended June 30, 2020 and 2019, which was included in the contract liabilities balance at the beginning of the respective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Borders>
              <w:bottom w:val="single" w:sz="8" w:color="auto"/>
            </w:tcBorders>
            <w:gridSpan w:val="15"/>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18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49"/>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8,194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4,226</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Contract acquisition and fulfillment costs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74"/>
        </w:trPr>
        <w:tc>
          <w:tcPr>
            <w:tcW w:w="318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15"/>
          </w:tcPr>
          <w:p>
            <w:pPr>
              <w:jc w:val="center"/>
              <w:ind w:right="400"/>
              <w:spacing w:after="0"/>
              <w:rPr>
                <w:sz w:val="20"/>
                <w:szCs w:val="20"/>
                <w:color w:val="auto"/>
              </w:rPr>
            </w:pPr>
            <w:r>
              <w:rPr>
                <w:rFonts w:ascii="Arial" w:cs="Arial" w:eastAsia="Arial" w:hAnsi="Arial"/>
                <w:sz w:val="18"/>
                <w:szCs w:val="18"/>
                <w:b w:val="1"/>
                <w:bCs w:val="1"/>
                <w:color w:val="auto"/>
                <w:w w:val="88"/>
              </w:rPr>
              <w:t>Contract Acquisition Costs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3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11"/>
          </w:tcPr>
          <w:p>
            <w:pPr>
              <w:ind w:left="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9"/>
          </w:tcPr>
          <w:p>
            <w:pPr>
              <w:ind w:left="22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90"/>
              </w:rPr>
              <w:t>Year ended</w:t>
            </w:r>
          </w:p>
        </w:tc>
      </w:tr>
      <w:tr>
        <w:trPr>
          <w:trHeight w:val="27"/>
        </w:trPr>
        <w:tc>
          <w:tcPr>
            <w:tcW w:w="3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r>
      <w:tr>
        <w:trPr>
          <w:trHeight w:val="218"/>
        </w:trPr>
        <w:tc>
          <w:tcPr>
            <w:tcW w:w="3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280" w:type="dxa"/>
            <w:vAlign w:val="bottom"/>
            <w:gridSpan w:val="4"/>
          </w:tcPr>
          <w:p>
            <w:pPr>
              <w:jc w:val="center"/>
              <w:ind w:right="72"/>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57"/>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392"/>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32"/>
              <w:spacing w:after="0"/>
              <w:rPr>
                <w:sz w:val="20"/>
                <w:szCs w:val="20"/>
                <w:color w:val="auto"/>
              </w:rPr>
            </w:pPr>
            <w:r>
              <w:rPr>
                <w:rFonts w:ascii="Arial" w:cs="Arial" w:eastAsia="Arial" w:hAnsi="Arial"/>
                <w:sz w:val="18"/>
                <w:szCs w:val="18"/>
                <w:color w:val="auto"/>
                <w:w w:val="95"/>
              </w:rPr>
              <w:t>(Audited)</w:t>
            </w:r>
          </w:p>
        </w:tc>
      </w:tr>
      <w:tr>
        <w:trPr>
          <w:trHeight w:val="24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Opening Balance</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7"/>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1"/>
                <w:szCs w:val="21"/>
                <w:color w:val="auto"/>
              </w:rPr>
            </w:pP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513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21"/>
                <w:szCs w:val="21"/>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713</w:t>
            </w:r>
          </w:p>
        </w:tc>
      </w:tr>
      <w:tr>
        <w:trPr>
          <w:trHeight w:val="27"/>
        </w:trPr>
        <w:tc>
          <w:tcPr>
            <w:tcW w:w="5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1,222</w:t>
            </w:r>
          </w:p>
        </w:tc>
      </w:tr>
      <w:tr>
        <w:trPr>
          <w:trHeight w:val="24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7"/>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(628)</w:t>
            </w:r>
          </w:p>
        </w:tc>
      </w:tr>
      <w:tr>
        <w:trPr>
          <w:trHeight w:val="27"/>
        </w:trPr>
        <w:tc>
          <w:tcPr>
            <w:tcW w:w="53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4"/>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Closing Balance</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1,270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3"/>
              </w:rPr>
              <w:t>469</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1,270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469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1,307</w:t>
            </w:r>
          </w:p>
        </w:tc>
      </w:tr>
      <w:tr>
        <w:trPr>
          <w:trHeight w:val="20"/>
        </w:trPr>
        <w:tc>
          <w:tcPr>
            <w:tcW w:w="3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68"/>
        </w:trPr>
        <w:tc>
          <w:tcPr>
            <w:tcW w:w="3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14"/>
          </w:tcPr>
          <w:p>
            <w:pPr>
              <w:jc w:val="center"/>
              <w:ind w:right="460"/>
              <w:spacing w:after="0"/>
              <w:rPr>
                <w:sz w:val="20"/>
                <w:szCs w:val="20"/>
                <w:color w:val="auto"/>
              </w:rPr>
            </w:pPr>
            <w:r>
              <w:rPr>
                <w:rFonts w:ascii="Arial" w:cs="Arial" w:eastAsia="Arial" w:hAnsi="Arial"/>
                <w:sz w:val="18"/>
                <w:szCs w:val="18"/>
                <w:b w:val="1"/>
                <w:bCs w:val="1"/>
                <w:color w:val="auto"/>
                <w:w w:val="91"/>
              </w:rPr>
              <w:t>Contract Fulfillment Costs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3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11"/>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9"/>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11"/>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9"/>
          </w:tcPr>
          <w:p>
            <w:pPr>
              <w:ind w:left="26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center"/>
              <w:ind w:right="112"/>
              <w:spacing w:after="0"/>
              <w:rPr>
                <w:sz w:val="20"/>
                <w:szCs w:val="20"/>
                <w:color w:val="auto"/>
              </w:rPr>
            </w:pPr>
            <w:r>
              <w:rPr>
                <w:rFonts w:ascii="Arial" w:cs="Arial" w:eastAsia="Arial" w:hAnsi="Arial"/>
                <w:sz w:val="18"/>
                <w:szCs w:val="18"/>
                <w:b w:val="1"/>
                <w:bCs w:val="1"/>
                <w:color w:val="auto"/>
                <w:w w:val="88"/>
              </w:rPr>
              <w:t>Year ended</w:t>
            </w:r>
          </w:p>
        </w:tc>
      </w:tr>
      <w:tr>
        <w:trPr>
          <w:trHeight w:val="27"/>
        </w:trPr>
        <w:tc>
          <w:tcPr>
            <w:tcW w:w="3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r>
      <w:tr>
        <w:trPr>
          <w:trHeight w:val="218"/>
        </w:trPr>
        <w:tc>
          <w:tcPr>
            <w:tcW w:w="3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280" w:type="dxa"/>
            <w:vAlign w:val="bottom"/>
            <w:gridSpan w:val="4"/>
          </w:tcPr>
          <w:p>
            <w:pPr>
              <w:jc w:val="center"/>
              <w:ind w:right="72"/>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392"/>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92"/>
              <w:spacing w:after="0"/>
              <w:rPr>
                <w:sz w:val="20"/>
                <w:szCs w:val="20"/>
                <w:color w:val="auto"/>
              </w:rPr>
            </w:pPr>
            <w:r>
              <w:rPr>
                <w:rFonts w:ascii="Arial" w:cs="Arial" w:eastAsia="Arial" w:hAnsi="Arial"/>
                <w:sz w:val="18"/>
                <w:szCs w:val="18"/>
                <w:color w:val="auto"/>
                <w:w w:val="95"/>
              </w:rPr>
              <w:t>(Audited)</w:t>
            </w:r>
          </w:p>
        </w:tc>
      </w:tr>
      <w:tr>
        <w:trPr>
          <w:trHeight w:val="24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Opening Balance</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7"/>
              <w:spacing w:after="0"/>
              <w:rPr>
                <w:sz w:val="20"/>
                <w:szCs w:val="20"/>
                <w:color w:val="auto"/>
              </w:rPr>
            </w:pPr>
            <w:r>
              <w:rPr>
                <w:rFonts w:ascii="Arial" w:cs="Arial" w:eastAsia="Arial" w:hAnsi="Arial"/>
                <w:sz w:val="18"/>
                <w:szCs w:val="18"/>
                <w:color w:val="auto"/>
              </w:rPr>
              <w:t>6,916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7,255</w:t>
            </w:r>
          </w:p>
        </w:tc>
        <w:tc>
          <w:tcPr>
            <w:tcW w:w="60" w:type="dxa"/>
            <w:vAlign w:val="bottom"/>
          </w:tcPr>
          <w:p>
            <w:pPr>
              <w:spacing w:after="0"/>
              <w:rPr>
                <w:sz w:val="21"/>
                <w:szCs w:val="21"/>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ind w:left="320"/>
              <w:spacing w:after="0"/>
              <w:rPr>
                <w:sz w:val="20"/>
                <w:szCs w:val="20"/>
                <w:color w:val="auto"/>
              </w:rPr>
            </w:pPr>
            <w:r>
              <w:rPr>
                <w:rFonts w:ascii="Arial" w:cs="Arial" w:eastAsia="Arial" w:hAnsi="Arial"/>
                <w:sz w:val="18"/>
                <w:szCs w:val="18"/>
                <w:color w:val="auto"/>
              </w:rPr>
              <w:t>4,051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4,051</w:t>
            </w:r>
          </w:p>
        </w:tc>
      </w:tr>
      <w:tr>
        <w:trPr>
          <w:trHeight w:val="27"/>
        </w:trPr>
        <w:tc>
          <w:tcPr>
            <w:tcW w:w="5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2,167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4,652</w:t>
            </w:r>
          </w:p>
        </w:tc>
      </w:tr>
      <w:tr>
        <w:trPr>
          <w:trHeight w:val="24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0"/>
              </w:rPr>
              <w:t>(305)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(1,448)</w:t>
            </w:r>
          </w:p>
        </w:tc>
      </w:tr>
      <w:tr>
        <w:trPr>
          <w:trHeight w:val="27"/>
        </w:trPr>
        <w:tc>
          <w:tcPr>
            <w:tcW w:w="53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Closing Balance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6,780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6,780</w:t>
            </w:r>
          </w:p>
        </w:tc>
        <w:tc>
          <w:tcPr>
            <w:tcW w:w="60" w:type="dxa"/>
            <w:vAlign w:val="bottom"/>
            <w:shd w:val="clear" w:color="auto" w:fill="CCEEFF"/>
          </w:tcPr>
          <w:p>
            <w:pPr>
              <w:spacing w:after="0"/>
              <w:rPr>
                <w:sz w:val="24"/>
                <w:szCs w:val="24"/>
                <w:color w:val="auto"/>
              </w:rPr>
            </w:pP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5,608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7,255</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was no impairment for contract acquisition and contract fulfillment costs as of June 30, 2020 and December 31, 2019. The capitalized costs are amortized on a straight line basis over the life of the contract.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expected credit losses</w:t>
      </w:r>
    </w:p>
    <w:p>
      <w:pPr>
        <w:spacing w:after="0" w:line="256"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On January 1, 2020, the Company adopted ASC Topic 326, Financial Instruments-Credit Losses. Accounts receivable and contract assets are in the scope for which assessment is made.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21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20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January 1, 2020 the Company’s provision for doubtful receivables was $1,163, which was based on previous U.S. GAAP standards. There was no material impact on provision when calculated by applying the Topic 326 guidance.</w:t>
      </w:r>
    </w:p>
    <w:p>
      <w:pPr>
        <w:spacing w:after="0" w:line="334" w:lineRule="exact"/>
        <w:rPr>
          <w:sz w:val="20"/>
          <w:szCs w:val="20"/>
          <w:color w:val="auto"/>
        </w:rPr>
      </w:pPr>
    </w:p>
    <w:tbl>
      <w:tblPr>
        <w:tblLayout w:type="fixed"/>
        <w:tblInd w:w="300" w:type="dxa"/>
        <w:tblCellMar>
          <w:top w:w="0" w:type="dxa"/>
          <w:left w:w="0" w:type="dxa"/>
          <w:bottom w:w="0" w:type="dxa"/>
          <w:right w:w="0" w:type="dxa"/>
        </w:tblCellMar>
      </w:tblPr>
      <w:tr>
        <w:trPr>
          <w:trHeight w:val="263"/>
        </w:trPr>
        <w:tc>
          <w:tcPr>
            <w:tcW w:w="64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780" w:type="dxa"/>
            <w:vAlign w:val="bottom"/>
            <w:tcBorders>
              <w:bottom w:val="single" w:sz="8" w:color="auto"/>
            </w:tcBorders>
            <w:shd w:val="clear" w:color="auto" w:fill="CCEEFF"/>
          </w:tcPr>
          <w:p>
            <w:pPr>
              <w:spacing w:after="0"/>
              <w:rPr>
                <w:sz w:val="22"/>
                <w:szCs w:val="22"/>
                <w:color w:val="auto"/>
              </w:rPr>
            </w:pPr>
          </w:p>
        </w:tc>
      </w:tr>
      <w:tr>
        <w:trPr>
          <w:trHeight w:val="243"/>
        </w:trPr>
        <w:tc>
          <w:tcPr>
            <w:tcW w:w="6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1"/>
                <w:szCs w:val="21"/>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January 1, 2020</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including unbilled receivables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173,027</w:t>
            </w: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Less: Allowance for lifetime expected credit loss</w:t>
            </w:r>
          </w:p>
        </w:tc>
        <w:tc>
          <w:tcPr>
            <w:tcW w:w="3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9"/>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157,505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171,864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movement in allowance for current expected credit loss on customer balances for the three and six months ended June 30, 2020 and 2019 and year ended December 31, 2019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24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20"/>
                <w:szCs w:val="20"/>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45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2020</w:t>
            </w: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2019</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June 30, 2020</w:t>
            </w: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2019</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2019</w:t>
            </w:r>
          </w:p>
        </w:tc>
      </w:tr>
      <w:tr>
        <w:trPr>
          <w:trHeight w:val="27"/>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956</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Additions during the period, net</w:t>
            </w:r>
          </w:p>
        </w:tc>
        <w:tc>
          <w:tcPr>
            <w:tcW w:w="2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354</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Charged against allowance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Translation adjustment, if any</w:t>
            </w:r>
          </w:p>
        </w:tc>
        <w:tc>
          <w:tcPr>
            <w:tcW w:w="2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7"/>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the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1,434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1,163</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312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44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12,564</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30,840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27,259</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w w:val="97"/>
              </w:rPr>
              <w:t>Basic weighted average common shares outstanding</w:t>
            </w:r>
          </w:p>
        </w:tc>
        <w:tc>
          <w:tcPr>
            <w:tcW w:w="30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34,486,202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34,451,671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34,443,884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34,413,455</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Dilutive effect of share-based awards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111,486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250,876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215,262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354,748</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34,597,688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34,702,547</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34,659,146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34,768,203</w:t>
            </w:r>
          </w:p>
        </w:tc>
      </w:tr>
      <w:tr>
        <w:trPr>
          <w:trHeight w:val="27"/>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44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5"/>
              </w:rPr>
              <w:t>Earnings per share attributable to ExlService Holdings Inc.</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0.79</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0.78</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w w:val="91"/>
              </w:rPr>
              <w:t>Weighted average potentially dilutive shares considered anti-</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w w:val="95"/>
              </w:rPr>
              <w:t>dilutive and not included in computing diluted earnings per</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638,318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404,315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212,751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purpose of unaudited statements of cash flows, cash, cash equivalents and restricted cash comprise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163,619</w:t>
            </w:r>
          </w:p>
        </w:tc>
        <w:tc>
          <w:tcPr>
            <w:tcW w:w="7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84,842</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4,858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170,775</w:t>
            </w:r>
          </w:p>
        </w:tc>
        <w:tc>
          <w:tcPr>
            <w:tcW w:w="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91,447</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7. Other Income, net</w:t>
            </w: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720" w:type="dxa"/>
            <w:vAlign w:val="bottom"/>
            <w:vMerge w:val="continu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24"/>
                <w:szCs w:val="24"/>
                <w:color w:val="auto"/>
              </w:rPr>
            </w:pPr>
          </w:p>
        </w:tc>
        <w:tc>
          <w:tcPr>
            <w:tcW w:w="250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 net</w:t>
            </w:r>
          </w:p>
        </w:tc>
        <w:tc>
          <w:tcPr>
            <w:tcW w:w="16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3,109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3,318</w:t>
            </w:r>
          </w:p>
        </w:tc>
        <w:tc>
          <w:tcPr>
            <w:tcW w:w="600" w:type="dxa"/>
            <w:vAlign w:val="bottom"/>
            <w:tcBorders>
              <w:bottom w:val="single" w:sz="8" w:color="CCEEFF"/>
            </w:tcBorders>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5,166</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1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64"/>
        </w:trPr>
        <w:tc>
          <w:tcPr>
            <w:tcW w:w="47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4,225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7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 the following:</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Estimated useful lives</w:t>
            </w: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2019</w:t>
            </w:r>
          </w:p>
        </w:tc>
      </w:tr>
      <w:tr>
        <w:trPr>
          <w:trHeight w:val="236"/>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96,759</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98,309</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90,746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79,746</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44,328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44,982</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20,675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22,046</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601</w:t>
            </w: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1,114</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Land</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729</w:t>
            </w:r>
          </w:p>
        </w:tc>
      </w:tr>
      <w:tr>
        <w:trPr>
          <w:trHeight w:val="27"/>
        </w:trPr>
        <w:tc>
          <w:tcPr>
            <w:tcW w:w="5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1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10,309</w:t>
            </w:r>
          </w:p>
        </w:tc>
      </w:tr>
      <w:tr>
        <w:trPr>
          <w:trHeight w:val="237"/>
        </w:trPr>
        <w:tc>
          <w:tcPr>
            <w:tcW w:w="5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265,612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257,836</w:t>
            </w:r>
          </w:p>
        </w:tc>
      </w:tr>
      <w:tr>
        <w:trPr>
          <w:trHeight w:val="27"/>
        </w:trPr>
        <w:tc>
          <w:tcPr>
            <w:tcW w:w="5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(174,333)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(179,331)</w:t>
            </w:r>
          </w:p>
        </w:tc>
      </w:tr>
      <w:tr>
        <w:trPr>
          <w:trHeight w:val="237"/>
        </w:trPr>
        <w:tc>
          <w:tcPr>
            <w:tcW w:w="5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91,279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78,505</w:t>
            </w:r>
          </w:p>
        </w:tc>
      </w:tr>
      <w:tr>
        <w:trPr>
          <w:trHeight w:val="27"/>
        </w:trPr>
        <w:tc>
          <w:tcPr>
            <w:tcW w:w="56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under finance leases:</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738</w:t>
            </w:r>
          </w:p>
        </w:tc>
      </w:tr>
      <w:tr>
        <w:trPr>
          <w:trHeight w:val="27"/>
        </w:trPr>
        <w:tc>
          <w:tcPr>
            <w:tcW w:w="5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711</w:t>
            </w:r>
          </w:p>
        </w:tc>
      </w:tr>
      <w:tr>
        <w:trPr>
          <w:trHeight w:val="27"/>
        </w:trPr>
        <w:tc>
          <w:tcPr>
            <w:tcW w:w="56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1,757</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(1,120)</w:t>
            </w:r>
          </w:p>
        </w:tc>
      </w:tr>
      <w:tr>
        <w:trPr>
          <w:trHeight w:val="27"/>
        </w:trPr>
        <w:tc>
          <w:tcPr>
            <w:tcW w:w="56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637</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91,848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79,142</w:t>
            </w:r>
          </w:p>
        </w:tc>
      </w:tr>
      <w:tr>
        <w:trPr>
          <w:trHeight w:val="20"/>
        </w:trPr>
        <w:tc>
          <w:tcPr>
            <w:tcW w:w="5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costs incurred on internally developed software not yet ready to be placed in service.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and six months ended June 30, 2020, there were no changes in estimated useful lives of property and equipment.</w:t>
      </w:r>
    </w:p>
    <w:p>
      <w:pPr>
        <w:spacing w:after="0" w:line="252"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unaudited consolidated statements of income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0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9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8,975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7,198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17,271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15,337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 of foreign exchange (loss)/gain upon settlement of cash flow hedges recorded under depreciation and amortization,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9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exchange (loss)/gain</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56</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113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14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5"/>
              </w:rPr>
              <w:t>As of</w:t>
            </w:r>
          </w:p>
        </w:tc>
        <w:tc>
          <w:tcPr>
            <w:tcW w:w="1840" w:type="dxa"/>
            <w:vAlign w:val="bottom"/>
            <w:tcBorders>
              <w:bottom w:val="single" w:sz="8" w:color="auto"/>
            </w:tcBorders>
          </w:tcPr>
          <w:p>
            <w:pPr>
              <w:spacing w:after="0"/>
              <w:rPr>
                <w:sz w:val="16"/>
                <w:szCs w:val="16"/>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8"/>
              </w:rPr>
              <w:t>14,891</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15,784</w:t>
            </w:r>
          </w:p>
        </w:tc>
      </w:tr>
      <w:tr>
        <w:trPr>
          <w:trHeight w:val="243"/>
        </w:trPr>
        <w:tc>
          <w:tcPr>
            <w:tcW w:w="6380" w:type="dxa"/>
            <w:vAlign w:val="bottom"/>
          </w:tcPr>
          <w:p>
            <w:pPr>
              <w:spacing w:after="0"/>
              <w:rPr>
                <w:sz w:val="20"/>
                <w:szCs w:val="20"/>
                <w:color w:val="auto"/>
              </w:rPr>
            </w:pPr>
            <w:r>
              <w:rPr>
                <w:rFonts w:ascii="Arial" w:cs="Arial" w:eastAsia="Arial" w:hAnsi="Arial"/>
                <w:sz w:val="18"/>
                <w:szCs w:val="18"/>
                <w:color w:val="auto"/>
              </w:rPr>
              <w:t>Less : Accumulated amortization</w:t>
            </w:r>
          </w:p>
        </w:tc>
        <w:tc>
          <w:tcPr>
            <w:tcW w:w="380" w:type="dxa"/>
            <w:vAlign w:val="bottom"/>
          </w:tcPr>
          <w:p>
            <w:pPr>
              <w:spacing w:after="0"/>
              <w:rPr>
                <w:sz w:val="21"/>
                <w:szCs w:val="21"/>
                <w:color w:val="auto"/>
              </w:rPr>
            </w:pPr>
          </w:p>
        </w:tc>
        <w:tc>
          <w:tcPr>
            <w:tcW w:w="1640" w:type="dxa"/>
            <w:vAlign w:val="bottom"/>
          </w:tcPr>
          <w:p>
            <w:pPr>
              <w:ind w:left="1100"/>
              <w:spacing w:after="0"/>
              <w:rPr>
                <w:sz w:val="20"/>
                <w:szCs w:val="20"/>
                <w:color w:val="auto"/>
              </w:rPr>
            </w:pPr>
            <w:r>
              <w:rPr>
                <w:rFonts w:ascii="Arial" w:cs="Arial" w:eastAsia="Arial" w:hAnsi="Arial"/>
                <w:sz w:val="18"/>
                <w:szCs w:val="18"/>
                <w:color w:val="auto"/>
                <w:w w:val="91"/>
              </w:rPr>
              <w:t>(4,477)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(4,989)</w:t>
            </w:r>
          </w:p>
        </w:tc>
      </w:tr>
      <w:tr>
        <w:trPr>
          <w:trHeight w:val="27"/>
        </w:trPr>
        <w:tc>
          <w:tcPr>
            <w:tcW w:w="6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3"/>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8"/>
              </w:rPr>
              <w:t>10,414</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10,795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Three months ended 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3"/>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4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1,846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2,677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1,206</w:t>
            </w:r>
          </w:p>
        </w:tc>
      </w:tr>
      <w:tr>
        <w:trPr>
          <w:trHeight w:val="27"/>
        </w:trPr>
        <w:tc>
          <w:tcPr>
            <w:tcW w:w="46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During the three and six months ended June 30, 2019, the Company performed an impairment test of its long-lived assets related to its Health Integrated business. Based on the results, the long-lived assets carrying value exceeded its fair value. The primary factor contributing to a reduction in the fair value is the wind-down of the Health Integrated business, due to reduction to the Company's estimated future cash flows. As a result of this analysis, the Company recognized impairment charges of $951 and $2,178 during the three and six months ended June 30, 2019, respectively, to write down the carrying value of property and equipment to its fair value. This impairment charge was recorded in the unaudited consolidated statements of income under "Impairment and restructuring charges".</w:t>
      </w:r>
    </w:p>
    <w:p>
      <w:pPr>
        <w:spacing w:after="0" w:line="2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As of June 30,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311" w:lineRule="exact"/>
        <w:rPr>
          <w:sz w:val="20"/>
          <w:szCs w:val="20"/>
          <w:color w:val="auto"/>
        </w:rPr>
      </w:pPr>
    </w:p>
    <w:p>
      <w:pPr>
        <w:ind w:right="8660" w:firstLine="8"/>
        <w:spacing w:after="0" w:line="534"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spacing w:after="0" w:line="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changes in goodwill by reportable segment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Emerging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14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Balance at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349,984</w:t>
            </w:r>
          </w:p>
        </w:tc>
        <w:tc>
          <w:tcPr>
            <w:tcW w:w="0" w:type="dxa"/>
            <w:vAlign w:val="bottom"/>
          </w:tcPr>
          <w:p>
            <w:pPr>
              <w:spacing w:after="0"/>
              <w:rPr>
                <w:sz w:val="1"/>
                <w:szCs w:val="1"/>
                <w:color w:val="auto"/>
              </w:rPr>
            </w:pPr>
          </w:p>
        </w:tc>
      </w:tr>
      <w:tr>
        <w:trPr>
          <w:trHeight w:val="229"/>
        </w:trPr>
        <w:tc>
          <w:tcPr>
            <w:tcW w:w="2080" w:type="dxa"/>
            <w:vAlign w:val="bottom"/>
          </w:tcPr>
          <w:p>
            <w:pPr>
              <w:ind w:left="340"/>
              <w:spacing w:after="0"/>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46,905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227,289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349,529</w:t>
            </w:r>
          </w:p>
        </w:tc>
        <w:tc>
          <w:tcPr>
            <w:tcW w:w="0" w:type="dxa"/>
            <w:vAlign w:val="bottom"/>
          </w:tcPr>
          <w:p>
            <w:pPr>
              <w:spacing w:after="0"/>
              <w:rPr>
                <w:sz w:val="1"/>
                <w:szCs w:val="1"/>
                <w:color w:val="auto"/>
              </w:rPr>
            </w:pPr>
          </w:p>
        </w:tc>
      </w:tr>
      <w:tr>
        <w:trPr>
          <w:trHeight w:val="176"/>
        </w:trPr>
        <w:tc>
          <w:tcPr>
            <w:tcW w:w="2080" w:type="dxa"/>
            <w:vAlign w:val="bottom"/>
          </w:tcPr>
          <w:p>
            <w:pPr>
              <w:ind w:left="360"/>
              <w:spacing w:after="0" w:line="176" w:lineRule="exact"/>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12,192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49,803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(12,457)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(46,905)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Pr>
          <w:p>
            <w:pPr>
              <w:ind w:left="360"/>
              <w:spacing w:after="0" w:line="230" w:lineRule="exact"/>
              <w:rPr>
                <w:sz w:val="20"/>
                <w:szCs w:val="20"/>
                <w:color w:val="auto"/>
              </w:rPr>
            </w:pPr>
            <w:r>
              <w:rPr>
                <w:rFonts w:ascii="Arial" w:cs="Arial" w:eastAsia="Arial" w:hAnsi="Arial"/>
                <w:sz w:val="18"/>
                <w:szCs w:val="18"/>
                <w:color w:val="auto"/>
              </w:rPr>
              <w:t>reallocation</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w w:val="99"/>
              </w:rPr>
              <w:t>Balance at June 30,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50,165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21,931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48,727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227,287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348,110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60" w:firstLine="368"/>
        <w:spacing w:after="0" w:line="249" w:lineRule="auto"/>
        <w:tabs>
          <w:tab w:leader="none" w:pos="541"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Represents the reallocation of goodwill as a result of the Company reorganizing its operating segments as described in Note 3 - Segment and Geographical Information to the unaudited consolidated financial statements.</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As of March 31, 2020, due to the deteriorating macroeconomic conditions arising from the COVID-19 pandemic, the Company performed a goodwill impairment test for its reporting units. The Company considered the effects of the COVID-19 pandemic on its significant inputs used in determining the fair value of the Company’s reporting units. Based on the results, the fair value of each of the Company’s reporting units exceeded their carrying value and the Company’s goodwill was not impaired.</w:t>
      </w:r>
    </w:p>
    <w:p>
      <w:pPr>
        <w:spacing w:after="0" w:line="21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During the second quarter of 2020,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certain improvements in current and forecasted economic and market conditions and qualitative factors, such as, the Company’s performance and business forecasts, stock price movements and expansion plans. The Company reviewed key assumptions, including revisions of projected future revenues for reporting units against the results of the interim impairment quantitative test performed during the first quarter of 2020. The Company did not identify any triggers or indications of potential impairment for its reporting units as of June 30, 2020. The Company will continue to monitor the impacts of COVID-19 on the Company and significant changes in key assumptions that could result in future period impairment charges.</w:t>
      </w:r>
    </w:p>
    <w:p>
      <w:pPr>
        <w:spacing w:after="0" w:line="190"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The recoverability of goodwill is dependent upon the continued growth of cash flows from our business activities. 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As of June 30, 2020</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Carrying Amount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73,160</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(23,440)</w:t>
            </w:r>
          </w:p>
        </w:tc>
        <w:tc>
          <w:tcPr>
            <w:tcW w:w="380" w:type="dxa"/>
            <w:vAlign w:val="bottom"/>
            <w:gridSpan w:val="5"/>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49,720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23,348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Trade names and trademarks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5,100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(3,261)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101,608</w:t>
            </w:r>
          </w:p>
        </w:tc>
        <w:tc>
          <w:tcPr>
            <w:tcW w:w="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(36,212)</w:t>
            </w:r>
          </w:p>
        </w:tc>
        <w:tc>
          <w:tcPr>
            <w:tcW w:w="38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65,396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102,508</w:t>
            </w:r>
          </w:p>
        </w:tc>
        <w:tc>
          <w:tcPr>
            <w:tcW w:w="12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(36,212)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66,296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As of December 31, 2019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4"/>
              </w:rPr>
              <w:t>Gross Carrying 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97,602</w:t>
            </w:r>
          </w:p>
        </w:tc>
        <w:tc>
          <w:tcPr>
            <w:tcW w:w="40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(43,330)</w:t>
            </w:r>
          </w:p>
        </w:tc>
        <w:tc>
          <w:tcPr>
            <w:tcW w:w="3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54,272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26,976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Trade names and trademarks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5,100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(2,579)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129,678</w:t>
            </w:r>
          </w:p>
        </w:tc>
        <w:tc>
          <w:tcPr>
            <w:tcW w:w="400" w:type="dxa"/>
            <w:vAlign w:val="bottom"/>
            <w:tcBorders>
              <w:bottom w:val="single" w:sz="8" w:color="CCEEFF"/>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(56,596)</w:t>
            </w:r>
          </w:p>
        </w:tc>
        <w:tc>
          <w:tcPr>
            <w:tcW w:w="3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73,082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900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130,578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(56,596)</w:t>
            </w:r>
          </w:p>
        </w:tc>
        <w:tc>
          <w:tcPr>
            <w:tcW w:w="8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73,982</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vMerge w:val="restart"/>
          </w:tcPr>
          <w:p>
            <w:pPr>
              <w:ind w:left="360"/>
              <w:spacing w:after="0"/>
              <w:rPr>
                <w:sz w:val="20"/>
                <w:szCs w:val="20"/>
                <w:color w:val="auto"/>
              </w:rPr>
            </w:pPr>
            <w:r>
              <w:rPr>
                <w:rFonts w:ascii="Arial" w:cs="Arial" w:eastAsia="Arial" w:hAnsi="Arial"/>
                <w:sz w:val="18"/>
                <w:szCs w:val="18"/>
                <w:color w:val="auto"/>
                <w:w w:val="95"/>
              </w:rPr>
              <w:t>The amortization expense for the period is as follows:</w:t>
            </w: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6"/>
          </w:tcPr>
          <w:p>
            <w:pPr>
              <w:jc w:val="right"/>
              <w:ind w:right="534"/>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9"/>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4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7,584</w:t>
            </w:r>
          </w:p>
        </w:tc>
        <w:tc>
          <w:tcPr>
            <w:tcW w:w="80" w:type="dxa"/>
            <w:vAlign w:val="bottom"/>
            <w:shd w:val="clear" w:color="auto" w:fill="CCEEFF"/>
          </w:tcPr>
          <w:p>
            <w:pPr>
              <w:spacing w:after="0"/>
              <w:rPr>
                <w:sz w:val="24"/>
                <w:szCs w:val="24"/>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11,082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(in years)</w:t>
            </w:r>
          </w:p>
        </w:tc>
      </w:tr>
      <w:tr>
        <w:trPr>
          <w:trHeight w:val="27"/>
        </w:trPr>
        <w:tc>
          <w:tcPr>
            <w:tcW w:w="7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74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5820" w:type="dxa"/>
            <w:vAlign w:val="bottom"/>
          </w:tcPr>
          <w:p>
            <w:pPr>
              <w:jc w:val="right"/>
              <w:spacing w:after="0"/>
              <w:rPr>
                <w:sz w:val="20"/>
                <w:szCs w:val="20"/>
                <w:color w:val="auto"/>
              </w:rPr>
            </w:pPr>
            <w:r>
              <w:rPr>
                <w:rFonts w:ascii="Arial" w:cs="Arial" w:eastAsia="Arial" w:hAnsi="Arial"/>
                <w:sz w:val="18"/>
                <w:szCs w:val="18"/>
                <w:color w:val="auto"/>
              </w:rPr>
              <w:t>3.17</w:t>
            </w:r>
          </w:p>
        </w:tc>
        <w:tc>
          <w:tcPr>
            <w:tcW w:w="74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740" w:type="dxa"/>
            <w:vAlign w:val="bottom"/>
          </w:tcPr>
          <w:p>
            <w:pPr>
              <w:spacing w:after="0"/>
              <w:rPr>
                <w:sz w:val="21"/>
                <w:szCs w:val="21"/>
                <w:color w:val="auto"/>
              </w:rPr>
            </w:pPr>
          </w:p>
        </w:tc>
      </w:tr>
      <w:tr>
        <w:trPr>
          <w:trHeight w:val="904"/>
        </w:trPr>
        <w:tc>
          <w:tcPr>
            <w:tcW w:w="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20" w:type="dxa"/>
            <w:vAlign w:val="bottom"/>
          </w:tcPr>
          <w:p>
            <w:pPr>
              <w:jc w:val="right"/>
              <w:ind w:right="469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Estimated future amortization expense related to intangible assets as of June 30, 2020 is as follows: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(July 1 - December 31)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6,822</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12,730</w:t>
            </w:r>
          </w:p>
        </w:tc>
      </w:tr>
      <w:tr>
        <w:trPr>
          <w:trHeight w:val="27"/>
        </w:trPr>
        <w:tc>
          <w:tcPr>
            <w:tcW w:w="8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11,325</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9,036</w:t>
            </w:r>
          </w:p>
        </w:tc>
      </w:tr>
      <w:tr>
        <w:trPr>
          <w:trHeight w:val="27"/>
        </w:trPr>
        <w:tc>
          <w:tcPr>
            <w:tcW w:w="8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6,694</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3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18,789</w:t>
            </w:r>
          </w:p>
        </w:tc>
      </w:tr>
      <w:tr>
        <w:trPr>
          <w:trHeight w:val="27"/>
        </w:trPr>
        <w:tc>
          <w:tcPr>
            <w:tcW w:w="8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65,396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Current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5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3"/>
              </w:rPr>
              <w:t>December 31, 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4,128</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Advances to suppliers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Contract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contract fulfillment costs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Interest accrued on fixed deposits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27,472</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24,594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Other Assets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Other assets consist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3"/>
              </w:rPr>
              <w:t>December 31, 2019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deposits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 with statutory authorities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Term deposits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Deferred contract fulfillment costs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5,582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31,599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36,016</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12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As of</w:t>
            </w: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41,724</w:t>
            </w:r>
          </w:p>
        </w:tc>
        <w:tc>
          <w:tcPr>
            <w:tcW w:w="400" w:type="dxa"/>
            <w:vAlign w:val="bottom"/>
            <w:tcBorders>
              <w:bottom w:val="single" w:sz="8" w:color="CCEEFF"/>
            </w:tcBorders>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Payable to statutory authorities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9,360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capital expenditure</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9,043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4,749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 w:type="dxa"/>
            <w:vAlign w:val="bottom"/>
          </w:tcPr>
          <w:p>
            <w:pPr>
              <w:spacing w:after="0"/>
              <w:rPr>
                <w:sz w:val="22"/>
                <w:szCs w:val="22"/>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74,772</w:t>
            </w:r>
          </w:p>
        </w:tc>
        <w:tc>
          <w:tcPr>
            <w:tcW w:w="400" w:type="dxa"/>
            <w:vAlign w:val="bottom"/>
            <w:tcBorders>
              <w:bottom w:val="single" w:sz="8" w:color="CCEEFF"/>
            </w:tcBorders>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74,017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13. Other Non-Current Liabilities</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Other non-current liabilities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As of</w:t>
            </w:r>
          </w:p>
        </w:tc>
        <w:tc>
          <w:tcPr>
            <w:tcW w:w="1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Deferred transition revenue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top w:val="single" w:sz="8" w:color="auto"/>
            </w:tcBorders>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12,142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36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Accumulated other comprehensive loss (“AOCI”), consists of actuarial gain/(loss) on retirement benefits and changes in the cumulative foreign currency translation adjustments. In addition, the Company enters into foreign currency exchange contracts, which are designated as cash flow hedges in accordance with ASC 815. Changes in the fair values of these foreign currency exchange contracts are recognized in AOCI on the Company's unaudited consolidated balance sheets until the settlement of those contracts. The balances as of June 30, 2020 and December 31, 2019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Cumulative foreign currency translation loss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(loss)/gain on cash flow hedges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Retirement benefits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Income tax expense relating to above </w:t>
      </w:r>
      <w:r>
        <w:rPr>
          <w:rFonts w:ascii="Arial" w:cs="Arial" w:eastAsia="Arial" w:hAnsi="Arial"/>
          <w:sz w:val="22"/>
          <w:szCs w:val="22"/>
          <w:color w:val="auto"/>
          <w:vertAlign w:val="superscript"/>
        </w:rPr>
        <w:t>(1)</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091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r>
      <w:tr>
        <w:trPr>
          <w:trHeight w:val="243"/>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(97,766)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(86,963)</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4,604</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(1,780)</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(753)</w:t>
            </w:r>
          </w:p>
        </w:tc>
      </w:tr>
      <w:tr>
        <w:trPr>
          <w:trHeight w:val="27"/>
        </w:trPr>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(104,274)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(84,892)</w:t>
            </w:r>
          </w:p>
        </w:tc>
      </w:tr>
      <w:tr>
        <w:trPr>
          <w:trHeight w:val="27"/>
        </w:trPr>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-908050</wp:posOffset>
            </wp:positionV>
            <wp:extent cx="652335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23355" cy="17970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-556895</wp:posOffset>
            </wp:positionV>
            <wp:extent cx="652335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23355" cy="17145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-213995</wp:posOffset>
            </wp:positionV>
            <wp:extent cx="652335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335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760"/>
          </w:cols>
          <w:pgMar w:left="320" w:top="121" w:right="339" w:bottom="1440" w:gutter="0" w:footer="0" w:header="0"/>
          <w:type w:val="continuous"/>
        </w:sectPr>
      </w:pPr>
    </w:p>
    <w:p>
      <w:pPr>
        <w:spacing w:after="0" w:line="128" w:lineRule="exact"/>
        <w:rPr>
          <w:sz w:val="20"/>
          <w:szCs w:val="20"/>
          <w:color w:val="auto"/>
        </w:rPr>
      </w:pPr>
    </w:p>
    <w:p>
      <w:pPr>
        <w:ind w:left="500" w:right="20" w:hanging="168"/>
        <w:spacing w:after="0" w:line="275" w:lineRule="auto"/>
        <w:tabs>
          <w:tab w:leader="none" w:pos="504" w:val="left"/>
        </w:tabs>
        <w:numPr>
          <w:ilvl w:val="0"/>
          <w:numId w:val="9"/>
        </w:numPr>
        <w:rPr>
          <w:rFonts w:ascii="Arial" w:cs="Arial" w:eastAsia="Arial" w:hAnsi="Arial"/>
          <w:sz w:val="11"/>
          <w:szCs w:val="11"/>
          <w:i w:val="1"/>
          <w:iCs w:val="1"/>
          <w:color w:val="auto"/>
        </w:rPr>
      </w:pPr>
      <w:r>
        <w:rPr>
          <w:rFonts w:ascii="Arial" w:cs="Arial" w:eastAsia="Arial" w:hAnsi="Arial"/>
          <w:sz w:val="16"/>
          <w:szCs w:val="16"/>
          <w:i w:val="1"/>
          <w:iCs w:val="1"/>
          <w:color w:val="auto"/>
        </w:rPr>
        <w:t>These are income tax (expenses)/benefits recognized on cash flow hedges, retirement benefits and foreign currency translation losses. Refer to Note 21 - Income Taxes to the unaudited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June 30, 2020 and December 31, 2019.</w:t>
      </w:r>
    </w:p>
    <w:p>
      <w:pPr>
        <w:spacing w:after="0" w:line="28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2020</w:t>
            </w:r>
          </w:p>
        </w:tc>
        <w:tc>
          <w:tcPr>
            <w:tcW w:w="34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117,490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4"/>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117,490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117,490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8,245</w:t>
            </w:r>
          </w:p>
        </w:tc>
        <w:tc>
          <w:tcPr>
            <w:tcW w:w="120" w:type="dxa"/>
            <w:vAlign w:val="bottom"/>
          </w:tcPr>
          <w:p>
            <w:pPr>
              <w:spacing w:after="0"/>
              <w:rPr>
                <w:sz w:val="21"/>
                <w:szCs w:val="21"/>
                <w:color w:val="auto"/>
              </w:rPr>
            </w:pPr>
          </w:p>
        </w:tc>
        <w:tc>
          <w:tcPr>
            <w:tcW w:w="1140" w:type="dxa"/>
            <w:vAlign w:val="bottom"/>
          </w:tcPr>
          <w:p>
            <w:pPr>
              <w:jc w:val="right"/>
              <w:ind w:right="954"/>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8,245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2</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b w:val="1"/>
                <w:bCs w:val="1"/>
                <w:color w:val="auto"/>
              </w:rPr>
              <w:t>Level 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166,330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166,330</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166,330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7,509</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173,839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3"/>
        <w:spacing w:after="0" w:line="277" w:lineRule="auto"/>
        <w:tabs>
          <w:tab w:leader="none" w:pos="5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those short-term investments, which are carried at the fair value option under ASC 825 "Financial Instruments” as of June 30, 2020 and December 31, 2019.</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derivative financial instruments are based on independent sources including highly rated financial institutions and are classified as Level 2. Refer to Note 16 - Derivatives and Hedge Accounting to the unaudited consolidated financial statements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r>
        <w:rPr>
          <w:rFonts w:ascii="Arial" w:cs="Arial" w:eastAsia="Arial" w:hAnsi="Arial"/>
          <w:sz w:val="18"/>
          <w:szCs w:val="18"/>
          <w:color w:val="auto"/>
        </w:rPr>
        <w:t>:</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short-term investments (except investment in mutual funds, as disclosed above), restricted cash, accrued interest on term deposits, accrued capital expenditure,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estimated fair value of the convertible senior notes as of June 30, 2020 and December 31, 2019 was $141,023 and $149,934, respectively. The fair value was determined based on the market yields for similar Notes as of the June 30, 2020 and December 31, 2019, respectively. The Company considers the fair value of the Notes to be a Level 2 measurement due to the limited inputs available for its fair valuation.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 of assets:</w:t>
      </w:r>
    </w:p>
    <w:p>
      <w:pPr>
        <w:spacing w:after="0" w:line="23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Nonrecurring fair value measurements include impairment tests conducted by the Company during the six months ended June 30, 2020 of its goodwill related to its Healthcare Analytics and Healthcare BPM reporting units. The fair value determination for goodwill was based on Company’s internal assessment, which are Level 3 inputs. During the six months ended June 30, 2020, the Company did not recognize any impairment charges on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goodwill as the fair values exceeded their carrying value. Refer to Note 9 - Goodwill and Intangible Assets to the unaudited consolidated financial statements for further details.</w:t>
      </w:r>
    </w:p>
    <w:p>
      <w:pPr>
        <w:spacing w:after="0" w:line="1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During the year ended December 31, 2019, the Company conducted impairment tests of its long-lived assets and ROU assets related to its Health Integrated business. The fair value determination for ROU assets was based on third party quotes, which are Level 2 inputs, and for other long-lived assets, it was based on Company’s internal assessment, which are Level 3 inputs. During the year ended December 31, 2019, the Company recognized impairment charges on long-lived assets and ROU assets to write down the carrying value to their fair values.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Hedge Accounting</w:t>
      </w:r>
    </w:p>
    <w:p>
      <w:pPr>
        <w:spacing w:after="0" w:line="25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$421,630 (including $750 of range forward contracts) as of June 30, 2020 and $410,390 (including $4,300 of range forward contracts) as of December 31, 2019.</w:t>
      </w:r>
    </w:p>
    <w:p>
      <w:pPr>
        <w:spacing w:after="0" w:line="188"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either a part of “Cost of revenues”, “General and administrative expenses”, “Selling and marketing expenses”, “Depreciation and amortization expense”, as applicable. The impact of COVID-19 on the economic environment is uncertain and may cause variability in determination of fair value of these cash flow hedges, which could impact the effects of change in fair value that get recorded as a component of accumulated other comprehensive income/(loss) and also resultant exchange gain/(loss) upon settlement of derivative financial instruments.</w:t>
      </w:r>
    </w:p>
    <w:p>
      <w:pPr>
        <w:spacing w:after="0" w:line="21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21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estimates that approximately $561 of net derivative losses, excluding tax effects, included in AOCI, representing changes in the fair value of cash flow hedges, could be reclassified into earnings within the next twelve months based on exchange rates prevailing as of June 30, 2020. At June 30, 2020, the maximum outstanding term of the cash flow hedges was 45 months.</w:t>
      </w:r>
    </w:p>
    <w:p>
      <w:pPr>
        <w:spacing w:after="0" w:line="20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consolidated statements of income and are included in the foreign exchange gain/(loss) line item. The impact of COVID-19 on the economic environment is uncertain and may cause variability in determination of fair value of these derivatives, which could impact the effects of change in fair value that get recorded in the foreign exchange gain/(loss) line item.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$106,988, GBP 9,487 and EUR 1,453 as of June 30, 2020 and $124,045, GBP 10,843 and EUR 1,289 as of December 31, 2019.</w:t>
      </w:r>
    </w:p>
    <w:p>
      <w:pPr>
        <w:spacing w:after="0" w:line="2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240"/>
          </w:cols>
          <w:pgMar w:left="320" w:top="121" w:right="339" w:bottom="1440" w:gutter="0" w:footer="0" w:header="0"/>
        </w:sectPr>
      </w:pPr>
    </w:p>
    <w:p>
      <w:pPr>
        <w:spacing w:after="0" w:line="31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52070</wp:posOffset>
            </wp:positionV>
            <wp:extent cx="3754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37465</wp:posOffset>
            </wp:positionV>
            <wp:extent cx="26231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66"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b w:val="1"/>
          <w:bCs w:val="1"/>
          <w:color w:val="auto"/>
        </w:rPr>
        <w:t>June 30, 2020</w:t>
      </w:r>
      <w:r>
        <w:rPr>
          <w:sz w:val="20"/>
          <w:szCs w:val="20"/>
          <w:color w:val="auto"/>
        </w:rPr>
        <w:tab/>
      </w:r>
      <w:r>
        <w:rPr>
          <w:rFonts w:ascii="Arial" w:cs="Arial" w:eastAsia="Arial" w:hAnsi="Arial"/>
          <w:sz w:val="14"/>
          <w:szCs w:val="14"/>
          <w:b w:val="1"/>
          <w:bCs w:val="1"/>
          <w:color w:val="auto"/>
        </w:rPr>
        <w:t>December 31, 2019</w:t>
      </w:r>
    </w:p>
    <w:p>
      <w:pPr>
        <w:spacing w:after="0" w:line="39"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63"/>
        </w:trPr>
        <w:tc>
          <w:tcPr>
            <w:tcW w:w="5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3,945</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3,433</w:t>
            </w: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1,524</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1,250</w:t>
            </w: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56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37465</wp:posOffset>
            </wp:positionV>
            <wp:extent cx="3754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37465</wp:posOffset>
            </wp:positionV>
            <wp:extent cx="64465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66"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b w:val="1"/>
          <w:bCs w:val="1"/>
          <w:color w:val="auto"/>
        </w:rPr>
        <w:t>June 30,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37465</wp:posOffset>
            </wp:positionV>
            <wp:extent cx="26231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131</w:t>
            </w: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1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w:t>
            </w:r>
          </w:p>
        </w:tc>
      </w:tr>
      <w:tr>
        <w:trPr>
          <w:trHeight w:val="27"/>
        </w:trPr>
        <w:tc>
          <w:tcPr>
            <w:tcW w:w="4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and accumulated other comprehensive loss for the three and six months ended June 30, 2020 and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9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320" w:type="dxa"/>
            <w:vAlign w:val="bottom"/>
          </w:tcPr>
          <w:p>
            <w:pPr>
              <w:spacing w:after="0"/>
              <w:rPr>
                <w:sz w:val="18"/>
                <w:szCs w:val="18"/>
                <w:color w:val="auto"/>
              </w:rPr>
            </w:pPr>
          </w:p>
        </w:tc>
        <w:tc>
          <w:tcPr>
            <w:tcW w:w="1180" w:type="dxa"/>
            <w:vAlign w:val="bottom"/>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33"/>
        </w:trPr>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160" w:type="dxa"/>
            <w:vAlign w:val="bottom"/>
          </w:tcPr>
          <w:p>
            <w:pPr>
              <w:spacing w:after="0"/>
              <w:rPr>
                <w:sz w:val="20"/>
                <w:szCs w:val="20"/>
                <w:color w:val="auto"/>
              </w:rPr>
            </w:pP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Unrealized gain/(loss) recognized in AOCI</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16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9,205</w:t>
            </w:r>
          </w:p>
        </w:tc>
        <w:tc>
          <w:tcPr>
            <w:tcW w:w="16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23"/>
        </w:trPr>
        <w:tc>
          <w:tcPr>
            <w:tcW w:w="160" w:type="dxa"/>
            <w:vAlign w:val="bottom"/>
          </w:tcPr>
          <w:p>
            <w:pPr>
              <w:spacing w:after="0"/>
              <w:rPr>
                <w:sz w:val="19"/>
                <w:szCs w:val="19"/>
                <w:color w:val="auto"/>
              </w:rPr>
            </w:pPr>
          </w:p>
        </w:tc>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Gain/(loss) recognized in consolidated statements of income</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1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4,319</w:t>
            </w:r>
          </w:p>
        </w:tc>
        <w:tc>
          <w:tcPr>
            <w:tcW w:w="160" w:type="dxa"/>
            <w:vAlign w:val="bottom"/>
          </w:tcPr>
          <w:p>
            <w:pPr>
              <w:spacing w:after="0"/>
              <w:rPr>
                <w:sz w:val="21"/>
                <w:szCs w:val="21"/>
                <w:color w:val="auto"/>
              </w:rPr>
            </w:pPr>
          </w:p>
        </w:tc>
      </w:tr>
      <w:tr>
        <w:trPr>
          <w:trHeight w:val="905"/>
        </w:trPr>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right="540"/>
        <w:spacing w:after="0" w:line="298"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-6350</wp:posOffset>
            </wp:positionV>
            <wp:extent cx="6892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w w:val="99"/>
              </w:rPr>
              <w:t>Three months ended June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2020</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2019</w:t>
            </w:r>
          </w:p>
        </w:tc>
        <w:tc>
          <w:tcPr>
            <w:tcW w:w="1200" w:type="dxa"/>
            <w:vAlign w:val="bottom"/>
          </w:tcPr>
          <w:p>
            <w:pPr>
              <w:spacing w:after="0"/>
              <w:rPr>
                <w:sz w:val="18"/>
                <w:szCs w:val="18"/>
                <w:color w:val="auto"/>
              </w:rPr>
            </w:pPr>
          </w:p>
        </w:tc>
      </w:tr>
      <w:tr>
        <w:trPr>
          <w:trHeight w:val="33"/>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33"/>
              <w:spacing w:after="0"/>
              <w:rPr>
                <w:sz w:val="20"/>
                <w:szCs w:val="20"/>
                <w:color w:val="auto"/>
              </w:rPr>
            </w:pPr>
            <w:r>
              <w:rPr>
                <w:rFonts w:ascii="Arial" w:cs="Arial" w:eastAsia="Arial" w:hAnsi="Arial"/>
                <w:sz w:val="16"/>
                <w:szCs w:val="16"/>
                <w:b w:val="1"/>
                <w:bCs w:val="1"/>
                <w:color w:val="auto"/>
                <w:w w:val="90"/>
              </w:rPr>
              <w:t>As per unaudited</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(Loss)/Gain on</w:t>
            </w:r>
          </w:p>
        </w:tc>
        <w:tc>
          <w:tcPr>
            <w:tcW w:w="1540" w:type="dxa"/>
            <w:vAlign w:val="bottom"/>
            <w:gridSpan w:val="5"/>
          </w:tcPr>
          <w:p>
            <w:pPr>
              <w:jc w:val="center"/>
              <w:ind w:right="130"/>
              <w:spacing w:after="0"/>
              <w:rPr>
                <w:sz w:val="20"/>
                <w:szCs w:val="20"/>
                <w:color w:val="auto"/>
              </w:rPr>
            </w:pPr>
            <w:r>
              <w:rPr>
                <w:rFonts w:ascii="Arial" w:cs="Arial" w:eastAsia="Arial" w:hAnsi="Arial"/>
                <w:sz w:val="16"/>
                <w:szCs w:val="16"/>
                <w:b w:val="1"/>
                <w:bCs w:val="1"/>
                <w:color w:val="auto"/>
                <w:w w:val="91"/>
              </w:rPr>
              <w:t>As per unaudited</w:t>
            </w: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Gain on foreign</w:t>
            </w:r>
          </w:p>
        </w:tc>
      </w:tr>
      <w:tr>
        <w:trPr>
          <w:trHeight w:val="203"/>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foreign currency</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currency</w:t>
            </w:r>
          </w:p>
        </w:tc>
      </w:tr>
      <w:tr>
        <w:trPr>
          <w:trHeight w:val="203"/>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statements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statements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86"/>
              </w:rPr>
              <w:t>exchange</w:t>
            </w:r>
          </w:p>
        </w:tc>
      </w:tr>
      <w:tr>
        <w:trPr>
          <w:trHeight w:val="210"/>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contracts</w:t>
            </w:r>
          </w:p>
        </w:tc>
      </w:tr>
      <w:tr>
        <w:trPr>
          <w:trHeight w:val="33"/>
        </w:trPr>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Location in unaudited consolidated statements of income where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gain/(loss) was reclassed from AOCI</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158,401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162,446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719</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13,051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884</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Location in unaudited consolidated statements of income where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5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2,923</w:t>
            </w: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2,923</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right="120"/>
        <w:spacing w:after="0" w:line="298"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333"/>
              <w:spacing w:after="0"/>
              <w:rPr>
                <w:sz w:val="20"/>
                <w:szCs w:val="20"/>
                <w:color w:val="auto"/>
              </w:rPr>
            </w:pPr>
            <w:r>
              <w:rPr>
                <w:rFonts w:ascii="Arial" w:cs="Arial" w:eastAsia="Arial" w:hAnsi="Arial"/>
                <w:sz w:val="16"/>
                <w:szCs w:val="16"/>
                <w:b w:val="1"/>
                <w:bCs w:val="1"/>
                <w:color w:val="auto"/>
              </w:rPr>
              <w:t>Six months ended 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gridSpan w:val="3"/>
          </w:tcPr>
          <w:p>
            <w:pPr>
              <w:jc w:val="center"/>
              <w:ind w:right="1213"/>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As per unaudited</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Loss on foreign</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As per 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1"/>
              </w:rPr>
              <w:t>Gain on foreign</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8"/>
                <w:szCs w:val="8"/>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87"/>
              </w:rPr>
              <w:t>consolidated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consolidated</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vMerge w:val="restart"/>
          </w:tcPr>
          <w:p>
            <w:pPr>
              <w:jc w:val="center"/>
              <w:ind w:right="13"/>
              <w:spacing w:after="0"/>
              <w:rPr>
                <w:sz w:val="20"/>
                <w:szCs w:val="20"/>
                <w:color w:val="auto"/>
              </w:rPr>
            </w:pPr>
            <w:r>
              <w:rPr>
                <w:rFonts w:ascii="Arial" w:cs="Arial" w:eastAsia="Arial" w:hAnsi="Arial"/>
                <w:sz w:val="16"/>
                <w:szCs w:val="16"/>
                <w:b w:val="1"/>
                <w:bCs w:val="1"/>
                <w:color w:val="auto"/>
                <w:w w:val="89"/>
              </w:rPr>
              <w:t>currency exchange</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8"/>
                <w:szCs w:val="8"/>
                <w:color w:val="auto"/>
              </w:rPr>
            </w:pPr>
          </w:p>
        </w:tc>
        <w:tc>
          <w:tcPr>
            <w:tcW w:w="116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w w:val="88"/>
              </w:rPr>
              <w:t>statements of</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4"/>
              </w:rPr>
              <w:t>statements of income</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88"/>
              </w:rPr>
              <w:t>contracts</w:t>
            </w:r>
          </w:p>
        </w:tc>
        <w:tc>
          <w:tcPr>
            <w:tcW w:w="0" w:type="dxa"/>
            <w:vAlign w:val="bottom"/>
          </w:tcPr>
          <w:p>
            <w:pPr>
              <w:spacing w:after="0"/>
              <w:rPr>
                <w:sz w:val="1"/>
                <w:szCs w:val="1"/>
                <w:color w:val="auto"/>
              </w:rPr>
            </w:pPr>
          </w:p>
        </w:tc>
      </w:tr>
      <w:tr>
        <w:trPr>
          <w:trHeight w:val="102"/>
        </w:trPr>
        <w:tc>
          <w:tcPr>
            <w:tcW w:w="5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8"/>
                <w:szCs w:val="8"/>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89"/>
              </w:rPr>
              <w:t>income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Location in unaudited consolidated statements of income where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gain/(loss) was reclassed from AOCI</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321,057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319,686</w:t>
            </w:r>
          </w:p>
        </w:tc>
        <w:tc>
          <w:tcPr>
            <w:tcW w:w="20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57,691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63,759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27,507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35,694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 expense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24,855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26,419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Location in unaudited consolidated statements of income where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gain/(loss) was recognized</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gain/(loss),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2,462</w:t>
            </w:r>
          </w:p>
        </w:tc>
        <w:tc>
          <w:tcPr>
            <w:tcW w:w="2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Borrowings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the Company’s debt position as of June 30, 2020 and December 31, 2019.</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June 30, 2020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Revolver Credit</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Facility</w:t>
            </w: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Structured Payables</w:t>
            </w:r>
          </w:p>
        </w:tc>
        <w:tc>
          <w:tcPr>
            <w:tcW w:w="4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Notes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20,657</w:t>
            </w:r>
          </w:p>
        </w:tc>
      </w:tr>
      <w:tr>
        <w:trPr>
          <w:trHeight w:val="216"/>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229,000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(12,562)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(12,562)</w:t>
            </w: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79,000</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8"/>
              </w:rPr>
              <w:t>136,527</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215,527</w:t>
            </w:r>
          </w:p>
        </w:tc>
      </w:tr>
      <w:tr>
        <w:trPr>
          <w:trHeight w:val="263"/>
        </w:trPr>
        <w:tc>
          <w:tcPr>
            <w:tcW w:w="53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6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borrowings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99,000</w:t>
            </w:r>
          </w:p>
        </w:tc>
        <w:tc>
          <w:tcPr>
            <w:tcW w:w="100" w:type="dxa"/>
            <w:vAlign w:val="bottom"/>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657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8"/>
              </w:rPr>
              <w:t>136,527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236,184</w:t>
            </w:r>
          </w:p>
        </w:tc>
      </w:tr>
      <w:tr>
        <w:trPr>
          <w:trHeight w:val="21"/>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December 31, 2019</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Revolver Credit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Structured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Facility</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Payables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Notes</w:t>
            </w: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33"/>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40,867</w:t>
            </w:r>
          </w:p>
        </w:tc>
      </w:tr>
      <w:tr>
        <w:trPr>
          <w:trHeight w:val="270"/>
        </w:trPr>
        <w:tc>
          <w:tcPr>
            <w:tcW w:w="5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209,000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(13,851)</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59,000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135,131</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194,131</w:t>
            </w:r>
          </w:p>
        </w:tc>
      </w:tr>
      <w:tr>
        <w:trPr>
          <w:trHeight w:val="270"/>
        </w:trPr>
        <w:tc>
          <w:tcPr>
            <w:tcW w:w="52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borrowings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99,000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867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135,131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234,998</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*Unamortized debt issuance costs for the Company’s revolver Credit Facility of $619 and $748 as of June 30, 2020 and December 31, 2019, respectively, is presented under “Other current assets” and “Other assets” in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 Credit Agreement</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$300,000 revolving credit facility pursuant to its credit agreement (the “Credit Agreement”) with certain lenders and Citibank 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(the “Credit Facility”) carried an effective interest rate as shown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6160" w:type="dxa"/>
            <w:vAlign w:val="bottom"/>
          </w:tcPr>
          <w:p>
            <w:pPr>
              <w:spacing w:after="0"/>
              <w:rPr>
                <w:sz w:val="20"/>
                <w:szCs w:val="20"/>
                <w:color w:val="auto"/>
              </w:rPr>
            </w:pPr>
          </w:p>
        </w:tc>
        <w:tc>
          <w:tcPr>
            <w:tcW w:w="16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7"/>
        </w:trPr>
        <w:tc>
          <w:tcPr>
            <w:tcW w:w="6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6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June 30, 2020 and December 31, 2019, the Company was in compliance with all financial and non-financial covenants listed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and six months ended June 30, 2020 and 2019, the Company recognized interest expense and amortization of debt discount,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as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2,581</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Amortization of debt discount on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1,218</w:t>
            </w: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principal payments/maturities for all of the Company's borrowings as of June 30, 2020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Revolver Credit</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Structured</w:t>
            </w:r>
          </w:p>
        </w:tc>
        <w:tc>
          <w:tcPr>
            <w:tcW w:w="280" w:type="dxa"/>
            <w:vAlign w:val="bottom"/>
          </w:tcPr>
          <w:p>
            <w:pPr>
              <w:spacing w:after="0"/>
              <w:rPr>
                <w:sz w:val="18"/>
                <w:szCs w:val="18"/>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5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Notes</w:t>
            </w:r>
          </w:p>
        </w:tc>
        <w:tc>
          <w:tcPr>
            <w:tcW w:w="140" w:type="dxa"/>
            <w:vAlign w:val="bottom"/>
          </w:tcPr>
          <w:p>
            <w:pPr>
              <w:spacing w:after="0"/>
              <w:rPr>
                <w:sz w:val="10"/>
                <w:szCs w:val="10"/>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Facility</w:t>
            </w:r>
          </w:p>
        </w:tc>
        <w:tc>
          <w:tcPr>
            <w:tcW w:w="200" w:type="dxa"/>
            <w:vAlign w:val="bottom"/>
          </w:tcPr>
          <w:p>
            <w:pPr>
              <w:spacing w:after="0"/>
              <w:rPr>
                <w:sz w:val="10"/>
                <w:szCs w:val="1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7"/>
              </w:rPr>
              <w:t>Payables</w:t>
            </w:r>
          </w:p>
        </w:tc>
        <w:tc>
          <w:tcPr>
            <w:tcW w:w="2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(July - December)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20,657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249,657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5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June 30, 2020 and December 31, 2019, the Company had outstanding letters of credit of $461 each, that were not recognized in the consolidated balance sheets.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three and six months ended June 30, 2020 and 2019, the Company purchased shares of common stock from employees in connection with withholding tax payments related to the vesting of restricted stock, as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8"/>
                <w:szCs w:val="18"/>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purchase price per</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repurchased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consideration</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83"/>
              </w:rPr>
              <w:t xml:space="preserve">share </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1380" w:type="dxa"/>
            <w:vAlign w:val="bottom"/>
          </w:tcPr>
          <w:p>
            <w:pPr>
              <w:jc w:val="right"/>
              <w:spacing w:after="0"/>
              <w:rPr>
                <w:sz w:val="20"/>
                <w:szCs w:val="20"/>
                <w:color w:val="auto"/>
              </w:rPr>
            </w:pPr>
            <w:r>
              <w:rPr>
                <w:rFonts w:ascii="Arial" w:cs="Arial" w:eastAsia="Arial" w:hAnsi="Arial"/>
                <w:sz w:val="18"/>
                <w:szCs w:val="18"/>
                <w:color w:val="auto"/>
              </w:rPr>
              <w:t>26,601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3"/>
        <w:spacing w:after="0" w:line="317" w:lineRule="auto"/>
        <w:tabs>
          <w:tab w:leader="none" w:pos="61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15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$100,000. The approval increased the 2017 authorization from $20,000 to $40,000 and authorizes stock repurchases of up to $40,000 in each of 2018 and 2019.</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 The shares may be purchased by the Company from time to time from the open market and through private transactions, or otherwise, as determined by the Company’s management as market conditions warrant.</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and six months ended June 30, 2020 and 2019, the Company purchased shares of its common stock, including commissions, under the 2019 Repurchase Program and the 2017 Repurchase Program, respectively, as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00" w:type="dxa"/>
            <w:vAlign w:val="bottom"/>
          </w:tcPr>
          <w:p>
            <w:pPr>
              <w:spacing w:after="0"/>
              <w:rPr>
                <w:sz w:val="18"/>
                <w:szCs w:val="18"/>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Weighted average</w:t>
            </w:r>
          </w:p>
        </w:tc>
      </w:tr>
      <w:tr>
        <w:trPr>
          <w:trHeight w:val="234"/>
        </w:trPr>
        <w:tc>
          <w:tcPr>
            <w:tcW w:w="59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repurchased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purchase price per share</w:t>
            </w:r>
          </w:p>
        </w:tc>
      </w:tr>
      <w:tr>
        <w:trPr>
          <w:trHeight w:val="27"/>
        </w:trPr>
        <w:tc>
          <w:tcPr>
            <w:tcW w:w="5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440" w:type="dxa"/>
            <w:vAlign w:val="bottom"/>
          </w:tcPr>
          <w:p>
            <w:pPr>
              <w:jc w:val="right"/>
              <w:spacing w:after="0"/>
              <w:rPr>
                <w:sz w:val="20"/>
                <w:szCs w:val="20"/>
                <w:color w:val="auto"/>
              </w:rPr>
            </w:pPr>
            <w:r>
              <w:rPr>
                <w:rFonts w:ascii="Arial" w:cs="Arial" w:eastAsia="Arial" w:hAnsi="Arial"/>
                <w:sz w:val="18"/>
                <w:szCs w:val="18"/>
                <w:color w:val="auto"/>
              </w:rPr>
              <w:t>198,160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61.21</w:t>
            </w:r>
          </w:p>
        </w:tc>
      </w:tr>
      <w:tr>
        <w:trPr>
          <w:trHeight w:val="27"/>
        </w:trPr>
        <w:tc>
          <w:tcPr>
            <w:tcW w:w="5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9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1440" w:type="dxa"/>
            <w:vAlign w:val="bottom"/>
          </w:tcPr>
          <w:p>
            <w:pPr>
              <w:jc w:val="right"/>
              <w:spacing w:after="0"/>
              <w:rPr>
                <w:sz w:val="20"/>
                <w:szCs w:val="20"/>
                <w:color w:val="auto"/>
              </w:rPr>
            </w:pPr>
            <w:r>
              <w:rPr>
                <w:rFonts w:ascii="Arial" w:cs="Arial" w:eastAsia="Arial" w:hAnsi="Arial"/>
                <w:sz w:val="18"/>
                <w:szCs w:val="18"/>
                <w:color w:val="auto"/>
              </w:rPr>
              <w:t>175,765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11,983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68.18</w:t>
            </w:r>
          </w:p>
        </w:tc>
      </w:tr>
      <w:tr>
        <w:trPr>
          <w:trHeight w:val="27"/>
        </w:trPr>
        <w:tc>
          <w:tcPr>
            <w:tcW w:w="5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59.65</w:t>
            </w:r>
          </w:p>
        </w:tc>
      </w:tr>
      <w:tr>
        <w:trPr>
          <w:trHeight w:val="27"/>
        </w:trPr>
        <w:tc>
          <w:tcPr>
            <w:tcW w:w="5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198"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8"/>
          <w:szCs w:val="18"/>
          <w:color w:val="auto"/>
        </w:rPr>
        <w:t>The 2019 Repurchase Program may be suspended or discontinued at any time. During the quarter ended March 31, 2020, to enhance the Company’s liquidity position in response to COVID-19, the Company elected to temporarily suspend share repurchases under the 2019 Repurchase Program. The 2019 Repurchase Program remains authorized by the Board of Directors and the Company resumed share repurchases effective July 1, 2020, considering improved market conditions, the Company’s capital and liquidity needs and other factors.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 Plans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21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were as follows:</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440</w:t>
            </w:r>
          </w:p>
        </w:tc>
      </w:tr>
      <w:tr>
        <w:trPr>
          <w:trHeight w:val="27"/>
        </w:trPr>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actuarial (gain)/loss</w:t>
            </w:r>
          </w:p>
        </w:tc>
        <w:tc>
          <w:tcPr>
            <w:tcW w:w="9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(79)</w:t>
            </w:r>
          </w:p>
        </w:tc>
      </w:tr>
      <w:tr>
        <w:trPr>
          <w:trHeight w:val="27"/>
        </w:trPr>
        <w:tc>
          <w:tcPr>
            <w:tcW w:w="5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The Gratuity Plan in India is partially funded whereas the Philippines plan is unfunded. The Company makes annual contributions to the employees' gratuity fund of the Gratuity Plan established with Life Insurance Corporation of India and HDFC Standard Life Insurance Company. Fund managers manage these funds and calculate the annual contribution required to be made by the Company and manage the Gratuity Plans, including any required payouts. These funds are managed on a cash accumulation basis and interest is declared retrospectively on March 31 of each year. The Company expects to earn a return of approximately 7.0% per annum on these Gratuity Plans for the year ended December 31, 2020. The duration and severity of COVID-19 and continued market volatility is highly uncertain and, as such, the impact on assets and obligations related to employee benefit plans is subject to significant judgment and may cause variability in the Company’s net periodic benefit cost in future periods.</w:t>
      </w:r>
    </w:p>
    <w:p>
      <w:pPr>
        <w:spacing w:after="0" w:line="10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2020</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8,784</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285</w:t>
            </w:r>
          </w:p>
        </w:tc>
      </w:tr>
      <w:tr>
        <w:trPr>
          <w:trHeight w:val="27"/>
        </w:trPr>
        <w:tc>
          <w:tcPr>
            <w:tcW w:w="7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7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64"/>
        </w:trPr>
        <w:tc>
          <w:tcPr>
            <w:tcW w:w="7620" w:type="dxa"/>
            <w:vAlign w:val="bottom"/>
          </w:tcPr>
          <w:p>
            <w:pPr>
              <w:ind w:left="20"/>
              <w:spacing w:after="0"/>
              <w:rPr>
                <w:sz w:val="20"/>
                <w:szCs w:val="20"/>
                <w:color w:val="auto"/>
              </w:rPr>
            </w:pPr>
            <w:r>
              <w:rPr>
                <w:rFonts w:ascii="Arial" w:cs="Arial" w:eastAsia="Arial" w:hAnsi="Arial"/>
                <w:sz w:val="18"/>
                <w:szCs w:val="18"/>
                <w:color w:val="auto"/>
              </w:rPr>
              <w:t>Plan assets at June 30, 2020</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8,161</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6"/>
          <w:szCs w:val="16"/>
          <w:i w:val="1"/>
          <w:iCs w:val="1"/>
          <w:color w:val="auto"/>
        </w:rPr>
        <w:t>Benefits</w:t>
      </w:r>
      <w:r>
        <w:rPr>
          <w:rFonts w:ascii="Arial" w:cs="Arial" w:eastAsia="Arial" w:hAnsi="Arial"/>
          <w:sz w:val="18"/>
          <w:szCs w:val="18"/>
          <w:i w:val="1"/>
          <w:iCs w:val="1"/>
          <w:color w:val="auto"/>
        </w:rPr>
        <w:t xml:space="preserve"> payments were substantially made through the plan assets during the six months ended June 30, 2020.</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 During the three months ended March 31, 2020 and six months ended June 30, 2020, to enhance the Company’s liquidity position in response to COVID-19, the Company elected to temporarily suspend making any discretionary contributions to the 401(k)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ind w:left="420"/>
              <w:spacing w:after="0"/>
              <w:rPr>
                <w:sz w:val="20"/>
                <w:szCs w:val="20"/>
                <w:color w:val="auto"/>
              </w:rPr>
            </w:pPr>
            <w:r>
              <w:rPr>
                <w:rFonts w:ascii="Arial" w:cs="Arial" w:eastAsia="Arial" w:hAnsi="Arial"/>
                <w:sz w:val="18"/>
                <w:szCs w:val="18"/>
                <w:color w:val="auto"/>
              </w:rPr>
              <w:t>The Company's accrual for contributions to the 401(k) Plans were as follows: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81"/>
        </w:trPr>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6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r>
      <w:tr>
        <w:trPr>
          <w:trHeight w:val="29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the 401(k) Plan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2,122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Company's contribution for various defined benefit plans on behalf of employees in India, the Philippines, Bulgaria, Romania, the Czech Republic, South Africa, Colombia, Australia and Singapore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Three months ended June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6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7"/>
        </w:trPr>
        <w:tc>
          <w:tcPr>
            <w:tcW w:w="6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r>
      <w:tr>
        <w:trPr>
          <w:trHeight w:val="29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to the defined benefit plans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  2,762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4,816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had performed an evaluation of its contracts with suppliers in accordance with Topic 842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The lease agreements do not contain any covenant to impose any restrictions except for market-standard practice for similar lease arrangements.</w:t>
      </w:r>
    </w:p>
    <w:p>
      <w:pPr>
        <w:spacing w:after="0" w:line="201"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The impact of the COVID-19 pandemic on the economic environment is uncertain and has caused variability in the determination of the incremental borrowing rate, which has impacted the measurement of lease liabilities and ROU assets.</w:t>
      </w:r>
    </w:p>
    <w:p>
      <w:pPr>
        <w:spacing w:after="0" w:line="20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 xml:space="preserve">The Company accounts for lease-related concessions to mitigate the economic effects of COVID-19 on lessees in accordance with guidance in Topic 842, </w:t>
      </w:r>
      <w:r>
        <w:rPr>
          <w:rFonts w:ascii="Arial" w:cs="Arial" w:eastAsia="Arial" w:hAnsi="Arial"/>
          <w:sz w:val="16"/>
          <w:szCs w:val="16"/>
          <w:i w:val="1"/>
          <w:iCs w:val="1"/>
          <w:color w:val="auto"/>
        </w:rPr>
        <w:t>Leases</w:t>
      </w:r>
      <w:r>
        <w:rPr>
          <w:rFonts w:ascii="Arial" w:cs="Arial" w:eastAsia="Arial" w:hAnsi="Arial"/>
          <w:sz w:val="16"/>
          <w:szCs w:val="16"/>
          <w:color w:val="auto"/>
        </w:rPr>
        <w:t>, to determine on lease-by-lease basis, whether the concession provided by a lessor should be accounted for as a lease modification. Such concessions had an insignificant impact on our unaudited consolidated financial statements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gridSpan w:val="4"/>
          </w:tcPr>
          <w:p>
            <w:pPr>
              <w:jc w:val="center"/>
              <w:ind w:right="1399"/>
              <w:spacing w:after="0"/>
              <w:rPr>
                <w:sz w:val="20"/>
                <w:szCs w:val="20"/>
                <w:color w:val="auto"/>
              </w:rPr>
            </w:pPr>
            <w:r>
              <w:rPr>
                <w:rFonts w:ascii="Arial" w:cs="Arial" w:eastAsia="Arial" w:hAnsi="Arial"/>
                <w:sz w:val="16"/>
                <w:szCs w:val="16"/>
                <w:b w:val="1"/>
                <w:bCs w:val="1"/>
                <w:color w:val="auto"/>
                <w:w w:val="89"/>
              </w:rPr>
              <w:t>As of</w:t>
            </w:r>
          </w:p>
        </w:tc>
      </w:tr>
      <w:tr>
        <w:trPr>
          <w:trHeight w:val="33"/>
        </w:trPr>
        <w:tc>
          <w:tcPr>
            <w:tcW w:w="7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June 30, 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Lease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96,789</w:t>
            </w:r>
          </w:p>
        </w:tc>
        <w:tc>
          <w:tcPr>
            <w:tcW w:w="320" w:type="dxa"/>
            <w:vAlign w:val="bottom"/>
            <w:gridSpan w:val="3"/>
          </w:tcPr>
          <w:p>
            <w:pPr>
              <w:jc w:val="center"/>
              <w:ind w:lef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86,396</w:t>
            </w: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6"/>
                <w:szCs w:val="16"/>
                <w:color w:val="auto"/>
              </w:rPr>
              <w:t>Operating lease liabilities - 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18,199</w:t>
            </w:r>
          </w:p>
        </w:tc>
        <w:tc>
          <w:tcPr>
            <w:tcW w:w="320" w:type="dxa"/>
            <w:vAlign w:val="bottom"/>
            <w:gridSpan w:val="3"/>
          </w:tcPr>
          <w:p>
            <w:pPr>
              <w:jc w:val="center"/>
              <w:ind w:lef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24,148</w:t>
            </w:r>
          </w:p>
        </w:tc>
      </w:tr>
      <w:tr>
        <w:trPr>
          <w:trHeight w:val="3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liabilities - Non-current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90,934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74,709</w:t>
            </w:r>
          </w:p>
        </w:tc>
      </w:tr>
      <w:tr>
        <w:trPr>
          <w:trHeight w:val="217"/>
        </w:trPr>
        <w:tc>
          <w:tcPr>
            <w:tcW w:w="7260" w:type="dxa"/>
            <w:vAlign w:val="bottom"/>
          </w:tcPr>
          <w:p>
            <w:pPr>
              <w:ind w:left="180"/>
              <w:spacing w:after="0"/>
              <w:rPr>
                <w:sz w:val="20"/>
                <w:szCs w:val="20"/>
                <w:color w:val="auto"/>
              </w:rPr>
            </w:pPr>
            <w:r>
              <w:rPr>
                <w:rFonts w:ascii="Arial" w:cs="Arial" w:eastAsia="Arial" w:hAnsi="Arial"/>
                <w:sz w:val="16"/>
                <w:szCs w:val="16"/>
                <w:color w:val="auto"/>
              </w:rPr>
              <w:t>Total operating lease liabilities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109,133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98,857</w:t>
            </w: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7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4"/>
        </w:trPr>
        <w:tc>
          <w:tcPr>
            <w:tcW w:w="7260" w:type="dxa"/>
            <w:vAlign w:val="bottom"/>
          </w:tcPr>
          <w:p>
            <w:pPr>
              <w:spacing w:after="0"/>
              <w:rPr>
                <w:sz w:val="20"/>
                <w:szCs w:val="20"/>
                <w:color w:val="auto"/>
              </w:rPr>
            </w:pPr>
            <w:r>
              <w:rPr>
                <w:rFonts w:ascii="Arial" w:cs="Arial" w:eastAsia="Arial" w:hAnsi="Arial"/>
                <w:sz w:val="16"/>
                <w:szCs w:val="16"/>
                <w:b w:val="1"/>
                <w:bCs w:val="1"/>
                <w:color w:val="auto"/>
              </w:rPr>
              <w:t>Finance Lease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320" w:type="dxa"/>
            <w:vAlign w:val="bottom"/>
            <w:tcBorders>
              <w:bottom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1,757</w:t>
            </w:r>
          </w:p>
        </w:tc>
      </w:tr>
      <w:tr>
        <w:trPr>
          <w:trHeight w:val="223"/>
        </w:trPr>
        <w:tc>
          <w:tcPr>
            <w:tcW w:w="726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(1,120)</w:t>
            </w: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320" w:type="dxa"/>
            <w:vAlign w:val="bottom"/>
            <w:tcBorders>
              <w:bottom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637</w:t>
            </w:r>
          </w:p>
        </w:tc>
      </w:tr>
      <w:tr>
        <w:trPr>
          <w:trHeight w:val="196"/>
        </w:trPr>
        <w:tc>
          <w:tcPr>
            <w:tcW w:w="7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3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lease liabilities - Current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320" w:type="dxa"/>
            <w:vAlign w:val="bottom"/>
            <w:tcBorders>
              <w:bottom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w:t>
            </w:r>
          </w:p>
        </w:tc>
      </w:tr>
      <w:tr>
        <w:trPr>
          <w:trHeight w:val="223"/>
        </w:trPr>
        <w:tc>
          <w:tcPr>
            <w:tcW w:w="7260" w:type="dxa"/>
            <w:vAlign w:val="bottom"/>
          </w:tcPr>
          <w:p>
            <w:pPr>
              <w:spacing w:after="0"/>
              <w:rPr>
                <w:sz w:val="20"/>
                <w:szCs w:val="20"/>
                <w:color w:val="auto"/>
              </w:rPr>
            </w:pPr>
            <w:r>
              <w:rPr>
                <w:rFonts w:ascii="Arial" w:cs="Arial" w:eastAsia="Arial" w:hAnsi="Arial"/>
                <w:sz w:val="16"/>
                <w:szCs w:val="16"/>
                <w:color w:val="auto"/>
              </w:rPr>
              <w:t>Finance lease liabilities - Non-current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430</w:t>
            </w: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5"/>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finance lease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320" w:type="dxa"/>
            <w:vAlign w:val="bottom"/>
            <w:tcBorders>
              <w:bottom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Finance lease liabilities are presented as a part of “accrued expenses and other current liabilities” and “other non-current liabilities,” as applicable, in the Company’s consolidated balance sheets.</w:t>
      </w:r>
    </w:p>
    <w:p>
      <w:pPr>
        <w:spacing w:after="0" w:line="198"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During the three months ended June 30, 2019, the Company performed an impairment test of its long-lived assets of its Health Integrated business. Based on the results, the operating lease ROU assets carrying value exceeded their fair value. As a result of this analysis, the Company recognized impairment on ROU assets of $989 during the three and six months ended June 30, 2019, in the unaudited consolidated statements of income under "impairment and restructuring charges".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which are included in the Company's unaudited consolidated statements of income, are as follows: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580" w:type="dxa"/>
            <w:vAlign w:val="bottom"/>
          </w:tcPr>
          <w:p>
            <w:pPr>
              <w:spacing w:after="0"/>
              <w:rPr>
                <w:sz w:val="20"/>
                <w:szCs w:val="20"/>
                <w:color w:val="auto"/>
              </w:rPr>
            </w:pPr>
            <w:r>
              <w:rPr>
                <w:rFonts w:ascii="Arial" w:cs="Arial" w:eastAsia="Arial" w:hAnsi="Arial"/>
                <w:sz w:val="16"/>
                <w:szCs w:val="16"/>
                <w:b w:val="1"/>
                <w:bCs w:val="1"/>
                <w:i w:val="1"/>
                <w:iCs w:val="1"/>
                <w:color w:val="auto"/>
              </w:rPr>
              <w:t>Lease cost</w:t>
            </w:r>
          </w:p>
        </w:tc>
        <w:tc>
          <w:tcPr>
            <w:tcW w:w="260" w:type="dxa"/>
            <w:vAlign w:val="bottom"/>
          </w:tcPr>
          <w:p>
            <w:pPr>
              <w:spacing w:after="0"/>
              <w:rPr>
                <w:sz w:val="18"/>
                <w:szCs w:val="18"/>
                <w:color w:val="auto"/>
              </w:rPr>
            </w:pPr>
          </w:p>
        </w:tc>
        <w:tc>
          <w:tcPr>
            <w:tcW w:w="27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22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Finance lease: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17"/>
        </w:trPr>
        <w:tc>
          <w:tcPr>
            <w:tcW w:w="5580" w:type="dxa"/>
            <w:vAlign w:val="bottom"/>
          </w:tcPr>
          <w:p>
            <w:pPr>
              <w:ind w:left="320"/>
              <w:spacing w:after="0"/>
              <w:rPr>
                <w:sz w:val="20"/>
                <w:szCs w:val="20"/>
                <w:color w:val="auto"/>
              </w:rPr>
            </w:pPr>
            <w:r>
              <w:rPr>
                <w:rFonts w:ascii="Arial" w:cs="Arial" w:eastAsia="Arial" w:hAnsi="Arial"/>
                <w:sz w:val="16"/>
                <w:szCs w:val="16"/>
                <w:color w:val="auto"/>
              </w:rPr>
              <w:t>Amortization of right-of-use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187</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Interest on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r>
      <w:tr>
        <w:trPr>
          <w:trHeight w:val="217"/>
        </w:trPr>
        <w:tc>
          <w:tcPr>
            <w:tcW w:w="5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232</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6"/>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Operating lease</w:t>
            </w:r>
            <w:r>
              <w:rPr>
                <w:rFonts w:ascii="Arial" w:cs="Arial" w:eastAsia="Arial" w:hAnsi="Arial"/>
                <w:sz w:val="21"/>
                <w:szCs w:val="21"/>
                <w:b w:val="1"/>
                <w:bCs w:val="1"/>
                <w:color w:val="auto"/>
                <w:vertAlign w:val="superscript"/>
              </w:rPr>
              <w:t>(a)</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6,684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13,701</w:t>
            </w:r>
          </w:p>
        </w:tc>
      </w:tr>
      <w:tr>
        <w:trPr>
          <w:trHeight w:val="230"/>
        </w:trPr>
        <w:tc>
          <w:tcPr>
            <w:tcW w:w="5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13,701</w:t>
            </w:r>
          </w:p>
        </w:tc>
      </w:tr>
      <w:tr>
        <w:trPr>
          <w:trHeight w:val="256"/>
        </w:trPr>
        <w:tc>
          <w:tcPr>
            <w:tcW w:w="5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Sublease 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47"/>
        </w:trPr>
        <w:tc>
          <w:tcPr>
            <w:tcW w:w="5580" w:type="dxa"/>
            <w:vAlign w:val="bottom"/>
          </w:tcPr>
          <w:p>
            <w:pPr>
              <w:spacing w:after="0"/>
              <w:rPr>
                <w:sz w:val="20"/>
                <w:szCs w:val="20"/>
                <w:color w:val="auto"/>
              </w:rPr>
            </w:pPr>
            <w:r>
              <w:rPr>
                <w:rFonts w:ascii="Arial" w:cs="Arial" w:eastAsia="Arial" w:hAnsi="Arial"/>
                <w:sz w:val="16"/>
                <w:szCs w:val="16"/>
                <w:b w:val="1"/>
                <w:bCs w:val="1"/>
                <w:color w:val="auto"/>
              </w:rPr>
              <w:t>Total lease cost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6,933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6,691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13,878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13,828</w:t>
            </w:r>
          </w:p>
        </w:tc>
      </w:tr>
      <w:tr>
        <w:trPr>
          <w:trHeight w:val="24"/>
        </w:trPr>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Includes short-term leases, which are immaterial.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Supplemental cash flow and other information related to leases are as follows:</w:t>
      </w:r>
    </w:p>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40" w:type="dxa"/>
            <w:vAlign w:val="bottom"/>
            <w:gridSpan w:val="6"/>
          </w:tcPr>
          <w:p>
            <w:pPr>
              <w:ind w:left="70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6"/>
                <w:szCs w:val="16"/>
                <w:b w:val="1"/>
                <w:bCs w:val="1"/>
                <w:color w:val="auto"/>
                <w:w w:val="89"/>
              </w:rPr>
              <w:t>2020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20"/>
              <w:spacing w:after="0"/>
              <w:rPr>
                <w:sz w:val="20"/>
                <w:szCs w:val="20"/>
                <w:color w:val="auto"/>
              </w:rPr>
            </w:pPr>
            <w:r>
              <w:rPr>
                <w:rFonts w:ascii="Arial" w:cs="Arial" w:eastAsia="Arial" w:hAnsi="Arial"/>
                <w:sz w:val="16"/>
                <w:szCs w:val="16"/>
                <w:color w:val="auto"/>
              </w:rPr>
              <w:t>Cash payments for amounts included in the measurement of lease liabilities :</w:t>
            </w: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Operating cash outflows for operating leases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12,831</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13,749</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100" w:type="dxa"/>
            <w:vAlign w:val="bottom"/>
          </w:tcPr>
          <w:p>
            <w:pPr>
              <w:ind w:left="320"/>
              <w:spacing w:after="0"/>
              <w:rPr>
                <w:sz w:val="20"/>
                <w:szCs w:val="20"/>
                <w:color w:val="auto"/>
              </w:rPr>
            </w:pPr>
            <w:r>
              <w:rPr>
                <w:rFonts w:ascii="Arial" w:cs="Arial" w:eastAsia="Arial" w:hAnsi="Arial"/>
                <w:sz w:val="16"/>
                <w:szCs w:val="16"/>
                <w:color w:val="auto"/>
              </w:rPr>
              <w:t>Operating cash outflows for finance leases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Financing cash outflows for finance leases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17,999</w:t>
            </w: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27,750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6"/>
                <w:szCs w:val="16"/>
                <w:color w:val="auto"/>
              </w:rPr>
              <w:t>Weighted-average remaining lease term</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Finance lease</w:t>
            </w:r>
          </w:p>
        </w:tc>
        <w:tc>
          <w:tcPr>
            <w:tcW w:w="10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6"/>
                <w:szCs w:val="16"/>
                <w:color w:val="auto"/>
                <w:w w:val="97"/>
              </w:rPr>
              <w:t>2.1 years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 years</w:t>
            </w:r>
          </w:p>
        </w:tc>
        <w:tc>
          <w:tcPr>
            <w:tcW w:w="0" w:type="dxa"/>
            <w:vAlign w:val="bottom"/>
          </w:tcPr>
          <w:p>
            <w:pPr>
              <w:spacing w:after="0"/>
              <w:rPr>
                <w:sz w:val="1"/>
                <w:szCs w:val="1"/>
                <w:color w:val="auto"/>
              </w:rPr>
            </w:pPr>
          </w:p>
        </w:tc>
      </w:tr>
      <w:tr>
        <w:trPr>
          <w:trHeight w:val="224"/>
        </w:trPr>
        <w:tc>
          <w:tcPr>
            <w:tcW w:w="7100" w:type="dxa"/>
            <w:vAlign w:val="bottom"/>
          </w:tcPr>
          <w:p>
            <w:pPr>
              <w:ind w:left="320"/>
              <w:spacing w:after="0"/>
              <w:rPr>
                <w:sz w:val="20"/>
                <w:szCs w:val="20"/>
                <w:color w:val="auto"/>
              </w:rPr>
            </w:pPr>
            <w:r>
              <w:rPr>
                <w:rFonts w:ascii="Arial" w:cs="Arial" w:eastAsia="Arial" w:hAnsi="Arial"/>
                <w:sz w:val="16"/>
                <w:szCs w:val="16"/>
                <w:color w:val="auto"/>
              </w:rPr>
              <w:t>Operating lease</w:t>
            </w:r>
          </w:p>
        </w:tc>
        <w:tc>
          <w:tcPr>
            <w:tcW w:w="1040" w:type="dxa"/>
            <w:vAlign w:val="bottom"/>
          </w:tcPr>
          <w:p>
            <w:pPr>
              <w:spacing w:after="0"/>
              <w:rPr>
                <w:sz w:val="19"/>
                <w:szCs w:val="19"/>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6"/>
                <w:szCs w:val="16"/>
                <w:color w:val="auto"/>
                <w:w w:val="97"/>
              </w:rPr>
              <w:t>6.8 years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6.5 years</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10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320"/>
              <w:spacing w:after="0"/>
              <w:rPr>
                <w:sz w:val="20"/>
                <w:szCs w:val="20"/>
                <w:color w:val="auto"/>
              </w:rPr>
            </w:pPr>
            <w:r>
              <w:rPr>
                <w:rFonts w:ascii="Arial" w:cs="Arial" w:eastAsia="Arial" w:hAnsi="Arial"/>
                <w:sz w:val="16"/>
                <w:szCs w:val="16"/>
                <w:color w:val="auto"/>
              </w:rPr>
              <w:t>Finance lease</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7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Maturities of lease liabilities as of June 30, 2020 are as follows:</w:t>
      </w:r>
    </w:p>
    <w:p>
      <w:pPr>
        <w:spacing w:after="0" w:line="266"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Finance Leases</w:t>
            </w:r>
          </w:p>
        </w:tc>
      </w:tr>
      <w:tr>
        <w:trPr>
          <w:trHeight w:val="33"/>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(July 1 - December 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24,909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266</w:t>
            </w:r>
          </w:p>
        </w:tc>
      </w:tr>
      <w:tr>
        <w:trPr>
          <w:trHeight w:val="33"/>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21,205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103</w:t>
            </w:r>
          </w:p>
        </w:tc>
      </w:tr>
      <w:tr>
        <w:trPr>
          <w:trHeight w:val="33"/>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r>
      <w:tr>
        <w:trPr>
          <w:trHeight w:val="223"/>
        </w:trPr>
        <w:tc>
          <w:tcPr>
            <w:tcW w:w="6720" w:type="dxa"/>
            <w:vAlign w:val="bottom"/>
          </w:tcPr>
          <w:p>
            <w:pPr>
              <w:ind w:left="20"/>
              <w:spacing w:after="0"/>
              <w:rPr>
                <w:sz w:val="20"/>
                <w:szCs w:val="20"/>
                <w:color w:val="auto"/>
              </w:rPr>
            </w:pPr>
            <w:r>
              <w:rPr>
                <w:rFonts w:ascii="Arial" w:cs="Arial" w:eastAsia="Arial" w:hAnsi="Arial"/>
                <w:sz w:val="16"/>
                <w:szCs w:val="16"/>
                <w:color w:val="auto"/>
              </w:rPr>
              <w:t>2025 and thereafter</w:t>
            </w:r>
          </w:p>
        </w:tc>
        <w:tc>
          <w:tcPr>
            <w:tcW w:w="18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43,770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33"/>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743</w:t>
            </w:r>
          </w:p>
        </w:tc>
      </w:tr>
      <w:tr>
        <w:trPr>
          <w:trHeight w:val="223"/>
        </w:trPr>
        <w:tc>
          <w:tcPr>
            <w:tcW w:w="67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33,702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133</w:t>
            </w:r>
          </w:p>
        </w:tc>
      </w:tr>
      <w:tr>
        <w:trPr>
          <w:trHeight w:val="33"/>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Maturities of minimum lease payments as of December 31, 2019 are as follows:</w:t>
      </w:r>
    </w:p>
    <w:p>
      <w:pPr>
        <w:spacing w:after="0" w:line="266"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During the next twelve months ending December 31,</w:t>
            </w: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Capital Leases</w:t>
            </w: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r>
      <w:tr>
        <w:trPr>
          <w:trHeight w:val="224"/>
        </w:trPr>
        <w:tc>
          <w:tcPr>
            <w:tcW w:w="648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23,783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251</w:t>
            </w: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r>
      <w:tr>
        <w:trPr>
          <w:trHeight w:val="223"/>
        </w:trPr>
        <w:tc>
          <w:tcPr>
            <w:tcW w:w="648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19,381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86</w:t>
            </w: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23"/>
        </w:trPr>
        <w:tc>
          <w:tcPr>
            <w:tcW w:w="6480" w:type="dxa"/>
            <w:vAlign w:val="bottom"/>
          </w:tcPr>
          <w:p>
            <w:pPr>
              <w:ind w:left="20"/>
              <w:spacing w:after="0"/>
              <w:rPr>
                <w:sz w:val="20"/>
                <w:szCs w:val="20"/>
                <w:color w:val="auto"/>
              </w:rPr>
            </w:pPr>
            <w:r>
              <w:rPr>
                <w:rFonts w:ascii="Arial" w:cs="Arial" w:eastAsia="Arial" w:hAnsi="Arial"/>
                <w:sz w:val="16"/>
                <w:szCs w:val="16"/>
                <w:color w:val="auto"/>
              </w:rPr>
              <w:t>2025 and thereafter</w:t>
            </w:r>
          </w:p>
        </w:tc>
        <w:tc>
          <w:tcPr>
            <w:tcW w:w="24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23,983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minimum lease payment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130,470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w:t>
            </w:r>
          </w:p>
        </w:tc>
      </w:tr>
      <w:tr>
        <w:trPr>
          <w:trHeight w:val="223"/>
        </w:trPr>
        <w:tc>
          <w:tcPr>
            <w:tcW w:w="64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31,613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158</w:t>
            </w: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minimum lease payments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98,857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The Company recorded income tax expense of $4,072 and $2,670 for the three months ended June 30, 2020 and 2019, respectively. The Company's effective tax rate increased from 17.5% during the three months ended June 30, 2019 to 32.4% during the three months ended June 30, 2020, primarily as a result of recording a one-time tax expense of $1,320 due to electing a new tax regime for two of the Company’s Indian subsidiaries which provides for a lower tax rate on earnings in exchange for foregoing certain tax credits, including minimum alternative tax credits. Accordingly, the Company recorded one-time tax expense of $573 on re-measurement of the Company’s Indian subsidiaries’ deferred taxes to a lower corporate tax rate and one-time tax expense of $747 resulting from foregoing the minimum alternative tax credits.</w:t>
      </w:r>
    </w:p>
    <w:p>
      <w:pPr>
        <w:spacing w:after="0" w:line="20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The Company recorded income tax expense of $9,927 and $6,870 for the six months ended June 30, 2020 and 2019, respectively. The Company's effective tax rate increased from 20.1% during the six months ended June 30, 2019 to 24.3% during the six months ended June 30, 2020, primarily as a result of (i) recording a one-time tax expense of $1,320 due to electing a new tax regime for two of the Company’s Indian subsidiaries which provides for a lower tax rate on earnings in exchange for foregoing certain tax credits, including minimum alternative tax credits during the six months ended June 30, 2020, compared to a benefit of $1,471 recorded during the six months ended June 30, 2019 and (ii) recording of excess tax benefits related to stock awards of $1,822 pursuant to ASU No. 2016-09 during the six months ended June 30, 2020 compared to $1,072 during the six months ended June 30, 2019.</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(deferred) recognized in other comprehensive income are as follows: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benefit/(expense) on:</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Unrealized gain/(loss) on cash flow hedges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Total income tax expense recognized in other</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(6,649)</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(1,850)</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(2,865)</w:t>
            </w:r>
          </w:p>
        </w:tc>
        <w:tc>
          <w:tcPr>
            <w:tcW w:w="0" w:type="dxa"/>
            <w:vAlign w:val="bottom"/>
          </w:tcPr>
          <w:p>
            <w:pPr>
              <w:spacing w:after="0"/>
              <w:rPr>
                <w:sz w:val="1"/>
                <w:szCs w:val="1"/>
                <w:color w:val="auto"/>
              </w:rPr>
            </w:pPr>
          </w:p>
        </w:tc>
      </w:tr>
      <w:tr>
        <w:trPr>
          <w:trHeight w:val="25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49"/>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2,964</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5,756</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5,391</w:t>
            </w: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12,504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14,111</w:t>
            </w:r>
          </w:p>
        </w:tc>
      </w:tr>
      <w:tr>
        <w:trPr>
          <w:trHeight w:val="27"/>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the Company had 2,305,155 shares available for grant under the 2018 Omnibus Incentive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3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81"/>
        </w:trPr>
        <w:tc>
          <w:tcPr>
            <w:tcW w:w="48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7"/>
                <w:szCs w:val="7"/>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3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81"/>
        </w:trPr>
        <w:tc>
          <w:tcPr>
            <w:tcW w:w="48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7"/>
                <w:szCs w:val="7"/>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87"/>
        </w:trPr>
        <w:tc>
          <w:tcPr>
            <w:tcW w:w="488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98,161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5"/>
              </w:rPr>
              <w:t>1.86</w:t>
            </w:r>
          </w:p>
        </w:tc>
        <w:tc>
          <w:tcPr>
            <w:tcW w:w="0" w:type="dxa"/>
            <w:vAlign w:val="bottom"/>
          </w:tcPr>
          <w:p>
            <w:pPr>
              <w:spacing w:after="0"/>
              <w:rPr>
                <w:sz w:val="1"/>
                <w:szCs w:val="1"/>
                <w:color w:val="auto"/>
              </w:rPr>
            </w:pPr>
          </w:p>
        </w:tc>
      </w:tr>
      <w:tr>
        <w:trPr>
          <w:trHeight w:val="243"/>
        </w:trPr>
        <w:tc>
          <w:tcPr>
            <w:tcW w:w="4880" w:type="dxa"/>
            <w:vAlign w:val="bottom"/>
          </w:tcPr>
          <w:p>
            <w:pPr>
              <w:ind w:left="40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Exercised</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40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56,739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5"/>
              </w:rPr>
              <w:t>1.54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June 30, 2020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vMerge w:val="continue"/>
          </w:tcPr>
          <w:p>
            <w:pPr>
              <w:spacing w:after="0"/>
              <w:rPr>
                <w:sz w:val="18"/>
                <w:szCs w:val="18"/>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56,739</w:t>
            </w:r>
          </w:p>
        </w:tc>
        <w:tc>
          <w:tcPr>
            <w:tcW w:w="100" w:type="dxa"/>
            <w:vAlign w:val="bottom"/>
          </w:tcPr>
          <w:p>
            <w:pPr>
              <w:spacing w:after="0"/>
              <w:rPr>
                <w:sz w:val="18"/>
                <w:szCs w:val="18"/>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8"/>
                <w:szCs w:val="18"/>
                <w:color w:val="auto"/>
              </w:rPr>
            </w:pPr>
          </w:p>
        </w:tc>
        <w:tc>
          <w:tcPr>
            <w:tcW w:w="1240" w:type="dxa"/>
            <w:vAlign w:val="bottom"/>
          </w:tcPr>
          <w:p>
            <w:pPr>
              <w:ind w:left="920"/>
              <w:spacing w:after="0"/>
              <w:rPr>
                <w:sz w:val="20"/>
                <w:szCs w:val="20"/>
                <w:color w:val="auto"/>
              </w:rPr>
            </w:pPr>
            <w:r>
              <w:rPr>
                <w:rFonts w:ascii="Arial" w:cs="Arial" w:eastAsia="Arial" w:hAnsi="Arial"/>
                <w:sz w:val="18"/>
                <w:szCs w:val="18"/>
                <w:color w:val="auto"/>
                <w:w w:val="85"/>
              </w:rPr>
              <w:t>1.54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compensation cost for unvested options as of June 30, 2020 was $nil.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stock-based compensation plans is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05"/>
        </w:trPr>
        <w:tc>
          <w:tcPr>
            <w:tcW w:w="50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50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913,094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43"/>
        </w:trPr>
        <w:tc>
          <w:tcPr>
            <w:tcW w:w="50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392,287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43"/>
        </w:trPr>
        <w:tc>
          <w:tcPr>
            <w:tcW w:w="50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(43,318)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27,384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48.72</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951,406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ind w:firstLine="413"/>
        <w:spacing w:after="0" w:line="275" w:lineRule="auto"/>
        <w:tabs>
          <w:tab w:leader="none" w:pos="54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2020 and December 31, 2019 restricted stock units vested for which the underlying common stock is yet to be issued were 181,638 and 167,270, respectively.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2020, unrecognized compensation cost of $55,720 is expected to be expensed over a weighted average period of 2.85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 based restricted stock unit activity under the Company’s stock plans is shown below:</w:t>
      </w:r>
    </w:p>
    <w:p>
      <w:pPr>
        <w:spacing w:after="0" w:line="149"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32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05"/>
        </w:trPr>
        <w:tc>
          <w:tcPr>
            <w:tcW w:w="49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4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61,368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78.29</w:t>
            </w:r>
          </w:p>
        </w:tc>
        <w:tc>
          <w:tcPr>
            <w:tcW w:w="10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61,352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146,990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69.12</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146,960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2020, unrecognized compensation cost of $8,959 is expected to be expensed over a weighted average period of 2.01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Disclosures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outstanding Notes with a principal amount of $150,000 each as of June 30, 2020 and December 31, 2019 and interest accrued of $1,313 each as of June 30, 2020 and December 31, 2019, related to the Investment Agreement.</w:t>
      </w:r>
    </w:p>
    <w:p>
      <w:pPr>
        <w:spacing w:after="0" w:line="197" w:lineRule="exact"/>
        <w:rPr>
          <w:sz w:val="20"/>
          <w:szCs w:val="20"/>
          <w:color w:val="auto"/>
        </w:rPr>
      </w:pPr>
    </w:p>
    <w:p>
      <w:pPr>
        <w:ind w:right="580" w:firstLine="405"/>
        <w:spacing w:after="0" w:line="261" w:lineRule="auto"/>
        <w:rPr>
          <w:sz w:val="20"/>
          <w:szCs w:val="20"/>
          <w:color w:val="auto"/>
        </w:rPr>
      </w:pPr>
      <w:r>
        <w:rPr>
          <w:rFonts w:ascii="Arial" w:cs="Arial" w:eastAsia="Arial" w:hAnsi="Arial"/>
          <w:sz w:val="18"/>
          <w:szCs w:val="18"/>
          <w:color w:val="auto"/>
        </w:rPr>
        <w:t>The Company recognized interest expense on the Notes related to the Investment Agreement s as below. Refer to Note 17 – Borrowings to the unaudited consolidated financial statements for details.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280" w:type="dxa"/>
            <w:vAlign w:val="bottom"/>
            <w:gridSpan w:val="5"/>
          </w:tcPr>
          <w:p>
            <w:pPr>
              <w:ind w:left="80"/>
              <w:spacing w:after="0"/>
              <w:rPr>
                <w:sz w:val="20"/>
                <w:szCs w:val="20"/>
                <w:color w:val="auto"/>
              </w:rPr>
            </w:pPr>
            <w:r>
              <w:rPr>
                <w:rFonts w:ascii="Arial" w:cs="Arial" w:eastAsia="Arial" w:hAnsi="Arial"/>
                <w:sz w:val="18"/>
                <w:szCs w:val="18"/>
                <w:b w:val="1"/>
                <w:bCs w:val="1"/>
                <w:color w:val="auto"/>
                <w:w w:val="97"/>
              </w:rPr>
              <w:t>Three months ended June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7"/>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2,581</w:t>
            </w:r>
          </w:p>
        </w:tc>
      </w:tr>
      <w:tr>
        <w:trPr>
          <w:trHeight w:val="27"/>
        </w:trPr>
        <w:tc>
          <w:tcPr>
            <w:tcW w:w="6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52"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6"/>
          <w:szCs w:val="16"/>
          <w:color w:val="auto"/>
        </w:rPr>
        <w:t>At June 30, 2020, the Company had committed to spend approximately $9,900 under agreements to purchase property and equipment. This amount is net of capital advances paid as of June 30, 2020 which are recognized in the unaudited consolidated balance sheets as property and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Certain units of the Company’s Indian subsidiaries were established as 100% Export-Oriented units or under the Software Technology Parks of India (“STPI”) or Special Economic Zone (“SEZ”)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operations centers in the Philippines are registered with the Philippine Economic Zone Authority (“PEZA”). The registration provides the Company with certain fiscal incentives on the import of capital goods and local purchase of services and materials and requires ExlService Philippines, Inc. to meet certain performance and investment criteria. The Company’s management believes that these centers have in the past satisfied and will continue to satisfy the required criteria.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the Philippines and India, tax year 2016 and subsequent tax years remain open for examination by the tax authorities as of June 30, 2020.</w:t>
      </w:r>
    </w:p>
    <w:p>
      <w:pPr>
        <w:spacing w:after="0" w:line="18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aggregate amount demanded by income tax authorities (net of advance payments, if any) from the Company related to its transfer pricing issues for tax years 2003 to 2015 and its permanent establishment issues for tax years 2003 to 2007 as of June 30, 2020 and December 31, 2019 is $16,152 and $16,220, respectively, of which the Company has made payments and/or provided bank guarantees to the extent $7,856 and $8,108, respectively. Amounts paid as deposits in respect of such assessments aggregating to $6,102 and $6,252 as of June 30, 2020 and December 31, 2019, respectively, are included in “Other assets” and amounts deposited for bank guarantees aggregating to $1,754 and $1,856 as of June 30, 2020 and December 31, 2019, respectively, are included in “Restricted cash” in the non-current assets section of the Company’s unaudited consolidated balance sheets.</w:t>
      </w:r>
    </w:p>
    <w:p>
      <w:pPr>
        <w:spacing w:after="0" w:line="19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February 2019, there was a judicial pronouncement in India with respect to defined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Accordingly, the Company will re-evaluate the amount of a potential provision, if any, upon further developments.</w:t>
      </w:r>
    </w:p>
    <w:p>
      <w:pPr>
        <w:spacing w:after="0" w:line="2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21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2019. Some of the statements in the following discussion are forward looking statements. Dollar amounts within Item 2 are presented as actual, rounded, dollar amounts.</w:t>
      </w:r>
    </w:p>
    <w:p>
      <w:pPr>
        <w:spacing w:after="0" w:line="21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i w:val="1"/>
          <w:iCs w:val="1"/>
          <w:color w:val="auto"/>
        </w:rPr>
        <w:t>We have described in this Quarterly Report on Form 10-Q, the impact of the global Coronavirus Disease 2019 pandemic (“COVID-19”) on our financial results for the quarter ended June 30, 2020. However, it remains difficult to predict at this time what impact, the spread of COVID-19 will have on our 2020 financial results. See "Cautionary Note Regarding Forward-Looking Statements" below and in Item 1A-“Risk Factors” included elsewhere in this Quarterly Report on Form 10-Q for further information regarding risks and uncertainties relating to COVID-19.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are, and will be, amplified by COVID-19. These factors include but are not limited to:</w:t>
      </w:r>
    </w:p>
    <w:p>
      <w:pPr>
        <w:spacing w:after="0" w:line="7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results of operations have been affected and could in the future be adversely impacted by COVID-19;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estimate and/or manage the costs and/or timing of winding down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the entire book value of goodwill and other intangible assets from acquisitions;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operational and information security failures arising as a result of remote work solutions adopted due to COVID-19;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2019. These and other risks could cause actual results to differ materially from those implied by forward-looking statements in this Quarterly Report on Form 10-Q.</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21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Effective January 1, 2020, we made certain operational and structural changes to more closely integrate our businesses and to simplify our organizational structure. We now manage and report financial information through our four strategic business units, Insurance, Healthcare, Analytics and Emerging Business, which reflects how management will review financial information and make operating decisions. These business units develop client specific solutions, build capabilities, maintain a unified go-to-market approach and are integrally responsible for service delivery, customer satisfaction, growth and profitability. In line with our strategy of vertical integration and focus on domain expertise, we have integrated our Finance &amp; Accounting and Consulting operating segments within each of the Insurance and Healthcare operating segments based on the corresponding industry-specific clients. Finance &amp; Accounting and Consulting services provided to clients outside of the Insurance and Healthcare industries is now the part of our newly formed business unit and reportable segment, Emerging Business.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Our new reportable segments are as follows:</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Emerging Business</w:t>
      </w:r>
    </w:p>
    <w:p>
      <w:pPr>
        <w:spacing w:after="0" w:line="5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conjunction with the new reporting structure, we recasted our segment disclosures for all prior periods presented to conform to the way we internally manage and monitor segment performance.</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5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7"/>
          <w:szCs w:val="17"/>
          <w:color w:val="auto"/>
        </w:rPr>
        <w:t>The global COVID-19 pandemic continues to materially impact worldwide economic activity and levels of business confidence and has had widespread, rapidly-evolving and unpredictable impacts on global societies, economies, financial markets and business practices. During the first fiscal quarter ended March 31, 2020, COVID -19 did not have a significant impact on our business, however during the second fiscal quarter ended June 30, 2020, COVID-19 materially impacted us and our customers, employees, contractors, suppliers, and other partners, who were prevented from conducting business activities as usual, including due to the health and safety measures in response to COVID-19, such as shutdowns, which have been requested or mandated by governmental authorities. The shutdown measures disrupted our ability to provide our services and solutions and resulted in, among other things, loss of revenue, increased costs and the possibility of enhanced credit risk on our accounts receivable. The continued spread of COVID-19 and the measures taken by the governments of countries affected has disrupted the continuity of our provision of services to our customers and adversely impacted our business, financial condition or results of operations. In the second quarter of 2020, we took actions in response to the pandemic that focused on maintaining business continuity and helping our employees and our customers, as well as on preparing for the future and the long-term success of our business. These actions included disseminating guidance and information to our employees, periodic CEO messaging, various programs aimed at employee wellness and facilitating work from home, including a global wellness program, enhanced awareness towards information security, cyber security and data privacy policies and practices for employees while working from home among others. There continues to be significant volatility and economic and geopolitical uncertainty in many markets around the world. Several states in the United States, including New York, where we are headquartered, declared states of emergency, some of which are now being slowly lifted in a piecemeal manner through multi-step reopening policies, while others are being reinstated in response to new outbreaks. Several countries around the world, including the United States, have significantly restricted travel. We are actively managing our business to respond to the impact.</w:t>
      </w:r>
    </w:p>
    <w:p>
      <w:pPr>
        <w:spacing w:after="0" w:line="21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Given the unprecedented uncertainty of this situation, including the unknown duration, scope and severity of the pandemic and the current and future health and safety measures implemented in response to the pandemic, and the unknown overall impact on our services, it makes it difficult to forecast the full impact on our business or the duration of such impact; however, we expect that the impacts from COVID-19 and the related economic disruption will have an adverse impact on our consolidated results of operations, consolidated financial position and consolidated cash flow in fiscal 2020. However we do not expect COVID-19 and its related economic impact to materially adversely affect our liquidity position in the foreseeable future. Due to the above circumstances and as described generally in this Quarterly Report on Form 10-Q, our results of operations for the three and six months ended period ended June 30, 2020 are not necessarily indicative of the results to be expected for the full fiscal year and such impact may not be directly comparable to any historical period. We continue to monitor the implications of COVID-19 on our business, as well as our customers’ and suppliers’ businesses.</w:t>
      </w:r>
    </w:p>
    <w:p>
      <w:pPr>
        <w:spacing w:after="0" w:line="19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response to certain anticipated impacts from COVID-19, we have also implemented a series of temporary cost reduction measures to further preserve financial flexibility. These actions include the postponement of certain discretionary spending and capital expenditures, deferring scheduled increases in base salaries and temporarily reducing the base salaries of our executive officers and certain other groups of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have also taken certain precautionary measures to maintain financial flexibility during this time, including drawing $100.0 million from our line of credit under our existing Credit Agreement on March 12, 2020, the proceeds of which were available for working capital, general corporate or other purposes as needed, however it was repaid in full on April 20, 2020. We also temporarily suspended our stock repurchase program during the first and second quarter of 2020, which was resumed as of July 1, 2020.</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2020, due to the macroeconomic conditions arising from COVID-19, we performed a goodwill impairment test for any potential impairment and concluded that there was no impairment. However, there can be no assurances that goodwill will not be impaired in future periods. Estimating the fair value of goodwill requires the use of estimates and significant judgments that are based on a number of factors including actual operating results. These estimates and judgments may not be within the control of us and accordingly it is reasonably possible that the judgments and estimates could change in future periods.</w:t>
      </w:r>
    </w:p>
    <w:p>
      <w:pPr>
        <w:spacing w:after="0" w:line="21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As public health protocols begin to accommodate returning to work at our facilities, we are implementing additional safety measures at all of our facilities, including increased frequency in cleaning and disinfecting as well as hygiene and social distancing practices. However there is a risk that if jurisdictions in which we operate re-instate prior restrictions, our operations and business will be materially impacted.</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and risks related to COVID-19, see Item 1A- "Risk Factors"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right="20" w:firstLine="405"/>
        <w:spacing w:after="0" w:line="248" w:lineRule="auto"/>
        <w:rPr>
          <w:sz w:val="20"/>
          <w:szCs w:val="20"/>
          <w:color w:val="auto"/>
        </w:rPr>
      </w:pPr>
      <w:r>
        <w:rPr>
          <w:rFonts w:ascii="Arial" w:cs="Arial" w:eastAsia="Arial" w:hAnsi="Arial"/>
          <w:sz w:val="18"/>
          <w:szCs w:val="18"/>
          <w:color w:val="auto"/>
        </w:rPr>
        <w:t>For the three months ended June 30, 2020, we had revenues of $222.5 million compared to revenues of $243.5 million for the three months ended June 30, 2019, a decrease of $21.0 million, or 8.6%. For the six months ended June 30, 2020, we had revenues of $468.5 million compared to revenues of $483.1 million for the six months ended June 30, 2019, a decrease of $14.6 million, or 3.0%.</w:t>
      </w:r>
    </w:p>
    <w:p>
      <w:pPr>
        <w:spacing w:after="0" w:line="20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85.0% and 8.5%, respectively, of our total revenues for the three months ended June 30, 2020, and 81.3% and 12.4%, respectively, of our total revenues for the three months ended June 30, 2019. For the six months ended June 30, 2020, these two regions generated 84.7% and 9.0%, respectively, of our total revenues and 81.6% and 12.3%, respectively, of our total revenues for the six months ended June 30, 2019.</w:t>
      </w:r>
    </w:p>
    <w:p>
      <w:pPr>
        <w:spacing w:after="0" w:line="215"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For the three months ended June 30, 2020 and 2019, our total revenues from our top ten clients accounted for 38.7% and 36.5% of our total revenues, respectively. For the six months ended June 30, 2020 and 2019, our total revenues from our top ten clients accounted for 37.1% and 36.5%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2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Operations Management Services: </w:t>
      </w:r>
      <w:r>
        <w:rPr>
          <w:rFonts w:ascii="Arial" w:cs="Arial" w:eastAsia="Arial" w:hAnsi="Arial"/>
          <w:sz w:val="16"/>
          <w:szCs w:val="16"/>
          <w:color w:val="auto"/>
        </w:rPr>
        <w:t>We provide our clients with a range of operations management services from our Insurance, Healthcare and</w:t>
      </w:r>
      <w:r>
        <w:rPr>
          <w:rFonts w:ascii="Arial" w:cs="Arial" w:eastAsia="Arial" w:hAnsi="Arial"/>
          <w:sz w:val="16"/>
          <w:szCs w:val="16"/>
          <w:i w:val="1"/>
          <w:iCs w:val="1"/>
          <w:color w:val="auto"/>
        </w:rPr>
        <w:t xml:space="preserve"> </w:t>
      </w:r>
      <w:r>
        <w:rPr>
          <w:rFonts w:ascii="Arial" w:cs="Arial" w:eastAsia="Arial" w:hAnsi="Arial"/>
          <w:sz w:val="16"/>
          <w:szCs w:val="16"/>
          <w:color w:val="auto"/>
        </w:rPr>
        <w:t>Emerging Business operating segments, which typically involve the transfer to EXL business operations of a client such as claims processing, clinical operations, or financial transaction processing, after which we administer and manage those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continue to observe a shift in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billing rate model to a transaction-based or other alternative pricing model. These alternative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actively cross-sell and, where appropriate, integrate our Analytics services with other operations management services as part of a comprehensive offering for our clients.</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expect that the growth of our operations management and analytics services will continue to be impacted throughout 2020 by the COVID-19 pandemic and subsequent global recovery. Refer to “Management’s Discussion and Analysis of Financial Condition and Results of Operations - Impact of COVID-19 on Our Business” and to the unaudited consolidated financial statements included in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 Summary of Significant Accounting Policies to the consolidated financial statements included in our Annual Report on Form 10-K for the fiscal year ended December 31, 2019</w:t>
      </w:r>
    </w:p>
    <w:p>
      <w:pPr>
        <w:spacing w:after="0" w:line="1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due to outbreak of COVID-19, we have reassessed those of our accounting policies whose application places the most significant demands on management’s judgment, for instance, revenue recognition, allowance for expected credit losses, business combinations, goodwill, intangibles and long-lived assets, stock-based compensation, derivative instruments and hedging activity, borrowings, assumptions related to ROU assets, lease cost, income taxes and assets and obligations related to employee benefit plans. Such reassessments did not have a significant impact on our results of operations and cash flows for the periods presented.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results of operations for the three months ended June 30, 2020 and 2019:</w:t>
      </w:r>
    </w:p>
    <w:p>
      <w:pPr>
        <w:sectPr>
          <w:pgSz w:w="11900" w:h="16838" w:orient="portrait"/>
          <w:cols w:equalWidth="0" w:num="1">
            <w:col w:w="11240"/>
          </w:cols>
          <w:pgMar w:left="320" w:top="364" w:right="339" w:bottom="1440" w:gutter="0" w:footer="0" w:header="0"/>
        </w:sectPr>
      </w:pPr>
    </w:p>
    <w:p>
      <w:pPr>
        <w:spacing w:after="0" w:line="280" w:lineRule="exact"/>
        <w:rPr>
          <w:sz w:val="20"/>
          <w:szCs w:val="20"/>
          <w:color w:val="auto"/>
        </w:rPr>
      </w:pPr>
    </w:p>
    <w:p>
      <w:pPr>
        <w:ind w:left="596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38100</wp:posOffset>
            </wp:positionV>
            <wp:extent cx="1808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8" w:lineRule="exact"/>
        <w:rPr>
          <w:sz w:val="20"/>
          <w:szCs w:val="20"/>
          <w:color w:val="auto"/>
        </w:rPr>
      </w:pPr>
    </w:p>
    <w:p>
      <w:pPr>
        <w:ind w:left="5960"/>
        <w:spacing w:after="0"/>
        <w:tabs>
          <w:tab w:leader="none" w:pos="74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31115</wp:posOffset>
            </wp:positionV>
            <wp:extent cx="18084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47"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31115</wp:posOffset>
            </wp:positionV>
            <wp:extent cx="18084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7"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31115</wp:posOffset>
            </wp:positionV>
            <wp:extent cx="18084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8220" w:space="720"/>
            <w:col w:w="230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222.5</w:t>
            </w: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483.1</w:t>
            </w: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158.4</w:t>
            </w:r>
          </w:p>
        </w:tc>
        <w:tc>
          <w:tcPr>
            <w:tcW w:w="1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319.7</w:t>
            </w: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64.1</w:t>
            </w:r>
          </w:p>
        </w:tc>
        <w:tc>
          <w:tcPr>
            <w:tcW w:w="1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81.1</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163.4</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63.8</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35.7</w:t>
            </w:r>
          </w:p>
        </w:tc>
      </w:tr>
      <w:tr>
        <w:trPr>
          <w:trHeight w:val="27"/>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Impairment and restructuring charges</w:t>
            </w:r>
          </w:p>
        </w:tc>
        <w:tc>
          <w:tcPr>
            <w:tcW w:w="4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6.8</w:t>
            </w:r>
          </w:p>
        </w:tc>
      </w:tr>
      <w:tr>
        <w:trPr>
          <w:trHeight w:val="27"/>
        </w:trPr>
        <w:tc>
          <w:tcPr>
            <w:tcW w:w="5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54.2</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132.7</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9.9</w:t>
            </w:r>
          </w:p>
        </w:tc>
        <w:tc>
          <w:tcPr>
            <w:tcW w:w="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30.7</w:t>
            </w:r>
          </w:p>
        </w:tc>
      </w:tr>
      <w:tr>
        <w:trPr>
          <w:trHeight w:val="27"/>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12.6</w:t>
            </w:r>
          </w:p>
        </w:tc>
        <w:tc>
          <w:tcPr>
            <w:tcW w:w="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34.3</w:t>
            </w:r>
          </w:p>
        </w:tc>
      </w:tr>
      <w:tr>
        <w:trPr>
          <w:trHeight w:val="27"/>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8.5</w:t>
            </w:r>
          </w:p>
        </w:tc>
        <w:tc>
          <w:tcPr>
            <w:tcW w:w="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27.4</w:t>
            </w:r>
          </w:p>
        </w:tc>
      </w:tr>
      <w:tr>
        <w:trPr>
          <w:trHeight w:val="27"/>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8.4</w:t>
            </w:r>
          </w:p>
        </w:tc>
        <w:tc>
          <w:tcPr>
            <w:tcW w:w="18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27.3</w:t>
            </w:r>
          </w:p>
        </w:tc>
      </w:tr>
      <w:tr>
        <w:trPr>
          <w:trHeight w:val="27"/>
        </w:trPr>
        <w:tc>
          <w:tcPr>
            <w:tcW w:w="5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three months ended June 30, 2020 and 2019:</w:t>
      </w: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June 30,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275"/>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4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196"/>
        </w:trPr>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Analytics</w:t>
            </w:r>
          </w:p>
        </w:tc>
        <w:tc>
          <w:tcPr>
            <w:tcW w:w="30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for the three months ended June 30, 2020 were $222.5 million, down $21.0 million, or 8.6%,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8"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Revenue decline in Insurance of $4.3 million was primarily driven by lower volumes due to the impact of COVID-19, partially offset by expansion of business from certain existing clients aggregating to $3.6 million and $0.7 million mainly attributable to the depreciation of the Australian dollar, Indian rupee, U.K. pound sterling and South African ZAR against the U.S. dollar during the three months ended June 30, 2020, compared to the three months ended June 30, 2019. Insurance revenues were 36.5% and 35.1% of our total revenues in the three months ended June 30, 2020 and June 30, 2019, respectively.</w:t>
      </w:r>
    </w:p>
    <w:p>
      <w:pPr>
        <w:spacing w:after="0" w:line="2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Revenue growth in Healthcare of $3.3 million was primarily driven by expansion of business from our existing clients of $6.2 million, partially offset by our December 2019 wind-down of Health Integrated business revenues of $2.9 million during the three months ended June 30, 2019. Healthcare revenues were 11.2% and 8.9% of our total revenues in the three months ended June 30, 2020 and June 30, 2019, respectively.</w:t>
      </w:r>
    </w:p>
    <w:p>
      <w:pPr>
        <w:spacing w:after="0" w:line="19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decline in Emerging Business of $13.8 million was primarily driven by lower volumes due to the impact of COVID-19 and ramp down in certain client contracts aggregating to $13.0 million and $0.8 million attributable to the depreciation of the Indian rupee against the U.S. dollar during the three months ended June 30, 2020, compared to the three months ended June 30, 2019. Emerging Business revenues were 15.5% and 19.8% of our total revenues in the three months ended June 30, 2020 and June 30, 2019, respectively.</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decline in Analytics of $6.2 million was primarily driven by lower revenues from our recurring and project-based engagements due to the impact of COVID-19 aggregating to $6.0 million, and $0.2 million attributable to the depreciation of the U.K. pound sterling and Indian rupee against the U.S. dollar during the three months ended June 30, 2020, compared to the three months ended June 30, 2019. Analytics revenues were 36.7% and 36.1% of our total revenues in the three months ended June 30, 2020 and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 of Revenues</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5"/>
              </w:rPr>
              <w:t>Gross Margin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June 30,</w:t>
            </w:r>
          </w:p>
        </w:tc>
        <w:tc>
          <w:tcPr>
            <w:tcW w:w="160" w:type="dxa"/>
            <w:vAlign w:val="bottom"/>
          </w:tcPr>
          <w:p>
            <w:pPr>
              <w:spacing w:after="0"/>
              <w:rPr>
                <w:sz w:val="17"/>
                <w:szCs w:val="17"/>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66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0"/>
        </w:trPr>
        <w:tc>
          <w:tcPr>
            <w:tcW w:w="19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vMerge w:val="restart"/>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60" w:type="dxa"/>
            <w:vAlign w:val="bottom"/>
            <w:tcBorders>
              <w:top w:val="single" w:sz="8" w:color="auto"/>
            </w:tcBorders>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left="73"/>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Emerging Business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97"/>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Arial" w:cs="Arial" w:eastAsia="Arial" w:hAnsi="Arial"/>
                <w:sz w:val="18"/>
                <w:szCs w:val="18"/>
                <w:color w:val="auto"/>
              </w:rPr>
              <w:t>Analytics</w:t>
            </w:r>
          </w:p>
        </w:tc>
        <w:tc>
          <w:tcPr>
            <w:tcW w:w="28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left="53"/>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97"/>
              </w:rPr>
              <w:t>(4.0)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June 30, 2020, cost of revenues was $158.4 million compared to $162.4 million for the three months ended June 30, 2019, a decrease of $4.0 million, or 2.5%. Our gross margin for the three months ended June 30, 2020 was 28.8% compared to 33.3% for the three months ended June 30, 2019, a decrease of 450 basis points (“bps”).</w:t>
      </w:r>
    </w:p>
    <w:p>
      <w:pPr>
        <w:spacing w:after="0" w:line="21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The decrease in cost of revenues in Insurance of $0.3 million was primarily due to decrease in employee-related costs of $1.3 million and currency movements, net of hedging of $0.8 million. This was offset by higher infrastructure, technology and other operating costs of $1.8 million. Gross margin in Insurance decreased by 330 bps during the three months ended June 30, 2020 compared to the three months ended June 30, 2019, primarily due to lower revenues and impact of COVID-19 related expenses during the three months ended June 30, 2020.</w:t>
      </w:r>
    </w:p>
    <w:p>
      <w:pPr>
        <w:spacing w:after="0" w:line="199"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increase in cost of revenues in Healthcare of $1.9 million was primarily due to an increase in employee-related costs of $1.6 million and other operating costs of $0.5 million. This was partially offset by currency movements, net of hedging of $0.2 million. Gross margin in Healthcare increased by 310 bps during the three months ended June 30, 2020, compared to the three months ended June 30, 2019, primarily due to lower margin in the Heath Integrated business during the three months ended June 30, 2019 and higher revenues during the three months ended June 30, 2020.</w:t>
      </w:r>
    </w:p>
    <w:p>
      <w:pPr>
        <w:spacing w:after="0" w:line="18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decrease in cost of revenues in Emerging Business of $5.4 million was primarily due to a decrease in employee-related costs of $3.5 million, lower travel costs of $0.9 million, lower other operating costs of $0.4 million and currency movements, net of hedging of $0.6 million. Gross margin in Emerging Business decreased by 730 bps during the three months ended June 30, 2020, compared to the three months ended June 30, 2019, primarily due to lower revenues during the three months ended June 30, 2020.</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decrease in cost of revenues in Analytics of $0.2 million was primarily due to lower travel costs of $2.2 million and currency movements, net of hedging of $0.7 million. This was partially offset by an increase in employee-related costs of $2.2 million and higher other operating costs of $0.5 million. Gross margin in Analytics decreased by 470 bps during the three months ended June 30, 2020, compared to the three months ended June 30, 2019, primarily due to lower revenues and higher operating expenses.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b w:val="1"/>
                <w:bCs w:val="1"/>
                <w:color w:val="auto"/>
                <w:w w:val="91"/>
              </w:rPr>
              <w:t>Three months ended June 30,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5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3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6"/>
        </w:trPr>
        <w:tc>
          <w:tcPr>
            <w:tcW w:w="5240" w:type="dxa"/>
            <w:vAlign w:val="bottom"/>
          </w:tcPr>
          <w:p>
            <w:pPr>
              <w:spacing w:after="0"/>
              <w:rPr>
                <w:sz w:val="6"/>
                <w:szCs w:val="6"/>
                <w:color w:val="auto"/>
              </w:rPr>
            </w:pPr>
          </w:p>
        </w:tc>
        <w:tc>
          <w:tcPr>
            <w:tcW w:w="82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3"/>
              </w:rPr>
              <w:t>2020</w:t>
            </w:r>
          </w:p>
        </w:tc>
        <w:tc>
          <w:tcPr>
            <w:tcW w:w="360" w:type="dxa"/>
            <w:vAlign w:val="bottom"/>
          </w:tcPr>
          <w:p>
            <w:pPr>
              <w:spacing w:after="0"/>
              <w:rPr>
                <w:sz w:val="6"/>
                <w:szCs w:val="6"/>
                <w:color w:val="auto"/>
              </w:rPr>
            </w:pP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5240" w:type="dxa"/>
            <w:vAlign w:val="bottom"/>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28.8</w:t>
            </w:r>
          </w:p>
        </w:tc>
        <w:tc>
          <w:tcPr>
            <w:tcW w:w="11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31.2</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w w:val="91"/>
              </w:rPr>
              <w:t>13.0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17.6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41.8</w:t>
            </w:r>
          </w:p>
        </w:tc>
        <w:tc>
          <w:tcPr>
            <w:tcW w:w="11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48.8</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a percentage of revenues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w w:val="91"/>
              </w:rPr>
              <w:t>18.8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20.1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decrease in SG&amp;A expenses of $7.0 million was primarily due to COVID-19 cost reduction measures including the temporary reduction of the base salaries of our executive officers and certain other groups of employees. This was driven by lower employee-related costs of $4.5 million, lower infrastructure and travel costs of $1.9 million and currency movements, net of hedging of $0.6 million.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3"/>
                <w:szCs w:val="3"/>
                <w:color w:val="auto"/>
              </w:rPr>
            </w:pP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center"/>
              <w:ind w:left="195"/>
              <w:spacing w:after="0"/>
              <w:rPr>
                <w:sz w:val="20"/>
                <w:szCs w:val="20"/>
                <w:color w:val="auto"/>
              </w:rPr>
            </w:pPr>
            <w:r>
              <w:rPr>
                <w:rFonts w:ascii="Arial" w:cs="Arial" w:eastAsia="Arial" w:hAnsi="Arial"/>
                <w:sz w:val="18"/>
                <w:szCs w:val="18"/>
                <w:color w:val="auto"/>
                <w:w w:val="87"/>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center"/>
              <w:ind w:left="175"/>
              <w:spacing w:after="0"/>
              <w:rPr>
                <w:sz w:val="20"/>
                <w:szCs w:val="20"/>
                <w:color w:val="auto"/>
              </w:rPr>
            </w:pPr>
            <w:r>
              <w:rPr>
                <w:rFonts w:ascii="Arial" w:cs="Arial" w:eastAsia="Arial" w:hAnsi="Arial"/>
                <w:sz w:val="18"/>
                <w:szCs w:val="18"/>
                <w:color w:val="auto"/>
                <w:w w:val="97"/>
              </w:rPr>
              <w:t>(2.2)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12.4</w:t>
            </w:r>
          </w:p>
        </w:tc>
        <w:tc>
          <w:tcPr>
            <w:tcW w:w="11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12.8</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center"/>
              <w:ind w:left="175"/>
              <w:spacing w:after="0"/>
              <w:rPr>
                <w:sz w:val="20"/>
                <w:szCs w:val="20"/>
                <w:color w:val="auto"/>
              </w:rPr>
            </w:pPr>
            <w:r>
              <w:rPr>
                <w:rFonts w:ascii="Arial" w:cs="Arial" w:eastAsia="Arial" w:hAnsi="Arial"/>
                <w:sz w:val="18"/>
                <w:szCs w:val="18"/>
                <w:color w:val="auto"/>
                <w:w w:val="97"/>
              </w:rPr>
              <w:t>(0.4)</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decrease in intangibles amortization expense of $2.2 million was primarily due to end of useful lives for certain intangible assets during the three months ended June 30, 2020 compared to the three months ended June 30, 2019. The increase in depreciation expense of $1.8 million was due to depreciation related to our investments in new operating centers to support our business growth.</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and Restructuring Charges.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7"/>
        </w:trPr>
        <w:tc>
          <w:tcPr>
            <w:tcW w:w="502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Percentage change</w:t>
            </w:r>
          </w:p>
        </w:tc>
      </w:tr>
      <w:tr>
        <w:trPr>
          <w:trHeight w:val="196"/>
        </w:trPr>
        <w:tc>
          <w:tcPr>
            <w:tcW w:w="50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7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restructuring charges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bl>
    <w:p>
      <w:pPr>
        <w:spacing w:after="0" w:line="35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During the three months ended June 30, 2019, we recorded an impairment charge of $1.9 million and restructuring charges of $3.7 million in connection with the wind-down of our Health Integrated business.</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$4.0 million, or 28.8%, from $13.9 million for the three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$9.9 million for the three months ended June 30, 2020. As a percentage of revenues, income from operations decreased from 5.7% for the three months ended June 30, 2019 to 4.4% for the three months ended June 30, 2020.</w:t>
      </w:r>
    </w:p>
    <w:p>
      <w:pPr>
        <w:spacing w:after="0" w:line="3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three months ended June 30, 2020.</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average exchange rate of the U.S. dollar against the Indian rupee increased from 69.42 during the three months ended June 30, 2019 to 75.41 during the three months ended June 30, 2020. The average exchange rate of the U.K. pound sterling against the U.S. dollar decreased from 1.28 during the three months ended June 30, 2019 to 1.24 during the three months ended June 30, 2020. The average exchange rate of the U.S. dollar against the Philippine peso decreased from 51.84 during the three months ended June 30, 2019 to 50.28 during the three months ended June 30, 2020.</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$1.4 million for the three months ended June 30, 2020 compared to the net foreign exchange gain of $1.2 million for the three months ended June 30, 2019.</w:t>
      </w:r>
    </w:p>
    <w:p>
      <w:pPr>
        <w:spacing w:after="0" w:line="19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from $3.9 million for the three months ended June 30, 2019 to $2.9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primarily due to lower borrowings and lower effective interest rates under our Credit Facility (as defined below) during the three months ended June 30, 2020 compared to the three months ended June 30, 2019.</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6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6"/>
                <w:szCs w:val="16"/>
                <w:color w:val="auto"/>
              </w:rPr>
            </w:pPr>
          </w:p>
        </w:tc>
      </w:tr>
      <w:tr>
        <w:trPr>
          <w:trHeight w:val="197"/>
        </w:trPr>
        <w:tc>
          <w:tcPr>
            <w:tcW w:w="55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center"/>
              <w:ind w:left="354"/>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0.5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60" w:type="dxa"/>
            <w:vAlign w:val="bottom"/>
            <w:tcBorders>
              <w:top w:val="single" w:sz="8" w:color="auto"/>
            </w:tcBorders>
          </w:tcPr>
          <w:p>
            <w:pPr>
              <w:jc w:val="right"/>
              <w:ind w:right="58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394"/>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Other income, net increased by $0.1 million, from $4.1 million for the three months ended June 30, 2019 to $4.2 million for the three months ended June 30, 2020, primarily due to recognition of non-recurring benefits of $0.5 million related to wind-down of the Health Integrated business during the three months ended June 30, 2020. This was partially offset by lower return on mutual fund investments and interest income of $0.3 million during the three months ended June 30, 2020 compared to the three months ended June 30, 2019.</w:t>
      </w:r>
    </w:p>
    <w:p>
      <w:pPr>
        <w:spacing w:after="0" w:line="215"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We recorded income tax expense of $4.1 million and $2.7 million for the three months ended June 30, 2020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effective tax rate increased from 17.5% during the three months ended June 30, 2019 to 32.4% during the three months ended June 30, 2020, primarily as a result of recording a one-time tax expense of $1.3 million due to electing a new tax regime for two of our Indian subsidiaries which provides for a lower tax rate on earnings in exchange for foregoing certain tax credits, including minimum alternative tax credits during the three months ended June 30, 2020.</w:t>
      </w:r>
    </w:p>
    <w:p>
      <w:pPr>
        <w:spacing w:after="0" w:line="18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decreased from $12.5 million for the three months ended June 30, 2019 to $8.4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primarily due to decrease in income from operations of $4.0 million, and higher income tax expense of $1.4 million. This was partially offset by lower interest expense of $1.0 million, higher foreign exchange gain, net of $0.2 million, higher other income, net of $0.1 million. As a percentage of revenues, net income decreased from 5.2% for the three months ended June 30, 2019 to 3.8%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six months ended June 30,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Six months ended June 30,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4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165.0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21"/>
                <w:szCs w:val="21"/>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7"/>
        </w:trPr>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Analytics</w:t>
            </w:r>
          </w:p>
        </w:tc>
        <w:tc>
          <w:tcPr>
            <w:tcW w:w="240" w:type="dxa"/>
            <w:vAlign w:val="bottom"/>
          </w:tcPr>
          <w:p>
            <w:pPr>
              <w:spacing w:after="0"/>
              <w:rPr>
                <w:sz w:val="21"/>
                <w:szCs w:val="21"/>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8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468.5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483.1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2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for the six months ended June 30, 2020 were $468.5 million, down $14.6 million, or 3.0%,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8"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Revenue decline in Insurance of $1.9 million was primarily driven by lower volumes due to the impact of COVID-19, partially offset by expansion of business from certain existing clients aggregating to $0.3 million and $1.6 million mainly attributable to the depreciation of the Australian dollar, Indian rupee, U.K. pound sterling and South African ZAR against the U.S. dollar during the six months ended June 30, 2020 compared to the six months ended June 30, 2019. Insurance revenues were 35.2% and 34.5% of our total revenues in the six months ended June 30, 2020 and June 30, 2019, respectively.</w:t>
      </w:r>
    </w:p>
    <w:p>
      <w:pPr>
        <w:spacing w:after="0" w:line="18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Revenue growth in Healthcare of $8.0 million was primarily driven by expansion of business from our existing clients and new wins aggregating to $14.9 million, partially offset by our December 2019 wind-down of Health Integrated business revenues of $6.9 million during the six months ended June 30, 2019. Healthcare revenues were 11.1% and 9.1% of our total revenues in the six months ended June 30, 2020 and June 30, 2019, respectively.</w:t>
      </w:r>
    </w:p>
    <w:p>
      <w:pPr>
        <w:spacing w:after="0" w:line="17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decline in Emerging Business of $20.0 million was primarily driven by lower volumes due to the impact of COVID-19 and ramp down in certain client contracts aggregating to $18.7 million, and $1.3 million attributable to the depreciation of the Indian rupee against the U.S. dollar during the six months ended June 30, 2020 compared to the six months ended June 30, 2019. Emerging Business revenues were 16.5% and 20.2% of our total revenues in the six months ended June 30, 2020 and June 30, 2019, respectively.</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Revenue decline in Analytics of $0.7 million was primarily driven by lower revenues from our recurring and project based engagements due to the impact of COVID-19 aggregating to $0.2 million and $0.5 million attributable to the depreciation of the U.K. pound sterling and Indian rupee against the U.S. dollar during the six months ended June 30, 2020 compared to the six months ended June 30, 2019. Analytics revenues were 37.2% and 36.2% of our total revenues in the six months ended June 30, 2020 and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Cost of Revenues</w:t>
            </w: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Gross Margin</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5"/>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Six months ended June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3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Percentage change</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Change</w:t>
            </w:r>
          </w:p>
        </w:tc>
      </w:tr>
      <w:tr>
        <w:trPr>
          <w:trHeight w:val="196"/>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118.1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113"/>
              <w:spacing w:after="0"/>
              <w:rPr>
                <w:sz w:val="20"/>
                <w:szCs w:val="20"/>
                <w:color w:val="auto"/>
              </w:rPr>
            </w:pPr>
            <w:r>
              <w:rPr>
                <w:rFonts w:ascii="Arial" w:cs="Arial" w:eastAsia="Arial" w:hAnsi="Arial"/>
                <w:sz w:val="18"/>
                <w:szCs w:val="18"/>
                <w:color w:val="auto"/>
                <w:w w:val="87"/>
              </w:rPr>
              <w:t>3.4</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800" w:type="dxa"/>
            <w:vAlign w:val="bottom"/>
          </w:tcPr>
          <w:p>
            <w:pPr>
              <w:jc w:val="right"/>
              <w:ind w:right="77"/>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left="113"/>
              <w:spacing w:after="0"/>
              <w:rPr>
                <w:sz w:val="20"/>
                <w:szCs w:val="20"/>
                <w:color w:val="auto"/>
              </w:rPr>
            </w:pPr>
            <w:r>
              <w:rPr>
                <w:rFonts w:ascii="Arial" w:cs="Arial" w:eastAsia="Arial" w:hAnsi="Arial"/>
                <w:sz w:val="18"/>
                <w:szCs w:val="18"/>
                <w:color w:val="auto"/>
                <w:w w:val="87"/>
              </w:rPr>
              <w:t>3.6</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73"/>
              <w:spacing w:after="0"/>
              <w:rPr>
                <w:sz w:val="20"/>
                <w:szCs w:val="20"/>
                <w:color w:val="auto"/>
              </w:rPr>
            </w:pPr>
            <w:r>
              <w:rPr>
                <w:rFonts w:ascii="Arial" w:cs="Arial" w:eastAsia="Arial" w:hAnsi="Arial"/>
                <w:sz w:val="18"/>
                <w:szCs w:val="18"/>
                <w:color w:val="auto"/>
                <w:w w:val="91"/>
              </w:rPr>
              <w:t>(7.1)</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20" w:type="dxa"/>
            <w:vAlign w:val="bottom"/>
          </w:tcPr>
          <w:p>
            <w:pPr>
              <w:spacing w:after="0"/>
              <w:rPr>
                <w:sz w:val="21"/>
                <w:szCs w:val="21"/>
                <w:color w:val="auto"/>
              </w:rPr>
            </w:pPr>
          </w:p>
        </w:tc>
        <w:tc>
          <w:tcPr>
            <w:tcW w:w="800" w:type="dxa"/>
            <w:vAlign w:val="bottom"/>
          </w:tcPr>
          <w:p>
            <w:pPr>
              <w:jc w:val="right"/>
              <w:ind w:right="77"/>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left="113"/>
              <w:spacing w:after="0"/>
              <w:rPr>
                <w:sz w:val="20"/>
                <w:szCs w:val="20"/>
                <w:color w:val="auto"/>
              </w:rPr>
            </w:pPr>
            <w:r>
              <w:rPr>
                <w:rFonts w:ascii="Arial" w:cs="Arial" w:eastAsia="Arial" w:hAnsi="Arial"/>
                <w:sz w:val="18"/>
                <w:szCs w:val="18"/>
                <w:color w:val="auto"/>
                <w:w w:val="87"/>
              </w:rPr>
              <w:t>1.5</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321.1</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7"/>
              </w:rPr>
              <w:t>1.4</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cost of revenues was $321.1 million compared to $319.7 million for the six months ended June 30, 2019, an increase of $1.4 million, or 0.4%. Our gross margin for the six months ended June 30, 2020 was 31.5% compared to 33.8% for six months ended June 30, 2019, a decrease of 230 bps.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Insurance of $3.4 million was primarily due to an increase in employee-related costs of $1.7 million, higher infrastructure and technology costs of $2.4 million, and other operating costs of $0.8 million. This was partially offset by currency movements, net of hedging of $1.5 million. Gross margin in Insurance decreased by 290 bps during the six months ended June 30, 2020 compared to the six months ended June 30, 2019, primarily due to higher operating expenses.</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cost of revenues in Healthcare of $3.6 million was primarily due to an increase in employee-related costs of $3.3 million and other operating costs of $0.9 million. This was partially offset by lower technology costs of $0.3 million and currency movements, net of hedging of $0.3 million. Gross margin in Healthcare increased by 540 bps during the six months ended June 30, 2020 compared to the six months ended June 30, 2019, primarily due to lower margin in the Heath Integrated business during the six months ended June 30, 2019 and higher revenues during the six months ended June 30, 2020.</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decrease in cost of revenues in Emerging Business of $7.1 million was primarily due to a decrease in employee-related costs of $4.8 million, lower infrastructure and technology cost of $1.2 million, currency movements, net of hedging of $0.9 million and lower travel costs of $0.8 million, partially offset by higher other operating costs of $0.6 million. Gross margin in Emerging Business decreased by 530 bps during the six months ended June 30, 2020, compared to the six months ended June 30, 2019, primarily due to lower revenues.</w:t>
      </w:r>
    </w:p>
    <w:p>
      <w:pPr>
        <w:spacing w:after="0" w:line="21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increase in cost of revenues in Analytics of $1.5 million was primarily due to an increase in employee-related costs of $4.0 million. This was partially offset by lower other operating costs of $1.4 million and currency movements, net of hedging of $1.1 million. Gross margin in Analytics decreased by 110 bps during the six months ended June 30, 2020, compared to the six months ended June 30, 2019, primarily due to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9"/>
              </w:rPr>
              <w:t>(dollars in millions)</w:t>
            </w: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57.7</w:t>
            </w:r>
          </w:p>
        </w:tc>
        <w:tc>
          <w:tcPr>
            <w:tcW w:w="1340" w:type="dxa"/>
            <w:vAlign w:val="bottom"/>
            <w:tcBorders>
              <w:bottom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27.5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85.2</w:t>
            </w:r>
          </w:p>
        </w:tc>
        <w:tc>
          <w:tcPr>
            <w:tcW w:w="1340" w:type="dxa"/>
            <w:vAlign w:val="bottom"/>
            <w:tcBorders>
              <w:bottom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decrease in SG&amp;A expenses of $14.3 million was primarily due to COVID-19 cost reduction measures including the temporary reduction of the base salaries of our executive officers and certain other groups of employees. This was driven by lower employee-related costs of $7.7 million, a decrease in stock-based compensation expense of $2.0 million mostly due to revision in estimates related to revenue linked performance based restricted stock units due to COVID-19, lower infrastructure and travel costs of $2.6 million, lower other operating costs of $1.0 million and currency movements, net of hedging of $1.0 million.</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135"/>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7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ind w:left="235"/>
              <w:spacing w:after="0"/>
              <w:rPr>
                <w:sz w:val="20"/>
                <w:szCs w:val="20"/>
                <w:color w:val="auto"/>
              </w:rPr>
            </w:pPr>
            <w:r>
              <w:rPr>
                <w:rFonts w:ascii="Arial" w:cs="Arial" w:eastAsia="Arial" w:hAnsi="Arial"/>
                <w:sz w:val="18"/>
                <w:szCs w:val="18"/>
                <w:color w:val="auto"/>
                <w:w w:val="95"/>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center"/>
              <w:ind w:left="215"/>
              <w:spacing w:after="0"/>
              <w:rPr>
                <w:sz w:val="20"/>
                <w:szCs w:val="20"/>
                <w:color w:val="auto"/>
              </w:rPr>
            </w:pPr>
            <w:r>
              <w:rPr>
                <w:rFonts w:ascii="Arial" w:cs="Arial" w:eastAsia="Arial" w:hAnsi="Arial"/>
                <w:sz w:val="18"/>
                <w:szCs w:val="18"/>
                <w:color w:val="auto"/>
                <w:w w:val="91"/>
              </w:rPr>
              <w:t>(3.5)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7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ind w:left="215"/>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decrease in intangibles amortization expense of $3.5 million was primarily due to end of useful lives for certain intangible assets during the six months ended June 30, 2020 compared to the six months ended June 30, 2019. The increase in depreciation expense of $2.0 million was due to depreciation related to our investments in new operating centers to support our business growth.</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and Restructuring Charges.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1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9"/>
              </w:rPr>
              <w:t>Six months ended June 30,</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7"/>
              </w:rPr>
              <w:t>Change</w:t>
            </w: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Percentage change</w:t>
            </w:r>
          </w:p>
        </w:tc>
      </w:tr>
      <w:tr>
        <w:trPr>
          <w:trHeight w:val="196"/>
        </w:trPr>
        <w:tc>
          <w:tcPr>
            <w:tcW w:w="5820" w:type="dxa"/>
            <w:vAlign w:val="bottom"/>
          </w:tcPr>
          <w:p>
            <w:pPr>
              <w:spacing w:after="0"/>
              <w:rPr>
                <w:sz w:val="17"/>
                <w:szCs w:val="17"/>
                <w:color w:val="auto"/>
              </w:rPr>
            </w:pPr>
          </w:p>
        </w:tc>
        <w:tc>
          <w:tcPr>
            <w:tcW w:w="2140" w:type="dxa"/>
            <w:vAlign w:val="bottom"/>
            <w:gridSpan w:val="3"/>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restructuring charges</w:t>
            </w:r>
          </w:p>
        </w:tc>
        <w:tc>
          <w:tcPr>
            <w:tcW w:w="84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6.8</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(6.8)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7"/>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2019, we recorded impairment charges of $3.2 million and restructuring charges of $3.6 million in connection with the wind-down of our Health Integrated business.</w:t>
      </w:r>
    </w:p>
    <w:p>
      <w:pPr>
        <w:spacing w:after="0" w:line="197"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$6.6 million, or 21.6%, from $30.7 million for the six months ended June 30, 2019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$37.4 million for the six months ended June 30, 2020. As a percentage of revenues, income from operations increased from 6.4% for the six months ended June 30, 2019 to 8.0% for the six months ended June 30, 2020.</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six months ended June 30, 2020. The average exchange rate of the U.S. dollar against the Indian rupee increased from 69.87 during the six months ended June 30, 2019 to 74.25 during the six months ended June 30, 2020. The average exchange rate of the U.K. pound sterling against the U.S. dollar decreased from 1.30 during the six months ended June 30, 2019 to 1.26 during the six months ended June 30, 2020. The average exchange rate of the U.S. dollar against the Philippine peso decreased from 51.97 during the six months ended June 30, 2019 to 50.55 during the six months ended June 30, 2020.</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$2.7 million for the six months ended June 30, 2020 compared to the net foreign exchange gain of $2.5 million for the six months ended June 30, 2019.</w:t>
      </w:r>
    </w:p>
    <w:p>
      <w:pPr>
        <w:spacing w:after="0" w:line="197" w:lineRule="exact"/>
        <w:rPr>
          <w:sz w:val="20"/>
          <w:szCs w:val="20"/>
          <w:color w:val="auto"/>
        </w:rPr>
      </w:pPr>
    </w:p>
    <w:p>
      <w:pPr>
        <w:jc w:val="both"/>
        <w:ind w:firstLine="414"/>
        <w:spacing w:after="0" w:line="25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from $7.4 million for the six months ended June 30, 2019 to $6.0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primarily due to lower borrowings and lower effective interest rates under our Credit Facility during the six months ended June 30, 2020, compared to the six months ended June 30, 2019.</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3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7"/>
              </w:rPr>
              <w:t>Six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10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0"/>
              </w:rPr>
              <w:t>Percentage change</w:t>
            </w:r>
          </w:p>
        </w:tc>
      </w:tr>
      <w:tr>
        <w:trPr>
          <w:trHeight w:val="249"/>
        </w:trPr>
        <w:tc>
          <w:tcPr>
            <w:tcW w:w="5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96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center"/>
              <w:ind w:left="254"/>
              <w:spacing w:after="0"/>
              <w:rPr>
                <w:sz w:val="20"/>
                <w:szCs w:val="20"/>
                <w:color w:val="auto"/>
              </w:rPr>
            </w:pPr>
            <w:r>
              <w:rPr>
                <w:rFonts w:ascii="Arial" w:cs="Arial" w:eastAsia="Arial" w:hAnsi="Arial"/>
                <w:sz w:val="18"/>
                <w:szCs w:val="18"/>
                <w:color w:val="auto"/>
                <w:w w:val="91"/>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left="254"/>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10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274"/>
              <w:spacing w:after="0"/>
              <w:rPr>
                <w:sz w:val="20"/>
                <w:szCs w:val="20"/>
                <w:color w:val="auto"/>
              </w:rPr>
            </w:pPr>
            <w:r>
              <w:rPr>
                <w:rFonts w:ascii="Arial" w:cs="Arial" w:eastAsia="Arial" w:hAnsi="Arial"/>
                <w:sz w:val="18"/>
                <w:szCs w:val="18"/>
                <w:color w:val="auto"/>
                <w:w w:val="95"/>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125.5 %</w:t>
            </w:r>
          </w:p>
        </w:tc>
      </w:tr>
      <w:tr>
        <w:trPr>
          <w:trHeight w:val="237"/>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center"/>
              <w:ind w:left="254"/>
              <w:spacing w:after="0"/>
              <w:rPr>
                <w:sz w:val="20"/>
                <w:szCs w:val="20"/>
                <w:color w:val="auto"/>
              </w:rPr>
            </w:pPr>
            <w:r>
              <w:rPr>
                <w:rFonts w:ascii="Arial" w:cs="Arial" w:eastAsia="Arial" w:hAnsi="Arial"/>
                <w:sz w:val="18"/>
                <w:szCs w:val="18"/>
                <w:color w:val="auto"/>
                <w:w w:val="91"/>
              </w:rPr>
              <w:t>(1.7)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10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1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1000" w:type="dxa"/>
            <w:vAlign w:val="bottom"/>
            <w:tcBorders>
              <w:bottom w:val="single" w:sz="8" w:color="auto"/>
            </w:tcBorders>
          </w:tcPr>
          <w:p>
            <w:pPr>
              <w:spacing w:after="0"/>
              <w:rPr>
                <w:sz w:val="20"/>
                <w:szCs w:val="20"/>
                <w:color w:val="auto"/>
              </w:rPr>
            </w:pPr>
          </w:p>
        </w:tc>
        <w:tc>
          <w:tcPr>
            <w:tcW w:w="4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2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Other income, net decreased by $1.7 million, from $8.5 million for the six months ended June 30, 2019 to $6.8 million for the six months ended June 30, 2020, primarily due to lower return on mutual fund investments of $1.6 million during the six months ended June 30, 2020 compared to the six months ended June 30, 2019.</w:t>
      </w:r>
    </w:p>
    <w:p>
      <w:pPr>
        <w:spacing w:after="0" w:line="209"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We recorded income tax expense of $9.9 million and $6.9 million for the six months ended June 30, 2020 and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The effective tax rate increased from 20.1% during the six months ended June 30, 2019 to 24.3% during the six months ended June 30, 2020, primarily as a result of (i) recording of a one-time tax expense of $1.3 million due to electing a new tax regime for two of our Indian subsidiaries which provides for a lower tax rate on earnings in exchange for foregoing certain tax credits, including minimum alternative tax credits during the six months ended June 30, 2020, compared to a benefit of $1.5 million recorded during the six months ended June 30, 2019 and (ii) recording of excess tax benefits related to stock awards of $1.8 million pursuant to ASU No. 2016-09 during the six months ended June 30, 2020 compared to $1.1 million during the six months ended June 30, 2019. See Note 21 - Income Taxes to our unaudited consolidated financial statements.</w:t>
      </w:r>
    </w:p>
    <w:p>
      <w:pPr>
        <w:spacing w:after="0" w:line="2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$27.3 million for the six months ended June 30, 2019 to $30.8 million for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primarily due to increase in income from operations of $6.6 million, lower interest expense of $1.4 million and higher foreign exchange gain, net of $0.2 million. This was partially offset by lower other income, net of $1.7 million and higher income tax expense of $3.0 million. As a percentage of revenues, net income increased from 5.6% for the six months ended June 30, 2019 to 6.6%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9"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cash equivalents and restricted 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47.7</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Closing cash, cash equivalents and restricted cash</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91.4</w:t>
            </w:r>
          </w:p>
        </w:tc>
      </w:tr>
      <w:tr>
        <w:trPr>
          <w:trHeight w:val="27"/>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2020 and 2019, we had $335.6 million and $253.0 million, respectively, in cash, cash equivalents and short-term investments, of which $275.5 million, and $214.8 million, respectively, is located in foreign jurisdictions that upon distribution may be subject to withholding and other taxes and we do not currently intend to distribute such amounts. If, in the future, we change our intention regarding distributions, additional taxes may be required and would be recorded in the period the intention changes.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$58.9 million for the six months ended June 30, 2020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provided by operating activities of $47.7 million during the six months ended June 30, 2019. Generally, factors that affect our earnings, for instance, pricing, volume of services, costs and productivity, affect our cash flows used or provided from operations in a similar manner. However, while management of working capital, including timing of collections and payments affects operating results only indirectly, the impact on the working capital requirements and cash flows provided by operating activities can be significant.</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Cash flows provided by operating activities for the six months ended June 30, 2020 were $58.9 million. This comprised of net income plus the net effect of non-cash items, such as depreciation and amortization expense, stock-based compensation expense, amortization of operating lease right-of-use assets, unrealized gains on short-term investment, deferred income taxes, and others aggregating to $75.6 million. The primary working capital use of cash of $41.6 million during the six months ended June 30, 2020 was driven by decrease in accrued employee costs, operating lease liabilities, accrued expenses and other liabilities and increase in other current assets. The primary working capital sources of cash of $24.9 million was driven by decrease in accounts receivables, advance income tax, net, other assets, increase in deferred revenues and accounts payable.</w:t>
      </w:r>
    </w:p>
    <w:p>
      <w:pPr>
        <w:spacing w:after="0" w:line="20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provided by investing activities were $1.1 million for the six months ended June 30, 2020 as compared to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investing activities of $0.9 million for the six months ended June 30, 2019. The increase is mainly due to higher net redemption of investments of $23.8 million during the six months ended June 30, 2020 as compared to net redemptions of investments of $23.5 million during the six months ended June 30, 2019.</w:t>
      </w:r>
    </w:p>
    <w:p>
      <w:pPr>
        <w:spacing w:after="0" w:line="215" w:lineRule="exact"/>
        <w:rPr>
          <w:sz w:val="20"/>
          <w:szCs w:val="20"/>
          <w:color w:val="auto"/>
        </w:rPr>
      </w:pPr>
    </w:p>
    <w:p>
      <w:pPr>
        <w:jc w:val="both"/>
        <w:ind w:firstLine="405"/>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used for financing activities were $13.4 million during the six months ended June 30, 2020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used for financing activities of $61.1 million during the six months ended June 30, 2019. The decrease in cash flows used for financing activities was primarily due to higher repayment of $33.6 million (net of proceeds) under our Credit Facility (as described below in “Financing Arrangements (Debt Facility)”) during the six months ended June 30, 2019 as compared to net repayments of $0.2 million during the six months ended June 30, 2020 and lower purchases of treasury stock by $13.5 million under our share repurchase program during the six months ended June 30, 2020 as compared to the six months ended June 30, 2019.</w:t>
      </w:r>
    </w:p>
    <w:p>
      <w:pPr>
        <w:spacing w:after="0" w:line="21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9"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We incurred $22.1 million of capital expenditures in the six months ended June 30, 2020. We expect to incur capital expenditures of between $32.0 million and $38.0 million in 2020, primarily to meet our growth requirements, including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additions to our facilities as well as investments in technology applications, product development, digital technology, advanced automation, robotics and infrastructure.</w:t>
      </w:r>
    </w:p>
    <w:p>
      <w:pPr>
        <w:spacing w:after="0" w:line="198"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(see Note 24 - Commitments and Contingencies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18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During the six months ended June 30, 2020, to enhance our liquidity position in response to COVID-19, management has taken certain precautionary measures, including: drawing $100.0 million from our line of credit under our existing Credit Agreement on March 12, 2020, the proceeds of which were available for working capital, general corporate or other purposes as needed, and which was repaid in full on April 20, 2020; and electing to temporarily suspend share repurchases under our 2019 Repurchase Program, and other cost reduction measures related to employee and vendor expenses and capital expenditure plans. The 2019 Repurchase Program remains authorized by the Board of Directors and the management using its discretion has resumed share repurchases effective July 1, 2020, considering improved market conditions, our capital needs and other factors.</w:t>
      </w:r>
    </w:p>
    <w:p>
      <w:pPr>
        <w:spacing w:after="0" w:line="188"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Coronavirus Aid, Relief, and Economic Security Act, (the “CARES Act”) allows employers to defer the payment of the employer share of Federal Insurance Contributions Act (“FICA”) taxes for the period from April 1, 2020 and ending December 31, 2020. During the six months ended June 30, 2020, we deferred FICA payments of $2.4 million under the CARES Act and will continue to defer FICA payments through December 31, 2020. The deferred amount will be payable as follows: (1) 50% of the deferred amount will be paid on December 31, 2021 and (2) the remaining 50% of the deferred amount will be paid on December 31,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our Debt balances as of June 30, 2020 and December 31, 2019.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160"/>
              <w:spacing w:after="0"/>
              <w:rPr>
                <w:sz w:val="20"/>
                <w:szCs w:val="20"/>
                <w:color w:val="auto"/>
              </w:rPr>
            </w:pPr>
            <w:r>
              <w:rPr>
                <w:rFonts w:ascii="Arial" w:cs="Arial" w:eastAsia="Arial" w:hAnsi="Arial"/>
                <w:sz w:val="18"/>
                <w:szCs w:val="18"/>
                <w:b w:val="1"/>
                <w:bCs w:val="1"/>
                <w:color w:val="auto"/>
              </w:rPr>
              <w:t>As of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b w:val="1"/>
                <w:bCs w:val="1"/>
                <w:color w:val="auto"/>
              </w:rPr>
              <w:t>(dollars in millions)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Revolver Credit</w:t>
            </w:r>
          </w:p>
        </w:tc>
        <w:tc>
          <w:tcPr>
            <w:tcW w:w="16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Structured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Facility</w:t>
            </w:r>
          </w:p>
        </w:tc>
        <w:tc>
          <w:tcPr>
            <w:tcW w:w="16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Payables</w:t>
            </w:r>
          </w:p>
        </w:tc>
        <w:tc>
          <w:tcPr>
            <w:tcW w:w="22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136.5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215.5</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 borrowings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99.0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136.5</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236.2</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ind w:left="60"/>
              <w:spacing w:after="0"/>
              <w:rPr>
                <w:sz w:val="20"/>
                <w:szCs w:val="20"/>
                <w:color w:val="auto"/>
              </w:rPr>
            </w:pPr>
            <w:r>
              <w:rPr>
                <w:rFonts w:ascii="Arial" w:cs="Arial" w:eastAsia="Arial" w:hAnsi="Arial"/>
                <w:sz w:val="18"/>
                <w:szCs w:val="18"/>
                <w:b w:val="1"/>
                <w:bCs w:val="1"/>
                <w:color w:val="auto"/>
              </w:rPr>
              <w:t>As of 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ind w:left="260"/>
              <w:spacing w:after="0"/>
              <w:rPr>
                <w:sz w:val="20"/>
                <w:szCs w:val="20"/>
                <w:color w:val="auto"/>
              </w:rPr>
            </w:pPr>
            <w:r>
              <w:rPr>
                <w:rFonts w:ascii="Arial" w:cs="Arial" w:eastAsia="Arial" w:hAnsi="Arial"/>
                <w:sz w:val="18"/>
                <w:szCs w:val="18"/>
                <w:b w:val="1"/>
                <w:bCs w:val="1"/>
                <w:color w:val="auto"/>
              </w:rPr>
              <w:t>(dollars 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Revolver Credit</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Structured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Facility</w:t>
            </w:r>
          </w:p>
        </w:tc>
        <w:tc>
          <w:tcPr>
            <w:tcW w:w="1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Payables</w:t>
            </w:r>
          </w:p>
        </w:tc>
        <w:tc>
          <w:tcPr>
            <w:tcW w:w="32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40.9</w:t>
            </w:r>
          </w:p>
        </w:tc>
      </w:tr>
      <w:tr>
        <w:trPr>
          <w:trHeight w:val="257"/>
        </w:trPr>
        <w:tc>
          <w:tcPr>
            <w:tcW w:w="5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6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59.0</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135.1</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194.1</w:t>
            </w:r>
          </w:p>
        </w:tc>
      </w:tr>
      <w:tr>
        <w:trPr>
          <w:trHeight w:val="263"/>
        </w:trPr>
        <w:tc>
          <w:tcPr>
            <w:tcW w:w="55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Total borrowings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135.1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235.0</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*Unamortized debt issuance costs for our revolver credit facility of $0.6 million and $0.7 million as of June 30, 2020 and December 31, 2019, respectively, is presented under “other current assets” and “other assets” in the consolidated balance sheets.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17- Borrowings to our unaudited consolidated financial statements herein for further details on our debt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the ordinary course of business, we provide standby letters of credit to third parties primarily for facility leases. As of June 30, 2020 and December 31, 2019, we had outstanding letters of credit of $0.5 million each, respectively, that were not recognized in our unaudited and audited consolidated balance sheets, respectively. These are not reasonably likely to have, a current or future material effect on our financial condition, revenues or expenses, results of operations, liquidity, capital expenditures or capital resources. We had no other off balance sheet arrangements or obligations.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Less than</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After</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1 year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00" w:type="dxa"/>
            <w:vAlign w:val="bottom"/>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r>
      <w:tr>
        <w:trPr>
          <w:trHeight w:val="270"/>
        </w:trPr>
        <w:tc>
          <w:tcPr>
            <w:tcW w:w="500" w:type="dxa"/>
            <w:vAlign w:val="bottom"/>
          </w:tcPr>
          <w:p>
            <w:pPr>
              <w:spacing w:after="0"/>
              <w:rPr>
                <w:sz w:val="23"/>
                <w:szCs w:val="23"/>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(a)</w:t>
            </w:r>
          </w:p>
        </w:tc>
        <w:tc>
          <w:tcPr>
            <w:tcW w:w="200" w:type="dxa"/>
            <w:vAlign w:val="bottom"/>
          </w:tcPr>
          <w:p>
            <w:pPr>
              <w:spacing w:after="0"/>
              <w:rPr>
                <w:sz w:val="23"/>
                <w:szCs w:val="23"/>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142.8</w:t>
            </w:r>
          </w:p>
        </w:tc>
      </w:tr>
      <w:tr>
        <w:trPr>
          <w:trHeight w:val="250"/>
        </w:trPr>
        <w:tc>
          <w:tcPr>
            <w:tcW w:w="50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w:t>
            </w:r>
          </w:p>
        </w:tc>
      </w:tr>
      <w:tr>
        <w:trPr>
          <w:trHeight w:val="270"/>
        </w:trPr>
        <w:tc>
          <w:tcPr>
            <w:tcW w:w="500" w:type="dxa"/>
            <w:vAlign w:val="bottom"/>
          </w:tcPr>
          <w:p>
            <w:pPr>
              <w:spacing w:after="0"/>
              <w:rPr>
                <w:sz w:val="23"/>
                <w:szCs w:val="23"/>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obligations</w:t>
            </w:r>
            <w:r>
              <w:rPr>
                <w:rFonts w:ascii="Arial" w:cs="Arial" w:eastAsia="Arial" w:hAnsi="Arial"/>
                <w:sz w:val="23"/>
                <w:szCs w:val="23"/>
                <w:color w:val="auto"/>
                <w:vertAlign w:val="superscript"/>
              </w:rPr>
              <w:t>(b)</w:t>
            </w:r>
          </w:p>
        </w:tc>
        <w:tc>
          <w:tcPr>
            <w:tcW w:w="200" w:type="dxa"/>
            <w:vAlign w:val="bottom"/>
          </w:tcPr>
          <w:p>
            <w:pPr>
              <w:spacing w:after="0"/>
              <w:rPr>
                <w:sz w:val="23"/>
                <w:szCs w:val="23"/>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15.7</w:t>
            </w:r>
          </w:p>
        </w:tc>
      </w:tr>
      <w:tr>
        <w:trPr>
          <w:trHeight w:val="250"/>
        </w:trPr>
        <w:tc>
          <w:tcPr>
            <w:tcW w:w="50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Principal payments</w:t>
            </w:r>
          </w:p>
        </w:tc>
        <w:tc>
          <w:tcPr>
            <w:tcW w:w="2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249.7</w:t>
            </w:r>
          </w:p>
        </w:tc>
      </w:tr>
      <w:tr>
        <w:trPr>
          <w:trHeight w:val="27"/>
        </w:trPr>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payments</w:t>
            </w:r>
            <w:r>
              <w:rPr>
                <w:rFonts w:ascii="Arial" w:cs="Arial" w:eastAsia="Arial" w:hAnsi="Arial"/>
                <w:sz w:val="23"/>
                <w:szCs w:val="23"/>
                <w:color w:val="auto"/>
                <w:vertAlign w:val="superscript"/>
              </w:rPr>
              <w:t>(c)</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25.8</w:t>
            </w:r>
          </w:p>
        </w:tc>
      </w:tr>
      <w:tr>
        <w:trPr>
          <w:trHeight w:val="263"/>
        </w:trPr>
        <w:tc>
          <w:tcPr>
            <w:tcW w:w="500" w:type="dxa"/>
            <w:vAlign w:val="bottom"/>
          </w:tcPr>
          <w:p>
            <w:pPr>
              <w:spacing w:after="0"/>
              <w:rPr>
                <w:sz w:val="22"/>
                <w:szCs w:val="22"/>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3"/>
                <w:szCs w:val="23"/>
                <w:color w:val="auto"/>
                <w:vertAlign w:val="superscript"/>
              </w:rPr>
              <w:t>(d)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444.6</w:t>
            </w:r>
          </w:p>
        </w:tc>
      </w:tr>
      <w:tr>
        <w:trPr>
          <w:trHeight w:val="21"/>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5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6"/>
          <w:szCs w:val="16"/>
          <w:i w:val="1"/>
          <w:iCs w:val="1"/>
          <w:color w:val="auto"/>
        </w:rPr>
        <w:t>Represents lease liabilities payable for the expected lease term.</w:t>
      </w:r>
    </w:p>
    <w:p>
      <w:pPr>
        <w:spacing w:after="0" w:line="77"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86" w:lineRule="exact"/>
        <w:rPr>
          <w:rFonts w:ascii="Arial" w:cs="Arial" w:eastAsia="Arial" w:hAnsi="Arial"/>
          <w:sz w:val="16"/>
          <w:szCs w:val="16"/>
          <w:i w:val="1"/>
          <w:iCs w:val="1"/>
          <w:color w:val="auto"/>
        </w:rPr>
      </w:pPr>
    </w:p>
    <w:p>
      <w:pPr>
        <w:ind w:left="520" w:hanging="512"/>
        <w:spacing w:after="0"/>
        <w:tabs>
          <w:tab w:leader="none" w:pos="52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June 30, 2020.</w:t>
      </w:r>
    </w:p>
    <w:p>
      <w:pPr>
        <w:spacing w:after="0" w:line="86" w:lineRule="exact"/>
        <w:rPr>
          <w:rFonts w:ascii="Arial" w:cs="Arial" w:eastAsia="Arial" w:hAnsi="Arial"/>
          <w:sz w:val="16"/>
          <w:szCs w:val="16"/>
          <w:i w:val="1"/>
          <w:iCs w:val="1"/>
          <w:color w:val="auto"/>
        </w:rPr>
      </w:pPr>
    </w:p>
    <w:p>
      <w:pPr>
        <w:ind w:left="540" w:hanging="532"/>
        <w:spacing w:after="0"/>
        <w:tabs>
          <w:tab w:leader="none" w:pos="54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$1.0 million related to uncertain tax positions, since the extent of the amount and timing of payment is currently not reliably estimable or determinable.</w:t>
      </w:r>
    </w:p>
    <w:p>
      <w:pPr>
        <w:spacing w:after="0" w:line="29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or Special Economic Zone ("SEZ")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operations centers in the Philippines are registered with the Philippine Economic Zone Authority (“PEZA”).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the unaudited consolidated financial statements contained herein.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three months ended June 30, 2020,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36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2020. Based upon that evaluation, the CEO and CFO have concluded that our disclosure controls and procedures, as of June 30, 2020,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During the three months ended June 30, 2020,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jc w:val="both"/>
        <w:spacing w:after="0" w:line="277" w:lineRule="auto"/>
        <w:rPr>
          <w:sz w:val="20"/>
          <w:szCs w:val="20"/>
          <w:color w:val="auto"/>
        </w:rPr>
      </w:pPr>
      <w:r>
        <w:rPr>
          <w:rFonts w:ascii="Arial" w:cs="Arial" w:eastAsia="Arial" w:hAnsi="Arial"/>
          <w:sz w:val="18"/>
          <w:szCs w:val="18"/>
          <w:color w:val="auto"/>
        </w:rPr>
        <w:t>position, results of operations or cash flows. See Note 24 - Commitments and Contingencies to our unaudited consolidated financial statements contained herein for details regarding our tax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have disclosed below, as well as under the heading “Risk Factors” in our Annual Report on Form 10-K for the fiscal year ended December 31, 2019 a number of risks which may materially affect our business, financial condition or results of operations. You should carefully consider these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adversely affected, and could in the future be materially adversely affected, by the coronavirus pandemic.</w:t>
      </w:r>
    </w:p>
    <w:p>
      <w:pPr>
        <w:spacing w:after="0" w:line="19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In March 2020, the World Health Organization declared the outbreak of a disease caused by a novel strain of the coronavirus (COVID-19) to be a global pandemic. This global pandemic is having widespread, rapidly-evolving and unpredictable impacts on global societies, economies, financial markets and business practices. COVID-19 has affected us, our customers, employees, contractors, suppliers and business partners, who have been prevented from conducting business activities as usual, including due to the many and varying health and safety measures in response to COVID-19, including travel restrictions, quarantines, curfews, shelter in place and safer-at-home orders, and business shutdowns, as well as multi-step reopening policies. The continued spread of COVID-19 and the measures taken by governmental authorities disrupted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continuity of our provision of services to our customers and adversely impacted our business, results of operations and financial condition-, see Part 1, Item 2 “Management’s Discussion and Analysis of Financial Condition and Results of Operations” of this Quarterly Report on Form 10-Q.</w:t>
      </w:r>
    </w:p>
    <w:p>
      <w:pPr>
        <w:spacing w:after="0" w:line="174"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The global spread of COVID-19 has created significant volatility and uncertainty and economic disruption. The ultimate impact of COVID-19 on our business, operations and financial results remains unknown and will depend on numerous evolving factors that we may not be able to accurately predict, including: the duration, scope and severity of the pandemic; governmental, business and individuals’ actions that have been and continue to be taken in response to the pandemic; the impact of the pandemic on economic activity and actions taken in response; the effect on our clients and client demand for our services and our solutions; our ability to sell and provide our services and solutions, including as a result of travel restrictions and people working from home; the ability of our clients to pay for our services and solutions; any closures of our and our clients' offices and facilities, and any additional preventative or protective actions that we, our clients, and governments may implement that may result in a period of continued business interruption.</w:t>
      </w:r>
    </w:p>
    <w:p>
      <w:pPr>
        <w:spacing w:after="0" w:line="190"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the U.S., India, the Philippines, Europe and South Africa, we have large concentrations of employees performing critical operations, which are in varying stages of restrictions and re-opening to address COVID-19. Certain jurisdictions have begun re-opening but have returned to restrictions in the face of increases in new COVID-19 cases. There is considerable uncertainty regarding how current and future health and safety measures implemented in response to the pandemic will impact our business, including whether they will result in further changes in demand from our clients for our services and solutions, further increases in operating costs (whether as a result of changes to our supply chain or increases in employee costs, operating costs or otherwise), how they will further impact our supply chain. An extended period of mass remote work by our employees may reduce our employees’ efficiency and productivity, which may cause delays in service delivery, disrupt employee relations, hamper innovation and may have other unforeseen adverse effects on our business. For those employees who are permitted to come onsite, while we have implemented personal safety measures at all such locations, any actions we take with respect to our workforce may not be sufficient to mitigate the risk of infection by COVID-19 and further disruption to our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effects of COVID-19 could affect our business in many ways, including, but not limited to, the following factors:</w:t>
      </w:r>
    </w:p>
    <w:p>
      <w:pPr>
        <w:spacing w:after="0" w:line="225" w:lineRule="exact"/>
        <w:rPr>
          <w:sz w:val="20"/>
          <w:szCs w:val="20"/>
          <w:color w:val="auto"/>
        </w:rPr>
      </w:pPr>
    </w:p>
    <w:p>
      <w:pPr>
        <w:ind w:left="660" w:hanging="328"/>
        <w:spacing w:after="0" w:line="22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pandemic on the economies and financial markets of the countries and regions in which we operate, including a potential global recession, a decline in customer confidence and spending;</w:t>
      </w:r>
    </w:p>
    <w:p>
      <w:pPr>
        <w:ind w:left="660" w:hanging="328"/>
        <w:spacing w:after="0" w:line="21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rent deferrals or other relief from many of our landlords with respect to our leased corporate offices that were or still remain closed, which could result in litigation or other disruptions;</w:t>
      </w:r>
    </w:p>
    <w:p>
      <w:pPr>
        <w:ind w:left="660" w:hanging="328"/>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COVID-19 and remote-work oriented phishing and similar cybersecurity attack attempts;</w:t>
      </w:r>
    </w:p>
    <w:p>
      <w:pPr>
        <w:ind w:left="660" w:right="20" w:hanging="328"/>
        <w:spacing w:after="0" w:line="21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remote work solutions may be limited in their ability to replicate the operational oversight and security controls of our office environments and we may suffer operational and information security failures as a result of the changed controls;</w:t>
      </w:r>
    </w:p>
    <w:p>
      <w:pPr>
        <w:ind w:left="660" w:hanging="328"/>
        <w:spacing w:after="0" w:line="232"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revise certain accounting estimates and judgments such as, but not limited to, those related to the valuation of long-lived assets and deferred tax assets, which could have a material adverse effect on our financial position and results of operations;</w:t>
      </w:r>
    </w:p>
    <w:p>
      <w:pPr>
        <w:ind w:left="660" w:right="20" w:hanging="328"/>
        <w:spacing w:after="0" w:line="21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actions in the geographies in which we operate may prevent us from adjusting the size of our workforce or modifying compensation terms; and</w:t>
      </w:r>
    </w:p>
    <w:p>
      <w:pPr>
        <w:jc w:val="both"/>
        <w:ind w:left="660" w:hanging="328"/>
        <w:spacing w:after="0" w:line="22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COVID-19 may also have a material adverse effect on our liquidity and cash flows. If our business does not generate sufficient cash flows from operating activities, and sufficient funds are not otherwise available to us from borrowings under our credit facility or other sources, we may not be able to cover our expenses, fund our other liquidity and working capital needs, or execute on our strategic initiatives, each of which could significantly harm our business.</w:t>
      </w:r>
    </w:p>
    <w:p>
      <w:pPr>
        <w:spacing w:after="0" w:line="21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measures taken to date will impact our business for the third quarter of 2020 and potentially beyond. Management expects that all of its business segments, across all of its geographies, will be impacted to some degree, but the significance of the full impact of the COVID-19 pandemic on our business and the duration for which it may have an impact cannot be determined at this time. Any of these events could cause or contribute to risks and uncertainties enumerated in this Quarterly Report on Form 10-Q or our other filings with the SEC, and could materially adversely affect our business, financial condition, results of operations and/or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June 30, 2020, purchases of common stock were as follows: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Period</w:t>
      </w: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April 1, 2020 through April 30, 2020</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May 1, 2020 through May 31, 2020</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June 1, 2020 through June 30, 2020</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0" w:type="dxa"/>
            <w:vAlign w:val="bottom"/>
          </w:tcPr>
          <w:p>
            <w:pPr>
              <w:spacing w:after="0"/>
              <w:rPr>
                <w:sz w:val="1"/>
                <w:szCs w:val="1"/>
                <w:color w:val="auto"/>
              </w:rPr>
            </w:pPr>
          </w:p>
        </w:tc>
      </w:tr>
      <w:tr>
        <w:trPr>
          <w:trHeight w:val="221"/>
        </w:trPr>
        <w:tc>
          <w:tcPr>
            <w:tcW w:w="16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 Number of</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0" w:type="dxa"/>
            <w:vAlign w:val="bottom"/>
          </w:tcPr>
          <w:p>
            <w:pPr>
              <w:spacing w:after="0"/>
              <w:rPr>
                <w:sz w:val="1"/>
                <w:szCs w:val="1"/>
                <w:color w:val="auto"/>
              </w:rPr>
            </w:pPr>
          </w:p>
        </w:tc>
      </w:tr>
      <w:tr>
        <w:trPr>
          <w:trHeight w:val="103"/>
        </w:trPr>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90"/>
              </w:rPr>
              <w:t>Paid per</w:t>
            </w:r>
          </w:p>
        </w:tc>
        <w:tc>
          <w:tcPr>
            <w:tcW w:w="178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0" w:type="dxa"/>
            <w:vAlign w:val="bottom"/>
          </w:tcPr>
          <w:p>
            <w:pPr>
              <w:spacing w:after="0"/>
              <w:rPr>
                <w:sz w:val="1"/>
                <w:szCs w:val="1"/>
                <w:color w:val="auto"/>
              </w:rPr>
            </w:pPr>
          </w:p>
        </w:tc>
      </w:tr>
      <w:tr>
        <w:trPr>
          <w:trHeight w:val="72"/>
        </w:trPr>
        <w:tc>
          <w:tcPr>
            <w:tcW w:w="16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6"/>
              </w:rPr>
              <w:t>Shares Purchased</w:t>
            </w:r>
          </w:p>
        </w:tc>
        <w:tc>
          <w:tcPr>
            <w:tcW w:w="2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6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320"/>
              <w:spacing w:after="0" w:line="252" w:lineRule="exact"/>
              <w:rPr>
                <w:sz w:val="20"/>
                <w:szCs w:val="20"/>
                <w:color w:val="auto"/>
              </w:rPr>
            </w:pPr>
            <w:r>
              <w:rPr>
                <w:rFonts w:ascii="Arial" w:cs="Arial" w:eastAsia="Arial" w:hAnsi="Arial"/>
                <w:sz w:val="18"/>
                <w:szCs w:val="18"/>
                <w:b w:val="1"/>
                <w:bCs w:val="1"/>
                <w:color w:val="auto"/>
                <w:w w:val="83"/>
              </w:rPr>
              <w:t>share</w:t>
            </w:r>
            <w:r>
              <w:rPr>
                <w:rFonts w:ascii="Arial" w:cs="Arial" w:eastAsia="Arial" w:hAnsi="Arial"/>
                <w:sz w:val="23"/>
                <w:szCs w:val="23"/>
                <w:b w:val="1"/>
                <w:bCs w:val="1"/>
                <w:color w:val="auto"/>
                <w:w w:val="83"/>
                <w:vertAlign w:val="superscript"/>
              </w:rPr>
              <w:t>(1)</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-385445</wp:posOffset>
            </wp:positionV>
            <wp:extent cx="694372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-2554605</wp:posOffset>
            </wp:positionH>
            <wp:positionV relativeFrom="paragraph">
              <wp:posOffset>-736600</wp:posOffset>
            </wp:positionV>
            <wp:extent cx="694372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372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left="-8"/>
        <w:spacing w:after="0" w:line="303"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114" w:lineRule="exact"/>
        <w:rPr>
          <w:sz w:val="20"/>
          <w:szCs w:val="20"/>
          <w:color w:val="auto"/>
        </w:rPr>
      </w:pPr>
    </w:p>
    <w:p>
      <w:pPr>
        <w:ind w:left="969" w:hanging="969"/>
        <w:spacing w:after="0"/>
        <w:tabs>
          <w:tab w:leader="none" w:pos="9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188,016,828</w:t>
      </w:r>
    </w:p>
    <w:p>
      <w:pPr>
        <w:spacing w:after="0" w:line="63" w:lineRule="exact"/>
        <w:rPr>
          <w:sz w:val="20"/>
          <w:szCs w:val="20"/>
          <w:color w:val="auto"/>
        </w:rPr>
      </w:pPr>
    </w:p>
    <w:p>
      <w:pPr>
        <w:ind w:left="969" w:hanging="969"/>
        <w:spacing w:after="0"/>
        <w:tabs>
          <w:tab w:leader="none" w:pos="9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188,016,828</w:t>
      </w:r>
    </w:p>
    <w:p>
      <w:pPr>
        <w:spacing w:after="0" w:line="63" w:lineRule="exact"/>
        <w:rPr>
          <w:rFonts w:ascii="Arial" w:cs="Arial" w:eastAsia="Arial" w:hAnsi="Arial"/>
          <w:sz w:val="18"/>
          <w:szCs w:val="18"/>
          <w:color w:val="auto"/>
        </w:rPr>
      </w:pPr>
    </w:p>
    <w:p>
      <w:pPr>
        <w:ind w:left="969" w:hanging="969"/>
        <w:spacing w:after="0"/>
        <w:tabs>
          <w:tab w:leader="none" w:pos="9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188,016,828</w:t>
      </w:r>
    </w:p>
    <w:p>
      <w:pPr>
        <w:spacing w:after="0" w:line="76" w:lineRule="exact"/>
        <w:rPr>
          <w:rFonts w:ascii="Arial" w:cs="Arial" w:eastAsia="Arial" w:hAnsi="Arial"/>
          <w:sz w:val="18"/>
          <w:szCs w:val="18"/>
          <w:color w:val="auto"/>
        </w:rPr>
      </w:pPr>
    </w:p>
    <w:p>
      <w:pPr>
        <w:ind w:left="1689" w:hanging="1689"/>
        <w:spacing w:after="0"/>
        <w:tabs>
          <w:tab w:leader="none" w:pos="16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294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1294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-147320</wp:posOffset>
            </wp:positionV>
            <wp:extent cx="1294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3">
            <w:col w:w="3460" w:space="720"/>
            <w:col w:w="4760" w:space="131"/>
            <w:col w:w="2169"/>
          </w:cols>
          <w:pgMar w:left="320" w:top="364" w:right="339" w:bottom="1440" w:gutter="0" w:footer="0" w:header="0"/>
          <w:type w:val="continuous"/>
        </w:sectPr>
      </w:pPr>
    </w:p>
    <w:p>
      <w:pPr>
        <w:ind w:left="600" w:hanging="187"/>
        <w:spacing w:after="0"/>
        <w:tabs>
          <w:tab w:leader="none" w:pos="600" w:val="left"/>
        </w:tabs>
        <w:numPr>
          <w:ilvl w:val="0"/>
          <w:numId w:val="20"/>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Average of high and low price of common stock on the trading day prior to the vesting date of the shares of restricted stock.</w:t>
      </w:r>
    </w:p>
    <w:p>
      <w:pPr>
        <w:spacing w:after="0" w:line="22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On December 16, 2019, our Board of Directors authorized a $200.0 million common stock repurchase program beginning January 1, 2020 through December 31, 2022 (the “2019 Repurchase Program”). The shares may be purchased by us from time to time from the open market and through private transactions, or otherwise, as determined by us as market conditions warrant. The 2019 Repurchase Program may be suspended or discontinued at any time.</w:t>
      </w:r>
    </w:p>
    <w:p>
      <w:pPr>
        <w:spacing w:after="0" w:line="21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During the quarter ended March 31, 2020, to enhance our liquidity position in response to COVID-19, management elected to temporarily suspend share repurchases under the 2019 Repurchase Program. The 2019 Repurchase Program remains authorized by the Board of Directors and the management has resumed share repurchases effective July 1, 2020, considering improved market conditions, our capital and liquidity needs and other factors.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being filed as part of this Quarterly Report on Form 10-Q:</w:t>
      </w:r>
    </w:p>
    <w:p>
      <w:pPr>
        <w:sectPr>
          <w:pgSz w:w="11900" w:h="16838" w:orient="portrait"/>
          <w:cols w:equalWidth="0" w:num="1">
            <w:col w:w="11180"/>
          </w:cols>
          <w:pgMar w:left="320" w:top="364" w:right="399" w:bottom="1440" w:gutter="0" w:footer="0" w:header="0"/>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35"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Amended and Restated Certificate of Incorporation of the Company, as in effect on the date hereof (incorporated by reference to Exhibit 3.1</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of the Company’s Current Report on Form 8-K (File No. 1-33089) filed on October 25, 2006).</w:t>
        </w:r>
      </w:hyperlink>
    </w:p>
    <w:p>
      <w:pPr>
        <w:spacing w:after="0" w:line="94"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Certificate of Amendment to Amended and Restated Certificate of Incorporation of the Company (incorporated by reference to Annex A to</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the Company’s Definitive Proxy Statement on Schedule 14A (File No. 1-33089) filed on April 26, 2019).</w:t>
        </w:r>
      </w:hyperlink>
    </w:p>
    <w:p>
      <w:pPr>
        <w:spacing w:after="0" w:line="54"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Fifth Amended and Restated By-laws of ExlService Holdings, Inc. (incorporated by reference to Exhibit 3.2 of the Company’s Current</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Report on Form 8-K (File No. 1-33089) filed on June 19, 2019)</w:t>
        </w:r>
      </w:hyperlink>
    </w:p>
    <w:p>
      <w:pPr>
        <w:spacing w:after="0" w:line="57" w:lineRule="exact"/>
        <w:rPr>
          <w:sz w:val="20"/>
          <w:szCs w:val="20"/>
          <w:color w:val="auto"/>
        </w:rPr>
      </w:pPr>
    </w:p>
    <w:p>
      <w:pPr>
        <w:sectPr>
          <w:pgSz w:w="11900" w:h="16838" w:orient="portrait"/>
          <w:cols w:equalWidth="0" w:num="2">
            <w:col w:w="380" w:space="720"/>
            <w:col w:w="10080"/>
          </w:cols>
          <w:pgMar w:left="320" w:top="364" w:right="39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gridSpan w:val="9"/>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Certification of the Chief Executive Officer of ExlService Holdings, pursuant to Rule 13a-14(a) of the Exchange Act, as adopted pursuant</w:t>
              </w:r>
            </w:hyperlink>
          </w:p>
        </w:tc>
      </w:tr>
      <w:tr>
        <w:trPr>
          <w:trHeight w:val="156"/>
        </w:trPr>
        <w:tc>
          <w:tcPr>
            <w:tcW w:w="108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to Section 302 of the Sarbanes-Oxley Act of 2002.</w:t>
              </w:r>
            </w:hyperlink>
          </w:p>
        </w:tc>
        <w:tc>
          <w:tcPr>
            <w:tcW w:w="628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c>
          <w:tcPr>
            <w:tcW w:w="20" w:type="dxa"/>
            <w:vAlign w:val="bottom"/>
          </w:tcPr>
          <w:p>
            <w:pPr>
              <w:spacing w:after="0"/>
              <w:rPr>
                <w:sz w:val="22"/>
                <w:szCs w:val="22"/>
                <w:color w:val="auto"/>
              </w:rPr>
            </w:pPr>
          </w:p>
        </w:tc>
      </w:tr>
      <w:tr>
        <w:trPr>
          <w:trHeight w:val="156"/>
        </w:trPr>
        <w:tc>
          <w:tcPr>
            <w:tcW w:w="1080" w:type="dxa"/>
            <w:vAlign w:val="bottom"/>
          </w:tcPr>
          <w:p>
            <w:pPr>
              <w:spacing w:after="0"/>
              <w:rPr>
                <w:sz w:val="13"/>
                <w:szCs w:val="13"/>
                <w:color w:val="auto"/>
              </w:rPr>
            </w:pPr>
          </w:p>
        </w:tc>
        <w:tc>
          <w:tcPr>
            <w:tcW w:w="3460" w:type="dxa"/>
            <w:vAlign w:val="bottom"/>
            <w:tcBorders>
              <w:bottom w:val="single" w:sz="8" w:color="0000FF"/>
            </w:tcBorders>
          </w:tcPr>
          <w:p>
            <w:pPr>
              <w:spacing w:after="0" w:line="156"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Section 302 of the Sarbanes-Oxley Act of 2002.</w:t>
              </w:r>
            </w:hyperlink>
          </w:p>
        </w:tc>
        <w:tc>
          <w:tcPr>
            <w:tcW w:w="66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80" w:type="dxa"/>
            <w:vAlign w:val="bottom"/>
            <w:gridSpan w:val="9"/>
          </w:tcPr>
          <w:p>
            <w:pPr>
              <w:spacing w:after="0"/>
              <w:rPr>
                <w:rFonts w:ascii="Arial" w:cs="Arial" w:eastAsia="Arial" w:hAnsi="Arial"/>
                <w:sz w:val="18"/>
                <w:szCs w:val="18"/>
                <w:color w:val="0000FF"/>
                <w:w w:val="96"/>
              </w:rPr>
            </w:pPr>
            <w:hyperlink w:anchor="page66">
              <w:r>
                <w:rPr>
                  <w:rFonts w:ascii="Arial" w:cs="Arial" w:eastAsia="Arial" w:hAnsi="Arial"/>
                  <w:sz w:val="18"/>
                  <w:szCs w:val="18"/>
                  <w:color w:val="0000FF"/>
                  <w:w w:val="96"/>
                </w:rPr>
                <w:t>Certification of the Chief Executive Officer pursuant to Rule 13a-14(b) of the Exchange Act and 18 U.S.C. Section 1350, as adopted</w:t>
              </w:r>
            </w:hyperlink>
          </w:p>
        </w:tc>
      </w:tr>
      <w:tr>
        <w:trPr>
          <w:trHeight w:val="155"/>
        </w:trPr>
        <w:tc>
          <w:tcPr>
            <w:tcW w:w="10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pursuant to Section 906 of the Sarbanes-Oxley Act of 2002.</w:t>
              </w:r>
            </w:hyperlink>
          </w:p>
        </w:tc>
        <w:tc>
          <w:tcPr>
            <w:tcW w:w="5220" w:type="dxa"/>
            <w:vAlign w:val="bottom"/>
            <w:tcBorders>
              <w:top w:val="single" w:sz="8" w:color="0000FF"/>
            </w:tcBorders>
            <w:gridSpan w:val="2"/>
          </w:tcPr>
          <w:p>
            <w:pPr>
              <w:spacing w:after="0"/>
              <w:rPr>
                <w:sz w:val="13"/>
                <w:szCs w:val="13"/>
                <w:color w:val="auto"/>
              </w:rPr>
            </w:pPr>
          </w:p>
        </w:tc>
        <w:tc>
          <w:tcPr>
            <w:tcW w:w="540" w:type="dxa"/>
            <w:vAlign w:val="bottom"/>
            <w:gridSpan w:val="3"/>
          </w:tcPr>
          <w:p>
            <w:pPr>
              <w:spacing w:after="0"/>
              <w:rPr>
                <w:sz w:val="13"/>
                <w:szCs w:val="13"/>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80" w:type="dxa"/>
            <w:vAlign w:val="bottom"/>
            <w:gridSpan w:val="9"/>
          </w:tcPr>
          <w:p>
            <w:pPr>
              <w:spacing w:after="0"/>
              <w:rPr>
                <w:rFonts w:ascii="Arial" w:cs="Arial" w:eastAsia="Arial" w:hAnsi="Arial"/>
                <w:sz w:val="18"/>
                <w:szCs w:val="18"/>
                <w:color w:val="0000FF"/>
                <w:w w:val="96"/>
              </w:rPr>
            </w:pPr>
            <w:hyperlink w:anchor="page67">
              <w:r>
                <w:rPr>
                  <w:rFonts w:ascii="Arial" w:cs="Arial" w:eastAsia="Arial" w:hAnsi="Arial"/>
                  <w:sz w:val="18"/>
                  <w:szCs w:val="18"/>
                  <w:color w:val="0000FF"/>
                  <w:w w:val="96"/>
                </w:rPr>
                <w:t>Certification of the Chief Financial Officer pursuant to Rule 13a-14(b) of the Exchange Act and 18 U.S.C. Section 1350, as adopted</w:t>
              </w:r>
            </w:hyperlink>
          </w:p>
        </w:tc>
      </w:tr>
      <w:tr>
        <w:trPr>
          <w:trHeight w:val="156"/>
        </w:trPr>
        <w:tc>
          <w:tcPr>
            <w:tcW w:w="10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pursuant to Section 906 of the Sarbanes-Oxley Act of 2002.</w:t>
              </w:r>
            </w:hyperlink>
          </w:p>
        </w:tc>
        <w:tc>
          <w:tcPr>
            <w:tcW w:w="5200" w:type="dxa"/>
            <w:vAlign w:val="bottom"/>
            <w:tcBorders>
              <w:top w:val="single" w:sz="8" w:color="0000FF"/>
            </w:tcBorders>
            <w:gridSpan w:val="2"/>
          </w:tcPr>
          <w:p>
            <w:pPr>
              <w:spacing w:after="0"/>
              <w:rPr>
                <w:sz w:val="13"/>
                <w:szCs w:val="13"/>
                <w:color w:val="auto"/>
              </w:rPr>
            </w:pPr>
          </w:p>
        </w:tc>
        <w:tc>
          <w:tcPr>
            <w:tcW w:w="580" w:type="dxa"/>
            <w:vAlign w:val="bottom"/>
            <w:gridSpan w:val="4"/>
          </w:tcPr>
          <w:p>
            <w:pPr>
              <w:spacing w:after="0"/>
              <w:rPr>
                <w:sz w:val="13"/>
                <w:szCs w:val="13"/>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Scheme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9"/>
          </w:tcPr>
          <w:p>
            <w:pPr>
              <w:spacing w:after="0"/>
              <w:rPr>
                <w:sz w:val="20"/>
                <w:szCs w:val="20"/>
                <w:color w:val="auto"/>
              </w:rPr>
            </w:pPr>
            <w:r>
              <w:rPr>
                <w:rFonts w:ascii="Arial" w:cs="Arial" w:eastAsia="Arial" w:hAnsi="Arial"/>
                <w:sz w:val="18"/>
                <w:szCs w:val="18"/>
                <w:color w:val="auto"/>
              </w:rPr>
              <w:t>XBRL Extension Presentation Linkbase</w:t>
            </w:r>
          </w:p>
        </w:tc>
      </w:tr>
    </w:tbl>
    <w:p>
      <w:pPr>
        <w:spacing w:after="0" w:line="94" w:lineRule="exact"/>
        <w:rPr>
          <w:sz w:val="20"/>
          <w:szCs w:val="20"/>
          <w:color w:val="auto"/>
        </w:rPr>
      </w:pPr>
    </w:p>
    <w:p>
      <w:pPr>
        <w:ind w:left="1100" w:hanging="107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-713105</wp:posOffset>
            </wp:positionV>
            <wp:extent cx="6083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Date: August 6, 2020</w:t>
            </w:r>
          </w:p>
        </w:tc>
        <w:tc>
          <w:tcPr>
            <w:tcW w:w="7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EXLSERVICE HOLDINGS, INC.</w:t>
            </w:r>
          </w:p>
        </w:tc>
      </w:tr>
      <w:tr>
        <w:trPr>
          <w:trHeight w:val="567"/>
        </w:trPr>
        <w:tc>
          <w:tcPr>
            <w:tcW w:w="324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MAURIZIO NICOLELLI</w:t>
            </w:r>
          </w:p>
        </w:tc>
      </w:tr>
      <w:tr>
        <w:trPr>
          <w:trHeight w:val="146"/>
        </w:trPr>
        <w:tc>
          <w:tcPr>
            <w:tcW w:w="3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7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MAURIZIO NICOLELLI</w:t>
            </w:r>
          </w:p>
        </w:tc>
      </w:tr>
      <w:tr>
        <w:trPr>
          <w:trHeight w:val="148"/>
        </w:trPr>
        <w:tc>
          <w:tcPr>
            <w:tcW w:w="3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364"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27"/>
        <w:spacing w:after="0" w:line="308" w:lineRule="auto"/>
        <w:tabs>
          <w:tab w:leader="none" w:pos="73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3" w:lineRule="auto"/>
        <w:tabs>
          <w:tab w:leader="none" w:pos="7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20" w:hanging="327"/>
        <w:spacing w:after="0" w:line="277" w:lineRule="auto"/>
        <w:tabs>
          <w:tab w:leader="none" w:pos="7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3214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Maurizio Nicolelli, certify that:</w:t>
      </w:r>
    </w:p>
    <w:p>
      <w:pPr>
        <w:spacing w:after="0" w:line="347"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27"/>
        <w:spacing w:after="0" w:line="308" w:lineRule="auto"/>
        <w:tabs>
          <w:tab w:leader="none" w:pos="737"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3" w:lineRule="auto"/>
        <w:tabs>
          <w:tab w:leader="none" w:pos="7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20" w:hanging="327"/>
        <w:spacing w:after="0" w:line="277" w:lineRule="auto"/>
        <w:tabs>
          <w:tab w:leader="none" w:pos="7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32143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Maurizio Nicolelli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June 30, 2020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894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Vice-Chairman and Chief Executive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2020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894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Maurizio Nicolelli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9"/>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99" Type="http://schemas.openxmlformats.org/officeDocument/2006/relationships/hyperlink" Target="http://www.sec.gov/Archives/edgar/data/1297989/000119312506214684/dex31.htm" TargetMode="External"/><Relationship Id="rId100" Type="http://schemas.openxmlformats.org/officeDocument/2006/relationships/hyperlink" Target="http://www.sec.gov/Archives/edgar/data/1297989/000104746919002609/a2238453z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2020-08-06T16:07:48Z</dcterms:created>
  <dcterms:modified xsi:type="dcterms:W3CDTF">2020-08-06T16:07:48Z</dcterms:modified>
</cp:coreProperties>
</file>