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right="1820" w:firstLine="8"/>
        <w:spacing w:after="0" w:line="431" w:lineRule="auto"/>
        <w:tabs>
          <w:tab w:leader="none" w:pos="44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2008</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4"/>
          <w:szCs w:val="24"/>
          <w:color w:val="auto"/>
        </w:rPr>
      </w:pPr>
    </w:p>
    <w:tbl>
      <w:tblPr>
        <w:tblLayout w:type="fixed"/>
        <w:tblInd w:w="1000" w:type="dxa"/>
        <w:tblCellMar>
          <w:top w:w="0" w:type="dxa"/>
          <w:left w:w="0" w:type="dxa"/>
          <w:bottom w:w="0" w:type="dxa"/>
          <w:right w:w="0" w:type="dxa"/>
        </w:tblCellMar>
      </w:tblPr>
      <w:tr>
        <w:trPr>
          <w:trHeight w:val="218"/>
        </w:trPr>
        <w:tc>
          <w:tcPr>
            <w:tcW w:w="6660" w:type="dxa"/>
            <w:vAlign w:val="bottom"/>
          </w:tcPr>
          <w:p>
            <w:pPr>
              <w:jc w:val="center"/>
              <w:ind w:right="2864"/>
              <w:spacing w:after="0"/>
              <w:rPr>
                <w:sz w:val="20"/>
                <w:szCs w:val="20"/>
                <w:color w:val="auto"/>
              </w:rPr>
            </w:pPr>
            <w:r>
              <w:rPr>
                <w:rFonts w:ascii="Arial" w:cs="Arial" w:eastAsia="Arial" w:hAnsi="Arial"/>
                <w:sz w:val="18"/>
                <w:szCs w:val="18"/>
                <w:b w:val="1"/>
                <w:bCs w:val="1"/>
                <w:color w:val="auto"/>
                <w:w w:val="96"/>
              </w:rPr>
              <w:t>DELAWARE</w:t>
            </w:r>
          </w:p>
        </w:tc>
        <w:tc>
          <w:tcPr>
            <w:tcW w:w="1500" w:type="dxa"/>
            <w:vAlign w:val="bottom"/>
          </w:tcPr>
          <w:p>
            <w:pPr>
              <w:jc w:val="right"/>
              <w:ind w:right="44"/>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660" w:type="dxa"/>
            <w:vAlign w:val="bottom"/>
          </w:tcPr>
          <w:p>
            <w:pPr>
              <w:jc w:val="center"/>
              <w:ind w:right="28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60" w:type="dxa"/>
            <w:vAlign w:val="bottom"/>
          </w:tcPr>
          <w:p>
            <w:pPr>
              <w:jc w:val="center"/>
              <w:ind w:right="28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r>
      <w:tr>
        <w:trPr>
          <w:trHeight w:val="271"/>
        </w:trPr>
        <w:tc>
          <w:tcPr>
            <w:tcW w:w="6660" w:type="dxa"/>
            <w:vAlign w:val="bottom"/>
          </w:tcPr>
          <w:p>
            <w:pPr>
              <w:jc w:val="center"/>
              <w:ind w:right="2864"/>
              <w:spacing w:after="0"/>
              <w:rPr>
                <w:sz w:val="20"/>
                <w:szCs w:val="20"/>
                <w:color w:val="auto"/>
              </w:rPr>
            </w:pPr>
            <w:r>
              <w:rPr>
                <w:rFonts w:ascii="Arial" w:cs="Arial" w:eastAsia="Arial" w:hAnsi="Arial"/>
                <w:sz w:val="18"/>
                <w:szCs w:val="18"/>
                <w:b w:val="1"/>
                <w:bCs w:val="1"/>
                <w:color w:val="auto"/>
                <w:w w:val="96"/>
              </w:rPr>
              <w:t>350 PARK AVENUE, NEW YORK, NEW YORK</w:t>
            </w:r>
          </w:p>
        </w:tc>
        <w:tc>
          <w:tcPr>
            <w:tcW w:w="150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6660" w:type="dxa"/>
            <w:vAlign w:val="bottom"/>
          </w:tcPr>
          <w:p>
            <w:pPr>
              <w:jc w:val="center"/>
              <w:ind w:right="286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00" w:type="dxa"/>
            <w:vAlign w:val="bottom"/>
          </w:tcPr>
          <w:p>
            <w:pPr>
              <w:jc w:val="center"/>
              <w:ind w:left="364"/>
              <w:spacing w:after="0"/>
              <w:rPr>
                <w:sz w:val="20"/>
                <w:szCs w:val="20"/>
                <w:color w:val="auto"/>
              </w:rPr>
            </w:pPr>
            <w:r>
              <w:rPr>
                <w:rFonts w:ascii="Arial" w:cs="Arial" w:eastAsia="Arial" w:hAnsi="Arial"/>
                <w:sz w:val="14"/>
                <w:szCs w:val="14"/>
                <w:b w:val="1"/>
                <w:bCs w:val="1"/>
                <w:color w:val="auto"/>
                <w:w w:val="86"/>
              </w:rPr>
              <w:t>(Zip code)</w:t>
            </w:r>
          </w:p>
        </w:tc>
      </w:tr>
      <w:tr>
        <w:trPr>
          <w:trHeight w:val="366"/>
        </w:trPr>
        <w:tc>
          <w:tcPr>
            <w:tcW w:w="6660" w:type="dxa"/>
            <w:vAlign w:val="bottom"/>
          </w:tcPr>
          <w:p>
            <w:pPr>
              <w:jc w:val="right"/>
              <w:ind w:right="1324"/>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74"/>
        </w:trPr>
        <w:tc>
          <w:tcPr>
            <w:tcW w:w="6660" w:type="dxa"/>
            <w:vAlign w:val="bottom"/>
          </w:tcPr>
          <w:p>
            <w:pPr>
              <w:jc w:val="center"/>
              <w:ind w:left="26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00" w:type="dxa"/>
            <w:vAlign w:val="bottom"/>
          </w:tcPr>
          <w:p>
            <w:pPr>
              <w:spacing w:after="0"/>
              <w:rPr>
                <w:sz w:val="15"/>
                <w:szCs w:val="15"/>
                <w:color w:val="auto"/>
              </w:rPr>
            </w:pPr>
          </w:p>
        </w:tc>
      </w:tr>
    </w:tbl>
    <w:p>
      <w:pPr>
        <w:spacing w:after="0" w:line="141" w:lineRule="exact"/>
        <w:rPr>
          <w:sz w:val="24"/>
          <w:szCs w:val="24"/>
          <w:color w:val="auto"/>
        </w:rPr>
      </w:pPr>
    </w:p>
    <w:p>
      <w:pPr>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00"/>
          </w:cols>
          <w:pgMar w:left="240" w:top="230" w:right="459" w:bottom="1440" w:gutter="0" w:footer="0" w:header="0"/>
        </w:sectPr>
      </w:pPr>
    </w:p>
    <w:p>
      <w:pPr>
        <w:spacing w:after="0" w:line="126" w:lineRule="exact"/>
        <w:rPr>
          <w:sz w:val="24"/>
          <w:szCs w:val="24"/>
          <w:color w:val="auto"/>
        </w:rPr>
      </w:pPr>
    </w:p>
    <w:p>
      <w:pPr>
        <w:ind w:left="860"/>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ind w:left="8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4" w:lineRule="exact"/>
        <w:rPr>
          <w:sz w:val="24"/>
          <w:szCs w:val="24"/>
          <w:color w:val="auto"/>
        </w:rPr>
      </w:pPr>
    </w:p>
    <w:p>
      <w:pPr>
        <w:sectPr>
          <w:pgSz w:w="11900" w:h="16838" w:orient="portrait"/>
          <w:cols w:equalWidth="0" w:num="4">
            <w:col w:w="4700" w:space="720"/>
            <w:col w:w="160" w:space="400"/>
            <w:col w:w="3540" w:space="720"/>
            <w:col w:w="960"/>
          </w:cols>
          <w:pgMar w:left="240" w:top="230" w:right="45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200"/>
          </w:cols>
          <w:pgMar w:left="240" w:top="230" w:right="459" w:bottom="1440" w:gutter="0" w:footer="0" w:header="0"/>
          <w:type w:val="continuous"/>
        </w:sectPr>
      </w:pPr>
    </w:p>
    <w:p>
      <w:pPr>
        <w:spacing w:after="0" w:line="168"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8740" w:space="180"/>
            <w:col w:w="160" w:space="180"/>
            <w:col w:w="200" w:space="180"/>
            <w:col w:w="1560"/>
          </w:cols>
          <w:pgMar w:left="240" w:top="230" w:right="459" w:bottom="1440" w:gutter="0" w:footer="0" w:header="0"/>
          <w:type w:val="continuous"/>
        </w:sectPr>
      </w:pPr>
    </w:p>
    <w:p>
      <w:pPr>
        <w:spacing w:after="0" w:line="6"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As of July 31, 2008, there were 28,845,868 shares of the registrant’s common stock outstanding (excluding 179,027 shares held in treasury), par value $0.001 per share.</w:t>
      </w:r>
    </w:p>
    <w:p>
      <w:pPr>
        <w:sectPr>
          <w:pgSz w:w="11900" w:h="16838" w:orient="portrait"/>
          <w:cols w:equalWidth="0" w:num="1">
            <w:col w:w="11200"/>
          </w:cols>
          <w:pgMar w:left="240" w:top="230" w:right="4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560" w:type="dxa"/>
            <w:vAlign w:val="bottom"/>
            <w:gridSpan w:val="7"/>
          </w:tcPr>
          <w:p>
            <w:pPr>
              <w:ind w:left="520"/>
              <w:spacing w:after="0"/>
              <w:rPr>
                <w:sz w:val="20"/>
                <w:szCs w:val="20"/>
                <w:color w:val="auto"/>
              </w:rPr>
            </w:pPr>
            <w:r>
              <w:rPr>
                <w:rFonts w:ascii="Arial" w:cs="Arial" w:eastAsia="Arial" w:hAnsi="Arial"/>
                <w:sz w:val="14"/>
                <w:szCs w:val="14"/>
                <w:b w:val="1"/>
                <w:bCs w:val="1"/>
                <w:color w:val="auto"/>
              </w:rPr>
              <w:t>TABLE OF CONTENTS</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w:t>
            </w:r>
          </w:p>
        </w:tc>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240" w:type="dxa"/>
            <w:vAlign w:val="bottom"/>
            <w:gridSpan w:val="8"/>
            <w:vMerge w:val="restart"/>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800" w:type="dxa"/>
            <w:vAlign w:val="bottom"/>
            <w:gridSpan w:val="2"/>
            <w:vMerge w:val="continue"/>
          </w:tcPr>
          <w:p>
            <w:pPr>
              <w:spacing w:after="0"/>
              <w:rPr>
                <w:sz w:val="14"/>
                <w:szCs w:val="14"/>
                <w:color w:val="auto"/>
              </w:rPr>
            </w:pPr>
          </w:p>
        </w:tc>
        <w:tc>
          <w:tcPr>
            <w:tcW w:w="3000" w:type="dxa"/>
            <w:vAlign w:val="bottom"/>
            <w:tcBorders>
              <w:bottom w:val="single" w:sz="8" w:color="0000EE"/>
            </w:tcBorders>
            <w:gridSpan w:val="10"/>
            <w:vMerge w:val="continue"/>
          </w:tcPr>
          <w:p>
            <w:pPr>
              <w:spacing w:after="0"/>
              <w:rPr>
                <w:sz w:val="14"/>
                <w:szCs w:val="14"/>
                <w:color w:val="auto"/>
              </w:rPr>
            </w:pPr>
          </w:p>
        </w:tc>
        <w:tc>
          <w:tcPr>
            <w:tcW w:w="7240" w:type="dxa"/>
            <w:vAlign w:val="bottom"/>
            <w:gridSpan w:val="8"/>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2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FINANCIAL STATEMENTS</w:t>
              </w:r>
            </w:hyperlink>
          </w:p>
        </w:tc>
        <w:tc>
          <w:tcPr>
            <w:tcW w:w="802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6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(Unaudited) as of June 30, 2008 and December 31, 2007</w:t>
              </w:r>
            </w:hyperlink>
          </w:p>
        </w:tc>
        <w:tc>
          <w:tcPr>
            <w:tcW w:w="3740" w:type="dxa"/>
            <w:vAlign w:val="bottom"/>
            <w:gridSpan w:val="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Income (Unaudited) for the Three Months Ended and Six Months Ended June 30, 2008 and 2007</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80" w:type="dxa"/>
            <w:vAlign w:val="bottom"/>
            <w:tcBorders>
              <w:top w:val="single" w:sz="8" w:color="0000EE"/>
            </w:tcBorders>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(Unaudited) for the Six Months Ended June 30, 2008 and 2007</w:t>
              </w:r>
            </w:hyperlink>
          </w:p>
        </w:tc>
        <w:tc>
          <w:tcPr>
            <w:tcW w:w="10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6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Unaudited Consolidated Financial Statements</w:t>
              </w:r>
            </w:hyperlink>
          </w:p>
        </w:tc>
        <w:tc>
          <w:tcPr>
            <w:tcW w:w="25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500" w:type="dxa"/>
            <w:vAlign w:val="bottom"/>
            <w:gridSpan w:val="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56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2700" w:type="dxa"/>
            <w:vAlign w:val="bottom"/>
            <w:tcBorders>
              <w:top w:val="single" w:sz="8" w:color="0000EE"/>
            </w:tcBorders>
            <w:gridSpan w:val="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7540" w:type="dxa"/>
            <w:vAlign w:val="bottom"/>
            <w:gridSpan w:val="9"/>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8940" w:type="dxa"/>
            <w:vAlign w:val="bottom"/>
            <w:gridSpan w:val="13"/>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96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Defaults Upon Senior Securities</w:t>
              </w:r>
            </w:hyperlink>
          </w:p>
        </w:tc>
        <w:tc>
          <w:tcPr>
            <w:tcW w:w="2000" w:type="dxa"/>
            <w:vAlign w:val="bottom"/>
            <w:tcBorders>
              <w:top w:val="single" w:sz="8" w:color="0000EE"/>
            </w:tcBorders>
            <w:gridSpan w:val="4"/>
          </w:tcPr>
          <w:p>
            <w:pPr>
              <w:spacing w:after="0"/>
              <w:rPr>
                <w:sz w:val="24"/>
                <w:szCs w:val="24"/>
                <w:color w:val="auto"/>
              </w:rPr>
            </w:pPr>
          </w:p>
        </w:tc>
        <w:tc>
          <w:tcPr>
            <w:tcW w:w="5960" w:type="dxa"/>
            <w:vAlign w:val="bottom"/>
            <w:gridSpan w:val="6"/>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36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Submission of Matters to a Vote of Security Holders</w:t>
              </w:r>
            </w:hyperlink>
          </w:p>
        </w:tc>
        <w:tc>
          <w:tcPr>
            <w:tcW w:w="656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24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8960" w:type="dxa"/>
            <w:vAlign w:val="bottom"/>
            <w:gridSpan w:val="14"/>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500" w:type="dxa"/>
            <w:vAlign w:val="bottom"/>
            <w:gridSpan w:val="14"/>
          </w:tcPr>
          <w:p>
            <w:pPr>
              <w:ind w:left="48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(Audited)</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97,666,533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102,209,734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242,871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285,089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252,561</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89"/>
              </w:rPr>
              <w:t>Accounts receivable, net of allowance for doubtful accounts of $126,030 at June 30, 2008 and $85,539 at 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000" w:type="dxa"/>
            <w:vAlign w:val="bottom"/>
            <w:gridSpan w:val="2"/>
          </w:tcPr>
          <w:p>
            <w:pPr>
              <w:ind w:left="66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43,923,228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38,513,774</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from related parties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338,629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483,474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2,947,064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3,373,595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3,279,715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income tax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7,541,165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150,920,817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155,593,355</w:t>
            </w:r>
          </w:p>
        </w:tc>
        <w:tc>
          <w:tcPr>
            <w:tcW w:w="60" w:type="dxa"/>
            <w:vAlign w:val="bottom"/>
            <w:shd w:val="clear" w:color="auto" w:fill="CCEEFF"/>
          </w:tcPr>
          <w:p>
            <w:pPr>
              <w:spacing w:after="0"/>
              <w:rPr>
                <w:sz w:val="18"/>
                <w:szCs w:val="18"/>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27,797,270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25,244,603</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 of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17,695,657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16,785,487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4,879,548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4,498,449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8,047,497</w:t>
            </w:r>
          </w:p>
        </w:tc>
        <w:tc>
          <w:tcPr>
            <w:tcW w:w="60" w:type="dxa"/>
            <w:vAlign w:val="bottom"/>
            <w:shd w:val="clear" w:color="auto" w:fill="CCEEFF"/>
          </w:tcPr>
          <w:p>
            <w:pPr>
              <w:spacing w:after="0"/>
              <w:rPr>
                <w:sz w:val="18"/>
                <w:szCs w:val="18"/>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211,676,222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210,813,707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1,981,704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6,389,425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4,056,755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4,440,261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10,832,758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13,774,306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22,370,751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10,563,187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729,715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125,960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39,360,849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36,022,854</w:t>
            </w:r>
          </w:p>
        </w:tc>
        <w:tc>
          <w:tcPr>
            <w:tcW w:w="60" w:type="dxa"/>
            <w:vAlign w:val="bottom"/>
            <w:shd w:val="clear" w:color="auto" w:fill="CCEEFF"/>
          </w:tcPr>
          <w:p>
            <w:pPr>
              <w:spacing w:after="0"/>
              <w:rPr>
                <w:sz w:val="18"/>
                <w:szCs w:val="18"/>
                <w:color w:val="auto"/>
              </w:rPr>
            </w:pPr>
          </w:p>
        </w:tc>
      </w:tr>
      <w:tr>
        <w:trPr>
          <w:trHeight w:val="221"/>
        </w:trPr>
        <w:tc>
          <w:tcPr>
            <w:tcW w:w="90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258,399</w:t>
            </w: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552,685</w:t>
            </w:r>
          </w:p>
        </w:tc>
        <w:tc>
          <w:tcPr>
            <w:tcW w:w="60" w:type="dxa"/>
            <w:vAlign w:val="bottom"/>
            <w:shd w:val="clear" w:color="auto" w:fill="CCEEFF"/>
          </w:tcPr>
          <w:p>
            <w:pPr>
              <w:spacing w:after="0"/>
              <w:rPr>
                <w:sz w:val="18"/>
                <w:szCs w:val="18"/>
                <w:color w:val="auto"/>
              </w:rPr>
            </w:pP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45,243,542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36,833,938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Stockholders’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w w:val="93"/>
              </w:rPr>
              <w:t>Common stock, $0.001 par value; 100,000,000 shares authorized, 28,980,198 shares issued and outstanding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640"/>
              <w:spacing w:after="0"/>
              <w:rPr>
                <w:sz w:val="20"/>
                <w:szCs w:val="20"/>
                <w:color w:val="auto"/>
              </w:rPr>
            </w:pPr>
            <w:r>
              <w:rPr>
                <w:rFonts w:ascii="Arial" w:cs="Arial" w:eastAsia="Arial" w:hAnsi="Arial"/>
                <w:sz w:val="18"/>
                <w:szCs w:val="18"/>
                <w:color w:val="auto"/>
              </w:rPr>
              <w:t>June 30, 2008 and 28,891,043 shares issued and outstanding as of December 31, 2007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28,891</w:t>
            </w: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114,335,764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110,988,552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67,677,066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55,708,233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(15,264,369)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7,570,026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166,777,441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174,295,702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Less: 164,943 shares as of June 30, 2008 and 163,690 shares as of December 31, 2007, held in treasury, at cost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(315,933)</w:t>
            </w:r>
          </w:p>
        </w:tc>
      </w:tr>
      <w:tr>
        <w:trPr>
          <w:trHeight w:val="230"/>
        </w:trPr>
        <w:tc>
          <w:tcPr>
            <w:tcW w:w="90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166,432,680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173,979,769</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211,676,222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210,813,707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8"/>
                <w:szCs w:val="18"/>
                <w:color w:val="auto"/>
              </w:rPr>
            </w:pPr>
          </w:p>
        </w:tc>
        <w:tc>
          <w:tcPr>
            <w:tcW w:w="21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9"/>
                <w:szCs w:val="19"/>
                <w:color w:val="auto"/>
              </w:rPr>
            </w:pPr>
          </w:p>
        </w:tc>
        <w:tc>
          <w:tcPr>
            <w:tcW w:w="21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53,687,455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42,646,251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104,535,795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82,150,252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128,340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53,815,795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43,019,839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104,764,425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82,874,287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33,911,941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28,798,645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66,276,768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53,280,613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19,903,854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14,221,194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38,487,657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29,593,674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8,599,809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6,805,341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17,064,858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2,910,467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2,027,727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5,284,817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3,991,257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3,133,158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5,204,937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14,643,434</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11,597,103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28,185,872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22,037,082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5,260,420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2,624,091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10,301,785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(143,581)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2,294,904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2,865,011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611,446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1,018,782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2,026,584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5,720,654</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5,928,218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13,125,005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12,421,107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456,582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5,264,072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5,620,048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12,063,884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11,028,674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28,799,510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28,495,781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28,778,337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28,319,530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29,351,038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29,210,372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29,321,982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29,050,897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12,063,884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11,028,674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5,836,197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5,204,937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2,874,916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1,918,996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Non employee stock options</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129,830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197,792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foreign exchange (gain)/loss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1,473,556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(1,050,373)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(807,089)</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(38,547)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(4,550,477)</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(7,475,579)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(509,797)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2,034,390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(2,650,622)</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(359,895)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(1,976,090)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(747,569)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367,689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(1,313,982)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(2,812,114)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(3,079,217)</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(5,853,038)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8,321,188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1,122,236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0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Purchase of fixed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(10,485,702)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(4,869,035)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Business acquisition</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(1,695,655)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(12,181,357)</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(4,869,035)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(30,832)</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314,298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(28,828)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254,638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(937,670)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(4,543,201)</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(2,762,017)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102,209,734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85,366,103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8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97,666,533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82,604,086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32,943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2,974,976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5,738,949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123,763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Fair value of shares issued for non-cash consideration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5,449,042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JUNE 30, 2008</w:t>
      </w:r>
    </w:p>
    <w:p>
      <w:pPr>
        <w:spacing w:after="0" w:line="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20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ExlService.com, Inc. (“Exl Inc.”), ExlService Philippines, Inc. (“Exl Philippines”), exlService.com (India) Private Limited (“Exl India”), Noida Customer Operations Private Limited (“NCOP”), Exl Support Services Pvt. Ltd. (“ESSPL”), ExlService (U.K.) Limited (“Exl UK”) and Inductis Inc. and its wholly owned subsidiaries (“Inductis”), including Inductis LLC (“Inductis LLC”) and Inductis India Private Limited (“Inductis India”) (collectively, the “Company”) is a leading provider of Outsourcing and Transformation services, including business process outsourcing (“Outsourcing Services”) and Transformation Services (“Transformation Services”). The Company’s clients are located principally in the United States and the United Kingdom.</w:t>
      </w:r>
    </w:p>
    <w:p>
      <w:pPr>
        <w:spacing w:after="0" w:line="120" w:lineRule="exact"/>
        <w:rPr>
          <w:sz w:val="20"/>
          <w:szCs w:val="20"/>
          <w:color w:val="auto"/>
        </w:rPr>
      </w:pPr>
    </w:p>
    <w:p>
      <w:pPr>
        <w:ind w:right="3000" w:firstLine="456"/>
        <w:spacing w:after="0" w:line="391" w:lineRule="auto"/>
        <w:rPr>
          <w:sz w:val="20"/>
          <w:szCs w:val="20"/>
          <w:color w:val="auto"/>
        </w:rPr>
      </w:pPr>
      <w:r>
        <w:rPr>
          <w:rFonts w:ascii="Arial" w:cs="Arial" w:eastAsia="Arial" w:hAnsi="Arial"/>
          <w:sz w:val="18"/>
          <w:szCs w:val="18"/>
          <w:color w:val="auto"/>
        </w:rPr>
        <w:t xml:space="preserve">The common stock of the Company is listed on the NASDAQ Global Select Market under the symbol “EXLS.”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unaudited interim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audited consolidated financial statements of ExlService Holdings for the year ended December 31, 2007 and Management’s Discussion and Analysis of Financial Condition and Results of Operations included in the Company’s Annual Report on Form 10-K for the fiscal year ended December 31, 2007.</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which management considers necessary for a fair presentation of such statements for these periods. The consolidated statements of income for the interim periods presented are not necessarily indicative of the results for the full year.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consolidated balance sheet at December 31, 2007 was extracted from the audited consolidated balance sheet of ExlService Holdings included in the Company’s Annual Report on Form 10-K for the fiscal year ended December 31, 2007.</w:t>
      </w:r>
    </w:p>
    <w:p>
      <w:pPr>
        <w:spacing w:after="0" w:line="207" w:lineRule="exact"/>
        <w:rPr>
          <w:sz w:val="20"/>
          <w:szCs w:val="20"/>
          <w:color w:val="auto"/>
        </w:rPr>
      </w:pPr>
    </w:p>
    <w:p>
      <w:pPr>
        <w:ind w:right="784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unaudited consolidated financial statements include the accounts of ExlService Holdings and its subsidiaries. All intercompany balances and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reported amounts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assets and liabilities and disclosure of contingent assets and liabilities at the date of the consolidated financial statements and the consolidated statements of income during the reporting period. Estimates are based upon management’s best assessment of the current business environment. Actual results could differ from those estimates. The significant estimates and assumptions that affect the financial statements include, but are not limited to, allowance for doubtful accounts, future obligations under employee benefit plans, income tax valuation allowances and tax reserves, stock-based compensation expense, depreciation and amortization periods, recoverability of long-term assets including goodwill and intangibles, and estimates to complete fixed price contracts.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unless otherwise specified.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unaudited consolidated statements of income.</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income/(loss).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Pursuant to our investment policy, our surplus funds are kept as cash or cash equivalents and are invested in highly-rated commercial paper, U.S. treasury bills, mutual funds and money market accounts to reduce our exposure to market risk with regard to these funds.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Company’s short-term investments consist of time deposits, which mature in less than one year, valued at cost, which approximates fair value. Interest earned on short-term investments is included in interest income.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are computed using the straight-line method over the shorter of the assets’ estimated lives or the lease term.</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accounts receivable aging and prior collection experience to estimate the ultimate collectability of these receivables.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Revenues from Outsourcing Services include revenues from a range of services, including insurance services, banking and financial services, finance and accounting services and collection services. Revenues from Transformation Services include revenues from various services such as research and analytics services which are intended to facilitate more effective data-based strategic and operating decisions by our clients, Sarbanes-Oxley compliance, internal audit outsourcing and financial reporting services.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agreed upon rates and billing arrangements, which consist of cost-plus, time-and-material, fixed price, contingent fee and unit-priced arrangements. The Company recognizes revenue since the last billing date as of the balance sheet date as unbilled revenues and recognizes billings in excess of revenues earned or advances received from clients as deferred revenue.</w:t>
      </w:r>
    </w:p>
    <w:p>
      <w:pPr>
        <w:spacing w:after="0" w:line="143"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accordance with EITF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the Company has accounted for reimbursements received for out-of-pocket expenses incurred as revenues in the unaudited consolidated statements of income. The Company typically incurs telecommunication and travel-related costs that are billed to and reimbursed by clients.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80" w:type="dxa"/>
            <w:vAlign w:val="bottom"/>
          </w:tcPr>
          <w:p>
            <w:pPr>
              <w:ind w:left="440"/>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2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2008</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$ 3,727,128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Three Months Ended June 30, 2007</w:t>
            </w:r>
          </w:p>
        </w:tc>
        <w:tc>
          <w:tcPr>
            <w:tcW w:w="2820" w:type="dxa"/>
            <w:vAlign w:val="bottom"/>
          </w:tcPr>
          <w:p>
            <w:pPr>
              <w:jc w:val="right"/>
              <w:spacing w:after="0"/>
              <w:rPr>
                <w:sz w:val="20"/>
                <w:szCs w:val="20"/>
                <w:color w:val="auto"/>
              </w:rPr>
            </w:pPr>
            <w:r>
              <w:rPr>
                <w:rFonts w:ascii="Arial" w:cs="Arial" w:eastAsia="Arial" w:hAnsi="Arial"/>
                <w:sz w:val="18"/>
                <w:szCs w:val="18"/>
                <w:color w:val="auto"/>
              </w:rPr>
              <w:t>$ 2,186,854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2008</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$ 6,831,709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Six Months Ended June 30, 2007</w:t>
            </w:r>
          </w:p>
        </w:tc>
        <w:tc>
          <w:tcPr>
            <w:tcW w:w="2820" w:type="dxa"/>
            <w:vAlign w:val="bottom"/>
          </w:tcPr>
          <w:p>
            <w:pPr>
              <w:jc w:val="right"/>
              <w:spacing w:after="0"/>
              <w:rPr>
                <w:sz w:val="20"/>
                <w:szCs w:val="20"/>
                <w:color w:val="auto"/>
              </w:rPr>
            </w:pPr>
            <w:r>
              <w:rPr>
                <w:rFonts w:ascii="Arial" w:cs="Arial" w:eastAsia="Arial" w:hAnsi="Arial"/>
                <w:sz w:val="18"/>
                <w:szCs w:val="18"/>
                <w:color w:val="auto"/>
              </w:rPr>
              <w:t>$ 4,002,805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During the three months ended June 30, 2008, two clients accounted for 22% and 21%, respectively, of the Company’s total revenues. During the three months ended June 30, 2007, two clients accounted for 29% and 25%, respectively, of the Company’s total revenues.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six months ended June 30, 2008, two clients accounted for 23% and 22%, respectively, of the Company’s total revenues. During the six months ended June 30, 2007, two clients accounted for 28% and 25%, respectively, of the Company’s total revenues.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June 30, 2008, two clients accounted for 31% and 20%, respectively, of the Company’s total accounts receivable. As of December 31, 2007, two clients accounted for 30% and 24%, respectively, of the Company’s total accounts receivable.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Goodwill and Intangible Assets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Statement of Financial Accounting Standards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requires that the purchase method of accounting be used for all business combinations. SFAS No. 141 specifies that intangible assets acquired in a business combination must be recognized and reported separately from goodwill. In accordance with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all assets and liabilities of the acquired businesses including goodwill are assigned to reporting units.</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future cash flows. Recoverability of goodwill is evaluated using a two-step process. 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will be tested for impairment between annual tests if an event occurs or circumstances change that would more likely than not reduce the fair value of the reporting unit below its carrying amount.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on the results of its first step impairment tests performed on October 1, 2007,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 In the event the Company records an impairment loss in the future, such amount will not be deductible for tax purposes. As of June 30, 2008, the Company’s goodwill balance was $17,695,657. The Company’s goodwill balance at June 30, 2008 has changed from the balance at December 31, 2007 due to an acquisition completed and contingent consideration paid during the six months ended June 30, 2008. Following are details of the Company’s goodwill balance: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Pr>
          <w:p>
            <w:pPr>
              <w:spacing w:after="0"/>
              <w:rPr>
                <w:sz w:val="14"/>
                <w:szCs w:val="14"/>
                <w:color w:val="auto"/>
              </w:rPr>
            </w:pPr>
          </w:p>
        </w:tc>
        <w:tc>
          <w:tcPr>
            <w:tcW w:w="1160" w:type="dxa"/>
            <w:vAlign w:val="bottom"/>
            <w:gridSpan w:val="3"/>
          </w:tcPr>
          <w:p>
            <w:pPr>
              <w:jc w:val="right"/>
              <w:ind w:right="97"/>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2007</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Outsourcing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910,170</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Transformation Services</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16,785,487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16,785,487</w:t>
            </w:r>
          </w:p>
        </w:tc>
      </w:tr>
      <w:tr>
        <w:trPr>
          <w:trHeight w:val="222"/>
        </w:trPr>
        <w:tc>
          <w:tcPr>
            <w:tcW w:w="9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17,695,657</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16,785,487</w:t>
            </w: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-179705</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-25400</wp:posOffset>
            </wp:positionV>
            <wp:extent cx="88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6514465</wp:posOffset>
            </wp:positionH>
            <wp:positionV relativeFrom="paragraph">
              <wp:posOffset>-8255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Intangible assets are carried at cost less accumulated amortization. The intangible assets are amortized over their estimated useful lives in proportion to the economic benefits consumed in each period. The estimated useful lives of the intangible assets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7680" w:type="dxa"/>
            <w:vAlign w:val="bottom"/>
            <w:shd w:val="clear" w:color="auto" w:fill="CCEEFF"/>
          </w:tcPr>
          <w:p>
            <w:pPr>
              <w:ind w:left="6980"/>
              <w:spacing w:after="0"/>
              <w:rPr>
                <w:sz w:val="20"/>
                <w:szCs w:val="20"/>
                <w:color w:val="auto"/>
              </w:rPr>
            </w:pPr>
            <w:r>
              <w:rPr>
                <w:rFonts w:ascii="Arial" w:cs="Arial" w:eastAsia="Arial" w:hAnsi="Arial"/>
                <w:sz w:val="18"/>
                <w:szCs w:val="18"/>
                <w:color w:val="auto"/>
                <w:w w:val="90"/>
              </w:rPr>
              <w:t>1-2 years</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Trademarks</w:t>
            </w:r>
          </w:p>
        </w:tc>
        <w:tc>
          <w:tcPr>
            <w:tcW w:w="7680" w:type="dxa"/>
            <w:vAlign w:val="bottom"/>
          </w:tcPr>
          <w:p>
            <w:pPr>
              <w:ind w:left="6980"/>
              <w:spacing w:after="0"/>
              <w:rPr>
                <w:sz w:val="20"/>
                <w:szCs w:val="20"/>
                <w:color w:val="auto"/>
              </w:rPr>
            </w:pPr>
            <w:r>
              <w:rPr>
                <w:rFonts w:ascii="Arial" w:cs="Arial" w:eastAsia="Arial" w:hAnsi="Arial"/>
                <w:sz w:val="18"/>
                <w:szCs w:val="18"/>
                <w:color w:val="auto"/>
                <w:w w:val="91"/>
              </w:rPr>
              <w:t>1.5 years</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7680" w:type="dxa"/>
            <w:vAlign w:val="bottom"/>
            <w:shd w:val="clear" w:color="auto" w:fill="CCEEFF"/>
          </w:tcPr>
          <w:p>
            <w:pPr>
              <w:ind w:left="6980"/>
              <w:spacing w:after="0"/>
              <w:rPr>
                <w:sz w:val="20"/>
                <w:szCs w:val="20"/>
                <w:color w:val="auto"/>
              </w:rPr>
            </w:pPr>
            <w:r>
              <w:rPr>
                <w:rFonts w:ascii="Arial" w:cs="Arial" w:eastAsia="Arial" w:hAnsi="Arial"/>
                <w:sz w:val="18"/>
                <w:szCs w:val="18"/>
                <w:color w:val="auto"/>
              </w:rPr>
              <w:t>1 year</w:t>
            </w:r>
          </w:p>
        </w:tc>
      </w:tr>
      <w:tr>
        <w:trPr>
          <w:trHeight w:val="363"/>
        </w:trPr>
        <w:tc>
          <w:tcPr>
            <w:tcW w:w="3740" w:type="dxa"/>
            <w:vAlign w:val="bottom"/>
          </w:tcPr>
          <w:p>
            <w:pPr>
              <w:spacing w:after="0"/>
              <w:rPr>
                <w:sz w:val="24"/>
                <w:szCs w:val="24"/>
                <w:color w:val="auto"/>
              </w:rPr>
            </w:pPr>
          </w:p>
        </w:tc>
        <w:tc>
          <w:tcPr>
            <w:tcW w:w="7680" w:type="dxa"/>
            <w:vAlign w:val="bottom"/>
          </w:tcPr>
          <w:p>
            <w:pPr>
              <w:jc w:val="right"/>
              <w:ind w:right="557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Effective April 1, 2008, we modified our reportable segments to reflect a change in the operating segments of our business to Outsourcing Services and Transformation Services. Prior period information below has been updated to reflect the change Outsourcing Services is comprised of the former Business Process Outsourcing segment excluding process advisory services. Transformation Services is comprised of the former Research and Analytics and Advisory segments with the addition of process advisory services.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is organized around its Outsourcing Services and Transformation Services segments. The chief operating decision maker generally reviews financial information at the unaudited consolidated statement of income level but does not review any information except for revenues and cost of revenues of the individual operating segments. Therefore, the Company does not allocate or evaluate depreciation, amortization, interest expense or income, capital expenditures, and income taxes to its operating segments. Consequently, it is not practical to show assets, capital expenditures, depreciation or amortization by operating segment.</w:t>
      </w:r>
    </w:p>
    <w:p>
      <w:pPr>
        <w:spacing w:after="0" w:line="14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Revenues and cost of revenues for each of the three months ended June 30, 2008 and 2007 for Outsourcing Services and Transformation Services,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3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Three months ended June 30, 2008</w:t>
            </w:r>
          </w:p>
        </w:tc>
        <w:tc>
          <w:tcPr>
            <w:tcW w:w="120" w:type="dxa"/>
            <w:vAlign w:val="bottom"/>
          </w:tcPr>
          <w:p>
            <w:pPr>
              <w:spacing w:after="0"/>
              <w:rPr>
                <w:sz w:val="14"/>
                <w:szCs w:val="14"/>
                <w:color w:val="auto"/>
              </w:rPr>
            </w:pPr>
          </w:p>
        </w:tc>
        <w:tc>
          <w:tcPr>
            <w:tcW w:w="320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Three months ended June 30,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0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Outsourcing</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Transformation</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Outsourcing</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Transformation</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79"/>
              </w:rPr>
              <w:t>Services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0"/>
              </w:rPr>
              <w:t>Services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$42,944,325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10,743,130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53,687,455</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$35,389,535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7,256,716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42,646,251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9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128,340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128,340</w:t>
            </w:r>
          </w:p>
        </w:tc>
        <w:tc>
          <w:tcPr>
            <w:tcW w:w="1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187,890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185,698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42,944,325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10,871,470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53,815,795</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35,577,425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7,442,414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43,019,839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26,961,857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6,950,084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33,911,941</w:t>
            </w:r>
          </w:p>
        </w:tc>
        <w:tc>
          <w:tcPr>
            <w:tcW w:w="1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22,771,963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6,026,682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28,798,645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15,982,468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3,921,386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19,903,854</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12,805,462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1,415,732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14,221,194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86"/>
              </w:rPr>
              <w:t>11,510,276</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8,833,068</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3,133,158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(143,581)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2,294,904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1,018,782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 to common stockholders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5,264,072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5,620,048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Revenues and cost of revenues for each of the six months ended June 30, 2008 and 2007 for Outsourcing Services and Transformation Services, respectively,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500" w:type="dxa"/>
            <w:vAlign w:val="bottom"/>
            <w:gridSpan w:val="8"/>
          </w:tcPr>
          <w:p>
            <w:pPr>
              <w:jc w:val="right"/>
              <w:ind w:right="960"/>
              <w:spacing w:after="0"/>
              <w:rPr>
                <w:sz w:val="20"/>
                <w:szCs w:val="20"/>
                <w:color w:val="auto"/>
              </w:rPr>
            </w:pPr>
            <w:r>
              <w:rPr>
                <w:rFonts w:ascii="Arial" w:cs="Arial" w:eastAsia="Arial" w:hAnsi="Arial"/>
                <w:sz w:val="14"/>
                <w:szCs w:val="14"/>
                <w:b w:val="1"/>
                <w:bCs w:val="1"/>
                <w:color w:val="auto"/>
              </w:rPr>
              <w:t>Six months ended June 30, 2008</w:t>
            </w:r>
          </w:p>
        </w:tc>
        <w:tc>
          <w:tcPr>
            <w:tcW w:w="326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Six months ended June 30,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Outsourcing</w:t>
            </w: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Transformation</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96"/>
              </w:rPr>
              <w:t>Outsourcing</w:t>
            </w: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Transformation</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$84,379,055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20,156,740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104,535,795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$ 68,017,972</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14,132,280</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$ 82,150,252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Revenues from related parties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228,630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228,630</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382,920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84,379,055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20,385,370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104,764,425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68,400,892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14,473,395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82,874,287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w w:val="94"/>
              </w:rPr>
              <w:t>Cost of revenues (exclusive of depreciation and amortization)</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53,297,668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12,979,100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66,276,768</w:t>
            </w:r>
          </w:p>
        </w:tc>
        <w:tc>
          <w:tcPr>
            <w:tcW w:w="2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41,676,074</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11,604,539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53,280,613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31,081,387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7,406,270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38,487,657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$ 26,724,818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2,868,856</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$ 29,593,674</w:t>
            </w: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22,349,675</w:t>
            </w: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w w:val="95"/>
              </w:rPr>
              <w:t>$ 16,832,145</w:t>
            </w:r>
          </w:p>
        </w:tc>
        <w:tc>
          <w:tcPr>
            <w:tcW w:w="0" w:type="dxa"/>
            <w:vAlign w:val="bottom"/>
          </w:tcPr>
          <w:p>
            <w:pPr>
              <w:spacing w:after="0" w:line="20" w:lineRule="exact"/>
              <w:rPr>
                <w:sz w:val="1"/>
                <w:szCs w:val="1"/>
                <w:color w:val="auto"/>
              </w:rPr>
            </w:pPr>
          </w:p>
        </w:tc>
      </w:tr>
      <w:tr>
        <w:trPr>
          <w:trHeight w:val="208"/>
        </w:trPr>
        <w:tc>
          <w:tcPr>
            <w:tcW w:w="46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5,836,197</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5,204,937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Foreign exchange gain/(loss)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1,673,227</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2,865,011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1,191,924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2,026,584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(41,931)</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(27,080)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1,061,121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Income to common stockholders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12,063,884</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$ 11,028,674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The Company accounts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(“SFAS No. 109”). Under SFAS No. 109, deferred tax assets and liabilities are recognized for future tax consequences attributable to differences between the financial statement carrying value of existing assets and liabilities and their respective tax basis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ectPr>
          <w:pgSz w:w="11900" w:h="16838" w:orient="portrait"/>
          <w:cols w:equalWidth="0" w:num="1">
            <w:col w:w="11420"/>
          </w:cols>
          <w:pgMar w:left="240" w:top="459"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January 1, 2007, the Company adopted FASB Interpretation No. 48 (“FIN 48”), “</w:t>
      </w:r>
      <w:r>
        <w:rPr>
          <w:rFonts w:ascii="Arial" w:cs="Arial" w:eastAsia="Arial" w:hAnsi="Arial"/>
          <w:sz w:val="16"/>
          <w:szCs w:val="16"/>
          <w:i w:val="1"/>
          <w:iCs w:val="1"/>
          <w:color w:val="auto"/>
        </w:rPr>
        <w:t>Accounting for Uncertainty in Income Taxes—An Interpretation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Statement No. 109 </w:t>
      </w:r>
      <w:r>
        <w:rPr>
          <w:rFonts w:ascii="Arial" w:cs="Arial" w:eastAsia="Arial" w:hAnsi="Arial"/>
          <w:sz w:val="16"/>
          <w:szCs w:val="16"/>
          <w:color w:val="auto"/>
        </w:rPr>
        <w:t>”. FIN 48 clarifies the accounting for income taxes by prescribing the minimum recognition threshold a tax position is required to meet</w:t>
      </w:r>
      <w:r>
        <w:rPr>
          <w:rFonts w:ascii="Arial" w:cs="Arial" w:eastAsia="Arial" w:hAnsi="Arial"/>
          <w:sz w:val="16"/>
          <w:szCs w:val="16"/>
          <w:i w:val="1"/>
          <w:iCs w:val="1"/>
          <w:color w:val="auto"/>
        </w:rPr>
        <w:t xml:space="preserve"> </w:t>
      </w:r>
      <w:r>
        <w:rPr>
          <w:rFonts w:ascii="Arial" w:cs="Arial" w:eastAsia="Arial" w:hAnsi="Arial"/>
          <w:sz w:val="16"/>
          <w:szCs w:val="16"/>
          <w:color w:val="auto"/>
        </w:rPr>
        <w:t>before being recognized in the financial statements. It also provides guidance on de-recognition, measurement, classification, interest and penalties, accounting in interim periods, disclosure and transition. Interest and penalties recognized in accordance with the guidance provided in FIN 48, if any, are being classified as interest expense and general and administrative expense, respectively.</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U.S. federal and state tax filings of ExlService Holdings and its U.S. subsidiaries for tax years since 2005 are subject to examination by the U.S. federal and state tax authorities, respectively. The Company concluded the Internal Revenue Service examination for the tax year 2004 for ExlService Holdings and its U.S. subsidiaries without any change in the tax return as originally filed. All tax filings of the Company’s subsidiaries in India are subject to examination by the Indian tax authorities for tax years since 2001-02, and the 2003-04, 2004-05 and 2005-06 tax years are being examined by the Indian tax authorities for EXL India. Tax filings for NCOP and Inductis India are being examined by the Indian tax authorities for tax year 2005-06. In addition, the tax filings for Exl Inc. for tax years 2003-04, 2004-05, 2005-06 and 2006-07 are under examination by the Indian tax authorities. All tax filings of the Company’s subsidiaries in the U.K. are subject to examination by U.K. tax authorities for tax years since 2004.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Company adopted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(“FAS No. 123(R)”) on January 1, 2006. Under the fair value recognition provisions of FAS No. 123(R), stock-based compensation cost is measured at the grant date based on the fair value of the award and is recognized as expense on a straight-line basis over the requisite service period, which is the vesting period. See Note 10 for a detailed discussion of the Company’s stock-based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Basic earnings per share are computed by dividing net income/(loss) to common stockholders by the weighted average number of common shares outstanding during each period. Diluted earnings per share are computed using the weighted average number of common shares plus the potentially dilutive effect of common stock equivalents plus the future stock compensation expense on stock options issued and outstanding at the reporting date. Stock options that are anti-dilutive are excluded from the computation of weighted average shares outstanding. For the three months ended June 30, 2008 and 2007, the weighted average number of shares used in calculating diluted earnings per share includes stock options for 551,528 shares and 714,591 shares, respectively. For the six months ended June 30, 2008 and 2007, the weighted average number of shares used in calculating diluted earnings per share includes stock options for 543,645 shares and 731,366 shares, respectively. The calculation of earnings per share for the three months ended June 30, 2008 and 2007 excludes stock options for 996,793 shares and 284,400 shares, respectively, because the exercise price of such stock options is more than the average price of stock during the period and hence to include them in the calculation would be anti-dilutive.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(“SFAS No. 130”), establishes rules for the reporting of comprehensive income and its components. Comprehensive income is defined as all changes in equity from non-owner sources. For the Company, comprehensive income/(loss) consists of net earnings and changes in the cumulative foreign currency translation adjustments. In addition, the Company enters into foreign currency exchange contracts, which are designated as cash flow hedges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(“SFAS No. 133”). Changes in the fair values of contracts that are deemed effective are recorded as a component of accumulated other comprehensive income until the settlement of that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For certain financial instruments including cash and cash equivalents, short-term investments, accounts receivable, accounts</w:t>
      </w:r>
    </w:p>
    <w:p>
      <w:pPr>
        <w:spacing w:after="0" w:line="38" w:lineRule="exact"/>
        <w:rPr>
          <w:sz w:val="20"/>
          <w:szCs w:val="20"/>
          <w:color w:val="auto"/>
        </w:rPr>
      </w:pPr>
    </w:p>
    <w:p>
      <w:pPr>
        <w:jc w:val="center"/>
        <w:ind w:right="140"/>
        <w:spacing w:after="0" w:line="387" w:lineRule="auto"/>
        <w:rPr>
          <w:sz w:val="20"/>
          <w:szCs w:val="20"/>
          <w:color w:val="auto"/>
        </w:rPr>
      </w:pPr>
      <w:r>
        <w:rPr>
          <w:rFonts w:ascii="Arial" w:cs="Arial" w:eastAsia="Arial" w:hAnsi="Arial"/>
          <w:sz w:val="16"/>
          <w:szCs w:val="16"/>
          <w:color w:val="auto"/>
        </w:rPr>
        <w:t xml:space="preserve">payable, accrued expenses and other current liabilities, recorded amounts approximate fair value due to the relatively short maturity periods of such instruments. </w:t>
      </w:r>
      <w:r>
        <w:rPr>
          <w:rFonts w:ascii="Arial" w:cs="Arial" w:eastAsia="Arial" w:hAnsi="Arial"/>
          <w:sz w:val="16"/>
          <w:szCs w:val="16"/>
          <w:i w:val="1"/>
          <w:iCs w:val="1"/>
          <w:color w:val="auto"/>
        </w:rPr>
        <w:t>Concentration of Credit Risk</w:t>
      </w:r>
      <w:r>
        <w:rPr>
          <w:rFonts w:ascii="Arial" w:cs="Arial" w:eastAsia="Arial" w:hAnsi="Arial"/>
          <w:sz w:val="16"/>
          <w:szCs w:val="16"/>
          <w:color w:val="auto"/>
        </w:rPr>
        <w:t>. Financial instruments that potentially subject the Company to concentrations of credit risk consist principally of cash</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equivalents, accounts receivable and time deposits. By their nature, all such financial instruments involve risks including the credit risks of non-performance by counterparties. Pursuant to our investment policy, our surplus funds are maintained as cash or cash equivalents and are invested in highly-rated commercial paper, U.S. treasury bills, mutual funds and money market accounts to reduce our exposure to market risk with regard to these funds. Trade accounts receivable are incurred pursuant to contractual terms with clients.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normal course of business, the Company actively looks to mitigate the exposure of foreign currency market risk</w:t>
      </w:r>
      <w:r>
        <w:rPr>
          <w:rFonts w:ascii="Arial" w:cs="Arial" w:eastAsia="Arial" w:hAnsi="Arial"/>
          <w:sz w:val="16"/>
          <w:szCs w:val="16"/>
          <w:i w:val="1"/>
          <w:iCs w:val="1"/>
          <w:color w:val="auto"/>
        </w:rPr>
        <w:t xml:space="preserve"> </w:t>
      </w:r>
      <w:r>
        <w:rPr>
          <w:rFonts w:ascii="Arial" w:cs="Arial" w:eastAsia="Arial" w:hAnsi="Arial"/>
          <w:sz w:val="16"/>
          <w:szCs w:val="16"/>
          <w:color w:val="auto"/>
        </w:rPr>
        <w:t>by entering into various hedging instruments, authorized under Company policies, with counterparties that are highly rated financial institutions. The Company’s primary exchange rate exposure is to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 hedges anticipated transactions that are subject to foreign exchange exposure with foreign exchange contracts that are designated as effective and that qualify as cash flow hedges under SFAS No. 133. Changes in the fair value of these cash flow hedges which are deemed effective, are recorded in accumulated other comprehensive income/(loss) until the contract is settled and at that time are recognized in the unaudited consolidated statements of income.</w:t>
      </w:r>
    </w:p>
    <w:p>
      <w:pPr>
        <w:spacing w:after="0" w:line="8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had outstanding forward exchange contracts totaling $84,250,000 and GBP41,700,000 as of June 30, 2008 and totaling $44,250,000 and GBP31,400,000 as of December 31, 2007.</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Company evaluates hedge effectiveness at the time a contract is entered into as well as on an ongoing basis. If during this time, a contract is deemed ineffective, the change in the fair value is recorded in other income in the unaudited consolidated statements of income. For the three months ended June 30, 2008 and June 30, 2007, net gain/(loss) from ineffective cash flow hedges included in the unaudited consolidated statement of income totaled ($67,714) and $881,261, respectively. For the six months ended June 30, 2008 and June 30, 2007, net gain/(loss) from ineffective cash flow hedges included in the unaudited consolidated statement of income totaled $169,063 and $951,929, respectively. Such gain/(loss) is included in foreign exchange gain/(loss) in the unaudited consolidated statements of income. For hedge relationships discontinued because the forecasted transaction is not expected to occur by the end of the originally specified period, any related derivative amounts recorded in equity are reclassified to earnings. For the three and six months ended June 30, 2008 and June 30, 2007, there were no amounts that were reclassified from accumulated other comprehensive income into earnings as a result of forecasted transactions that failed to occur.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estimate that approximately $8,700,000 of net derivative losses included in accumulated other comprehensive income/(loss) could be reclassified into earnings within the next 12 months based on exchange rates prevailing as of June 30, 2008. At June 30, 2008, the maximum outstanding term of derivative instruments that hedge forecasted transactions was 18 months.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(“FSP 157-2”),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The Company is currently evaluating the impact of SFAS No. 157 on non-financial assets and non-financial liabilities, but does not expect the adoption of SFAS No. 157 to have a material impact on the Company’s consolidated financial position, results of operations or cash flows.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endeavors to utilize the best available information in measuring fair value. Financial assets and liabilities are classified in their entirety based on the lowest level of input that is significant to the fair value measurement. The Company has determined that our financial assets and liabilities are level 2 in the fair value hierarchy. The following table sets forth the Company’s financial assets and liabilities that were accounted for at fair value as of June 30, 2008: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June 30, 2008</w:t>
            </w:r>
          </w:p>
        </w:tc>
      </w:tr>
      <w:tr>
        <w:trPr>
          <w:trHeight w:val="210"/>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1040" w:type="dxa"/>
            <w:vAlign w:val="bottom"/>
            <w:shd w:val="clear" w:color="auto" w:fill="CCEEFF"/>
          </w:tcPr>
          <w:p>
            <w:pPr>
              <w:spacing w:after="0"/>
              <w:rPr>
                <w:sz w:val="18"/>
                <w:szCs w:val="18"/>
                <w:color w:val="auto"/>
              </w:rPr>
            </w:pPr>
          </w:p>
        </w:tc>
      </w:tr>
      <w:tr>
        <w:trPr>
          <w:trHeight w:val="216"/>
        </w:trPr>
        <w:tc>
          <w:tcPr>
            <w:tcW w:w="103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040" w:type="dxa"/>
            <w:vAlign w:val="bottom"/>
          </w:tcPr>
          <w:p>
            <w:pPr>
              <w:jc w:val="right"/>
              <w:spacing w:after="0"/>
              <w:rPr>
                <w:sz w:val="20"/>
                <w:szCs w:val="20"/>
                <w:color w:val="auto"/>
              </w:rPr>
            </w:pPr>
            <w:r>
              <w:rPr>
                <w:rFonts w:ascii="Arial" w:cs="Arial" w:eastAsia="Arial" w:hAnsi="Arial"/>
                <w:sz w:val="18"/>
                <w:szCs w:val="18"/>
                <w:color w:val="auto"/>
              </w:rPr>
              <w:t>$ 8,679,987</w:t>
            </w:r>
          </w:p>
        </w:tc>
      </w:tr>
      <w:tr>
        <w:trPr>
          <w:trHeight w:val="216"/>
        </w:trPr>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040" w:type="dxa"/>
            <w:vAlign w:val="bottom"/>
            <w:shd w:val="clear" w:color="auto" w:fill="CCEEFF"/>
          </w:tcPr>
          <w:p>
            <w:pPr>
              <w:spacing w:after="0"/>
              <w:rPr>
                <w:sz w:val="18"/>
                <w:szCs w:val="18"/>
                <w:color w:val="auto"/>
              </w:rPr>
            </w:pPr>
          </w:p>
        </w:tc>
      </w:tr>
      <w:tr>
        <w:trPr>
          <w:trHeight w:val="222"/>
        </w:trPr>
        <w:tc>
          <w:tcPr>
            <w:tcW w:w="10380" w:type="dxa"/>
            <w:vAlign w:val="bottom"/>
          </w:tcPr>
          <w:p>
            <w:pPr>
              <w:spacing w:after="0"/>
              <w:rPr>
                <w:sz w:val="20"/>
                <w:szCs w:val="20"/>
                <w:color w:val="auto"/>
              </w:rPr>
            </w:pPr>
            <w:r>
              <w:rPr>
                <w:rFonts w:ascii="Arial" w:cs="Arial" w:eastAsia="Arial" w:hAnsi="Arial"/>
                <w:sz w:val="18"/>
                <w:szCs w:val="18"/>
                <w:color w:val="auto"/>
              </w:rPr>
              <w:t>Foreign currency exchange contracts</w:t>
            </w:r>
          </w:p>
        </w:tc>
        <w:tc>
          <w:tcPr>
            <w:tcW w:w="1040" w:type="dxa"/>
            <w:vAlign w:val="bottom"/>
          </w:tcPr>
          <w:p>
            <w:pPr>
              <w:jc w:val="right"/>
              <w:spacing w:after="0"/>
              <w:rPr>
                <w:sz w:val="20"/>
                <w:szCs w:val="20"/>
                <w:color w:val="auto"/>
              </w:rPr>
            </w:pPr>
            <w:r>
              <w:rPr>
                <w:rFonts w:ascii="Arial" w:cs="Arial" w:eastAsia="Arial" w:hAnsi="Arial"/>
                <w:sz w:val="18"/>
                <w:szCs w:val="18"/>
                <w:color w:val="auto"/>
              </w:rPr>
              <w:t>$ 4,373,903</w:t>
            </w:r>
          </w:p>
        </w:tc>
      </w:tr>
    </w:tbl>
    <w:p>
      <w:pPr>
        <w:spacing w:after="0" w:line="14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the normal course of business, the Company actively looks to mitigate the exposure of foreign currency market risk by entering into various hedging instruments, authorized under its policies, with counterparties that are highly rated financial institutions. The Company’s primary exchange rate exposure is with the U.K. pound sterling and the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forward foreign currency exchange contracts agreements are valued using broker quotations. As such, these derivative instruments are classified within level 2.</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was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(“SFAS No. 141 (revised 2007)”). SFAS No. 141 (revised 2007) changes the accounting for business combinations including the measurement of acquirer shares issued in consideration for a business combination, the recognition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March 2008, the FASB issued SFAS No. 161, “</w:t>
      </w:r>
      <w:r>
        <w:rPr>
          <w:rFonts w:ascii="Arial" w:cs="Arial" w:eastAsia="Arial" w:hAnsi="Arial"/>
          <w:sz w:val="16"/>
          <w:szCs w:val="16"/>
          <w:i w:val="1"/>
          <w:iCs w:val="1"/>
          <w:color w:val="auto"/>
        </w:rPr>
        <w:t>Disclosures about Derivative Instruments and Hedging Activities—an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133</w:t>
      </w:r>
      <w:r>
        <w:rPr>
          <w:rFonts w:ascii="Arial" w:cs="Arial" w:eastAsia="Arial" w:hAnsi="Arial"/>
          <w:sz w:val="16"/>
          <w:szCs w:val="16"/>
          <w:color w:val="auto"/>
        </w:rPr>
        <w:t>” (“SFAS No. 161”). SFAS No. 161 amends and expands the disclosures required by SFAS No. 133 so that they provide an enhanced understanding of</w:t>
      </w:r>
      <w:r>
        <w:rPr>
          <w:rFonts w:ascii="Arial" w:cs="Arial" w:eastAsia="Arial" w:hAnsi="Arial"/>
          <w:sz w:val="16"/>
          <w:szCs w:val="16"/>
          <w:i w:val="1"/>
          <w:iCs w:val="1"/>
          <w:color w:val="auto"/>
        </w:rPr>
        <w:t xml:space="preserve"> </w:t>
      </w:r>
      <w:r>
        <w:rPr>
          <w:rFonts w:ascii="Arial" w:cs="Arial" w:eastAsia="Arial" w:hAnsi="Arial"/>
          <w:sz w:val="16"/>
          <w:szCs w:val="16"/>
          <w:color w:val="auto"/>
        </w:rPr>
        <w:t>how and why an entity uses derivative instruments, how derivative instruments and related hedged items are accounted for under SFAS No. 133 and its related interpretations and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is currently evaluating the impact of SFAS No. 161 and therefore had not adopted SFAS No. 161 as of June 30, 2008.</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April 2008, the FASB issued FASB Staff Position No. 142-3, “Determination of the Useful Life of Intangible Assets” (“FSP 142-3”). FSP 142-3 amends the factors an entity should consider in developing renewal or extension assumptions used in determining the useful life of recognized intangible assets under FASB Statement No. 142, “Goodwill and Other Intangible Assets”.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with early adoption prohibited.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As of June 30, 2008</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8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Client relationships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1,554,000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(1,452,753)</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101,247</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(1,460,000)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3,344,000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(3,242,753)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101,247</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8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center"/>
              <w:ind w:left="482"/>
              <w:spacing w:after="0"/>
              <w:rPr>
                <w:sz w:val="20"/>
                <w:szCs w:val="20"/>
                <w:color w:val="auto"/>
              </w:rPr>
            </w:pPr>
            <w:r>
              <w:rPr>
                <w:rFonts w:ascii="Arial" w:cs="Arial" w:eastAsia="Arial" w:hAnsi="Arial"/>
                <w:sz w:val="14"/>
                <w:szCs w:val="14"/>
                <w:b w:val="1"/>
                <w:bCs w:val="1"/>
                <w:color w:val="auto"/>
                <w:w w:val="86"/>
              </w:rPr>
              <w:t>As of December 31, 2007</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8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8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Amortization</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Client relationships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1,360,000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(1,020,000)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340,000</w:t>
            </w:r>
          </w:p>
        </w:tc>
        <w:tc>
          <w:tcPr>
            <w:tcW w:w="2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(1,460,000)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8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3,150,000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(2,810,000)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340,000</w:t>
            </w:r>
          </w:p>
        </w:tc>
      </w:tr>
      <w:tr>
        <w:trPr>
          <w:trHeight w:val="20"/>
        </w:trPr>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Amortization expense for the three months ended June 30, 2008 and June 30, 2007 was $220,624 and $590,000, respectively. Amortization expense for the six months ended June 30, 2008 and June 30, 2007 was $432,753 and $1,180,000, respectively. The estimated amortization of intangible assets on a straight-line basis for the year ending June 30, 2009 is $101,247.</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comprehensive income/(loss) for the three and six months ended June 30, 2008 and June 30,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gridSpan w:val="4"/>
          </w:tcPr>
          <w:p>
            <w:pPr>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5,264,072</w:t>
            </w:r>
          </w:p>
        </w:tc>
        <w:tc>
          <w:tcPr>
            <w:tcW w:w="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79"/>
              </w:rPr>
              <w:t>$</w:t>
            </w: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5,620,048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$ 12,063,884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$ 11,028,674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Other comprehensive income/(loss):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gain/(loss) on effective cash flow hedges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(14,800,106)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4,216,605</w:t>
            </w:r>
          </w:p>
        </w:tc>
        <w:tc>
          <w:tcPr>
            <w:tcW w:w="128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color w:val="auto"/>
              </w:rPr>
              <w:t>(18,734,961)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5,732,619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880"/>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(3,308,606)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1,272,963</w:t>
            </w:r>
          </w:p>
        </w:tc>
        <w:tc>
          <w:tcPr>
            <w:tcW w:w="1280" w:type="dxa"/>
            <w:vAlign w:val="bottom"/>
            <w:gridSpan w:val="5"/>
          </w:tcPr>
          <w:p>
            <w:pPr>
              <w:jc w:val="right"/>
              <w:ind w:right="52"/>
              <w:spacing w:after="0"/>
              <w:rPr>
                <w:sz w:val="20"/>
                <w:szCs w:val="20"/>
                <w:color w:val="auto"/>
              </w:rPr>
            </w:pPr>
            <w:r>
              <w:rPr>
                <w:rFonts w:ascii="Arial" w:cs="Arial" w:eastAsia="Arial" w:hAnsi="Arial"/>
                <w:sz w:val="18"/>
                <w:szCs w:val="18"/>
                <w:color w:val="auto"/>
              </w:rPr>
              <w:t>(4,049,446)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1,378,256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Transition adjustment for FAS 158, net of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880"/>
              <w:spacing w:after="0"/>
              <w:rPr>
                <w:sz w:val="20"/>
                <w:szCs w:val="20"/>
                <w:color w:val="auto"/>
              </w:rPr>
            </w:pPr>
            <w:r>
              <w:rPr>
                <w:rFonts w:ascii="Arial" w:cs="Arial" w:eastAsia="Arial" w:hAnsi="Arial"/>
                <w:sz w:val="18"/>
                <w:szCs w:val="18"/>
                <w:color w:val="auto"/>
              </w:rPr>
              <w:t>Actuarial loss for FAS 158</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(39,234)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w:t>
            </w:r>
          </w:p>
        </w:tc>
        <w:tc>
          <w:tcPr>
            <w:tcW w:w="1280" w:type="dxa"/>
            <w:vAlign w:val="bottom"/>
            <w:gridSpan w:val="5"/>
          </w:tcPr>
          <w:p>
            <w:pPr>
              <w:jc w:val="right"/>
              <w:ind w:right="52"/>
              <w:spacing w:after="0"/>
              <w:rPr>
                <w:sz w:val="20"/>
                <w:szCs w:val="20"/>
                <w:color w:val="auto"/>
              </w:rPr>
            </w:pPr>
            <w:r>
              <w:rPr>
                <w:rFonts w:ascii="Arial" w:cs="Arial" w:eastAsia="Arial" w:hAnsi="Arial"/>
                <w:sz w:val="18"/>
                <w:szCs w:val="18"/>
                <w:color w:val="auto"/>
              </w:rPr>
              <w:t>(81,325)</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(18,147,946)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4"/>
              </w:rPr>
              <w:t>5,489,568</w:t>
            </w:r>
          </w:p>
        </w:tc>
        <w:tc>
          <w:tcPr>
            <w:tcW w:w="1280" w:type="dxa"/>
            <w:vAlign w:val="bottom"/>
            <w:gridSpan w:val="5"/>
            <w:shd w:val="clear" w:color="auto" w:fill="CCEEFF"/>
          </w:tcPr>
          <w:p>
            <w:pPr>
              <w:jc w:val="right"/>
              <w:ind w:right="52"/>
              <w:spacing w:after="0"/>
              <w:rPr>
                <w:sz w:val="20"/>
                <w:szCs w:val="20"/>
                <w:color w:val="auto"/>
              </w:rPr>
            </w:pPr>
            <w:r>
              <w:rPr>
                <w:rFonts w:ascii="Arial" w:cs="Arial" w:eastAsia="Arial" w:hAnsi="Arial"/>
                <w:sz w:val="18"/>
                <w:szCs w:val="18"/>
                <w:color w:val="auto"/>
              </w:rPr>
              <w:t>(22,834,395)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7,110,875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Total comprehensive income/(loss)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(12,883,874)</w:t>
            </w:r>
          </w:p>
        </w:tc>
        <w:tc>
          <w:tcPr>
            <w:tcW w:w="240" w:type="dxa"/>
            <w:vAlign w:val="bottom"/>
            <w:gridSpan w:val="2"/>
          </w:tcPr>
          <w:p>
            <w:pPr>
              <w:jc w:val="center"/>
              <w:ind w:left="32"/>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w w:val="84"/>
              </w:rPr>
              <w:t>11,109,616</w:t>
            </w:r>
          </w:p>
        </w:tc>
        <w:tc>
          <w:tcPr>
            <w:tcW w:w="1280" w:type="dxa"/>
            <w:vAlign w:val="bottom"/>
            <w:gridSpan w:val="5"/>
          </w:tcPr>
          <w:p>
            <w:pPr>
              <w:jc w:val="right"/>
              <w:ind w:right="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(10,770,511)</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18,139,549</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6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60" w:type="dxa"/>
            <w:vAlign w:val="bottom"/>
          </w:tcPr>
          <w:p>
            <w:pPr>
              <w:ind w:left="460"/>
              <w:spacing w:after="0"/>
              <w:rPr>
                <w:sz w:val="20"/>
                <w:szCs w:val="20"/>
                <w:color w:val="auto"/>
              </w:rPr>
            </w:pPr>
            <w:r>
              <w:rPr>
                <w:rFonts w:ascii="Arial" w:cs="Arial" w:eastAsia="Arial" w:hAnsi="Arial"/>
                <w:sz w:val="18"/>
                <w:szCs w:val="18"/>
                <w:color w:val="auto"/>
              </w:rPr>
              <w:t>Fixed assets consist of the following:</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6"/>
          </w:tcPr>
          <w:p>
            <w:pPr>
              <w:ind w:left="2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6"/>
          </w:tcPr>
          <w:p>
            <w:pPr>
              <w:jc w:val="right"/>
              <w:ind w:right="400"/>
              <w:spacing w:after="0" w:line="149" w:lineRule="exact"/>
              <w:rPr>
                <w:sz w:val="20"/>
                <w:szCs w:val="20"/>
                <w:color w:val="auto"/>
              </w:rPr>
            </w:pPr>
            <w:r>
              <w:rPr>
                <w:rFonts w:ascii="Arial" w:cs="Arial" w:eastAsia="Arial" w:hAnsi="Arial"/>
                <w:sz w:val="14"/>
                <w:szCs w:val="14"/>
                <w:b w:val="1"/>
                <w:bCs w:val="1"/>
                <w:color w:val="auto"/>
                <w:w w:val="83"/>
              </w:rPr>
              <w:t>Useful Life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4"/>
              </w:rPr>
              <w:t>June 30, 2008</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December 31, 2007</w:t>
            </w: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$ 33,986,671</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30,652,181</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Buildings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1,752,299</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2,032,454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1,306,125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400"/>
              <w:spacing w:after="0"/>
              <w:rPr>
                <w:sz w:val="20"/>
                <w:szCs w:val="20"/>
                <w:color w:val="auto"/>
              </w:rPr>
            </w:pPr>
            <w:r>
              <w:rPr>
                <w:rFonts w:ascii="Arial" w:cs="Arial" w:eastAsia="Arial" w:hAnsi="Arial"/>
                <w:sz w:val="18"/>
                <w:szCs w:val="18"/>
                <w:color w:val="auto"/>
              </w:rPr>
              <w:t>3-5</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14,614,662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12,941,665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3-7</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5,552,526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5,539,772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Motor vehicles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884,381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1,009,214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841,055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1,364,974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58,937,719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54,846,385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332"/>
              <w:spacing w:after="0"/>
              <w:rPr>
                <w:sz w:val="20"/>
                <w:szCs w:val="20"/>
                <w:color w:val="auto"/>
              </w:rPr>
            </w:pPr>
            <w:r>
              <w:rPr>
                <w:rFonts w:ascii="Arial" w:cs="Arial" w:eastAsia="Arial" w:hAnsi="Arial"/>
                <w:sz w:val="18"/>
                <w:szCs w:val="18"/>
                <w:color w:val="auto"/>
                <w:w w:val="97"/>
              </w:rPr>
              <w:t>(31,140,449)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(29,601,782)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89"/>
              </w:rPr>
              <w:t>$ 27,797,270</w:t>
            </w:r>
          </w:p>
        </w:tc>
        <w:tc>
          <w:tcPr>
            <w:tcW w:w="46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25,244,603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expense for the three months ended June 30, 2008 and June 30, 2007 was $2,912,534 and $2,174,035,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for the six months ended June 30, 2008 and June 30, 2007 was $5,403,444 and $4,024,938, respectively.</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June 30, 2008 were $500,670 and $46,470, respectively and at December 31, 2007 were $606,491 and $168,582,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June 30, 2008, the Company acquired 650 shares of common stock from employees in connection with withholding tax payments related to the vesting of restricted stock for a total consideration of $15,889. The purchase price of $24.44 per share was the average of the high and low price of our shares of common stock on the Nasdaq Global Select Market on the trading day prior to the vesting date of the shares of restricted stock. During the six months ended June 30, 2008, the Company acquired 1,253 shares of common stock from employees in connection with withholding tax payments related to the vesting of restricted stock for a total consideration of $28,828. These shares are held as treasury stock.</w:t>
      </w:r>
    </w:p>
    <w:p>
      <w:pPr>
        <w:spacing w:after="0" w:line="116"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Company is currently authorized to issue up to 15 million shares of preferred stock, none of which was outstanding as of June 30, 2008 and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Company’s Gratuity Plan applicable to India-based employees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6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8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84,300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$ 74,621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$ 173,239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$ 198,890</w:t>
            </w:r>
          </w:p>
        </w:tc>
        <w:tc>
          <w:tcPr>
            <w:tcW w:w="20" w:type="dxa"/>
            <w:vAlign w:val="bottom"/>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27,111</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16,088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55,714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35,018</w:t>
            </w:r>
          </w:p>
        </w:tc>
        <w:tc>
          <w:tcPr>
            <w:tcW w:w="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20" w:type="dxa"/>
            <w:vAlign w:val="bottom"/>
          </w:tcPr>
          <w:p>
            <w:pPr>
              <w:spacing w:after="0"/>
              <w:rPr>
                <w:sz w:val="18"/>
                <w:szCs w:val="18"/>
                <w:color w:val="auto"/>
              </w:rPr>
            </w:pP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Net gratuity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111,411</w:t>
            </w: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$ 90,709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$ 228,953</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$ 239,140</w:t>
            </w:r>
          </w:p>
        </w:tc>
      </w:tr>
      <w:tr>
        <w:trPr>
          <w:trHeight w:val="20"/>
        </w:trPr>
        <w:tc>
          <w:tcPr>
            <w:tcW w:w="8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1, 2008, the Company adopted SFAS No. 158, “</w:t>
      </w:r>
      <w:r>
        <w:rPr>
          <w:rFonts w:ascii="Arial" w:cs="Arial" w:eastAsia="Arial" w:hAnsi="Arial"/>
          <w:sz w:val="18"/>
          <w:szCs w:val="18"/>
          <w:i w:val="1"/>
          <w:iCs w:val="1"/>
          <w:color w:val="auto"/>
        </w:rPr>
        <w:t>Employers’ Accounting for Defined Benefit Pension and Other Postretirement Plans—An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of FASB No. 87, 88, 106 and 132(R)</w:t>
      </w:r>
      <w:r>
        <w:rPr>
          <w:rFonts w:ascii="Arial" w:cs="Arial" w:eastAsia="Arial" w:hAnsi="Arial"/>
          <w:sz w:val="18"/>
          <w:szCs w:val="18"/>
          <w:color w:val="auto"/>
        </w:rPr>
        <w:t>” (“SFAS No. 158”) using transition method 1. SFAS No. 158 requires companies to measure the funded status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as of the date of its fiscal year-end. Net periodic benefit cost of $95,051 (net of taxes of $5,720) for the period between October 1, 2007, which is the measurement date for the immediately preceding fiscal year end, and January 1, 2008, is recognized net of tax as an adjustment to the opening balance of retained earnings.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contributes to various defined contribution plans on behalf of its employees in India and the Philippines. The assets held by the plans are not reported on the Company’s balance sheet. The contributions made to the plans for each period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2008</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581,570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Three months ended June 30, 2007</w:t>
            </w:r>
          </w:p>
        </w:tc>
        <w:tc>
          <w:tcPr>
            <w:tcW w:w="6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499,641</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2008</w:t>
            </w:r>
          </w:p>
        </w:tc>
        <w:tc>
          <w:tcPr>
            <w:tcW w:w="6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1,150,440</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Six months ended June 30, 2007</w:t>
            </w:r>
          </w:p>
        </w:tc>
        <w:tc>
          <w:tcPr>
            <w:tcW w:w="66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916,111</w:t>
            </w:r>
          </w:p>
        </w:tc>
      </w:tr>
      <w:tr>
        <w:trPr>
          <w:trHeight w:val="356"/>
        </w:trPr>
        <w:tc>
          <w:tcPr>
            <w:tcW w:w="4040" w:type="dxa"/>
            <w:vAlign w:val="bottom"/>
          </w:tcPr>
          <w:p>
            <w:pPr>
              <w:spacing w:after="0"/>
              <w:rPr>
                <w:sz w:val="24"/>
                <w:szCs w:val="24"/>
                <w:color w:val="auto"/>
              </w:rPr>
            </w:pPr>
          </w:p>
        </w:tc>
        <w:tc>
          <w:tcPr>
            <w:tcW w:w="6660" w:type="dxa"/>
            <w:vAlign w:val="bottom"/>
          </w:tcPr>
          <w:p>
            <w:pPr>
              <w:jc w:val="right"/>
              <w:ind w:right="4812"/>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motor vehicles for certain of its employees. Such leases are recorded as capital leases with interest rates ranging from 10.5%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13.5%. Future minimum lease payments under these capital leases at June 30, 2008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3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2009</w:t>
            </w:r>
          </w:p>
        </w:tc>
        <w:tc>
          <w:tcPr>
            <w:tcW w:w="4580" w:type="dxa"/>
            <w:vAlign w:val="bottom"/>
            <w:gridSpan w:val="2"/>
          </w:tcPr>
          <w:p>
            <w:pPr>
              <w:jc w:val="right"/>
              <w:spacing w:after="0"/>
              <w:rPr>
                <w:sz w:val="20"/>
                <w:szCs w:val="20"/>
                <w:color w:val="auto"/>
              </w:rPr>
            </w:pPr>
            <w:r>
              <w:rPr>
                <w:rFonts w:ascii="Arial" w:cs="Arial" w:eastAsia="Arial" w:hAnsi="Arial"/>
                <w:sz w:val="18"/>
                <w:szCs w:val="18"/>
                <w:color w:val="auto"/>
              </w:rPr>
              <w:t>$ 153,685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165,859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2011</w:t>
            </w: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380,965</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35,119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345,846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Less: current portion</w:t>
            </w:r>
          </w:p>
        </w:tc>
        <w:tc>
          <w:tcPr>
            <w:tcW w:w="3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4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$ 226,965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in February 2014. Future minimum lease payments under non-cancelable agreements expiring after more than twelve months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4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2009</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$ 2,409,283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1,596,517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2011</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1,785,284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573,132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2013 and thereafter</w:t>
            </w:r>
          </w:p>
        </w:tc>
        <w:tc>
          <w:tcPr>
            <w:tcW w:w="4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955,220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7,319,436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operating leases are subject to renewal periodically and have scheduled rent increases. We account for scheduled rent on a straight line basis over the lease period. Rent expense under both cancelable and non-cancelable operating leases was $1,460,271 and $984,876 for the three months ended June 30, 2008 and 2007, respectively. Rent expense under both cancelable and non-cancelable operating leases was $2,980,346 and $1,679,736 for the six months ended June 30, 2008 and 2007,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recorded income tax expense of $456,582 and $1,061,121 for the three and six months ended June 30, 2008.</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effective rate of taxes has increased to a provision of 8.0% for the three months ended June 30, 2008, as compared to a provision of 5.2% for the three months ended June 30, 2007. The effective rate of taxes has decreased to a provision of 8.1% for the six months ended June 30, 2008, as compared to a provision of 11.2% for the six months ended June 30, 2007. Changes in our effective rate of taxes are primarily due to the changes in the geographic distribution of our income. Certain of our Indian subsidiaries benefit from a tax holiday until March 2010.</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Deferred tax assets and liabilities are recognized for future tax consequences attributable to temporary differences between the financial statement carrying values of assets and liabilities and their respective tax bases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w:t>
      </w:r>
    </w:p>
    <w:p>
      <w:pPr>
        <w:spacing w:after="0" w:line="14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fiscal year under the Indian Income Tax Act ends on March 31 of each year. A portion of the Company’s Indian operations qualifies for exemption from taxable income because its profits are attributable to work performed in Export Processing Zones. This exemption is available for a period of ten consecutive years beginning from the year in which the entity commenced commercial operations. Accordingly, Exl India, Inductis India and NCOP benefit from this deduction. This exemption terminates if the Company ceases to operate in Export Processing Zones or by March 2010 when the tax exemption period expires. ESSPL is not eligible for this deduction. The export revenue of Exl India, Inductis India and NCOP qualifies for a deduction from taxable income because its profits are attributable to work performed in Export Processing Zones, and a substantial portion of the temporary differences would not have any tax consequences as they will reverse within the tax holiday period. Pursuant to changes in the Indian Income Tax Act from April 1, 2007, the Company has calculated its tax liability after considering the Minimum Alternate Tax (“MAT”). Amounts paid towards MAT can be carried forward and set off against future tax liabilities. In accordance with SFAS No. 109 “Accounting for Income Taxes” a deferred tax asset of $3,033,725 has been recognized as of June 30, 2008 with respect to such payments.</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Deferred tax assets represent the tax effect of temporary differences related to the Company’s domestic operations and to the Company’s foreign operations that will reverse after the tax holiday period has expired.</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deferred tax benefit is primarily attributable to temporary differences between the financial statement carrying amounts of existing assets and liabilities and their respective tax bases and arose due to differences in: (i) depreciation rates of fixed assets, (ii) provisions for gratuity and vacation pay which are allowable on a cash basis under the Indian Income Tax Act with respect to the Company’s foreign operations, (iii) deferred compensation, (iv) MAT credit entitlement and (v) deferred revenue with respect to the Indian operations of the Company. At June 30, 2008, the Company performed an analysis of the deferred tax asset valuation allowance for its Indian subsidiary. Based on this analysis, the Company has concluded that a valuation allowance offsetting certain deferred tax assets should continue to be recorded at June 30, 2008 based on the conclusion that it is more likely than not that there will not be sufficient future taxable income to realize the deferred tax assets. The valuation allowance as at June 30, 2008 was approximately $4.4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2003, the Company instituted its ExlService Holdings, Inc. 2003 Stock Option Plan (the “2003 Plan”). The 2003 Plan covers all employees of the Company. The Compensation Committee of the Board of Directors of ExlService Holdings (the “Committee”) administers the 2003 Plan and grants stock options to eligible employees of the Company and its subsidiaries.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Committee determined which employees were eligible to receive options, the number of options to be granted, the exercise price, the vesting period and the exercise period. The vesting period for the options issued was determined on the date of the grant and was non-transferable during the life of the option. Options issued under the 2003 plan expire ten years from the date of grant and generally vest incrementally over a period of four years from the date of grant with 25% of the options vesting each year.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Pursuant to the 2003 Plan, the Company reserved 1,600,000 shares of common stock for the granting of options. If an employee is terminated, they must exercise any vested options within 90 days after termination or the vested options are forfeited. On September 29, 2006, the Company decided to cease making new grants under the 2003 Plan. Grants previously made under the 2003 Plan may continue to be exercised in accordance with the terms of the 2003 Plan. As of September 29, 2006, the pool of shares available for grant under the 2003 Plan was added to the pool of available shares under the 2006 Plan (as defined below).</w:t>
      </w:r>
    </w:p>
    <w:p>
      <w:pPr>
        <w:spacing w:after="0" w:line="9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2006, the Company instituted the ExlService Holdings, Inc. 2006 Omnibus Award Plan (the “2006 Plan”). The 2006 Plan covers all the employees of the Company. Under the 2006 Plan, the Committee may grant awards of nonqualified stock options, incentive stock options, stock appreciation rights, restricted stock, restricted stock units, stock bonus awards, performance compensation awards (including cash bonus awards) or any combination of the foregoing.</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 Pursuant to the 2006 Plan, the Company reserved 3,399,384 shares of common stock (in addition to the available pool of shares from the 2003 Plan) for the granting of equity awards. If an employee resigns or is terminated, the employee must exercise any vested options within 90 days after termination or the vested options are forfeited.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cost that has been charged against income for our stock-based compensation plan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7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587,382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501,389</w:t>
            </w:r>
          </w:p>
        </w:tc>
        <w:tc>
          <w:tcPr>
            <w:tcW w:w="20" w:type="dxa"/>
            <w:vAlign w:val="bottom"/>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964,447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611,030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1,563,178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1,161,030</w:t>
            </w:r>
          </w:p>
        </w:tc>
        <w:tc>
          <w:tcPr>
            <w:tcW w:w="2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467,527</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190,813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724,356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256,577</w:t>
            </w:r>
          </w:p>
        </w:tc>
        <w:tc>
          <w:tcPr>
            <w:tcW w:w="20" w:type="dxa"/>
            <w:vAlign w:val="bottom"/>
          </w:tcPr>
          <w:p>
            <w:pPr>
              <w:spacing w:after="0"/>
              <w:rPr>
                <w:sz w:val="18"/>
                <w:szCs w:val="18"/>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1,886,588</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1,090,787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2,874,916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1,918,996</w:t>
            </w: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with the following weighted average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2"/>
              </w:rPr>
              <w:t>Three months ended</w:t>
            </w:r>
          </w:p>
        </w:tc>
        <w:tc>
          <w:tcPr>
            <w:tcW w:w="1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8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4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2"/>
                <w:szCs w:val="12"/>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Expected life (years)</w:t>
            </w:r>
          </w:p>
        </w:tc>
        <w:tc>
          <w:tcPr>
            <w:tcW w:w="440" w:type="dxa"/>
            <w:vAlign w:val="bottom"/>
          </w:tcPr>
          <w:p>
            <w:pPr>
              <w:jc w:val="right"/>
              <w:spacing w:after="0"/>
              <w:rPr>
                <w:sz w:val="20"/>
                <w:szCs w:val="20"/>
                <w:color w:val="auto"/>
              </w:rPr>
            </w:pPr>
            <w:r>
              <w:rPr>
                <w:rFonts w:ascii="Arial" w:cs="Arial" w:eastAsia="Arial" w:hAnsi="Arial"/>
                <w:sz w:val="18"/>
                <w:szCs w:val="18"/>
                <w:color w:val="auto"/>
              </w:rPr>
              <w:t>5.80</w:t>
            </w:r>
          </w:p>
        </w:tc>
        <w:tc>
          <w:tcPr>
            <w:tcW w:w="52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6.25</w:t>
            </w:r>
          </w:p>
        </w:tc>
        <w:tc>
          <w:tcPr>
            <w:tcW w:w="400" w:type="dxa"/>
            <w:vAlign w:val="bottom"/>
          </w:tcPr>
          <w:p>
            <w:pPr>
              <w:jc w:val="right"/>
              <w:spacing w:after="0"/>
              <w:rPr>
                <w:sz w:val="20"/>
                <w:szCs w:val="20"/>
                <w:color w:val="auto"/>
              </w:rPr>
            </w:pPr>
            <w:r>
              <w:rPr>
                <w:rFonts w:ascii="Arial" w:cs="Arial" w:eastAsia="Arial" w:hAnsi="Arial"/>
                <w:sz w:val="18"/>
                <w:szCs w:val="18"/>
                <w:color w:val="auto"/>
              </w:rPr>
              <w:t>5.68</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9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2.44%</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4.99%</w:t>
            </w: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Volatility</w:t>
            </w:r>
          </w:p>
        </w:tc>
        <w:tc>
          <w:tcPr>
            <w:tcW w:w="960" w:type="dxa"/>
            <w:vAlign w:val="bottom"/>
            <w:gridSpan w:val="2"/>
          </w:tcPr>
          <w:p>
            <w:pPr>
              <w:jc w:val="right"/>
              <w:ind w:right="312"/>
              <w:spacing w:after="0"/>
              <w:rPr>
                <w:sz w:val="20"/>
                <w:szCs w:val="20"/>
                <w:color w:val="auto"/>
              </w:rPr>
            </w:pPr>
            <w:r>
              <w:rPr>
                <w:rFonts w:ascii="Arial" w:cs="Arial" w:eastAsia="Arial" w:hAnsi="Arial"/>
                <w:sz w:val="18"/>
                <w:szCs w:val="18"/>
                <w:color w:val="auto"/>
              </w:rPr>
              <w:t>39.2%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estimated the expected term of options granted by taking the average of the vesting term and the contractual term of the option, as illustrated in Staff Accounting Bulletin No. 107 (“SAB 107”) until December 31, 2007. Effective January 1, 2008, the estimated expected term of options granted has been revised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based on historical experience since October 2006, which is representative of the expected term of the options. Effective January 1, 2008, the volatility has been calculated based on the volatility of the Company’s common stock and the volatility of stocks of comparative companies. Prior to this, volatility was calculated based on the volatility of stocks of comparative companies. The risk-free interest rate that the Company uses in the option valuation model is based on U.S. treasury zero-coupon bonds with a remaining term similar to the expected term of the options. 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Aggregate</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93"/>
              </w:rPr>
              <w:t>of 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Intrinsic Value</w:t>
            </w:r>
          </w:p>
        </w:tc>
        <w:tc>
          <w:tcPr>
            <w:tcW w:w="3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1,581,815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14,096,829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398,000</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(31,249)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(72,415)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1,876,151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2,807,718</w:t>
            </w: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June 30, 2008</w:t>
            </w: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48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437,981</w:t>
            </w:r>
          </w:p>
        </w:tc>
        <w:tc>
          <w:tcPr>
            <w:tcW w:w="22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10.90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1,596,848</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June 30, 2008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1,556,528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unrecognized compensation cost for unvested options as of June 30, 2008 is $8,871,977, which is expected to be expensed over a weighted average period of 2.85 years. The weighted-average fair value of options granted during the three months ended June 30, 2008 and June 30, 2007 was $6.34 and $10.70, respectively. The weighted-average fair value of options granted during the six months ended June 30, 2008 and June 30, 2007 was $6.96 and $11.73, respectively. The total fair value of shares vested during the three months ended June 30, 2008 is $735,935. The total fair value of shares vested during the six months ended June 30, 2008 is $1,023,223.</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us or our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4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Restricted Stock</w:t>
            </w:r>
          </w:p>
        </w:tc>
        <w:tc>
          <w:tcPr>
            <w:tcW w:w="200" w:type="dxa"/>
            <w:vAlign w:val="bottom"/>
          </w:tcPr>
          <w:p>
            <w:pPr>
              <w:spacing w:after="0"/>
              <w:rPr>
                <w:sz w:val="14"/>
                <w:szCs w:val="14"/>
                <w:color w:val="auto"/>
              </w:rPr>
            </w:pPr>
          </w:p>
        </w:tc>
        <w:tc>
          <w:tcPr>
            <w:tcW w:w="1500" w:type="dxa"/>
            <w:vAlign w:val="bottom"/>
            <w:gridSpan w:val="6"/>
          </w:tcPr>
          <w:p>
            <w:pPr>
              <w:ind w:left="100"/>
              <w:spacing w:after="0"/>
              <w:rPr>
                <w:sz w:val="20"/>
                <w:szCs w:val="20"/>
                <w:color w:val="auto"/>
              </w:rPr>
            </w:pPr>
            <w:r>
              <w:rPr>
                <w:rFonts w:ascii="Arial" w:cs="Arial" w:eastAsia="Arial" w:hAnsi="Arial"/>
                <w:sz w:val="14"/>
                <w:szCs w:val="14"/>
                <w:b w:val="1"/>
                <w:bCs w:val="1"/>
                <w:color w:val="auto"/>
                <w:w w:val="92"/>
              </w:rPr>
              <w:t>Restricted Stock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5"/>
              </w:rPr>
              <w:t>Value</w:t>
            </w: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600,710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23.47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187,054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18.74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78"/>
              <w:spacing w:after="0"/>
              <w:rPr>
                <w:sz w:val="20"/>
                <w:szCs w:val="20"/>
                <w:color w:val="auto"/>
              </w:rPr>
            </w:pPr>
            <w:r>
              <w:rPr>
                <w:rFonts w:ascii="Arial" w:cs="Arial" w:eastAsia="Arial" w:hAnsi="Arial"/>
                <w:sz w:val="18"/>
                <w:szCs w:val="18"/>
                <w:color w:val="auto"/>
                <w:w w:val="88"/>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(57,906)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18.76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(37,483)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17.21</w:t>
            </w:r>
          </w:p>
        </w:tc>
        <w:tc>
          <w:tcPr>
            <w:tcW w:w="2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ind w:left="138"/>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692,375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23.77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June 30, 2008, unrecognized compensation cost of $11,183,110 is expected to be expensed over a weighted average period of 3.04 years. The weighted-average fair value of restricted stock and restricted stock units under the 2006 Plan granted during the three months ended June 30, 2008 and June 30, 2007 was $18.77 and $19.41, respectively. The weighted-average fair value of restricted stock and restricted stock units under the 2006 Plan granted during the six months ended June 30, 2008 and June 30, 2007 was $18.77 and $21.32, respectively.</w:t>
      </w:r>
    </w:p>
    <w:p>
      <w:pPr>
        <w:spacing w:after="0" w:line="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Finance Act of India, 2007 has imposed a Fringe Benefit Tax (“FBT”) on equity compensation effective April 1, 2007. The FBT is calculated on the difference between the fair market value as of the vesting date and the exercise price of the equity compensation awards granted to India-based employees. For the three months ended June 30, 2008 and June 30, 2007, the Company recorded FBT expense of approximately $187,595 and $224,747, respectively. For the six months ended June 30, 2008 and June 30, 2007, the Company recorded FBT expense of approximately $200,336 and $224,747, respectively. The Company recovers FBT from its India-based employees. In accordance with GAAP, the recovery of FBT is treated as additional exercise price and is recorded as an addition to additional paid-in capital in the unaudited consolidated balance sheet. No additional compensation expense was recognized as a result of the modification of equity awards with respect to the recovery of FBT.</w:t>
      </w:r>
    </w:p>
    <w:p>
      <w:pPr>
        <w:spacing w:after="0" w:line="3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weighted-average intrinsic value set forth in the table above for restricted stock granted to employees who are subject to taxation on such grants in India has been reduced to reflect the expense that the Company will incur for FBT upon vesting of such restricted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three months ended June 30, 2008, the Company granted to members of its advisory board options to purchase 20,000 shares of common stock at an exercise price of $14.85 per share under the 2006 Plan. Using the Black-Scholes valuation model, the fair value of these options at June 30, 2008 was determined to be $121,641.</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2005, the Company granted to a member of its advisory board options to purchase 10,000 shares of common stock at an exercise price of $11.88 per share under the 2003 Plan. Using the Black-Scholes valuation model, the fair value of these options at June 30, 2008 was determined to be $70,599.</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2003, the Company also granted to members of its advisory board options to purchase 20,000 shares of common stock at an exercise price of $0.12 per share under the 2003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granted to the members of the advisory board are included in the stock option activity table above.</w:t>
      </w:r>
    </w:p>
    <w:p>
      <w:pPr>
        <w:spacing w:after="0" w:line="17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These options vest equally over a period of four years and expire ten years from the grant date. For the three months ended June 30, 2008 and June 30, 2007, the Company recorded compensation expense of ($33,531) and $(8,064), respectively. For the six months ended June 30, 2008 and June 30, 2007, the Company recorded compensation expense of ($49,378) and $18,584, respectively. The fair value and related compensation expense will be remeasured for the unvested portion of these options at the end of each reporting period until such options are fully vested.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230,200 shares of common stock at an exercise price of $6.25 per share in July 2004 to one of our clients. The options are fully exercisable and expire ten years from the date of grant. The value of the options on the date of issuance, using the Black-Scholes valuation model, was approximately $1,792,000. Such amount is being amortized as a reduction in revenue over the five-year term of the services agreement. Amortization for the three months ended June 30, 2008 and June 30, 2007 was $89,604 and $89,604, respectively. Amortization for the six months ended June 30, 2008 and June 30, 2007 was $179,208 and $179,208,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96"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Company received services in India for employee training performed by a company controlled by one of the Company’s significant stockholders in periods preceding September 2006. This company is one of the many companies rendering such services to Exl India. At June 30, 2008 and December 31, 2007, the Company had a receivable of $0 and $881, respectively, related to these services. The agreement with this company terminated on September 30, 2006.</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January 15, 2008, the Company purchased net assets for a consideration of $1,508,049 plus contingent consideration earned as of June 30, 2008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$253,621 for a total of $1,761,670 from a company controlled by one of the Company’s significant stockholders. The Company recorded expenses of $393,957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$0 for the six months ended June 30, 2008 and June 30, 2007, respectively, for transition services performed by the seller prior to the acquisition.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2008 and December 31, 2007, the Company had a balance payable of $253,621 and $2,413,846, respectively, related to these transactions.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provides Transformation Services related primarily to compliance with the Sarbanes-Oxley Act of 2002 to Williams Scotsman, Inc., a provider of mobile and modular building solutions in North America. Williams Scotsman, Inc. was controlled by entities related to one of the Company’s significant stockholders until October 31, 2007. For the three and six months ended June 30, 2007, the Company recognized revenue of approximately $68,944 and $90,546, respectively, for fees and expense reimbursements from Williams Scotsman, Inc. At December 31, 2007, the Company had an account receivable of $0 related to these services.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provides Outsourcing Services to MedSynergies, Inc., a provider of outsourced billing, claims administration and payment processing services to healthcare providers. MedSynergies, Inc. is controlled by entities related to one of the Company’s former significant stockholders and ceased to be a related party to the Company during the three months ended June 30, 2007. For the three and six months ended June 30, 2007, the Company recorded revenue of $187,890 and $382,920, respectively, from MedSynergies, Inc. For such period, MedSynergies, Inc. was a related party.</w:t>
      </w:r>
    </w:p>
    <w:p>
      <w:pPr>
        <w:spacing w:after="0" w:line="11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 provides Transformation Services to Duane Reade Holdings, Inc., a New York City drugstore chain. Duane Reade Holdings, Inc. is indirectly owned by one of the Company’s significant stockholders. The Company recognized revenue of approximately $128,340 and $228,630 during the three and six months ended June 30, 2008, respectively, for fees and expense reimbursements from Duane Reade Holdings, Inc. The Company recognized revenue of approximately $92,720 and $207,220 during the three and six months ended June 30, 2007, respectively, for fees and expense reimbursements from Duane Reade Holdings, Inc. At June 30, 2008 and December 31, 2007, the Company had an account receivable of $61,920 and $338,629, respectively, related to these services.</w:t>
      </w:r>
    </w:p>
    <w:p>
      <w:pPr>
        <w:spacing w:after="0" w:line="10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Company provides Transformation Services to FTVentures, one of the Company’s former significant stockholders. During the three months ended June 30, 2007, FTVentures ceased to be a related party to the Company. For the three and six months ended June 30, 2007, the Company recorded revenue of $24,034 and $43,349, respectively for the period FTVentures was a related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Geographical Information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tcPr>
          <w:p>
            <w:pPr>
              <w:jc w:val="right"/>
              <w:ind w:right="247"/>
              <w:spacing w:after="0" w:line="142" w:lineRule="exact"/>
              <w:rPr>
                <w:sz w:val="20"/>
                <w:szCs w:val="20"/>
                <w:color w:val="auto"/>
              </w:rPr>
            </w:pPr>
            <w:r>
              <w:rPr>
                <w:rFonts w:ascii="Arial" w:cs="Arial" w:eastAsia="Arial" w:hAnsi="Arial"/>
                <w:sz w:val="14"/>
                <w:szCs w:val="14"/>
                <w:b w:val="1"/>
                <w:bCs w:val="1"/>
                <w:color w:val="auto"/>
              </w:rPr>
              <w:t>2008</w:t>
            </w:r>
          </w:p>
        </w:tc>
        <w:tc>
          <w:tcPr>
            <w:tcW w:w="1160" w:type="dxa"/>
            <w:vAlign w:val="bottom"/>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80"/>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3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United Kingdom</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$ 28,324,543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$ 23,249,098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55,468,913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43,823,923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25,306,035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19,717,513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48,989,573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38,872,221</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Rest of World (excluding India and the Philippines)</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130,962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53,228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193,104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166,823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3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54,255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112,835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11,320</w:t>
            </w:r>
          </w:p>
        </w:tc>
        <w:tc>
          <w:tcPr>
            <w:tcW w:w="0" w:type="dxa"/>
            <w:vAlign w:val="bottom"/>
          </w:tcPr>
          <w:p>
            <w:pPr>
              <w:spacing w:after="0"/>
              <w:rPr>
                <w:sz w:val="1"/>
                <w:szCs w:val="1"/>
                <w:color w:val="auto"/>
              </w:rPr>
            </w:pPr>
          </w:p>
        </w:tc>
      </w:tr>
      <w:tr>
        <w:trPr>
          <w:trHeight w:val="221"/>
        </w:trPr>
        <w:tc>
          <w:tcPr>
            <w:tcW w:w="4640" w:type="dxa"/>
            <w:vAlign w:val="bottom"/>
          </w:tcPr>
          <w:p>
            <w:pPr>
              <w:spacing w:after="0"/>
              <w:rPr>
                <w:sz w:val="19"/>
                <w:szCs w:val="19"/>
                <w:color w:val="auto"/>
              </w:rPr>
            </w:pP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$ 53,815,795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$ 43,019,839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104,764,425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82,874,287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300" w:type="dxa"/>
            <w:vAlign w:val="bottom"/>
            <w:vMerge w:val="restart"/>
          </w:tcPr>
          <w:p>
            <w:pPr>
              <w:jc w:val="right"/>
              <w:ind w:right="1052"/>
              <w:spacing w:after="0"/>
              <w:rPr>
                <w:sz w:val="20"/>
                <w:szCs w:val="20"/>
                <w:color w:val="auto"/>
              </w:rPr>
            </w:pPr>
            <w:r>
              <w:rPr>
                <w:rFonts w:ascii="Arial" w:cs="Arial" w:eastAsia="Arial" w:hAnsi="Arial"/>
                <w:sz w:val="18"/>
                <w:szCs w:val="18"/>
                <w:color w:val="auto"/>
              </w:rPr>
              <w:t>22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920" w:type="dxa"/>
            <w:vAlign w:val="bottom"/>
          </w:tcPr>
          <w:p>
            <w:pPr>
              <w:jc w:val="right"/>
              <w:ind w:right="138"/>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360" w:type="dxa"/>
            <w:vAlign w:val="bottom"/>
          </w:tcPr>
          <w:p>
            <w:pPr>
              <w:spacing w:after="0"/>
              <w:rPr>
                <w:sz w:val="14"/>
                <w:szCs w:val="14"/>
                <w:color w:val="auto"/>
              </w:rPr>
            </w:pPr>
          </w:p>
        </w:tc>
        <w:tc>
          <w:tcPr>
            <w:tcW w:w="9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2008</w:t>
            </w:r>
          </w:p>
        </w:tc>
        <w:tc>
          <w:tcPr>
            <w:tcW w:w="114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India</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$ 21,924,281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$ 23,425,563</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4,318,556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17,529</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spacing w:after="0"/>
              <w:rPr>
                <w:sz w:val="20"/>
                <w:szCs w:val="20"/>
                <w:color w:val="auto"/>
              </w:rPr>
            </w:pPr>
            <w:r>
              <w:rPr>
                <w:rFonts w:ascii="Arial" w:cs="Arial" w:eastAsia="Arial" w:hAnsi="Arial"/>
                <w:sz w:val="18"/>
                <w:szCs w:val="18"/>
                <w:color w:val="auto"/>
              </w:rPr>
              <w:t>1,370,887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1,746,992</w:t>
            </w: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183,546</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54,519</w:t>
            </w:r>
          </w:p>
        </w:tc>
      </w:tr>
      <w:tr>
        <w:trPr>
          <w:trHeight w:val="222"/>
        </w:trPr>
        <w:tc>
          <w:tcPr>
            <w:tcW w:w="9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$ 27,797,270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$ 25,244,603</w:t>
            </w:r>
          </w:p>
        </w:tc>
      </w:tr>
      <w:tr>
        <w:trPr>
          <w:trHeight w:val="20"/>
        </w:trPr>
        <w:tc>
          <w:tcPr>
            <w:tcW w:w="9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660" w:firstLine="8"/>
        <w:spacing w:after="0" w:line="417" w:lineRule="auto"/>
        <w:tabs>
          <w:tab w:leader="none" w:pos="263"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At June 30, 2008, the Company had committed to spend approximately $2,399,503 under agreements to purchase fixed assets. This amount is net of advances paid in respect of these 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Exl India, Inductis India and NCOP have been established as “Export-Oriented Undertaking” enterprises under the “Export Import Policy” (the “policy”) formulated by the Government of India. Pursuant to the policy, the Company has benefited from certain incentives on import of capital goods. Under the policy, Exl India, Inductis India and NCOP must achieve certain export ratios and realize revenues attributable to exports of approximately $310.8 million, $21.8 million and $43.4 million, respectively, over a period of five years.</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If Exl India, Inductis India and NCOP are unable to achieve their commitments over the specified period, Exl India, Inductis India and NCOP may be required to refund such incentives along with penalties and fines. Management, however, believes that Exl India, Inductis India and NCOP will achieve these export levels within the required timeframe.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Exl Philippines is registered as an ‘Ecozone IT Enterprise’ with the Philippines Economic Zone Authority. Exl Philippines has an export obligation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$46.5 million during the three year period ending March 31, 2011. The registration has also provided the Company with certain incentives on the import of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goods. Management believes that Exl Philippines will achieve these export levels within the required timeframe.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If the applicable income tax authorities review any of the Company’s tax returns and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The Company has received five assessment orders from the Indian tax authorities with respect to their audit of certain of the Company’s subsidiaries. The Indian tax authorities are examining income tax returns for other tax years. The details of assessment orders are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Year</w:t>
            </w:r>
          </w:p>
        </w:tc>
        <w:tc>
          <w:tcPr>
            <w:tcW w:w="3540" w:type="dxa"/>
            <w:vAlign w:val="bottom"/>
          </w:tcPr>
          <w:p>
            <w:pPr>
              <w:spacing w:after="0"/>
              <w:rPr>
                <w:sz w:val="14"/>
                <w:szCs w:val="14"/>
                <w:color w:val="auto"/>
              </w:rPr>
            </w:pPr>
          </w:p>
        </w:tc>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demanded</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8260" w:type="dxa"/>
            <w:vAlign w:val="bottom"/>
            <w:gridSpan w:val="5"/>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2003-04   The assessment order alleges that the transfer price we applied to transactions between EXL India and</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2.2 million</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2.2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EXL Inc. in the 2003-04 tax year was not appropriate and disallows certain expenses claimed as tax</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deductible by EXL India.</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8260" w:type="dxa"/>
            <w:vAlign w:val="bottom"/>
            <w:gridSpan w:val="5"/>
          </w:tcPr>
          <w:p>
            <w:pPr>
              <w:ind w:left="60"/>
              <w:spacing w:after="0"/>
              <w:rPr>
                <w:sz w:val="20"/>
                <w:szCs w:val="20"/>
                <w:color w:val="auto"/>
              </w:rPr>
            </w:pPr>
            <w:r>
              <w:rPr>
                <w:rFonts w:ascii="Arial" w:cs="Arial" w:eastAsia="Arial" w:hAnsi="Arial"/>
                <w:sz w:val="18"/>
                <w:szCs w:val="18"/>
                <w:color w:val="auto"/>
                <w:w w:val="90"/>
              </w:rPr>
              <w:t>2004-05   The assessment order alleges that the transfer price we applied to transactions between EXL India and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2.3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2.3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w w:val="92"/>
              </w:rPr>
              <w:t>EXL Inc. for the 2004-05 tax year was not appropriate and disallows certain expenses claimed as tax</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deductible by EXL India.</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2003-04</w:t>
            </w: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1.6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2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2004-05</w:t>
            </w: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0.1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2005-06</w:t>
            </w: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0.8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advice from its Indian tax advisors, the facts underlying its position and its experience with these types of assessments, the Company believes that the probability of loss is remote and accordingly has not accrued any amount with respect to these matters in its unaudited consolidated financial statements. The Company does not expect any impact from these assessments on its future income tax expense. The Company is subject to U.S. income taxes on the profits it recognizes in the United States. The Company has deposited the entire amount demanded by the Indian tax authorities with respect to the assessment orders received by Exl India and partial amounts with respect to the assessment orders received by Exl Inc. The Indian tax authorities are currently conducting an audit of the Company’s 2005-06 tax year. There can be no assurance that we will not receive additional assessments or will not be required to pay significant additional taxes with respect to that year. There is likelihood that the Company might receive similar orders for other years until the above disputes are resolved. Amounts paid as deposits in respect of the assessments described above, totaling $6.6 million and $4.3 million as of June 30, 2008 and December 31, 2007, respectively, are included in “Other assets” in our consolidated balance sheet.</w:t>
      </w:r>
    </w:p>
    <w:p>
      <w:pPr>
        <w:spacing w:after="0" w:line="15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July 10, 2008, Norwich Union, one of the Company’s largest clients, provided notice of their intention to exercise the option under one of its contracts with us to purchase the shares of our subsidiary, NCOP that operates in Pune, India, at an amount that approximates the net asset value of NCOP on the date of transfer. The anticipated date of transfer of NCOP is August 11, 2008. NCOP accounted for 12.6% and 16.5% of our total revenues for the three months ended June 30, 2008 and June 30, 2007, respectively, and 12.7% and 16.3% of our total revenues for the six months ended June 30, 2008 and June 30, 2007, respectively.</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July 10, 2008, Norwich Union extended the term of the agreement until February 1, 2012, relating to the services that the Company provides to Norwich Union from its operations in Noida, India.</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On July 11, 2008, Centrica, the Company’s largest client, extended the term of is contract with the Company under its existing terms for an additional twelve months. As a result of this extension, the term of the agreement is scheduled to expire on January 25, 2010.</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we are in discussions with Orange UK, one of our current clients, on the term of the contract and the scope of services we provide to them. Our business with Orange could be reduced or terminated based on the outcome of our discussions.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2007. Some of the statements in the following discussion are forward looking statements. See “Forward 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a leading provider of Outsourcing and Transformation services focused on providing a competitive edge to our clients by outsourcing and transforming their business processes. Our Outsourcing Services are designed to provide integrated front-, middle- and back-office process outsourcing services for our U.S.-based and U.K.-based clients. Outsourcing Services involve the transfer to us of select business operations of a client, such as claims processing, finance and accounting and customer service, after which we administer and manage the operations for our client on an ongoing basis. We also offer a suite of Transformation Service offerings that include research and analytics services, risk advisory services and process advisory services. These Transformation Service offerings are designed to help our clients improve their operating environments through cost reduction initiatives, enhanced efficiency and productivity, and improve the risk and control environment within our clients’ operations whether or not they are outsourced to us. A significant portion of our business relates to processes that we believe are integral to our clients’ operations, and the close nature of our relationships with our clients assists us in developing strong strategic long-term relationships with them. We serve primarily the needs of Global 1000 companies in the insurance, utilities, financial services, healthcare, telecommunications and transportation sectors.</w:t>
      </w:r>
    </w:p>
    <w:p>
      <w:pPr>
        <w:spacing w:after="0" w:line="12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and strategic account management teams, which operate out of New York and London, and our business development team, which operates out of Noida, India. We currently operate nine operations centers in India, one operations facility in the United States and a new operations facility in the Philippines, which became operational in April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generate revenues principally from contracts to provide outsourcing and transformation services. For the three and six months ended June 30, 2008, we had total revenues of $53.8 million and $104.8 million, respectively, compared to total revenues of $43.0 million and $82.9 million, respectively for the corresponding period in 2007, an increase of 25.1% and 26.4%, respectively. The key drivers of growth in our total revenues for the three and six months ended June 30, 2008 were as follows:</w:t>
      </w:r>
    </w:p>
    <w:p>
      <w:pPr>
        <w:spacing w:after="0" w:line="6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growth of our client base, both organically and inorganically,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ongoing growth in existing client relationships,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 of new services in the Transformation Services business.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anticipate that our revenues will grow as we expand our service offerings, both organically and through acquisitions. Revenues from new clients are an indicator of successful marketing efforts and do not represent a trend in our results of operations. We provide our clients with a range of Outsourcing Services, including insurance services, banking and financial services, utilities, finance and accounting services and collection services. Our clients transfer the management and execution of their processes or business functions to us. As part of this transfer, we hire and train employees to work at our operations centers on the relevant outsourcing service,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Outsourcing Services, we enter into long-term agreements with our clients with initial terms ranging from three to five years.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1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Our Transformation Services include various services such as research and analytics services which are intended to facilitate more effective data-based strategic and operating decisions by our clients, Sarbanes-Oxley compliance, internal audit outsourcing and financial reporting services.</w:t>
      </w:r>
    </w:p>
    <w:p>
      <w:pPr>
        <w:spacing w:after="0" w:line="8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Transformation Services can be significantly affected by variations in business cycles. In addition, our Transformation Services usually consist of specific projects with contract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these businesses.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serve clients mainly in the United Kingdom and the United States, with these two regions generating approximately 52.6% and 47.0%, respectively, of our total revenues for the three months ended June 30, 2008 and approximately 54.0% and 45.8%, respectively, of our total revenues for the three months ended June 30, 2007. For the six months ended June 30, 2008, these two regions generated approximately 52.9% and 46.8%, respectively, of our total revenues and approximately 52.9% and 46.9%, respectively, of our total revenues for the six months ended June 30, 2007.</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derive a significant portion of our revenues from a limited number of large clients. In the three months ended June 30, 2008, our total revenues from our two largest clients grew to $12.0 million and $11.7 million, respectively, accounting for 22.3% and 21.5% of our total revenues, respectively, during this period. In the six months ended June 30, 2008, our total revenues from our two largest clients grew to $23.9 million and $23.1 million, respectively, accounting for 22.9% and 22.0% of our total revenues, respectively, during this period.</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provide services to Centrica, which represented $12.0 million, or 22.3% and $23.9 million or 22.9% of our total revenues for the three and six months ended June 30, 2008, respectively, and $10.8 million, or 25.2% and $20.3 million and 24.5% of our total revenues for the three and six months ended June 30, 2007, respectively, under an agreement that has an initial term that expires in January 2009. On July 11, 2008, Centrica delivered a notice of extension, which notice extended the term of the agreement under its existing terms for an additional 12 months. As a result of this extension, the term of the agreement is scheduled to expire on January 25, 2010. Contracts with other Outsourcing Services clients representing approximately 30.1% of our total Outsourcing Services revenues for the three months ended June 30, 2008 and 25.1% of our total Outsourcing Services revenues for the six months ended June 30, 2008 will expire prior to June 30, 2009, while the remainder of our Outsourcing Services contracts expire in more than one year or do not have specified initial terms and remain in effect until terminated or until there are no active work orders or engagement schedules thereunder.</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provide services to Norwich Union, which represented $11.7 million, or 21.8% and $23.1 million and 22.0% of our total revenues for the three and six months ended June 30, 2008, respectively, and $12.4 million, or 28.8% and $23.5 million and 28.3% of our total revenues for the three and six months ended June 30, 2007, respectively, under two framework agreements and work orders generated by these agreements. The first framework agreement and all work orders under that agreement have expired and Norwich Union exercised its transfer option requiring us to procure the sale by Exl India, of all of the capital shares of NCOP to Norwich Union. The second framework agreement expires in July 2009 and can be terminated by Norwich Union without cause upon six months prior notice and payment to us of a break-up fee during its initial term. Norwich Union has recently extended its term under the second framework agreement until February 1, 2012.</w:t>
      </w:r>
    </w:p>
    <w:p>
      <w:pPr>
        <w:spacing w:after="0" w:line="14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derived revenues from one and eleven new clients for our services, including Transformation Services, in the three months ended June 30, 2008 and 2007, respectively. We derived revenues from ten and twenty-four new clients for our services, including Transformation Services, in the six months ended June 30, 2008 and 2007, respectively. Although we are increasing and diversifying our client base, we expect in the near future that a significant portion of our revenues will continue to be contributed by a limited number of large clients.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recognize revenues from services provided under our client contracts on a cost-plus, time-and-materials, fixed price, contingent fee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Contingent fee arrangements involve billings based solely on a client’s decision to proceed with recommendations provided by us or by their achievement of previously determined targets as a result of our recommendations. Unit-price arrangements involve billings based on productive units (such as the number of e-mail responses) as we deliver the services to the client.</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 and travel-related costs. The amount of reimbursable expenses that we incur, and any resulting revenues, can vary significantly from period to period depending on each client’s situation and on the type of services provided. For the three months ended June 30, 2008 and June 30, 2007, 6.9% and 5.1%, respectively, of our revenues represent reimbursement of such expenses. For the six months ended June 30, 2008 and June 30, 2007, 6.5% and 4.8%, respectively, of our revenues represent reimbursement of such expenses.</w:t>
      </w:r>
    </w:p>
    <w:p>
      <w:pPr>
        <w:spacing w:after="0" w:line="14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To the extent our client contracts do not contain provisions to the contrary, we bear the risk of inflation and fluctuations in currency exchange rates with respect to our contracts. We hedge a substantial portion of our Indian rupee/U.S. dollar and U.K. pound sterling/U.S. dollar foreign currency exposure.</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10, 2008, Norwich Union exercised its pre-existing option (“Transfer Option”) to purchase the shares of NCOP, which operates one of our facilities in Pune, India, by paying us an amount that will approximate the net asset value of NCOP on the date of transfer. The anticipated date of transfer of NCOP is expected to be August 11, 2008. NCOP accounted for 12.6% and 16.5% of our total revenues in the three months ended June 30, 2008 and June 30, 2007, respectively and 12.7% and 16.3% of our total revenues in the six months ended June 30, 2008 and June 30, 2007,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90" w:lineRule="exact"/>
        <w:rPr>
          <w:sz w:val="20"/>
          <w:szCs w:val="20"/>
          <w:color w:val="auto"/>
        </w:rPr>
      </w:pPr>
    </w:p>
    <w:p>
      <w:pPr>
        <w:ind w:left="900" w:right="3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stock compensation expense; and traveling and lodging costs; and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client management support; operational expenses for our Outsourcing centers; and rent expenses.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Salary increases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outsourcing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expect our cost of revenues to continue to increase as we continue to add professionals in India, the Philippines and the United States to service additional business, in particular as our Transformation Services business grows and as wages continue to increase in India. In particular, we expect training costs to continue to increase as we continue to add staff to service new clients.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revenues is also affected by our long selling cycle and implementation period for our Outsourcing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also expect cost of revenues to increase when we add new operations facilities due to increases in telecommunication and rent expenses and other facilities operating costs. In particular, we have established a new 900-workstation operation facility in Pasay City, Philippines, which became operational in April 2008. As we increase the amount of physical infrastructure available to perform our operations, we expect that utilization will decrease and this will have a negative impact on our operating margin.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India Finance Act, 2007 has imposed additional taxes on leased real estate. As such, we may determine that it is in our interest to exercise our purchase options with respect to certain of our leased properties. In addition, in the future we may decide to purchase real estate instead of leasing it, which is likely to increase our initial cash outflow in connection with any expansion of our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SG&amp;A 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and strategic account management personnel, client relationship management, travel and brand building. We expect that sales and marketing expenses will continue to increase as we invest heavily in our front-end sales and strategic account management functions to better serve our clients. We also expect our costs to increase as we continue to strengthen our back-end support and enabling functions and invest in leadership development, performance management and training programs. SG&amp;A expenses also include non-cash amortization of stock compensation expense related to our issuance of equity awards to senior management, members of our Board of Directors and advisory board, other support personnel and consultants.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Depreciation and amortization pertains to depreciation and amortization of our tangible assets, including network equipment, cabling, computers, office furniture and equipment, motor vehicles and leasehold improvements and intangible assets. Amortization of intangible assets acquired is part of depreciation and amortization. As we add facilities, including our new 900-workstation facility in Pasay City, Philippines, which became operational in April 2008, we expect that depreciation expense will increase, reflecting additional investments in equipment such as desktop computers, servers and other infrastructure.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report our financial results in U.S. dollars and a substantial portion of our total revenues is earned in U.K. pounds sterling. Accordingly, our results of operations are adversely affected if the U.K. pound sterling depreciates against the U.S. dollar. Although substantially all of our revenues are denominated in U.K. pounds sterling or U.S. dollars (52.6% and 47.0%, respectively, for the three months ended June 30, 2008 and 52.9% and 46.8%, respectively, for the six months ended June 30, 2008, as compared to 54.0% and 45.8%, respectively, for the three months ended June 30, 2007 and 52.9% and 46.9%, respectively, for the six months ended June 30, 2007), most of our expenses (64.5% in the three months ended June 30, 2008 and 65.5% in the six months ended June 30, 2008, as compared to 69.1% in the three months ended June 30, 2007 and 65.7% in the six months ended June 30, 2007) were incurred and paid in Indian rupees. The exchange rates among the Indian rupee, the U.K. pound sterling and the U.S. dollar have changed substantially in recent years and may fluctuate in the future. The results of our operations could be substantially impacted as the Indian rupee appreciates or depreciates against the U.S. dollar or the U.K. pound sterling.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Regulation</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outsourcing services that is registered with a software technology park or an export processing zone in India, such as our subsidiaries Exl India, NCOP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any of Exl India, NCOP or Inductis India did not meet these conditions, it would be required to obtain permission to export foreign currency from the Reserve Bank of India.</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NCOP and Inductis India, as applicable, in respect of services that Exl India, NCOP and Inductis India, as applicable, provide to our clients under these contracts. Exl India, NCOP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The India Finance Act, 2000 provides Exl India, NCOP and Inductis India with a ten-year holiday from Indian corporate income taxes as an entity exporting IT services from designated software technology parks and export processing zones in India. The India Finance Act, 2000 phases out the tax holiday over a ten-year period from fiscal 2000 through fiscal 2009. Accordingly, facilities established in India on or before March 31, 2000 have a ten-year tax holiday, new facilities established on or before March 31, 2001 have a nine-year tax holiday and so forth until March 31, 2009. The Indian government has recently enacted legislation extending the tax holiday until March 31, 2010. Each of Exl India, Inductis India and NCOP provides services from its wholly owned, export oriented units situated in Noida, Gurgaon and Pune, respectively. The income derived from the services rendered from these facilities is not subject to taxes in India until March 31, 2010.</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tax holiday, our Outsourcing Services operations have been subject to relatively lower tax liabilities. For example, we recognized lower income tax expense with respect to our foreign operations for the three months ended June 30, 2008 and six months ended June 30, 2008 as a result of the tax holiday, compared to approximately $2.1 million and $3.9 million, respectively, that we would have incurred if the tax holiday had not been available for that period (without accounting for double taxation treaty set-offs and after setting off MAT liability). When our tax holiday expires or terminates, our tax expense will materially increase.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statements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May 2007, the Government of India adopted the Indian Finance Act, 2007, that imposed MAT on Indian companies that benefit from a tax holiday with effect from April 1, 2007. Any MAT paid by us can be used as a credit against corporate income taxes payable by us after expiry of the tax holiday for up to seven years, subject to the satisfaction of certain conditions.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 deferred tax asset of $3.0 million has been recognized as of June 30, 2008.</w:t>
      </w:r>
    </w:p>
    <w:p>
      <w:pPr>
        <w:spacing w:after="0" w:line="14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Exl Philippines, our subsidiary that conducts our operations in the Philippines, enjoys a four year income tax holiday incentive extendable up to six years beginning April 2008, the date of commencement of operations. The above incentive is subject to validation by the Philippines Economic Zone Authority based on certain minimum investments. If Exl Philippines does not attain the required investments it will not qualify for the income tax holiday and will be subject to a 5% gross income tax.</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U.S. and Indian transfer pricing regulations require that any international transaction involving associated enterprises be at an arm’s-length price. Transactions among our subsidiaries and the Company may be required to satisfy such requirements. Accordingly, we determine the pricing among our associated enterprises on the basis of detailed functional and economic analysis involving benchmarking against transactions among entities that are not under common control. Based on the analysis, we had made certain changes to our transfer pricing agreements with effect from April 2007. If the applicable income tax authorities review any of our tax returns and determine that the transfer price applied was not appropriate, we may incur increased tax liabilities, including accrued interest and penalties. We are currently involved in disputes with Indian tax authorities over the application of some of our transfer pricing policies. We have received five assessment orders from the Indian tax authorities with respect to their audit of certain of our subsidiaries. The Indian tax authorities are examining income tax returns for other tax years. The details of assessment orders are as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Tax Year</w:t>
            </w:r>
          </w:p>
        </w:tc>
        <w:tc>
          <w:tcPr>
            <w:tcW w:w="3540" w:type="dxa"/>
            <w:vAlign w:val="bottom"/>
          </w:tcPr>
          <w:p>
            <w:pPr>
              <w:spacing w:after="0"/>
              <w:rPr>
                <w:sz w:val="14"/>
                <w:szCs w:val="14"/>
                <w:color w:val="auto"/>
              </w:rPr>
            </w:pPr>
          </w:p>
        </w:tc>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demanded</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8260" w:type="dxa"/>
            <w:vAlign w:val="bottom"/>
            <w:gridSpan w:val="5"/>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2003-04   The assessment order alleges that the transfer price we applied to transactions between EXL India and</w:t>
            </w:r>
          </w:p>
        </w:tc>
        <w:tc>
          <w:tcPr>
            <w:tcW w:w="1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2.2 million</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2.2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2"/>
              </w:rPr>
              <w:t>EXL Inc. in the 2003-04 tax year was not appropriate and disallows certain expenses claimed as tax</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deductible by EXL India.</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102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8260" w:type="dxa"/>
            <w:vAlign w:val="bottom"/>
            <w:gridSpan w:val="5"/>
          </w:tcPr>
          <w:p>
            <w:pPr>
              <w:ind w:left="60"/>
              <w:spacing w:after="0"/>
              <w:rPr>
                <w:sz w:val="20"/>
                <w:szCs w:val="20"/>
                <w:color w:val="auto"/>
              </w:rPr>
            </w:pPr>
            <w:r>
              <w:rPr>
                <w:rFonts w:ascii="Arial" w:cs="Arial" w:eastAsia="Arial" w:hAnsi="Arial"/>
                <w:sz w:val="18"/>
                <w:szCs w:val="18"/>
                <w:color w:val="auto"/>
                <w:w w:val="90"/>
              </w:rPr>
              <w:t>2004-05   The assessment order alleges that the transfer price we applied to transactions between EXL India and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2.3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2.3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w w:val="92"/>
              </w:rPr>
              <w:t>EXL Inc. for the 2004-05 tax year was not appropriate and disallows certain expenses claimed as tax</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deductible by EXL India.</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2003-04</w:t>
            </w: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1.6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2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2004-05</w:t>
            </w: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40"/>
              <w:spacing w:after="0"/>
              <w:rPr>
                <w:sz w:val="20"/>
                <w:szCs w:val="20"/>
                <w:color w:val="auto"/>
              </w:rPr>
            </w:pPr>
            <w:r>
              <w:rPr>
                <w:rFonts w:ascii="Arial" w:cs="Arial" w:eastAsia="Arial" w:hAnsi="Arial"/>
                <w:sz w:val="18"/>
                <w:szCs w:val="18"/>
                <w:color w:val="auto"/>
              </w:rPr>
              <w:t>0.1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2005-06</w:t>
            </w:r>
          </w:p>
        </w:tc>
        <w:tc>
          <w:tcPr>
            <w:tcW w:w="75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0.8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advice from our Indian tax advisors, the facts underlying our position and our experience with these types of assessments, we believe that the probability of loss is remote and have accordingly not accrued any amount with respect to these matters in our unaudited consolidated financial statements. We do not expect any impact from these assessments on our future income tax expense. We are subject to U.S. income taxes on the profits we recognize in the United States. The Company has deposited the entire amount demanded by the Indian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tax authorities with respect to the assessment orders received by Exl India and partial amounts with respect to the assessment orders received by Exl Inc. The Indian tax authorities are currently conducting an audit of the Company’s 2005-06 tax year. There can be no assurance that we will not receive additional assessments or will not be required to pay significant additional taxes with respect to that year. There is likelihood that the Company might receive similar orders for other years until the above disputes are resolved.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estimating tax liabilities, stock-based compensation, derivative instruments and pension plan liabilities.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revenues from services provided on a cost-plus, time-and-materials, fixed price, contingent fee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revenue.</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Contingent fee arrangements involve billings based on the client’s agreement that the contingency has been achieved. Unit-price arrangements involve billings based on productive units as we deliver the services to the client.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we believe we have adequately accrued for probable exposures as of June 30, 2008. To the extent we are able to prevail in matters for which accruals have been established or are required to pay amounts in excess of our reserves, our effective tax rate in a given financial statement period may be materially impacted.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 We determine if a valuation allowance is required or not on the basis of an assessment of whether it is more likely than not that a deferred tax asset will be realized. At June 30, 2008, we performed an analysis of the deferred tax asset valuation allowance on our Indian subsidiaries and concluded that a valuation allowance offsetting certain deferred tax assets be recorded, on the basis that it is more likely than not that there will not be future taxable income to realize the deferred tax assets. We perform this assessment at the end of each reporting period. See Note 9, “Income Taxes,” in the notes to our unaudited consolidated financial statements for the three and six months ended June 30,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Significant factors considered in determining the fair value of stock awards are as follows. We estimate the expected term of options granted by taking the average of the vesting term and the contractual term of the option, as illustrated in SAB 107 until December 31, 2007. Effective January 1, 2008, the estimated expected term of options granted has been revised based on historical experience since October 2006, which is representative of the expected term of the options. Effective January 1, 2008, the volatility has been calculated based on the volatility of our common stock and the volatility of stocks of comparative companies. Prior to this, volatility was calculated based on the volatility of stocks of comparative companies.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option valuation model. We are required to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 All stock-based payment awards are amortized on a straight-line basis over the requisite service periods of the awards, which are generally the vesting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U.K. pound sterling and the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Changes in the fair value of these cash flow hedges which are deemed effective, are recorded in accumulated other comprehensive income/(loss)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At June 30, 2008, forward exchange contracts of $84.3 million and GBP41.7 million were outstanding. We have evaluated the effectiveness of all our forward exchange contracts. For the three months ended June 30, 2008 and June 30, 2007, net gains/(losses) from ineffective cash flow hedges included in our unaudited consolidated statements of income totaled ($0.1) million and $0.9 million, respectively. For the six months ended June 30, 2008 and June 30, 2007, net gains/(losses) from ineffective cash flow hedges included in our unaudited consolidated statements of income totaled $0.2 million and $1.0 million, respectively. For hedge contracts discontinued because the forecasted transaction is not expected to occur by the end of the originally specified period, any related derivative amounts recorded in accumulated comprehensive income are reclassified to earnings.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2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53,687,455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42,646,251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104,535,795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82,150,252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Revenues (from related parties)(1)</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128,340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373,588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53,815,795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43,019,839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104,764,425</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82,874,287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amortization)(2)</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33,911,941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28,798,645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66,276,768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53,280,613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19,903,854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14,221,194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38,487,657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29,593,674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8,599,809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6,805,341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17,064,858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12,840,888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2,910,467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2,027,727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5,284,817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3,991,257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3,133,158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2,764,035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5,836,197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5,204,937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14,643,434</w:t>
            </w: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11,597,103</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28,185,872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22,037,082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5,620,420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2,624,091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10,301,785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7,556,592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income/(expense):</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(143,581)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2,294,904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2,865,011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611,446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1,018,782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1,191,924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2,026,584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5,720,654</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5,928,218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13,125,005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12,421,107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provision/(benefit)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456,582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1,392,433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income to common stockholders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5,264,072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5,620,048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12,063,884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11,028,674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earnings per share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28,799,510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28,495,781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28,778,337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28,319,530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29,351,038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29,210,372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29,321,982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29,050,897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40" w:hanging="452"/>
        <w:spacing w:after="0" w:line="25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2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revenues includes $0.5 million and $0.3 million for the three months ended June 30, 2008 and June 30, 2007, respectively, and $0.6 million and $0.5 million for the six months ended June 30, 2008 and June 30, 2007, respectively, as non-cash amortization of stock compensation expense relating to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0"/>
        <w:spacing w:after="0" w:line="268" w:lineRule="auto"/>
        <w:rPr>
          <w:sz w:val="20"/>
          <w:szCs w:val="20"/>
          <w:color w:val="auto"/>
        </w:rPr>
      </w:pPr>
      <w:r>
        <w:rPr>
          <w:rFonts w:ascii="Arial" w:cs="Arial" w:eastAsia="Arial" w:hAnsi="Arial"/>
          <w:sz w:val="18"/>
          <w:szCs w:val="18"/>
          <w:color w:val="auto"/>
        </w:rPr>
        <w:t>issuance of equity awards to employees directly involved in providing services to our clients as described in Note 10 to our unaudited consolidated financial statements. Cost of revenues excludes depreciation and amortization related to fixed assets.</w:t>
      </w:r>
    </w:p>
    <w:p>
      <w:pPr>
        <w:spacing w:after="0" w:line="51" w:lineRule="exact"/>
        <w:rPr>
          <w:sz w:val="20"/>
          <w:szCs w:val="20"/>
          <w:color w:val="auto"/>
        </w:rPr>
      </w:pPr>
    </w:p>
    <w:p>
      <w:pPr>
        <w:ind w:left="460" w:right="12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and administrative expenses and selling and marketing expenses includes $1.4 million and $0.8 million for the three months ended June 30, 2008 and June 30, 2007, respectively, and $2.3 million and $1.4 million for the six months ended June 30, 2008 and June 30, 2007, respectively, as non-cash amortization of stock compensation expense relating to the issuance of equity awards to our non-operations staff as described in Note 10 to our unaudited consolidated financial statements.</w:t>
      </w:r>
    </w:p>
    <w:p>
      <w:pPr>
        <w:spacing w:after="0" w:line="62" w:lineRule="exact"/>
        <w:rPr>
          <w:rFonts w:ascii="Arial" w:cs="Arial" w:eastAsia="Arial" w:hAnsi="Arial"/>
          <w:sz w:val="18"/>
          <w:szCs w:val="18"/>
          <w:color w:val="auto"/>
        </w:rPr>
      </w:pPr>
    </w:p>
    <w:p>
      <w:pPr>
        <w:jc w:val="both"/>
        <w:ind w:left="460" w:right="18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includes $0.2 million and $0.6 million for the three months ended June 30, 2008 and June 30, 2007, respectively, and $0.4 million and $1.2 million for the six months ended June 30, 2008 and June 30, 2007, respectively, of amortization of intangibles as described in Note 3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Compared to Three Months Ended June 30, 2007</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results of operations for the three months ended June 30, 2008 were favorably impacted by an increase in revenues attributable to the increase in Outsourcing and Transformation Services revenues and the depreciation of the Indian rupee against the U.S. Dollar in this quarter. This was more than offset by significant decrease in gains recorded as a result of movement of the Indian rupee against the U.S. Dollar relative to our hedged position and a decrease in utilization rates attributable to our recent expansion in the Philippines. The exchange rate fluctuations will have a positive or a negative impact on our net income depending on the direction of fluctuation.</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Revenues</w:t>
      </w:r>
      <w:r>
        <w:rPr>
          <w:rFonts w:ascii="Arial" w:cs="Arial" w:eastAsia="Arial" w:hAnsi="Arial"/>
          <w:sz w:val="18"/>
          <w:szCs w:val="18"/>
          <w:color w:val="auto"/>
        </w:rPr>
        <w:t>. Revenues increased 25.1% from $43.0 million for the three months ended June 30, 2007 (including $2.2 million of reimbursable expenses)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$53.8 million for the three months ended June 30, 2008 (including $3.7 million of reimbursable expenses). The increase in revenues was primarily due to an increase in Outsourcing and Transformation Services revenues. Revenue increases from existing clients were attributable to volume increases within existing processes and the addition of new processes.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17.8% from $28.8 million for the three months ended June 30, 2007 to $33.9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2008. Salaries and personnel expenses for the Company increased from $20.4 million in the three months ended June 30, 2007 to $24.4 million in the three months ended June 30, 2008 as a result of an increase in headcount and salary levels. Cost of revenues also increased due to an increase in reimbursable expenses, primarily as a result of significant additional costs associated with training activities on client premises. Facilities operating costs for the Company increased from $2.7 million for the three months ended June 30, 2007 to $3.3 million for the three months ended June 30, 2008, primarily reflecting our increased workforce and increased operating capacity. Cost of revenues includes $0.5 million and $0.3 million for the three months ended June 30, 2008 and June 30, 2007, respectively, for non-cash amortization of stock compensation expense relating to the issuance of equity awards to employees directly involved in providing services to our clients. As a percentage of revenues, cost of revenues decreased from 66.9% for the three months ended June 30, 2007 to 63.0% for the three months ended June 30, 2008.</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40.0% from $14.2 million for the three months ended June 30, 2007 to $19.9 million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2008. The increase in gross profit was primarily the result of increased revenue and the depreciation of the Indian rupee with respect to the U.S. 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profit as a percentage of revenues increased from 33.1% for the three months ended June 30, 2007 to 37.0% for the three months ended June 30, 2008.</w:t>
      </w:r>
    </w:p>
    <w:p>
      <w:pPr>
        <w:spacing w:after="0" w:line="18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30.3% from $8.8 million for the three months ended June 30, 2007 to $11.5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2008. General and administrative expenses increased 26.4% from $6.8 million for the three months ended June 30, 2007 to $8.6 million for the three months ended June 30, 2008 and selling and marketing expenses increased 43.5% from $2.0 million for the three months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ended June 30, 2007 to $2.9 million for the three months ended June 30, 2008. Salary and personnel expenses increased from $4.2 million for the three months ended June 30, 2007 to $5.1 million for the three months ended June 30, 2008 primarily due to the addition of corporate staff. Over all General and administrative expenses increased by $0.8 million due to the addition of a new center in the Philippines and a one-time cost associated with setting up the unit. SG&amp;A expenses include $1.4 million and $0.8 million for the three months ended June 30, 2008 and 2007,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20.5% for the three months ended June 30, 2007 to 21.4% for the three months ended June 30,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and Amortization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increased 13.4% from $2.8 million for the three months ended June 30, 2007 to</w:t>
      </w:r>
    </w:p>
    <w:p>
      <w:pPr>
        <w:spacing w:after="0" w:line="38"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$3.1 million for the three months ended June 30, 2008. This increase was due to expansion of our infrastructure, including our new 900-workstation facility in Pasay City, Philippines, which became operational in April 2008. However, this was slightly offset by a decrease in amortization of intangibles. As we add more facilities, we expect that depreciation expense will increase to reflect the additional investment in equipment and facilities necessary to meet service requirements.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Income From Operations</w:t>
      </w:r>
      <w:r>
        <w:rPr>
          <w:rFonts w:ascii="Arial" w:cs="Arial" w:eastAsia="Arial" w:hAnsi="Arial"/>
          <w:sz w:val="18"/>
          <w:szCs w:val="18"/>
          <w:color w:val="auto"/>
        </w:rPr>
        <w:t>. Income from operations increased 100.5% from $2.6 million for the three months ended June 30, 2007 to $5.3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2008. As a percentage of revenues, income from operations increased from 6.1% for the three months ended June 30, 2007 to 9.8% for the three months ended June 30, 2008. The increase in income from operations was primarily the result of increased revenues and the depreciation of the Indian rupee with respect to the U.S. dollar.</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is comprised of foreign exchange gains and losses, interest income and interest expense. Other income decreased from $3.3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June 30, 2007 to $0.5 million for the three months ended June 30, 2008 as a result of the decrease in foreign exchange gains and the decrease in interest income during the three months ended June 30, 2008 by $0.4 million as compared to the three months ended June 30, 2007 due to lower prevailing market interest rates.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increased 48.2% from $0.3 million for the three months ended June 30, 2007 to $0.5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2008. The effective rate of taxes has increased from 5.2% for the three months ended June 30, 2007 to 8.0% for the three months ended June 30, 2008. This is due to changes in the geographic distribution of our income and a change in the transfer pricing agreements among ExlService Holdings, Exl India and NCOP. We determine the pricing among our associated enterprises on the basis of detailed functional and economic analysis involving benchmarking against transactions among entities that are not under common control. Based on our analysis, we made certain changes to the transfer pricing agreements effective from April 2007. The effective rate of taxes for the year ended December 31, 2007 was 7.2%.</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decreased 6.3% from $5.6 million for the three months ended June 30, 2007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$5.3 million for the three months ended June 30, 2008. Net income decreased due to the significant decrease in gains recorded as a result of movement of the Indian rupee against the U.S. Dollar relative to our hedged position and a decrease in interest income due to lower prevailing market interest rates. As a percentage of revenues, net income decreased from 13.1% for the three months ended June 30, 2007 to 9.8% for the three months ended June 30,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2008 Compared to Six Months Ended June 30, 2007</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results of operations for the six months ended June 30, 2008 were favorably impacted by an increase in revenues attributable to the increase in Outsourcing and Transformation Services revenues. This was offset by negative impact due to the strengthening of the Indian rupee with respect to the U.S. dollar and a decrease in utilization rates attributable to our recent expansion in the Philippines. The exchange rate fluctuations will have a positive or a negative impact on our net income depending on the direction of fluctuation.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color w:val="auto"/>
        </w:rPr>
        <w:t>. Revenues increased 26.4% from $82.9 million for the six months ended June 30, 2007 (including $4.0 million of reimbursable expenses)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$104.8 million for the six months ended June 30, 2008 (including $6.8 million of reimbursable expenses). The increase in revenues was primarily due to an increase in Outsourcing and Transformation Services revenues. Revenues attributable to ten new clients obtained during the six months ended June 30, 2008 was $1.6 million. Revenue increases from existing clients were attributable to volume increases within existing processes and the addition of new processes.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Cost of 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revenues increased 24.4% from $53.3 million for the six months ended June 30, 2007 to $66.3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2008. Salaries and personnel expenses for the Company increased from $37.4 million in the six months ended June 30, 2007 to $46.8 million in the six months ended June 30, 2008 as a result of an increase in headcount and salary levels. Cost of revenues also increased due to an increase in reimbursable expenses, primarily as a result of significant additional costs associated with training activities on client premises. Facilities operating costs for the Company increased from $4.8 million for the six months ended June 30, 2007 to $6.6 million for the six months ended June 30, 2008, primarily reflecting our increased workforce and increased operating capacity. Cost of revenues also increased due to strengthening of the Indian rupee with respect to the U.S. dollar. Cost of revenues includes $0.6 million and $0.5 million for the six months ended June 30, 2008 and June 30, 2007, respectively, for non-cash amortization of stock compensation expense relating to the issuance of equity awards to employees directly involved in providing services to our clients. As a percentage of revenues, cost of revenues decreased from 64.3% for the six months ended June 30, 2007 to 63.3% for the six months ended June 30, 2008.</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Gross Profit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 profit increased 30.1% from $29.6 million for the six months ended June 30, 2007 to $38.5 million for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The increase in gross profit was primarily the result of increased revenue. Gross profit as a percentage of revenues increased from 35.7% for the six months ended June 30, 2007 to 36.7% for the six months ended June 30, 2008 due to exchange rate fluctuations.</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SG&amp;A Expenses</w:t>
      </w:r>
      <w:r>
        <w:rPr>
          <w:rFonts w:ascii="Arial" w:cs="Arial" w:eastAsia="Arial" w:hAnsi="Arial"/>
          <w:sz w:val="16"/>
          <w:szCs w:val="16"/>
          <w:color w:val="auto"/>
        </w:rPr>
        <w:t>. SG&amp;A expenses increased 32.8% from $16.8 million for the six months ended June 30, 2007 to $22.3 million for the six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2008. General and administrative expenses increased 32.9% from $12.8 million for the six months ended June 30, 2007 to $17.1 million for the six months ended June 30, 2008 and selling and marketing expenses increased 32.4% from $4.0 million for the six months</w:t>
      </w:r>
    </w:p>
    <w:p>
      <w:pPr>
        <w:sectPr>
          <w:pgSz w:w="11900" w:h="16838" w:orient="portrait"/>
          <w:cols w:equalWidth="0" w:num="1">
            <w:col w:w="11420"/>
          </w:cols>
          <w:pgMar w:left="240" w:top="459" w:right="239" w:bottom="1440" w:gutter="0" w:footer="0" w:header="0"/>
        </w:sectPr>
      </w:pP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ended June 30, 2007 to $5.3 million for the six months ended June 30, 2008. Salary and personnel expenses increased from $8.1 million for the six months ended June 30, 2007 to $10.9 million for the six months ended June 30, 2008. These increases were primarily due to the addition of corporate staff and a decrease in utilization rates attributable to our recent expansion in the Philippines. Over all General and administrative expenses increased by $1.5 million due to the addition of a new center in the Philippines and a one-time cost associated with setting up the unit. SG&amp;A expenses include $2.3 million and $1.4 million for the six months ended June 30, 2008 and 2007, respectively, of non-cash amortization of stock compensation expense relating to our issuance of stock options to our non-operations staff. We expect our SG&amp;A expenses to increase as we add significant additional sales and marketing staff in the United States and the United Kingdom. As a percentage of revenues, SG&amp;A expenses increased from 20.3% for the six months ended June 30, 2007 to 21.3% for the six months ended June 30, 2008.</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increased 12.1% from $5.2 million for the six months ended June 30, 2007 to $5.8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2008. This increase was due to exchange rate fluctuations and expansion of our infrastructure. However, this was slightly offset by a decrease in amortization of intangibles. As we add more facilities, we expect that depreciation expense will increase to reflect the additional investment in equipment and facilities necessary to meet service requirements.</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Income From Operations</w:t>
      </w:r>
      <w:r>
        <w:rPr>
          <w:rFonts w:ascii="Arial" w:cs="Arial" w:eastAsia="Arial" w:hAnsi="Arial"/>
          <w:sz w:val="16"/>
          <w:szCs w:val="16"/>
          <w:color w:val="auto"/>
        </w:rPr>
        <w:t>. Income from operations increased 36.3% from $7.6 million for the six months ended June 30, 2007 to $10.3 million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2008. As a percentage of revenues, income from operations increased from 9.1% for the six months ended June 30, 2007 to 9.8% for the six months ended June 30, 2008. The increase in income from operations was primarily due to the increase in revenues.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Other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income is comprised of foreign exchange gains and losses, interest income and interest expense. Other income decreased from $4.9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 months ended June 30, 2007 to $2.8 million for the six months ended June 30, 2008 as a result of the decrease in foreign exchange gains and the decrease in interest income during the six months ended June 30, 2008 by $0.8 million as compared to the six months ended June 30, 2007 due to lower prevailing market interest rates.</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Provision for 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for income taxes decreased 23.8% from $1.4 million for the six months ended June 30, 2007 to $1.1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months ended June 30, 2008. The effective rate of taxes has decreased from 11.2% for the six months ended June 30, 2007 to 8.1% for the six months ended June 30, 2008. This is due to changes in the geographic distribution of our income and a change in the transfer pricing agreements among ExlService Holdings, Exl India and NCOP. We determine the pricing among our associated enterprises on the basis of detailed functional and economic analysis involving benchmarking against transactions among entities that are not under common control. Based on our analysis, we made certain changes to the transfer pricing agreements effective from April 2007. The effective rate of taxes for the year ended December 31, 2007 was 7.2%.</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Net Income to Common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to common stockholders increased 9.4% from $11.0 million for the six months ended June 30, 2007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$12.1 million for the six months ended June 30, 2008. Net income increased due to the increased revenue, impact of exchange rates after considering hedge gains and a decrease in interest income due to lower prevailing market interest rates. The increase in net income to common stockholders does not represent a trend in our results of operations and will vary as we build capacity for future ramp ups and exchange rates fluctuate. As a percentage of revenues, net income decreased from 13.3% for the six months ended June 30, 2007 to 11.5% for the six months ended June 30, 2008.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2008, we had $97.7 million in cash and cash equivalents on hand.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Cash provided by operating activities increased from $1.1 million in the six months ended June 30, 2007 to $8.3 million in the six months ended June 30, 2008. Generally, factors that affect our earnings—for example, pricing, volume of services, costs and productivity—affect our cash flows provided by operations in a similar manner. However, while management of working capital, including timing of collections and payments, affects operating results only indirectly, the impact on working capital and cash flows provided by operating activities can be significant. The increase in cash flows from operations is predominantly due to the increase in net income adjusted for non-cash items and reduction in accounts receivable, other assets and deferred revenue. This was offset by outflows due to increase in prepaid expenses and other current assets and payment of accounts payable and accrued expenses and other current liabilities. Net income adjusted for non-cash items increased in the six months ended June 30, 2008 by $5.0 million compared to the six months ended June 30, 2007 due to the continued growth in our business.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Cash used in investing activities increased to $12.2 million in the six months ended June 30, 2008 from $4.9 million in the six months ended June 30, 2007. The increase is a result of the purchase of fixed assets including purchase of fixed assets for our new facility in the Philippines and payment made towards purchase consideration for an acquisition made in six months ended June 30, 2008.</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Cash flows from financing activities decreased from an inflow of $0.9 million in the six months ended June 30, 2007 to an inflow of $0.3 million in the six months ended June 30, 2008. This is due to reduction in proceeds from exercise of stock options in the six months ended June 30, 2008.</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new facilities. Capital expenditures we make to meet client needs represent primarily leasehold improvements to build out facilities, telecommunications equipment, and computer hardware and software we purchase in connection with managing client operations. We incurred $10.5 million of capital expenditures in the six months ending June 30, 2008 from $4.9 million in the six months ended June 30, 2007. We expect to incur approximately $20.0 million of capital expenditures in 2008 primarily to meet the growth requirements of our clients, including expanding our facilities in India and in the Philippines, as well as to improve our internal technology. The timing and volume of such capital expenditures in the future will be affected by new contracts we may enter into or the expansion of our existing contracts.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in connection with the tax assessment orders issued against EXL India and Exl Inc., we may be required to deposit additional amounts with respect to similar orders for subsequent years that may be received by us.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anticipate that we will continue to rely upon cash from operating activities and cash on hand to finance our capital expenditures and working capital needs. We believe that cash flow from operations and cash on hand will be sufficient to meet our ongoing capital expenditure, working capital and other cash needs over the next two years. If we have significant growth through acquisitions or require additional operating facilities to service client contracts, we may need to obtain additional financing.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2008 and December 31, 2007, we had no off-balance sheet arrangements or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or (“SFAS No. 157”). SFAS No. 157 defines fair value, establishes guidelines for measuring fair value and expands disclosures regarding fair value measurements. SFAS No. 157 does not require any new fair value measurements but rather eliminates inconsistencies in guidance found in various prior accounting pronouncements. SFAS No. 157 is effective for fiscal years beginning after November 15, 2007. FSP 157-2 “</w:t>
      </w:r>
      <w:r>
        <w:rPr>
          <w:rFonts w:ascii="Arial" w:cs="Arial" w:eastAsia="Arial" w:hAnsi="Arial"/>
          <w:sz w:val="16"/>
          <w:szCs w:val="16"/>
          <w:i w:val="1"/>
          <w:iCs w:val="1"/>
          <w:color w:val="auto"/>
        </w:rPr>
        <w:t>Partial Deferral of the Effective Date of Statement 157</w:t>
      </w:r>
      <w:r>
        <w:rPr>
          <w:rFonts w:ascii="Arial" w:cs="Arial" w:eastAsia="Arial" w:hAnsi="Arial"/>
          <w:sz w:val="16"/>
          <w:szCs w:val="16"/>
          <w:color w:val="auto"/>
        </w:rPr>
        <w:t>” (“FSP 157-2”), deferred the effective date of SFAS No. 157 for all non-financial assets and non-financial liabilities to fiscal years beginning after November 15, 2008. The implementation of SFAS No. 157 for financial assets and financial liabilities, effective January 1, 2008, did not have a material impact on our consolidated financial position, results of operations or cash flows. We are currently evaluating the impact of SFAS No. 157 on non-financial assets and non-financial liabilities, but do not expect the adoption of SFAS No. 157 to have a material impact on our consolidated financial position, results of operations or cash flows.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In February 2007, FASB issued SFAS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No. 159”). SFAS No. 159 permits entities to choose to measure many financial instruments and certain other eligible items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SFAS No. 159 was effective as of January 1, 2008. The implementation of SFAS No. 159 did not have a material impact on our consolidated financial position, consolidated statements of income or cash flows.</w:t>
      </w:r>
    </w:p>
    <w:p>
      <w:pPr>
        <w:spacing w:after="0" w:line="143"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No.141 (revised 2007)”). SFAS No.141 (revised 2007) changes the accounting for business combinations including the measurement of acquirer shares issued in consideration for a business combination, the recognition of contingent consideration, the accounting for pre-acquisition gain and loss contingencies, the recognition of capitalized in-process research and development, the accounting for acquisition-related restructuring cost accruals, the treatment of acquisition-related transaction costs and the recognition of changes in the acquirer’s income tax valuation allowance. SFAS No. 141 (revised 2007) is effective for fiscal years beginning after December 15, 2008, with early adoption prohibited.</w:t>
      </w:r>
    </w:p>
    <w:p>
      <w:pPr>
        <w:spacing w:after="0" w:line="144"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 xml:space="preserve">In March 2008, the FASB issued SFAS No. 161, </w:t>
      </w:r>
      <w:r>
        <w:rPr>
          <w:rFonts w:ascii="Arial" w:cs="Arial" w:eastAsia="Arial" w:hAnsi="Arial"/>
          <w:sz w:val="15"/>
          <w:szCs w:val="15"/>
          <w:i w:val="1"/>
          <w:iCs w:val="1"/>
          <w:color w:val="auto"/>
        </w:rPr>
        <w:t>“Disclosures about Derivative Instruments and Hedging Activities—an amendment of FASB Statement</w:t>
      </w:r>
      <w:r>
        <w:rPr>
          <w:rFonts w:ascii="Arial" w:cs="Arial" w:eastAsia="Arial" w:hAnsi="Arial"/>
          <w:sz w:val="15"/>
          <w:szCs w:val="15"/>
          <w:color w:val="auto"/>
        </w:rPr>
        <w:t xml:space="preserve"> </w:t>
      </w:r>
      <w:r>
        <w:rPr>
          <w:rFonts w:ascii="Arial" w:cs="Arial" w:eastAsia="Arial" w:hAnsi="Arial"/>
          <w:sz w:val="15"/>
          <w:szCs w:val="15"/>
          <w:i w:val="1"/>
          <w:iCs w:val="1"/>
          <w:color w:val="auto"/>
        </w:rPr>
        <w:t>No. 133</w:t>
      </w:r>
      <w:r>
        <w:rPr>
          <w:rFonts w:ascii="Arial" w:cs="Arial" w:eastAsia="Arial" w:hAnsi="Arial"/>
          <w:sz w:val="15"/>
          <w:szCs w:val="15"/>
          <w:color w:val="auto"/>
        </w:rPr>
        <w:t>” (“SFAS No. 161”). SFAS No.161 amends and expands the disclosures required by SFAS No. 133 so that they provide an enhanced understanding of</w:t>
      </w:r>
    </w:p>
    <w:p>
      <w:pPr>
        <w:ind w:right="100" w:firstLine="8"/>
        <w:spacing w:after="0" w:line="292"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how and why an entity uses derivative instruments, (2) how derivative instruments and related hedged items are accounted for under SFAS No. 133 and its related interpretations and (3) how derivative instruments affect an entity’s financial position, financial performance, and cash flows. SFAS No. 161 encourages, but does not require, comparative disclosures for earlier periods at initial adoption. SFAS No. 161 is effective for financial statements issued for fiscal years and interim periods beginning after November 15, 2008, with early application encouraged. The Company is currently evaluating the impact of SFAS No. 161 and therefore had not adopted SFAS No. 161 as of June 30, 2008.</w:t>
      </w:r>
    </w:p>
    <w:p>
      <w:pPr>
        <w:spacing w:after="0" w:line="11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April 2008, the FASB issued FASB Staff Position No. 142-3, “Determination of the Useful Life of Intangible Assets,” (“FSP 142-3”). FSP 142-3 amends the factors an entity should consider in developing renewal or extension assumptions used in determining the useful life of recognized intangible assets under FASB Statement No. 142, “Goodwill and Other Intangible Assets”. This new guidance applies prospectively to intangible assets that are acquired individually or with a group of other assets in business combinations and asset acquisitions. FSP 142-3 is effective for financial statements issued for fiscal years and interim periods beginning after December 15, 2008 with early adoption prohibited.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those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4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exchange rates between the currencies in which we receive our revenues and the currencies in which we incur our costs;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the withdrawal of governmental fiscal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ectPr>
          <w:pgSz w:w="11900" w:h="16838" w:orient="portrait"/>
          <w:cols w:equalWidth="0" w:num="1">
            <w:col w:w="11360"/>
          </w:cols>
          <w:pgMar w:left="240" w:top="459" w:right="299" w:bottom="76" w:gutter="0" w:footer="0" w:header="0"/>
        </w:sectPr>
      </w:pP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60"/>
          </w:cols>
          <w:pgMar w:left="240" w:top="459" w:right="299" w:bottom="76"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risks could cause actual results to differ materially from those implied by forward looking statements in this Quarterly Report of Form 10-Q.</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keep in mind that any forward looking statement made by us in this Quarterly Report on Form 10-Q, or elsewhere, speaks only as of the date on which we make it. New risks and uncertainties come up from time to time, and it is impossible for us to predict these events or how they may affect us. We have no obligation to update any forward looking statements in this Quarterly Report on Form 10-Q after the date of this Quarterly Report on Form 10-Q, except as required by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There have been no material changes to our contractual obligations during the period covered by this Quarterly Report on Form 10-Q from the statements set forth in our Annual Report on Form 10-K for the fiscal year ended December 31, 2007 under “Management’s Discussion and Analysis of Financial Condition and Results of Operations—Contractual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Most of our exposure to market risk arises out of our foreign currency accounts receivable. Pursuant to our investment policy, our surplus funds are kept as cash or cash equivalents and are invested in highly-rated commercial paper and money market accounts to reduce our exposure to market risk with regard to these funds.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our subsidiaries Exl Inc., Inductis LLC and Inductis Inc., is the U.S. dollar.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 currency of Exl India, NCOP, Inductis India and ESSPL is the Indian rupee. The functional currency of Exl UK is the U.K. pound sterling. The functional currency of Inductis (Singapore) Pte Limited is the Singapore dollar. The functional currency of Exl Philippines is the Philippines Peso. In each case, the functional currency is the currency of the primary economic environment in which that entity operates. Monetary assets and liabilities in foreign currency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statements of operations. The assets and liabilities of subsidiaries are translated into U.S. dollars at the rate of exchange prevailing on the related balance sheet date. Revenues and expenses are translated into U.S. dollars at the exchange rates prevailing on the last business day of each month, which approximates the average monthly exchange rate. Resulting translation adjustments are included in the “accumulated other comprehensive income/ (loss)” in our June 30, 2008 unaudited consolidated balance sheet.</w:t>
      </w:r>
    </w:p>
    <w:p>
      <w:pPr>
        <w:spacing w:after="0" w:line="12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Our exposure to market risk arises principally from exchange rate risk. Although substantially all of our revenues are denominated in U.K. pounds sterling or U.S. dollars (52.6% and 47.0%, respectively, for the three months ended June 30, 2008 and 52.9% and 46.8%, respectively, for the six months ended June 30, 2008, as compared to 54.0% and 45.8%, respectively, for the three months ended June 30, 2007 and 52.9% and 46.9%, respectively, for the six months ended June 30, 2007), most of our expenses (64.5% in the three months ended June 30, 2008 and 65.5% in the six months ended June 30, 2008, as compared to 69.1% in the three months ended June 30, 2007 and 65.7% in the six months ended June 30, 2007) were incurred and paid in Indian rupees. The exchange rates among the Indian rupee, U.K. pound sterling, Philippines Peso and the U.S. dollar have changed substantially in recent years and may fluctuate substantially in the future.</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exchange rate risk primarily arises from our foreign currency revenues, expenses incurred by our foreign subsidiaries and foreign currency accounts receivable. Based upon our level of operations during the three and six months ended June 30, 2008 and excluding any hedging arrangements that we had in place during that period, a 5.0% appreciation/depreciation in the U.K. pound sterling against the U.S. dollar would have increased/decreased revenues in the three months ended June 30, 2008 and six months ended June 30, 2008 by approximately $1.4 million and $2.8 million, respectively. Similarly, a 5.0% appreciation/depreciation in the Indian rupee against the U.S. dollar would have increased/decreased our expenses incurred and paid in Indian rupees in the three months ended June 30, 2008 by approximately $1.7 million and in the six months ended June 30, 2008 by approximately $3.4 million.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sought to reduce the effect of Indian rupee and U.K. pound sterling (GBP) exchange rate fluctuations on our operating results by purchasing forward foreign exchange contracts to cover a substantial portion of cost incurred in our India operations. Forward exchange contracts with a notional amount of $84.3 million and GBP41.7 million was outstanding at June 30, 2008 and of $44.3 million and GBP31.4 million were outstanding at December 31, 2007. The forward foreign exchange contracts typically mature within twelve months must be settled on the day of maturity and may be cancelled subject to the payment of any gains or losses in the difference between the contract exchange rate and the market exchange rate on the date of cancellation. We use these instruments as cash flow hedges and not for speculative purposes. We may not purchase contracts adequate to insulate ourselves from Indian rupee and U.K. pound sterling foreign exchange currency risks. In addition, any such contracts may not perform adequately as a hedging mechanism. We may, in the future, adopt more active hedging policies, and have done so in the past.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Interest Rate Sensitivity. </w:t>
      </w:r>
      <w:r>
        <w:rPr>
          <w:rFonts w:ascii="Arial" w:cs="Arial" w:eastAsia="Arial" w:hAnsi="Arial"/>
          <w:sz w:val="16"/>
          <w:szCs w:val="16"/>
          <w:color w:val="auto"/>
        </w:rPr>
        <w:t>We had cash, cash equivalents and restricted cash totaling $98.2 million at June 30, 2008. During the three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2008 and six months ended June 30 2008, these amounts were invested principally in a short-term investment portfolio primarily comprised of investment grade commercial paper, U.S. treasury bills, mutual funds and money market accounts. The cash and cash equivalents are held for potential acquisitions of complementary businesses or assets, working capital requirements and general corporate purposes. We do not enter into investments for trading or speculative purposes. We believe that we have no material exposure to changes in the fair value of our investment portfolio as a result of changes in interest rates. The interest income from these funds will be subject to fluctuations due to changes in interest rates. Declines in interest rates would reduce future investment income. A 1.0% decrease in short term rates would reduce our interest income for the three months ended June 30, 2008 by approximately $0.1 million and for the six months ended June 30, 2008 by approximately $0.3million.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the Company files under the Securities Exchange Act of 1934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Quarterly Report on Form 10-Q, the Company’s management carried out an evaluation, under the supervision and with the participation of the CEO and CFO, of the effectiveness and operation of our disclosure controls and procedures as of June 30, 2008. Based upon that evaluation, the CEO and CFO have concluded that, as of June 30, 2008, our disclosure controls and procedures were effective to provide reasonable assurance that the information required to be disclosed by us in reports filed under the Exchange Act were (i) recorded, processed, summarized and reported within the time periods specified in the SEC’s rules and forms and (ii) accumulated and communicated to our management, to allow timely decisions regarding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three months ended June 30, 2008,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ITEM1. LEGAL PROCEEDINGS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disclosed under the heading “Legal Proceedings” in our Annual Report on Form 10-K for the fiscal year ended December 31, 2007 certain proceedings which may materially affect our business, financial condition or results of operations. You should carefully consider the disclosures set forth in our Annual Report on Form 10-K for the fiscal year ended December 31, 2007 and the other information set forth elsewhere in this Quarterly Report on Form 10-Q.</w:t>
      </w:r>
    </w:p>
    <w:p>
      <w:pPr>
        <w:spacing w:after="0" w:line="10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As previously disclosed in our Annual Report on Form 10-K for the fiscal year ended December 31, 2007, we are currently involved in disputes with the Indian tax authorities over the application of some of our transfer pricing policies. Indian transfer pricing regulations require that any international transaction involving related corporations be at an arm’s-length price. Transactions among our subsidiaries and the Company may be required to satisfy such requirements. The Indian tax authorities have issued assessment orders against our subsidiaries EXL Inc. and EXL India. Two assessments issued with respect to EXL Inc. and EXL India allege that transfer pricing applied to transactions between such entities was not appropriate and demand the payment of additional taxes based on the disallowance of certain tax deductions taken by EXL India. Three assessments issued with respect to EXL Inc. allege that it has a permanent establishment in India and demands the payment of certain additional taxes based on such allegation. The details of the assessment orders are as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Tax</w:t>
            </w:r>
          </w:p>
        </w:tc>
        <w:tc>
          <w:tcPr>
            <w:tcW w:w="7740" w:type="dxa"/>
            <w:vAlign w:val="bottom"/>
            <w:vMerge w:val="restart"/>
          </w:tcPr>
          <w:p>
            <w:pPr>
              <w:ind w:left="3720"/>
              <w:spacing w:after="0"/>
              <w:rPr>
                <w:sz w:val="20"/>
                <w:szCs w:val="20"/>
                <w:color w:val="auto"/>
              </w:rPr>
            </w:pPr>
            <w:r>
              <w:rPr>
                <w:rFonts w:ascii="Arial" w:cs="Arial" w:eastAsia="Arial" w:hAnsi="Arial"/>
                <w:sz w:val="14"/>
                <w:szCs w:val="14"/>
                <w:b w:val="1"/>
                <w:bCs w:val="1"/>
                <w:color w:val="auto"/>
              </w:rPr>
              <w:t>Issue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7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demanded</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deposited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Exl India</w:t>
            </w:r>
          </w:p>
        </w:tc>
        <w:tc>
          <w:tcPr>
            <w:tcW w:w="7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0"/>
              </w:rPr>
              <w:t>2003-04</w:t>
            </w:r>
          </w:p>
        </w:tc>
        <w:tc>
          <w:tcPr>
            <w:tcW w:w="7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The assessment order alleges that the transfer price we applied to transactions between EXL India and EXL</w:t>
            </w:r>
          </w:p>
        </w:tc>
        <w:tc>
          <w:tcPr>
            <w:tcW w:w="24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2.2 million</w:t>
            </w:r>
          </w:p>
        </w:tc>
        <w:tc>
          <w:tcPr>
            <w:tcW w:w="1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3"/>
              </w:rPr>
              <w:t>2.2 million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89"/>
              </w:rPr>
              <w:t>Inc. in the 2003-04 tax year was not appropriate and disallows certain expenses claimed as tax deductible by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EXL India.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800" w:type="dxa"/>
            <w:vAlign w:val="bottom"/>
            <w:gridSpan w:val="3"/>
          </w:tcPr>
          <w:p>
            <w:pPr>
              <w:spacing w:after="0"/>
              <w:rPr>
                <w:sz w:val="20"/>
                <w:szCs w:val="20"/>
                <w:color w:val="auto"/>
              </w:rPr>
            </w:pPr>
            <w:r>
              <w:rPr>
                <w:rFonts w:ascii="Arial" w:cs="Arial" w:eastAsia="Arial" w:hAnsi="Arial"/>
                <w:sz w:val="18"/>
                <w:szCs w:val="18"/>
                <w:color w:val="auto"/>
              </w:rPr>
              <w:t>Exl India</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2004-05</w:t>
            </w:r>
          </w:p>
        </w:tc>
        <w:tc>
          <w:tcPr>
            <w:tcW w:w="7740" w:type="dxa"/>
            <w:vAlign w:val="bottom"/>
          </w:tcPr>
          <w:p>
            <w:pPr>
              <w:spacing w:after="0"/>
              <w:rPr>
                <w:sz w:val="20"/>
                <w:szCs w:val="20"/>
                <w:color w:val="auto"/>
              </w:rPr>
            </w:pPr>
            <w:r>
              <w:rPr>
                <w:rFonts w:ascii="Arial" w:cs="Arial" w:eastAsia="Arial" w:hAnsi="Arial"/>
                <w:sz w:val="18"/>
                <w:szCs w:val="18"/>
                <w:color w:val="auto"/>
                <w:w w:val="89"/>
              </w:rPr>
              <w:t>The assessment order alleges that the transfer price we applied to transactions between EXL India and EXL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2.3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2.3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w w:val="88"/>
              </w:rPr>
              <w:t>Inc. for the 2004-05 tax year was not appropriate and disallows certain expenses claimed as tax deductible by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EXL India.</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2003-04</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1.6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0" w:type="dxa"/>
            <w:vAlign w:val="bottom"/>
            <w:gridSpan w:val="3"/>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2004-05</w:t>
            </w:r>
          </w:p>
        </w:tc>
        <w:tc>
          <w:tcPr>
            <w:tcW w:w="7740" w:type="dxa"/>
            <w:vAlign w:val="bottom"/>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0.1 million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40"/>
              <w:spacing w:after="0"/>
              <w:rPr>
                <w:sz w:val="20"/>
                <w:szCs w:val="20"/>
                <w:color w:val="auto"/>
              </w:rPr>
            </w:pPr>
            <w:r>
              <w:rPr>
                <w:rFonts w:ascii="Arial" w:cs="Arial" w:eastAsia="Arial" w:hAnsi="Arial"/>
                <w:sz w:val="18"/>
                <w:szCs w:val="18"/>
                <w:color w:val="auto"/>
                <w:w w:val="96"/>
              </w:rPr>
              <w:t>0.1 million</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Exl Inc.</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2005-06</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The assessment order alleges that EXL Inc. has a permanent establishment in India.</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0.8 million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0.4 million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Based on advice from our Indian tax advisors, the facts underlying our position and our experience with these types of assessments, we believe that the probability of loss is remote and have not accrued any amount with respect to these matters in our unaudited consolidated financial statements. Any amount paid by us as deposits will be refunded to us with interest if we succeed in our appeals. We cannot assure you that our appeals will be successful or that these appeals will be finally resolved in the near future. Amounts paid as deposits in respect of the assessments described above, totaling $6.6 million and $4.3 million as of June 30, 2008 and December 31, 2007, respectively, are included in “Other Assets” in our consolidated balance sheet.</w:t>
      </w:r>
    </w:p>
    <w:p>
      <w:pPr>
        <w:spacing w:after="0" w:line="1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deposited the entire amount demanded by the Indian tax authorities with respect to the assessment orders received by Exl India and partial amounts with respect to the assessment orders received by Exl Inc. The Indian tax authorities are currently conducting an audit of our 2005-06 tax year. There can be no assurance that we will not receive additional assessments or will not be required to pay significant additional taxes with respect to that year. There is a likelihood that we might receive similar orders for other years until the above disputes are resolved. Future claims may be based on the transfer pricing or permanent establishment claims alleged by the Indian tax authorities, or may be based on alternative arguments. Any failure of our appeals or further assessments would reduce our profitability and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June 30, 2008, the Company acquired 650 shares of common stock from employees in connection with withholding tax payments related to the vesting of restricted stock for a total consideration of $15,889. The purchase price of $24.44 per share was the average of the high and low price of our shares of common stock on the Nasdaq Global Select Market on the trading day prior to the vesting date of the shares of restricted stock. During the six months ended June 30, 2008, the Company acquired 1,253 shares of common stock from employees in connection with withholding tax payments related to the vesting of restricted stock for a total consideration of $28,828. These shares are held as treasury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held its 2008 Annual Meeting of Stockholders on June 19, 2008 at its offices in New York, New York. Of the 28,778,799 shares of common stock entitled to vote at the meeting, 26,383,933 shares were represented at the meeting in person or by proxy, constituting a quorum. The voting results were as follows:</w:t>
      </w:r>
    </w:p>
    <w:p>
      <w:pPr>
        <w:spacing w:after="0" w:line="140" w:lineRule="exact"/>
        <w:rPr>
          <w:sz w:val="20"/>
          <w:szCs w:val="20"/>
          <w:color w:val="auto"/>
        </w:rPr>
      </w:pPr>
    </w:p>
    <w:p>
      <w:pPr>
        <w:ind w:right="6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stockholders elected the following Directors to serve until the Company’s 2011 Annual Meeting of Stockholders and until their successors are duly elected and qualified. The votes were as follows: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1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4"/>
              </w:rPr>
              <w:t>Votes in Favor</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4"/>
              </w:rPr>
              <w:t>Votes Withheld</w:t>
            </w:r>
          </w:p>
        </w:tc>
      </w:tr>
      <w:tr>
        <w:trPr>
          <w:trHeight w:val="201"/>
        </w:trPr>
        <w:tc>
          <w:tcPr>
            <w:tcW w:w="1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8"/>
              </w:rPr>
              <w:t>David B. Kelso</w:t>
            </w:r>
          </w:p>
        </w:tc>
        <w:tc>
          <w:tcPr>
            <w:tcW w:w="4780" w:type="dxa"/>
            <w:vAlign w:val="bottom"/>
          </w:tcPr>
          <w:p>
            <w:pPr>
              <w:spacing w:after="0"/>
              <w:rPr>
                <w:sz w:val="17"/>
                <w:szCs w:val="17"/>
                <w:color w:val="auto"/>
              </w:rPr>
            </w:pPr>
          </w:p>
        </w:tc>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26,312,951</w:t>
            </w:r>
          </w:p>
        </w:tc>
        <w:tc>
          <w:tcPr>
            <w:tcW w:w="980" w:type="dxa"/>
            <w:vAlign w:val="bottom"/>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70,982</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Clyde W. Ostler</w:t>
            </w: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w w:val="90"/>
              </w:rPr>
              <w:t>26,313,618</w:t>
            </w:r>
          </w:p>
        </w:tc>
        <w:tc>
          <w:tcPr>
            <w:tcW w:w="880" w:type="dxa"/>
            <w:vAlign w:val="bottom"/>
          </w:tcPr>
          <w:p>
            <w:pPr>
              <w:jc w:val="right"/>
              <w:spacing w:after="0"/>
              <w:rPr>
                <w:sz w:val="20"/>
                <w:szCs w:val="20"/>
                <w:color w:val="auto"/>
              </w:rPr>
            </w:pPr>
            <w:r>
              <w:rPr>
                <w:rFonts w:ascii="Arial" w:cs="Arial" w:eastAsia="Arial" w:hAnsi="Arial"/>
                <w:sz w:val="18"/>
                <w:szCs w:val="18"/>
                <w:color w:val="auto"/>
              </w:rPr>
              <w:t>70,315</w:t>
            </w: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w w:val="90"/>
              </w:rPr>
              <w:t>26,239,909</w:t>
            </w:r>
          </w:p>
        </w:tc>
        <w:tc>
          <w:tcPr>
            <w:tcW w:w="880" w:type="dxa"/>
            <w:vAlign w:val="bottom"/>
          </w:tcPr>
          <w:p>
            <w:pPr>
              <w:jc w:val="right"/>
              <w:spacing w:after="0"/>
              <w:rPr>
                <w:sz w:val="20"/>
                <w:szCs w:val="20"/>
                <w:color w:val="auto"/>
              </w:rPr>
            </w:pPr>
            <w:r>
              <w:rPr>
                <w:rFonts w:ascii="Arial" w:cs="Arial" w:eastAsia="Arial" w:hAnsi="Arial"/>
                <w:sz w:val="18"/>
                <w:szCs w:val="18"/>
                <w:color w:val="auto"/>
              </w:rPr>
              <w:t>144,024</w:t>
            </w:r>
          </w:p>
        </w:tc>
      </w:tr>
    </w:tbl>
    <w:p>
      <w:pPr>
        <w:spacing w:after="0" w:line="156" w:lineRule="exact"/>
        <w:rPr>
          <w:sz w:val="20"/>
          <w:szCs w:val="20"/>
          <w:color w:val="auto"/>
        </w:rPr>
      </w:pPr>
    </w:p>
    <w:p>
      <w:pPr>
        <w:ind w:right="24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stockholders ratified the selection of Ernst &amp; Young LLP as the independent registered public account firm of the Company for fiscal year 2008. The votes were as follows:</w:t>
      </w:r>
    </w:p>
    <w:p>
      <w:pPr>
        <w:spacing w:after="0" w:line="168" w:lineRule="exact"/>
        <w:rPr>
          <w:sz w:val="20"/>
          <w:szCs w:val="20"/>
          <w:color w:val="auto"/>
        </w:rPr>
      </w:pPr>
    </w:p>
    <w:tbl>
      <w:tblPr>
        <w:tblLayout w:type="fixed"/>
        <w:tblInd w:w="25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800" w:type="dxa"/>
            <w:vAlign w:val="bottom"/>
            <w:gridSpan w:val="2"/>
          </w:tcPr>
          <w:p>
            <w:pPr>
              <w:jc w:val="center"/>
              <w:ind w:right="2200"/>
              <w:spacing w:after="0"/>
              <w:rPr>
                <w:sz w:val="20"/>
                <w:szCs w:val="20"/>
                <w:color w:val="auto"/>
              </w:rPr>
            </w:pPr>
            <w:r>
              <w:rPr>
                <w:rFonts w:ascii="Arial" w:cs="Arial" w:eastAsia="Arial" w:hAnsi="Arial"/>
                <w:sz w:val="14"/>
                <w:szCs w:val="14"/>
                <w:b w:val="1"/>
                <w:bCs w:val="1"/>
                <w:color w:val="auto"/>
                <w:w w:val="86"/>
              </w:rPr>
              <w:t>Votes 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Votes Against</w:t>
            </w:r>
          </w:p>
        </w:tc>
        <w:tc>
          <w:tcPr>
            <w:tcW w:w="20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Abstained</w:t>
            </w:r>
          </w:p>
        </w:tc>
      </w:tr>
      <w:tr>
        <w:trPr>
          <w:trHeight w:val="216"/>
        </w:trPr>
        <w:tc>
          <w:tcPr>
            <w:tcW w:w="1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2"/>
              </w:rPr>
              <w:t>26,378,293</w:t>
            </w:r>
          </w:p>
        </w:tc>
        <w:tc>
          <w:tcPr>
            <w:tcW w:w="2200" w:type="dxa"/>
            <w:vAlign w:val="bottom"/>
          </w:tcPr>
          <w:p>
            <w:pPr>
              <w:spacing w:after="0"/>
              <w:rPr>
                <w:sz w:val="18"/>
                <w:szCs w:val="18"/>
                <w:color w:val="auto"/>
              </w:rPr>
            </w:pPr>
          </w:p>
        </w:tc>
        <w:tc>
          <w:tcPr>
            <w:tcW w:w="840" w:type="dxa"/>
            <w:vAlign w:val="bottom"/>
            <w:tcBorders>
              <w:top w:val="single" w:sz="8" w:color="auto"/>
            </w:tcBorders>
          </w:tcPr>
          <w:p>
            <w:pPr>
              <w:jc w:val="right"/>
              <w:ind w:right="142"/>
              <w:spacing w:after="0"/>
              <w:rPr>
                <w:sz w:val="20"/>
                <w:szCs w:val="20"/>
                <w:color w:val="auto"/>
              </w:rPr>
            </w:pPr>
            <w:r>
              <w:rPr>
                <w:rFonts w:ascii="Arial" w:cs="Arial" w:eastAsia="Arial" w:hAnsi="Arial"/>
                <w:sz w:val="18"/>
                <w:szCs w:val="18"/>
                <w:color w:val="auto"/>
              </w:rPr>
              <w:t>3,400</w:t>
            </w:r>
          </w:p>
        </w:tc>
        <w:tc>
          <w:tcPr>
            <w:tcW w:w="2080" w:type="dxa"/>
            <w:vAlign w:val="bottom"/>
          </w:tcPr>
          <w:p>
            <w:pPr>
              <w:spacing w:after="0"/>
              <w:rPr>
                <w:sz w:val="18"/>
                <w:szCs w:val="18"/>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2,240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117"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Second Amended and Restated Bylaws (incorporated by reference to Exhibit 3.1 to the Current Report on Form 8-K of ExlService Holdings, Inc. filed on April 30, 2008).</w:t>
      </w:r>
    </w:p>
    <w:p>
      <w:pPr>
        <w:spacing w:after="0" w:line="78" w:lineRule="exact"/>
        <w:rPr>
          <w:sz w:val="20"/>
          <w:szCs w:val="20"/>
          <w:color w:val="auto"/>
        </w:rPr>
      </w:pPr>
    </w:p>
    <w:p>
      <w:pPr>
        <w:ind w:left="700" w:right="200" w:hanging="688"/>
        <w:spacing w:after="0" w:line="268" w:lineRule="auto"/>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Executive Chairman of ExlService Holdings, pursuant to Rule 13a-14 of the Exchange Act, as adopted pursuant to Section 302 of the Sarbanes-Oxley Act of 2002.</w:t>
      </w:r>
    </w:p>
    <w:p>
      <w:pPr>
        <w:spacing w:after="0" w:line="78" w:lineRule="exact"/>
        <w:rPr>
          <w:sz w:val="20"/>
          <w:szCs w:val="20"/>
          <w:color w:val="auto"/>
        </w:rPr>
      </w:pPr>
    </w:p>
    <w:p>
      <w:pPr>
        <w:ind w:left="700" w:right="20" w:hanging="688"/>
        <w:spacing w:after="0" w:line="268"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President and Chief Executive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Certification of the Chief Financial Officer of ExlService Holdings, pursuant to Rule 13a-14 of the Exchange Act, as adopted pursuant to Section 302 of the Sarbanes-Oxley Act of 2002.</w:t>
      </w:r>
    </w:p>
    <w:p>
      <w:pPr>
        <w:spacing w:after="0" w:line="78" w:lineRule="exact"/>
        <w:rPr>
          <w:sz w:val="20"/>
          <w:szCs w:val="20"/>
          <w:color w:val="auto"/>
        </w:rPr>
      </w:pPr>
    </w:p>
    <w:p>
      <w:pPr>
        <w:ind w:left="700" w:right="800" w:hanging="688"/>
        <w:spacing w:after="0" w:line="268"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Executive Chairman pursuant to Rule 13a-14(b) of the Exchange Act and 18 U.S.C. Section 1350, as adopted pursuant to Section 906 of the Sarbanes-Oxley Act of 2002.</w:t>
      </w:r>
    </w:p>
    <w:p>
      <w:pPr>
        <w:spacing w:after="0" w:line="78" w:lineRule="exact"/>
        <w:rPr>
          <w:sz w:val="20"/>
          <w:szCs w:val="20"/>
          <w:color w:val="auto"/>
        </w:rPr>
      </w:pPr>
    </w:p>
    <w:p>
      <w:pPr>
        <w:ind w:left="700" w:right="380" w:hanging="688"/>
        <w:spacing w:after="0" w:line="268"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President and Chief Executive Officer pursuant to Rule 13a-14(b) of the Exchange Act and 18 U.S.C. Section 1350, as adopted pursuant to Section 906 of the Sarbanes-Oxley Act of 2002.</w:t>
      </w:r>
    </w:p>
    <w:p>
      <w:pPr>
        <w:spacing w:after="0" w:line="78" w:lineRule="exact"/>
        <w:rPr>
          <w:sz w:val="20"/>
          <w:szCs w:val="20"/>
          <w:color w:val="auto"/>
        </w:rPr>
      </w:pPr>
    </w:p>
    <w:p>
      <w:pPr>
        <w:ind w:left="700" w:right="600" w:hanging="688"/>
        <w:spacing w:after="0" w:line="268" w:lineRule="auto"/>
        <w:tabs>
          <w:tab w:leader="none" w:pos="68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Certification of the Chief Financial Officer pursuant to Rule 13a-14(b) of the Exchange Act and 18 U.S.C. Section 1350, as adopted pursuant to Section 906 of the Sarbanes-Oxley Act of 2002.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900" w:val="left"/>
          <w:tab w:leader="none" w:pos="7880" w:val="left"/>
          <w:tab w:leader="none" w:pos="8240" w:val="left"/>
        </w:tabs>
        <w:rPr>
          <w:sz w:val="20"/>
          <w:szCs w:val="20"/>
          <w:color w:val="auto"/>
        </w:rPr>
      </w:pPr>
      <w:r>
        <w:rPr>
          <w:rFonts w:ascii="Arial" w:cs="Arial" w:eastAsia="Arial" w:hAnsi="Arial"/>
          <w:sz w:val="18"/>
          <w:szCs w:val="18"/>
          <w:color w:val="auto"/>
        </w:rPr>
        <w:t>Date: August 11,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Chief Financial Officer</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15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240" w:top="459" w:right="6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Vikram Talwar, certify that:</w:t>
      </w:r>
    </w:p>
    <w:p>
      <w:pPr>
        <w:spacing w:after="0" w:line="2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2008</w:t>
      </w:r>
    </w:p>
    <w:p>
      <w:pPr>
        <w:spacing w:after="0" w:line="200" w:lineRule="exact"/>
        <w:rPr>
          <w:sz w:val="20"/>
          <w:szCs w:val="20"/>
          <w:color w:val="auto"/>
        </w:rPr>
      </w:pPr>
    </w:p>
    <w:p>
      <w:pPr>
        <w:spacing w:after="0" w:line="228"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2008</w:t>
      </w:r>
    </w:p>
    <w:p>
      <w:pPr>
        <w:spacing w:after="0" w:line="200" w:lineRule="exact"/>
        <w:rPr>
          <w:sz w:val="20"/>
          <w:szCs w:val="20"/>
          <w:color w:val="auto"/>
        </w:rPr>
      </w:pPr>
    </w:p>
    <w:p>
      <w:pPr>
        <w:spacing w:after="0" w:line="228"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Matthew Appel, certify that:</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211" w:lineRule="exact"/>
        <w:rPr>
          <w:rFonts w:ascii="Arial" w:cs="Arial" w:eastAsia="Arial" w:hAnsi="Arial"/>
          <w:sz w:val="18"/>
          <w:szCs w:val="18"/>
          <w:color w:val="auto"/>
        </w:rPr>
      </w:pPr>
    </w:p>
    <w:p>
      <w:pPr>
        <w:ind w:left="460" w:right="260" w:hanging="452"/>
        <w:spacing w:after="0" w:line="370"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5"/>
          <w:szCs w:val="15"/>
          <w:color w:val="auto"/>
        </w:rPr>
      </w:pP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5" w:lineRule="exact"/>
        <w:rPr>
          <w:rFonts w:ascii="Arial" w:cs="Arial" w:eastAsia="Arial" w:hAnsi="Arial"/>
          <w:sz w:val="16"/>
          <w:szCs w:val="16"/>
          <w:color w:val="auto"/>
        </w:rPr>
      </w:pPr>
    </w:p>
    <w:p>
      <w:pPr>
        <w:ind w:left="460" w:right="58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2008</w:t>
      </w:r>
    </w:p>
    <w:p>
      <w:pPr>
        <w:spacing w:after="0" w:line="200" w:lineRule="exact"/>
        <w:rPr>
          <w:sz w:val="20"/>
          <w:szCs w:val="20"/>
          <w:color w:val="auto"/>
        </w:rPr>
      </w:pPr>
    </w:p>
    <w:p>
      <w:pPr>
        <w:spacing w:after="0" w:line="228" w:lineRule="exact"/>
        <w:rPr>
          <w:sz w:val="20"/>
          <w:szCs w:val="20"/>
          <w:color w:val="auto"/>
        </w:rPr>
      </w:pPr>
    </w:p>
    <w:p>
      <w:pPr>
        <w:jc w:val="center"/>
        <w:ind w:lef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2008 as filed with the Securities and Exchange Commission on the date hereof (the “Report”), I, Vikram Talwar, Executive Chairman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left="686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Chairman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August 11, 2008</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2008 as filed with the Securities and Exchange Commission on the date hereof (the “Report”), I, Rohit Kapoor, President and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left="6860"/>
        <w:spacing w:after="0"/>
        <w:tabs>
          <w:tab w:leader="none" w:pos="1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OHIT</w:t>
      </w:r>
      <w:r>
        <w:rPr>
          <w:rFonts w:ascii="Arial" w:cs="Arial" w:eastAsia="Arial" w:hAnsi="Arial"/>
          <w:sz w:val="16"/>
          <w:szCs w:val="16"/>
          <w:color w:val="auto"/>
        </w:rPr>
        <w:t xml:space="preserve"> K</w:t>
      </w:r>
      <w:r>
        <w:rPr>
          <w:rFonts w:ascii="Arial" w:cs="Arial" w:eastAsia="Arial" w:hAnsi="Arial"/>
          <w:sz w:val="13"/>
          <w:szCs w:val="13"/>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Rohit Kapoor</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August 11, 2008</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ExlService Holdings, Inc. (the “Company”) on Form 10-Q for the period ending June 30, 2008 as filed with the Securities and Exchange Commission on the date hereof (the “Report”), I, Matthew Appel, Chief Financial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jc w:val="center"/>
        <w:ind w:left="684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w:t>
      </w:r>
      <w:r>
        <w:rPr>
          <w:rFonts w:ascii="Arial" w:cs="Arial" w:eastAsia="Arial" w:hAnsi="Arial"/>
          <w:sz w:val="13"/>
          <w:szCs w:val="13"/>
          <w:color w:val="auto"/>
        </w:rPr>
        <w:t>ATTHEW</w:t>
      </w:r>
      <w:r>
        <w:rPr>
          <w:rFonts w:ascii="Arial" w:cs="Arial" w:eastAsia="Arial" w:hAnsi="Arial"/>
          <w:sz w:val="16"/>
          <w:szCs w:val="16"/>
          <w:color w:val="auto"/>
        </w:rPr>
        <w:t xml:space="preserve"> A</w:t>
      </w:r>
      <w:r>
        <w:rPr>
          <w:rFonts w:ascii="Arial" w:cs="Arial" w:eastAsia="Arial" w:hAnsi="Arial"/>
          <w:sz w:val="13"/>
          <w:szCs w:val="13"/>
          <w:color w:val="auto"/>
        </w:rPr>
        <w:t>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Matthew Appel</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August 11,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13"/>
    </w:lvl>
  </w:abstractNum>
  <w:abstractNum w:abstractNumId="5">
    <w:nsid w:val="3352255A"/>
    <w:multiLevelType w:val="hybridMultilevel"/>
    <w:lvl w:ilvl="0">
      <w:lvlJc w:val="left"/>
      <w:lvlText w:val="%1."/>
      <w:numFmt w:val="decimal"/>
      <w:start w:val="14"/>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decimal"/>
      <w:start w:val="1"/>
    </w:lvl>
    <w:lvl w:ilvl="1">
      <w:lvlJc w:val="left"/>
      <w:lvlText w:val="(%2)"/>
      <w:numFmt w:val="lowerLetter"/>
      <w:start w:val="1"/>
    </w:lvl>
  </w:abstractNum>
  <w:abstractNum w:abstractNumId="15">
    <w:nsid w:val="431BD7B7"/>
    <w:multiLevelType w:val="hybridMultilevel"/>
    <w:lvl w:ilvl="0">
      <w:lvlJc w:val="left"/>
      <w:lvlText w:val="%1."/>
      <w:numFmt w:val="decimal"/>
      <w:start w:val="1"/>
    </w:lvl>
    <w:lvl w:ilvl="1">
      <w:lvlJc w:val="left"/>
      <w:lvlText w:val="(%2)"/>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2019-12-15T09:40:26Z</dcterms:created>
  <dcterms:modified xsi:type="dcterms:W3CDTF">2019-12-15T09:40:26Z</dcterms:modified>
</cp:coreProperties>
</file>