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63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300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AYYAPPAN AJAY</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56"/>
        <w:spacing w:after="0"/>
        <w:rPr>
          <w:sz w:val="20"/>
          <w:szCs w:val="20"/>
          <w:color w:val="auto"/>
        </w:rPr>
      </w:pPr>
      <w:r>
        <w:rPr>
          <w:rFonts w:ascii="Arial" w:cs="Arial" w:eastAsia="Arial" w:hAnsi="Arial"/>
          <w:sz w:val="16"/>
          <w:szCs w:val="16"/>
          <w:color w:val="0000FF"/>
        </w:rPr>
        <w:t>SVP &amp; GEN Counsel/corp sect'y</w:t>
      </w:r>
    </w:p>
    <w:p>
      <w:pPr>
        <w:spacing w:after="0" w:line="325"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153670</wp:posOffset>
            </wp:positionV>
            <wp:extent cx="6967220" cy="1530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530985"/>
                    </a:xfrm>
                    <a:prstGeom prst="rect">
                      <a:avLst/>
                    </a:prstGeom>
                    <a:noFill/>
                  </pic:spPr>
                </pic:pic>
              </a:graphicData>
            </a:graphic>
          </wp:anchor>
        </w:drawing>
      </w:r>
    </w:p>
    <w:p>
      <w:pPr>
        <w:spacing w:after="0" w:line="303"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00" w:type="dxa"/>
            <w:vAlign w:val="bottom"/>
          </w:tcPr>
          <w:p>
            <w:pPr>
              <w:jc w:val="center"/>
              <w:spacing w:after="0"/>
              <w:rPr>
                <w:sz w:val="20"/>
                <w:szCs w:val="20"/>
                <w:color w:val="auto"/>
              </w:rPr>
            </w:pPr>
            <w:r>
              <w:rPr>
                <w:rFonts w:ascii="Arial" w:cs="Arial" w:eastAsia="Arial" w:hAnsi="Arial"/>
                <w:sz w:val="17"/>
                <w:szCs w:val="17"/>
                <w:color w:val="0000FF"/>
                <w:w w:val="91"/>
              </w:rPr>
              <w:t>02/22/2021</w:t>
            </w:r>
          </w:p>
        </w:tc>
        <w:tc>
          <w:tcPr>
            <w:tcW w:w="1100" w:type="dxa"/>
            <w:vAlign w:val="bottom"/>
          </w:tcPr>
          <w:p>
            <w:pPr>
              <w:spacing w:after="0"/>
              <w:rPr>
                <w:sz w:val="22"/>
                <w:szCs w:val="22"/>
                <w:color w:val="auto"/>
              </w:rPr>
            </w:pPr>
          </w:p>
        </w:tc>
        <w:tc>
          <w:tcPr>
            <w:tcW w:w="800" w:type="dxa"/>
            <w:vAlign w:val="bottom"/>
          </w:tcPr>
          <w:p>
            <w:pPr>
              <w:jc w:val="center"/>
              <w:ind w:right="280"/>
              <w:spacing w:after="0"/>
              <w:rPr>
                <w:sz w:val="20"/>
                <w:szCs w:val="20"/>
                <w:color w:val="auto"/>
              </w:rPr>
            </w:pPr>
            <w:r>
              <w:rPr>
                <w:rFonts w:ascii="Arial" w:cs="Arial" w:eastAsia="Arial" w:hAnsi="Arial"/>
                <w:sz w:val="13"/>
                <w:szCs w:val="13"/>
                <w:color w:val="0000FF"/>
                <w:w w:val="91"/>
              </w:rPr>
              <w:t>M</w:t>
            </w:r>
          </w:p>
        </w:tc>
        <w:tc>
          <w:tcPr>
            <w:tcW w:w="700" w:type="dxa"/>
            <w:vAlign w:val="bottom"/>
          </w:tcPr>
          <w:p>
            <w:pPr>
              <w:jc w:val="right"/>
              <w:ind w:right="108"/>
              <w:spacing w:after="0"/>
              <w:rPr>
                <w:sz w:val="20"/>
                <w:szCs w:val="20"/>
                <w:color w:val="auto"/>
              </w:rPr>
            </w:pPr>
            <w:r>
              <w:rPr>
                <w:rFonts w:ascii="Arial" w:cs="Arial" w:eastAsia="Arial" w:hAnsi="Arial"/>
                <w:sz w:val="17"/>
                <w:szCs w:val="17"/>
                <w:color w:val="0000FF"/>
              </w:rPr>
              <w:t>710</w:t>
            </w: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20" w:type="dxa"/>
            <w:vAlign w:val="bottom"/>
          </w:tcPr>
          <w:p>
            <w:pPr>
              <w:ind w:left="380"/>
              <w:spacing w:after="0"/>
              <w:rPr>
                <w:sz w:val="20"/>
                <w:szCs w:val="20"/>
                <w:color w:val="auto"/>
              </w:rPr>
            </w:pPr>
            <w:r>
              <w:rPr>
                <w:rFonts w:ascii="Arial" w:cs="Arial" w:eastAsia="Arial" w:hAnsi="Arial"/>
                <w:sz w:val="17"/>
                <w:szCs w:val="17"/>
                <w:color w:val="0000FF"/>
              </w:rPr>
              <w:t>1,741</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02/22/2021</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ind w:right="108"/>
              <w:spacing w:after="0"/>
              <w:rPr>
                <w:sz w:val="20"/>
                <w:szCs w:val="20"/>
                <w:color w:val="auto"/>
              </w:rPr>
            </w:pPr>
            <w:r>
              <w:rPr>
                <w:rFonts w:ascii="Arial" w:cs="Arial" w:eastAsia="Arial" w:hAnsi="Arial"/>
                <w:sz w:val="17"/>
                <w:szCs w:val="17"/>
                <w:color w:val="0000FF"/>
              </w:rPr>
              <w:t>337</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80.55</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1,404</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02/22/2021</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00" w:type="dxa"/>
            <w:vAlign w:val="bottom"/>
            <w:tcBorders>
              <w:bottom w:val="single" w:sz="8" w:color="2C2C2C"/>
            </w:tcBorders>
          </w:tcPr>
          <w:p>
            <w:pPr>
              <w:jc w:val="right"/>
              <w:ind w:right="108"/>
              <w:spacing w:after="0"/>
              <w:rPr>
                <w:sz w:val="20"/>
                <w:szCs w:val="20"/>
                <w:color w:val="auto"/>
              </w:rPr>
            </w:pPr>
            <w:r>
              <w:rPr>
                <w:rFonts w:ascii="Arial" w:cs="Arial" w:eastAsia="Arial" w:hAnsi="Arial"/>
                <w:sz w:val="17"/>
                <w:szCs w:val="17"/>
                <w:color w:val="0000FF"/>
              </w:rPr>
              <w:t>195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79.58</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1,209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91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9171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(4)</w:t>
            </w:r>
          </w:p>
        </w:tc>
        <w:tc>
          <w:tcPr>
            <w:tcW w:w="70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710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200"/>
              <w:spacing w:after="0" w:line="144" w:lineRule="exact"/>
              <w:rPr>
                <w:sz w:val="20"/>
                <w:szCs w:val="20"/>
                <w:color w:val="auto"/>
              </w:rPr>
            </w:pPr>
            <w:r>
              <w:rPr>
                <w:rFonts w:ascii="Arial" w:cs="Arial" w:eastAsia="Arial" w:hAnsi="Arial"/>
                <w:sz w:val="13"/>
                <w:szCs w:val="13"/>
                <w:color w:val="0000FF"/>
              </w:rPr>
              <w:t>02/22/2021</w:t>
            </w:r>
          </w:p>
        </w:tc>
        <w:tc>
          <w:tcPr>
            <w:tcW w:w="1100" w:type="dxa"/>
            <w:vAlign w:val="bottom"/>
          </w:tcPr>
          <w:p>
            <w:pPr>
              <w:spacing w:after="0"/>
              <w:rPr>
                <w:sz w:val="12"/>
                <w:szCs w:val="12"/>
                <w:color w:val="auto"/>
              </w:rPr>
            </w:pPr>
          </w:p>
        </w:tc>
        <w:tc>
          <w:tcPr>
            <w:tcW w:w="80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720" w:type="dxa"/>
            <w:vAlign w:val="bottom"/>
          </w:tcPr>
          <w:p>
            <w:pPr>
              <w:ind w:left="440"/>
              <w:spacing w:after="0" w:line="144" w:lineRule="exact"/>
              <w:rPr>
                <w:sz w:val="20"/>
                <w:szCs w:val="20"/>
                <w:color w:val="auto"/>
              </w:rPr>
            </w:pPr>
            <w:r>
              <w:rPr>
                <w:rFonts w:ascii="Arial" w:cs="Arial" w:eastAsia="Arial" w:hAnsi="Arial"/>
                <w:sz w:val="13"/>
                <w:szCs w:val="13"/>
                <w:color w:val="0000FF"/>
              </w:rPr>
              <w:t>710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80"/>
              <w:spacing w:after="0" w:line="144" w:lineRule="exact"/>
              <w:rPr>
                <w:sz w:val="20"/>
                <w:szCs w:val="20"/>
                <w:color w:val="auto"/>
              </w:rPr>
            </w:pPr>
            <w:r>
              <w:rPr>
                <w:rFonts w:ascii="Arial" w:cs="Arial" w:eastAsia="Arial" w:hAnsi="Arial"/>
                <w:sz w:val="13"/>
                <w:szCs w:val="13"/>
                <w:color w:val="0000FF"/>
              </w:rPr>
              <w:t>710</w:t>
            </w:r>
          </w:p>
        </w:tc>
        <w:tc>
          <w:tcPr>
            <w:tcW w:w="74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ind w:left="140"/>
              <w:spacing w:after="0" w:line="144"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22,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45" w:lineRule="exact"/>
        <w:rPr>
          <w:rFonts w:ascii="Arial" w:cs="Arial" w:eastAsia="Arial" w:hAnsi="Arial"/>
          <w:sz w:val="13"/>
          <w:szCs w:val="13"/>
          <w:color w:val="008000"/>
        </w:rPr>
      </w:pPr>
    </w:p>
    <w:p>
      <w:pPr>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22, 2018, the reporting person was granted 2,840 restricted stock units, vesting in four annual installments beginning on the first anniversary of the grant date. 25 percent of the restricted stock units became vested on February 22, 2019, an additional twenty-five percent of the restricted stock units became vested on February 22, 2020, an additional twenty-five percent of the restricted stock units became vested on February 22, 2021; and the remaining balance of twenty-five percent of the restricted stock units will vest on February 22, 2022.</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209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2021-02-24T16:41:43Z</dcterms:created>
  <dcterms:modified xsi:type="dcterms:W3CDTF">2021-02-24T16:41:43Z</dcterms:modified>
</cp:coreProperties>
</file>